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CONDITIONS GÉNÉRALES DE SERVICES</w:t>
      </w:r>
    </w:p>
    <w:p>
      <w:pPr>
        <w:pStyle w:val="Heading2"/>
      </w:pPr>
      <w:r>
        <w:t>THE LOOP Pass — Version commerçants B2B</w:t>
      </w:r>
    </w:p>
    <w:p>
      <w:pPr>
        <w:spacing w:line="240" w:lineRule="auto"/>
      </w:pPr>
      <w:r/>
      <w:r>
        <w:rPr>
          <w:b/>
        </w:rPr>
        <w:t>Modèle à personnaliser — validation juridique recommandée.</w:t>
      </w:r>
      <w:r/>
    </w:p>
    <w:p>
      <w:pPr>
        <w:spacing w:line="240" w:lineRule="auto"/>
      </w:pPr>
      <w:r/>
      <w:r>
        <w:rPr>
          <w:b/>
        </w:rPr>
        <w:t>Version :</w:t>
      </w:r>
      <w:r>
        <w:t xml:space="preserve"> 1.0 · </w:t>
      </w:r>
      <w:r>
        <w:rPr>
          <w:b/>
        </w:rPr>
        <w:t>Date :</w:t>
      </w:r>
      <w:r>
        <w:t xml:space="preserve"> [JJ/MM/AAAA]</w:t>
      </w:r>
    </w:p>
    <w:p/>
    <w:p>
      <w:pPr>
        <w:pStyle w:val="Heading3"/>
      </w:pPr>
      <w:r>
        <w:t>1. Objet</w:t>
      </w:r>
    </w:p>
    <w:p>
      <w:pPr>
        <w:spacing w:line="240" w:lineRule="auto"/>
      </w:pPr>
      <w:r>
        <w:t xml:space="preserve">Les présentes Conditions Générales de Services (« </w:t>
      </w:r>
      <w:r>
        <w:rPr>
          <w:b/>
        </w:rPr>
        <w:t>CGV</w:t>
      </w:r>
      <w:r>
        <w:t xml:space="preserve"> ») régissent la fourniture par </w:t>
      </w:r>
      <w:r>
        <w:rPr>
          <w:b/>
        </w:rPr>
        <w:t>THE LOOP Pass</w:t>
      </w:r>
      <w:r>
        <w:t xml:space="preserve"> (« </w:t>
      </w:r>
      <w:r>
        <w:rPr>
          <w:b/>
        </w:rPr>
        <w:t>le Prestataire</w:t>
      </w:r>
      <w:r>
        <w:t xml:space="preserve"> ») de services de </w:t>
      </w:r>
      <w:r>
        <w:rPr>
          <w:b/>
        </w:rPr>
        <w:t>fidélisation digitale</w:t>
      </w:r>
      <w:r>
        <w:t xml:space="preserve"> au </w:t>
      </w:r>
      <w:r>
        <w:rPr>
          <w:b/>
        </w:rPr>
        <w:t>Commerçant</w:t>
      </w:r>
      <w:r>
        <w:t xml:space="preserve"> client (« </w:t>
      </w:r>
      <w:r>
        <w:rPr>
          <w:b/>
        </w:rPr>
        <w:t>le Client</w:t>
      </w:r>
      <w:r>
        <w:t xml:space="preserve"> »), incluant notamment la configuration de cartes de fidélité sur téléphone mobile, outils de scan, tableaux de bord et, selon l’offre, campagnes de communication.</w:t>
      </w:r>
    </w:p>
    <w:p>
      <w:pPr>
        <w:spacing w:line="240" w:lineRule="auto"/>
      </w:pPr>
      <w:r>
        <w:t xml:space="preserve">Toute signature de convention, bon de commande ou essai vaut </w:t>
      </w:r>
      <w:r>
        <w:rPr>
          <w:b/>
        </w:rPr>
        <w:t>acceptation</w:t>
      </w:r>
      <w:r>
        <w:t xml:space="preserve"> des CGV.</w:t>
      </w:r>
    </w:p>
    <w:p/>
    <w:p>
      <w:pPr>
        <w:pStyle w:val="Heading3"/>
      </w:pPr>
      <w:r>
        <w:t>2. Identité du Prestataire</w:t>
      </w:r>
    </w:p>
    <w:p>
      <w:pPr>
        <w:spacing w:line="240" w:lineRule="auto"/>
      </w:pPr>
      <w:r/>
      <w:r>
        <w:rPr>
          <w:b/>
        </w:rPr>
        <w:t>Période de transition (ex. avant immatriculation) :</w:t>
      </w:r>
      <w:r/>
    </w:p>
    <w:p>
      <w:pPr>
        <w:spacing w:line="240" w:lineRule="auto"/>
      </w:pPr>
      <w:r>
        <w:t>[NOM PRÉNOM], agissant pour le projet THE LOOP Pass, contact@theloop-app.com, +224 626 68 06 06.</w:t>
      </w:r>
    </w:p>
    <w:p>
      <w:pPr>
        <w:spacing w:line="240" w:lineRule="auto"/>
      </w:pPr>
      <w:r/>
      <w:r>
        <w:rPr>
          <w:b/>
        </w:rPr>
        <w:t>À compter de [date / immatriculation] :</w:t>
      </w:r>
      <w:r/>
    </w:p>
    <w:p>
      <w:pPr>
        <w:spacing w:line="240" w:lineRule="auto"/>
      </w:pPr>
      <w:r>
        <w:t>[RAISON SOCIALE], [forme juridique], RCCM n° […], NIF […], siège [adresse], représentée par […].</w:t>
      </w:r>
    </w:p>
    <w:p/>
    <w:p>
      <w:pPr>
        <w:pStyle w:val="Heading3"/>
      </w:pPr>
      <w:r>
        <w:t>3. Description des services</w:t>
      </w:r>
    </w:p>
    <w:p>
      <w:pPr>
        <w:spacing w:line="240" w:lineRule="auto"/>
      </w:pPr>
      <w:r/>
      <w:r>
        <w:rPr>
          <w:b/>
        </w:rPr>
        <w:t>3.1</w:t>
      </w:r>
      <w:r>
        <w:t xml:space="preserve"> Le service permet au Client de proposer à </w:t>
      </w:r>
      <w:r>
        <w:rPr>
          <w:b/>
        </w:rPr>
        <w:t>ses propres clients finaux</w:t>
      </w:r>
      <w:r>
        <w:t xml:space="preserve"> une carte de fidélité installable sur </w:t>
      </w:r>
      <w:r>
        <w:rPr>
          <w:b/>
        </w:rPr>
        <w:t>Apple Wallet</w:t>
      </w:r>
      <w:r>
        <w:t xml:space="preserve">, </w:t>
      </w:r>
      <w:r>
        <w:rPr>
          <w:b/>
        </w:rPr>
        <w:t>Google Wallet</w:t>
      </w:r>
      <w:r>
        <w:t xml:space="preserve">, ou, le cas échéant, en </w:t>
      </w:r>
      <w:r>
        <w:rPr>
          <w:b/>
        </w:rPr>
        <w:t>PWA</w:t>
      </w:r>
      <w:r>
        <w:t xml:space="preserve"> (application web), selon compatibilité des appareils.</w:t>
      </w:r>
    </w:p>
    <w:p>
      <w:pPr>
        <w:spacing w:line="240" w:lineRule="auto"/>
      </w:pPr>
      <w:r/>
      <w:r>
        <w:rPr>
          <w:b/>
        </w:rPr>
        <w:t>3.2</w:t>
      </w:r>
      <w:r>
        <w:t xml:space="preserve"> Le Client peut enregistrer des </w:t>
      </w:r>
      <w:r>
        <w:rPr>
          <w:b/>
        </w:rPr>
        <w:t>visites</w:t>
      </w:r>
      <w:r>
        <w:t xml:space="preserve"> (tampons, points ou règles définies) via un outil de scan mis à disposition.</w:t>
      </w:r>
    </w:p>
    <w:p>
      <w:pPr>
        <w:spacing w:line="240" w:lineRule="auto"/>
      </w:pPr>
      <w:r/>
      <w:r>
        <w:rPr>
          <w:b/>
        </w:rPr>
        <w:t>3.3</w:t>
      </w:r>
      <w:r>
        <w:t xml:space="preserve"> Selon l’offre souscrite, le service peut inclure : messages / notifications, statistiques, accompagnement à la configuration, option « gestion pour vous », pack événement.</w:t>
      </w:r>
    </w:p>
    <w:p>
      <w:pPr>
        <w:spacing w:line="240" w:lineRule="auto"/>
      </w:pPr>
      <w:r/>
      <w:r>
        <w:rPr>
          <w:b/>
        </w:rPr>
        <w:t>3.4</w:t>
      </w:r>
      <w:r>
        <w:t xml:space="preserve"> Le Prestataire opère le service via une </w:t>
      </w:r>
      <w:r>
        <w:rPr>
          <w:b/>
        </w:rPr>
        <w:t>infrastructure technique tierce</w:t>
      </w:r>
      <w:r>
        <w:t xml:space="preserve"> (plateforme white-label). Le Prestataire reste l’</w:t>
      </w:r>
      <w:r>
        <w:rPr>
          <w:b/>
        </w:rPr>
        <w:t>interlocuteur contractuel</w:t>
      </w:r>
      <w:r>
        <w:t xml:space="preserve"> du Client.</w:t>
      </w:r>
    </w:p>
    <w:p/>
    <w:p>
      <w:pPr>
        <w:pStyle w:val="Heading3"/>
      </w:pPr>
      <w:r>
        <w:t>4. Offres et tarifs</w:t>
      </w:r>
    </w:p>
    <w:p>
      <w:pPr>
        <w:spacing w:line="240" w:lineRule="auto"/>
      </w:pPr>
      <w:r>
        <w:t>Les tarifs en vigueur sont ceux indiqués sur https://pass.theloop-app.com ou sur devis / convention signée :</w:t>
      </w:r>
    </w:p>
    <w:p>
      <w:pPr>
        <w:spacing w:line="240" w:lineRule="auto"/>
      </w:pPr>
      <w:r>
        <w:t>| Offre | Prix mensuel (GNF) |</w:t>
      </w:r>
    </w:p>
    <w:p>
      <w:pPr>
        <w:spacing w:line="240" w:lineRule="auto"/>
      </w:pPr>
      <w:r>
        <w:t>|-------|---------------------|</w:t>
      </w:r>
    </w:p>
    <w:p>
      <w:pPr>
        <w:spacing w:line="240" w:lineRule="auto"/>
      </w:pPr>
      <w:r>
        <w:t>| Essentiel | 400 000 |</w:t>
      </w:r>
    </w:p>
    <w:p>
      <w:pPr>
        <w:spacing w:line="240" w:lineRule="auto"/>
      </w:pPr>
      <w:r>
        <w:t>| Pro | 750 000 |</w:t>
      </w:r>
    </w:p>
    <w:p>
      <w:pPr>
        <w:spacing w:line="240" w:lineRule="auto"/>
      </w:pPr>
      <w:r>
        <w:t>| Prestige | 1 200 000 |</w:t>
      </w:r>
    </w:p>
    <w:p>
      <w:pPr>
        <w:spacing w:line="240" w:lineRule="auto"/>
      </w:pPr>
      <w:r/>
      <w:r>
        <w:rPr>
          <w:b/>
        </w:rPr>
        <w:t>Mise en place :</w:t>
      </w:r>
      <w:r>
        <w:t xml:space="preserve"> 500 000 GNF (ponctuel), sauf promotion « offerte » convenue par écrit.</w:t>
      </w:r>
    </w:p>
    <w:p>
      <w:pPr>
        <w:spacing w:line="240" w:lineRule="auto"/>
      </w:pPr>
      <w:r/>
      <w:r>
        <w:rPr>
          <w:b/>
        </w:rPr>
        <w:t>Options :</w:t>
      </w:r>
      <w:r>
        <w:t xml:space="preserve"> Gestion pour vous +250 000 GNF/mois ; Pack ouverture 400 000 GNF.</w:t>
      </w:r>
    </w:p>
    <w:p>
      <w:pPr>
        <w:spacing w:line="240" w:lineRule="auto"/>
      </w:pPr>
      <w:r>
        <w:t xml:space="preserve">Le Prestataire peut </w:t>
      </w:r>
      <w:r>
        <w:rPr>
          <w:b/>
        </w:rPr>
        <w:t>réviser</w:t>
      </w:r>
      <w:r>
        <w:t xml:space="preserve"> les tarifs pour les </w:t>
      </w:r>
      <w:r>
        <w:rPr>
          <w:b/>
        </w:rPr>
        <w:t>nouveaux</w:t>
      </w:r>
      <w:r>
        <w:t xml:space="preserve"> contrats ; pour les contrats en cours, préavis de </w:t>
      </w:r>
      <w:r>
        <w:rPr>
          <w:b/>
        </w:rPr>
        <w:t>30 jours</w:t>
      </w:r>
      <w:r>
        <w:t xml:space="preserve"> avant application.</w:t>
      </w:r>
    </w:p>
    <w:p/>
    <w:p>
      <w:pPr>
        <w:pStyle w:val="Heading3"/>
      </w:pPr>
      <w:r>
        <w:t>5. Essai gratuit</w:t>
      </w:r>
    </w:p>
    <w:p>
      <w:pPr>
        <w:spacing w:line="240" w:lineRule="auto"/>
      </w:pPr>
      <w:r>
        <w:t xml:space="preserve">Un </w:t>
      </w:r>
      <w:r>
        <w:rPr>
          <w:b/>
        </w:rPr>
        <w:t>essai de 14 jours</w:t>
      </w:r>
      <w:r>
        <w:t xml:space="preserve"> peut être accordé sans redevance d’abonnement, selon convention.</w:t>
      </w:r>
    </w:p>
    <w:p>
      <w:pPr>
        <w:spacing w:line="240" w:lineRule="auto"/>
      </w:pPr>
      <w:r>
        <w:t xml:space="preserve">À l’issue, le Client choisit de </w:t>
      </w:r>
      <w:r>
        <w:rPr>
          <w:b/>
        </w:rPr>
        <w:t>poursuivre</w:t>
      </w:r>
      <w:r>
        <w:t xml:space="preserve"> ou </w:t>
      </w:r>
      <w:r>
        <w:rPr>
          <w:b/>
        </w:rPr>
        <w:t>cesser</w:t>
      </w:r>
      <w:r>
        <w:t xml:space="preserve"> sans pénalité, sauf frais de mise en place non offerts et déjà dus par accord.</w:t>
      </w:r>
    </w:p>
    <w:p/>
    <w:p>
      <w:pPr>
        <w:pStyle w:val="Heading3"/>
      </w:pPr>
      <w:r>
        <w:t>6. Commande, facturation et paiement</w:t>
      </w:r>
    </w:p>
    <w:p>
      <w:pPr>
        <w:spacing w:line="240" w:lineRule="auto"/>
      </w:pPr>
      <w:r/>
      <w:r>
        <w:rPr>
          <w:b/>
        </w:rPr>
        <w:t>6.1</w:t>
      </w:r>
      <w:r>
        <w:t xml:space="preserve"> L’abonnement est </w:t>
      </w:r>
      <w:r>
        <w:rPr>
          <w:b/>
        </w:rPr>
        <w:t>mensuel</w:t>
      </w:r>
      <w:r>
        <w:t xml:space="preserve"> et payable </w:t>
      </w:r>
      <w:r>
        <w:rPr>
          <w:b/>
        </w:rPr>
        <w:t>d’avance</w:t>
      </w:r>
      <w:r>
        <w:t>, sauf stipulation contraire.</w:t>
      </w:r>
    </w:p>
    <w:p>
      <w:pPr>
        <w:spacing w:line="240" w:lineRule="auto"/>
      </w:pPr>
      <w:r/>
      <w:r>
        <w:rPr>
          <w:b/>
        </w:rPr>
        <w:t>6.2</w:t>
      </w:r>
      <w:r>
        <w:t xml:space="preserve"> Moyens de paiement acceptés : principalement </w:t>
      </w:r>
      <w:r>
        <w:rPr>
          <w:b/>
        </w:rPr>
        <w:t>Orange Money</w:t>
      </w:r>
      <w:r>
        <w:t xml:space="preserve"> ; autres moyens sur accord écrit.</w:t>
      </w:r>
    </w:p>
    <w:p>
      <w:pPr>
        <w:spacing w:line="240" w:lineRule="auto"/>
      </w:pPr>
      <w:r/>
      <w:r>
        <w:rPr>
          <w:b/>
        </w:rPr>
        <w:t>6.3</w:t>
      </w:r>
      <w:r>
        <w:t xml:space="preserve"> Les factures / reçus sont adressés aux coordonnées du Client. Le Client fournit des informations </w:t>
      </w:r>
      <w:r>
        <w:rPr>
          <w:b/>
        </w:rPr>
        <w:t>exactes</w:t>
      </w:r>
      <w:r>
        <w:t xml:space="preserve"> pour la facturation.</w:t>
      </w:r>
    </w:p>
    <w:p>
      <w:pPr>
        <w:spacing w:line="240" w:lineRule="auto"/>
      </w:pPr>
      <w:r/>
      <w:r>
        <w:rPr>
          <w:b/>
        </w:rPr>
        <w:t>6.4</w:t>
      </w:r>
      <w:r>
        <w:t xml:space="preserve"> </w:t>
      </w:r>
      <w:r>
        <w:rPr>
          <w:b/>
        </w:rPr>
        <w:t>Retard de paiement :</w:t>
      </w:r>
      <w:r>
        <w:t xml:space="preserve"> suspension possible après mise en demeure ; pénalités / intérêts selon droit applicable </w:t>
      </w:r>
      <w:r>
        <w:rPr>
          <w:b/>
        </w:rPr>
        <w:t>[à compléter]</w:t>
      </w:r>
      <w:r>
        <w:t>.</w:t>
      </w:r>
    </w:p>
    <w:p/>
    <w:p>
      <w:pPr>
        <w:pStyle w:val="Heading3"/>
      </w:pPr>
      <w:r>
        <w:t>7. Durée et résiliation</w:t>
      </w:r>
    </w:p>
    <w:p>
      <w:pPr>
        <w:spacing w:line="240" w:lineRule="auto"/>
      </w:pPr>
      <w:r/>
      <w:r>
        <w:rPr>
          <w:b/>
        </w:rPr>
        <w:t>7.1</w:t>
      </w:r>
      <w:r>
        <w:t xml:space="preserve"> Abonnement </w:t>
      </w:r>
      <w:r>
        <w:rPr>
          <w:b/>
        </w:rPr>
        <w:t>à durée indéterminée</w:t>
      </w:r>
      <w:r>
        <w:t>, reconduit mois par mois.</w:t>
      </w:r>
    </w:p>
    <w:p>
      <w:pPr>
        <w:spacing w:line="240" w:lineRule="auto"/>
      </w:pPr>
      <w:r/>
      <w:r>
        <w:rPr>
          <w:b/>
        </w:rPr>
        <w:t>7.2</w:t>
      </w:r>
      <w:r>
        <w:t xml:space="preserve"> Résiliation par le Client : </w:t>
      </w:r>
      <w:r>
        <w:rPr>
          <w:b/>
        </w:rPr>
        <w:t>préavis de 15 jours</w:t>
      </w:r>
      <w:r>
        <w:t xml:space="preserve"> calendaires avant la fin du mois en cours, par écrit.</w:t>
      </w:r>
    </w:p>
    <w:p>
      <w:pPr>
        <w:spacing w:line="240" w:lineRule="auto"/>
      </w:pPr>
      <w:r/>
      <w:r>
        <w:rPr>
          <w:b/>
        </w:rPr>
        <w:t>7.3</w:t>
      </w:r>
      <w:r>
        <w:t xml:space="preserve"> Résiliation par le Prestataire : en cas d’impayé persistant, violation des CGV, usage illicite ou préjudiciable.</w:t>
      </w:r>
    </w:p>
    <w:p>
      <w:pPr>
        <w:spacing w:line="240" w:lineRule="auto"/>
      </w:pPr>
      <w:r/>
      <w:r>
        <w:rPr>
          <w:b/>
        </w:rPr>
        <w:t>7.4</w:t>
      </w:r>
      <w:r>
        <w:t xml:space="preserve"> En fin de relation, l’accès au tableau de bord et la </w:t>
      </w:r>
      <w:r>
        <w:rPr>
          <w:b/>
        </w:rPr>
        <w:t>carte active</w:t>
      </w:r>
      <w:r>
        <w:t xml:space="preserve"> des clients finaux seront </w:t>
      </w:r>
      <w:r>
        <w:rPr>
          <w:b/>
        </w:rPr>
        <w:t>désactivés</w:t>
      </w:r>
      <w:r>
        <w:t xml:space="preserve"> dans un délai raisonnable. Le Client est responsable de </w:t>
      </w:r>
      <w:r>
        <w:rPr>
          <w:b/>
        </w:rPr>
        <w:t>informer</w:t>
      </w:r>
      <w:r>
        <w:t xml:space="preserve"> ses clients si nécessaire.</w:t>
      </w:r>
    </w:p>
    <w:p/>
    <w:p>
      <w:pPr>
        <w:pStyle w:val="Heading3"/>
      </w:pPr>
      <w:r>
        <w:t>8. Obligations du Client</w:t>
      </w:r>
    </w:p>
    <w:p>
      <w:pPr>
        <w:pStyle w:val="ListBullet"/>
      </w:pPr>
      <w:r>
        <w:t>Exactitude des informations commerciales et des contenus (logo, offres, récompenses) ;</w:t>
      </w:r>
    </w:p>
    <w:p>
      <w:pPr>
        <w:pStyle w:val="ListBullet"/>
      </w:pPr>
      <w:r>
        <w:t>Respect de la **réglementation** locale (consommation, publicité, prix) ;</w:t>
      </w:r>
    </w:p>
    <w:p>
      <w:pPr>
        <w:pStyle w:val="ListBullet"/>
      </w:pPr>
      <w:r>
        <w:t>**Formation** d’au moins un membre du staff au scan ;</w:t>
      </w:r>
    </w:p>
    <w:p>
      <w:pPr>
        <w:pStyle w:val="ListBullet"/>
      </w:pPr>
      <w:r>
        <w:t>Pas de contenu illicite, diffamatoire, ou contraire aux bonnes mœurs dans les communications ;</w:t>
      </w:r>
    </w:p>
    <w:p>
      <w:pPr>
        <w:pStyle w:val="ListBullet"/>
      </w:pPr>
      <w:r>
        <w:t>Collaboration raisonnable avec le Prestataire (délais de réponse, validation maquettes).</w:t>
      </w:r>
    </w:p>
    <w:p/>
    <w:p>
      <w:pPr>
        <w:pStyle w:val="Heading3"/>
      </w:pPr>
      <w:r>
        <w:t>9. Données personnelles</w:t>
      </w:r>
    </w:p>
    <w:p>
      <w:pPr>
        <w:spacing w:line="240" w:lineRule="auto"/>
      </w:pPr>
      <w:r/>
      <w:r>
        <w:rPr>
          <w:b/>
        </w:rPr>
        <w:t>9.1</w:t>
      </w:r>
      <w:r>
        <w:t xml:space="preserve"> Le Client est responsable du </w:t>
      </w:r>
      <w:r>
        <w:rPr>
          <w:b/>
        </w:rPr>
        <w:t>fondement</w:t>
      </w:r>
      <w:r>
        <w:t xml:space="preserve"> et de l’</w:t>
      </w:r>
      <w:r>
        <w:rPr>
          <w:b/>
        </w:rPr>
        <w:t>information</w:t>
      </w:r>
      <w:r>
        <w:t xml:space="preserve"> de ses clients finaux concernant la collecte de données (nom, téléphone, historique de visites, etc.) via la carte fidélité.</w:t>
      </w:r>
    </w:p>
    <w:p>
      <w:pPr>
        <w:spacing w:line="240" w:lineRule="auto"/>
      </w:pPr>
      <w:r/>
      <w:r>
        <w:rPr>
          <w:b/>
        </w:rPr>
        <w:t>9.2</w:t>
      </w:r>
      <w:r>
        <w:t xml:space="preserve"> Le Prestataire traite certaines données en </w:t>
      </w:r>
      <w:r>
        <w:rPr>
          <w:b/>
        </w:rPr>
        <w:t>qualité de sous-traitant</w:t>
      </w:r>
      <w:r>
        <w:t xml:space="preserve"> ou d’</w:t>
      </w:r>
      <w:r>
        <w:rPr>
          <w:b/>
        </w:rPr>
        <w:t>intermédiaire technique</w:t>
      </w:r>
      <w:r>
        <w:t xml:space="preserve"> pour exécuter le service. Le Client s’engage à ne pas utiliser les données à des fins </w:t>
      </w:r>
      <w:r>
        <w:rPr>
          <w:b/>
        </w:rPr>
        <w:t>illégales</w:t>
      </w:r>
      <w:r>
        <w:t xml:space="preserve"> ou non consenties.</w:t>
      </w:r>
    </w:p>
    <w:p>
      <w:pPr>
        <w:spacing w:line="240" w:lineRule="auto"/>
      </w:pPr>
      <w:r/>
      <w:r>
        <w:rPr>
          <w:b/>
        </w:rPr>
        <w:t>9.3</w:t>
      </w:r>
      <w:r>
        <w:t xml:space="preserve"> En cas de demande d’accès / rectification / suppression par un client final, le Client et le Prestataire coopèrent dans un délai raisonnable.</w:t>
      </w:r>
    </w:p>
    <w:p>
      <w:pPr>
        <w:spacing w:line="240" w:lineRule="auto"/>
      </w:pPr>
      <w:r/>
      <w:r>
        <w:rPr>
          <w:b/>
        </w:rPr>
        <w:t>9.4</w:t>
      </w:r>
      <w:r>
        <w:t xml:space="preserve"> Une </w:t>
      </w:r>
      <w:r>
        <w:rPr>
          <w:b/>
        </w:rPr>
        <w:t>politique de confidentialité</w:t>
      </w:r>
      <w:r>
        <w:t xml:space="preserve"> dédiée pourra compléter les CGV </w:t>
      </w:r>
      <w:r>
        <w:rPr>
          <w:b/>
        </w:rPr>
        <w:t>[lien à ajouter]</w:t>
      </w:r>
      <w:r>
        <w:t>.</w:t>
      </w:r>
    </w:p>
    <w:p/>
    <w:p>
      <w:pPr>
        <w:pStyle w:val="Heading3"/>
      </w:pPr>
      <w:r>
        <w:t>10. Propriété intellectuelle</w:t>
      </w:r>
    </w:p>
    <w:p>
      <w:pPr>
        <w:spacing w:line="240" w:lineRule="auto"/>
      </w:pPr>
      <w:r/>
      <w:r>
        <w:rPr>
          <w:b/>
        </w:rPr>
        <w:t>10.1</w:t>
      </w:r>
      <w:r>
        <w:t xml:space="preserve"> La marque </w:t>
      </w:r>
      <w:r>
        <w:rPr>
          <w:b/>
        </w:rPr>
        <w:t>THE LOOP Pass</w:t>
      </w:r>
      <w:r>
        <w:t>, le site, les méthodes et documentations restent la propriété du Prestataire ou de ses concédants.</w:t>
      </w:r>
    </w:p>
    <w:p>
      <w:pPr>
        <w:spacing w:line="240" w:lineRule="auto"/>
      </w:pPr>
      <w:r/>
      <w:r>
        <w:rPr>
          <w:b/>
        </w:rPr>
        <w:t>10.2</w:t>
      </w:r>
      <w:r>
        <w:t xml:space="preserve"> Le Client conserve ses </w:t>
      </w:r>
      <w:r>
        <w:rPr>
          <w:b/>
        </w:rPr>
        <w:t>marques</w:t>
      </w:r>
      <w:r>
        <w:t xml:space="preserve">, logos et contenus ; il accorde au Prestataire une licence </w:t>
      </w:r>
      <w:r>
        <w:rPr>
          <w:b/>
        </w:rPr>
        <w:t>limitée</w:t>
      </w:r>
      <w:r>
        <w:t xml:space="preserve"> pour les utiliser aux fins d’exécution du service.</w:t>
      </w:r>
    </w:p>
    <w:p/>
    <w:p>
      <w:pPr>
        <w:pStyle w:val="Heading3"/>
      </w:pPr>
      <w:r>
        <w:t>11. Disponibilité et support</w:t>
      </w:r>
    </w:p>
    <w:p>
      <w:pPr>
        <w:spacing w:line="240" w:lineRule="auto"/>
      </w:pPr>
      <w:r/>
      <w:r>
        <w:rPr>
          <w:b/>
        </w:rPr>
        <w:t>11.1</w:t>
      </w:r>
      <w:r>
        <w:t xml:space="preserve"> Le Prestataire vise une disponibilité </w:t>
      </w:r>
      <w:r>
        <w:rPr>
          <w:b/>
        </w:rPr>
        <w:t>raisonnable</w:t>
      </w:r>
      <w:r>
        <w:t xml:space="preserve"> du service, hors maintenance et cas de force majeure (coupures réseau, Wallet, plateforme tierce).</w:t>
      </w:r>
    </w:p>
    <w:p>
      <w:pPr>
        <w:spacing w:line="240" w:lineRule="auto"/>
      </w:pPr>
      <w:r/>
      <w:r>
        <w:rPr>
          <w:b/>
        </w:rPr>
        <w:t>11.2</w:t>
      </w:r>
      <w:r>
        <w:t xml:space="preserve"> Support principal : </w:t>
      </w:r>
      <w:r>
        <w:rPr>
          <w:b/>
        </w:rPr>
        <w:t>WhatsApp</w:t>
      </w:r>
      <w:r>
        <w:t xml:space="preserve"> +224 626 68 06 06, jours ouvrables </w:t>
      </w:r>
      <w:r>
        <w:rPr>
          <w:b/>
        </w:rPr>
        <w:t>[préciser horaires Conakry]</w:t>
      </w:r>
      <w:r>
        <w:t xml:space="preserve">, délai de réponse cible </w:t>
      </w:r>
      <w:r>
        <w:rPr>
          <w:b/>
        </w:rPr>
        <w:t>[ex. 24–48 h]</w:t>
      </w:r>
      <w:r>
        <w:t>.</w:t>
      </w:r>
    </w:p>
    <w:p>
      <w:pPr>
        <w:spacing w:line="240" w:lineRule="auto"/>
      </w:pPr>
      <w:r/>
      <w:r>
        <w:rPr>
          <w:b/>
        </w:rPr>
        <w:t>11.3</w:t>
      </w:r>
      <w:r>
        <w:t xml:space="preserve"> Le niveau de support dépend de l’offre (Essentiel / Pro / Prestige).</w:t>
      </w:r>
    </w:p>
    <w:p/>
    <w:p>
      <w:pPr>
        <w:pStyle w:val="Heading3"/>
      </w:pPr>
      <w:r>
        <w:t>12. Limitation de responsabilité</w:t>
      </w:r>
    </w:p>
    <w:p>
      <w:pPr>
        <w:spacing w:line="240" w:lineRule="auto"/>
      </w:pPr>
      <w:r/>
      <w:r>
        <w:rPr>
          <w:b/>
        </w:rPr>
        <w:t>12.1</w:t>
      </w:r>
      <w:r>
        <w:t xml:space="preserve"> Le Prestataire n’est pas responsable des </w:t>
      </w:r>
      <w:r>
        <w:rPr>
          <w:b/>
        </w:rPr>
        <w:t>pertes indirectes</w:t>
      </w:r>
      <w:r>
        <w:t xml:space="preserve"> (perte de chiffre, réputation) sauf faute prouvée.</w:t>
      </w:r>
    </w:p>
    <w:p>
      <w:pPr>
        <w:spacing w:line="240" w:lineRule="auto"/>
      </w:pPr>
      <w:r/>
      <w:r>
        <w:rPr>
          <w:b/>
        </w:rPr>
        <w:t>12.2</w:t>
      </w:r>
      <w:r>
        <w:t xml:space="preserve"> Plafond : montant total payé par le Client sur les </w:t>
      </w:r>
      <w:r>
        <w:rPr>
          <w:b/>
        </w:rPr>
        <w:t>3 derniers mois</w:t>
      </w:r>
      <w:r>
        <w:t xml:space="preserve"> précédant le fait générateur, sauf disposition légale impérative.</w:t>
      </w:r>
    </w:p>
    <w:p>
      <w:pPr>
        <w:spacing w:line="240" w:lineRule="auto"/>
      </w:pPr>
      <w:r/>
      <w:r>
        <w:rPr>
          <w:b/>
        </w:rPr>
        <w:t>12.3</w:t>
      </w:r>
      <w:r>
        <w:t xml:space="preserve"> Le Client reste seul responsable des </w:t>
      </w:r>
      <w:r>
        <w:rPr>
          <w:b/>
        </w:rPr>
        <w:t>promotions</w:t>
      </w:r>
      <w:r>
        <w:t xml:space="preserve"> et récompenses qu’il accorde à ses clients finaux.</w:t>
      </w:r>
    </w:p>
    <w:p/>
    <w:p>
      <w:pPr>
        <w:pStyle w:val="Heading3"/>
      </w:pPr>
      <w:r>
        <w:t>13. Force majeure</w:t>
      </w:r>
    </w:p>
    <w:p>
      <w:pPr>
        <w:spacing w:line="240" w:lineRule="auto"/>
      </w:pPr>
      <w:r>
        <w:t>Événements hors contrôle raisonnable (catastrophe, coupures massives, décision administrative, etc.) suspendent les obligations affectées.</w:t>
      </w:r>
    </w:p>
    <w:p/>
    <w:p>
      <w:pPr>
        <w:pStyle w:val="Heading3"/>
      </w:pPr>
      <w:r>
        <w:t>14. Modification des CGV</w:t>
      </w:r>
    </w:p>
    <w:p>
      <w:pPr>
        <w:spacing w:line="240" w:lineRule="auto"/>
      </w:pPr>
      <w:r>
        <w:t xml:space="preserve">Le Prestataire peut modifier les CGV. Les Clients actifs en sont informés par </w:t>
      </w:r>
      <w:r>
        <w:rPr>
          <w:b/>
        </w:rPr>
        <w:t>e-mail ou WhatsApp</w:t>
      </w:r>
      <w:r>
        <w:t xml:space="preserve"> ; poursuite du service après préavis de </w:t>
      </w:r>
      <w:r>
        <w:rPr>
          <w:b/>
        </w:rPr>
        <w:t>15 jours</w:t>
      </w:r>
      <w:r>
        <w:t xml:space="preserve"> vaut acceptation, sauf résiliation.</w:t>
      </w:r>
    </w:p>
    <w:p/>
    <w:p>
      <w:pPr>
        <w:pStyle w:val="Heading3"/>
      </w:pPr>
      <w:r>
        <w:t>15. Droit applicable — litiges</w:t>
      </w:r>
    </w:p>
    <w:p>
      <w:pPr>
        <w:spacing w:line="240" w:lineRule="auto"/>
      </w:pPr>
      <w:r/>
      <w:r>
        <w:rPr>
          <w:b/>
        </w:rPr>
        <w:t>Droit applicable :</w:t>
      </w:r>
      <w:r>
        <w:t xml:space="preserve"> </w:t>
      </w:r>
      <w:r>
        <w:rPr>
          <w:b/>
        </w:rPr>
        <w:t>[République de Guinée — à confirmer]</w:t>
      </w:r>
      <w:r/>
    </w:p>
    <w:p>
      <w:pPr>
        <w:spacing w:line="240" w:lineRule="auto"/>
      </w:pPr>
      <w:r/>
      <w:r>
        <w:rPr>
          <w:b/>
        </w:rPr>
        <w:t>Compétence :</w:t>
      </w:r>
      <w:r>
        <w:t xml:space="preserve"> tribunaux de </w:t>
      </w:r>
      <w:r>
        <w:rPr>
          <w:b/>
        </w:rPr>
        <w:t>[Conakry — à confirmer]</w:t>
      </w:r>
      <w:r>
        <w:t>, après tentative de règlement amiable.</w:t>
      </w:r>
    </w:p>
    <w:p/>
    <w:p>
      <w:pPr>
        <w:pStyle w:val="Heading3"/>
      </w:pPr>
      <w:r>
        <w:t>16. Contact</w:t>
      </w:r>
    </w:p>
    <w:p>
      <w:pPr>
        <w:spacing w:line="240" w:lineRule="auto"/>
      </w:pPr>
      <w:r>
        <w:t>THE LOOP Pass · contact@theloop-app.com · WhatsApp +224 626 68 06 06 · https://pass.theloop-app.com</w:t>
      </w:r>
    </w:p>
    <w:p/>
    <w:p>
      <w:pPr>
        <w:spacing w:line="240" w:lineRule="auto"/>
      </w:pPr>
      <w:r/>
      <w:r>
        <w:rPr>
          <w:b/>
        </w:rPr>
        <w:t>Acceptation des CGV</w:t>
      </w:r>
      <w:r/>
    </w:p>
    <w:p>
      <w:pPr>
        <w:spacing w:line="240" w:lineRule="auto"/>
      </w:pPr>
      <w:r>
        <w:t>☐ Lu et approuvé — Date : _________ — Nom / Signature Client : 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