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97D"/>
          <w:sz w:val="44"/>
        </w:rPr>
        <w:br/>
        <w:br/>
        <w:t>GUION – VIDEO TUTORIAL</w:t>
        <w:br/>
      </w:r>
      <w:r>
        <w:rPr>
          <w:b/>
          <w:i w:val="0"/>
          <w:color w:val="1F497D"/>
          <w:sz w:val="28"/>
        </w:rPr>
        <w:t>K-QGMIP: Extensión de k-particiones para GeoMIP y QNodes</w:t>
        <w:br/>
        <w:br/>
      </w:r>
      <w:r>
        <w:rPr>
          <w:b w:val="0"/>
          <w:i w:val="0"/>
          <w:sz w:val="22"/>
        </w:rPr>
        <w:t>Proyecto final · Análisis de Algoritmos</w:t>
        <w:br/>
      </w:r>
      <w:r>
        <w:rPr>
          <w:b w:val="0"/>
          <w:i w:val="0"/>
          <w:sz w:val="22"/>
        </w:rPr>
        <w:t>Universidad de Caldas · 2025</w:t>
        <w:br/>
        <w:br/>
      </w:r>
      <w:r>
        <w:rPr>
          <w:b/>
          <w:i w:val="0"/>
          <w:sz w:val="22"/>
        </w:rPr>
        <w:t xml:space="preserve">Presentadores: </w:t>
      </w:r>
      <w:r>
        <w:rPr>
          <w:b w:val="0"/>
          <w:i w:val="0"/>
          <w:sz w:val="22"/>
        </w:rPr>
        <w:t>Mateo Mejía (P1)  ·  Presentador 2 (P2)</w:t>
        <w:br/>
      </w:r>
      <w:r>
        <w:rPr>
          <w:b w:val="0"/>
          <w:i/>
          <w:color w:val="7F7F7F"/>
          <w:sz w:val="20"/>
        </w:rPr>
        <w:t>Duración estimada: ~5 minutos</w:t>
        <w:br/>
        <w:br/>
      </w:r>
      <w:r>
        <w:rPr>
          <w:b w:val="0"/>
          <w:i/>
          <w:color w:val="7F7F7F"/>
          <w:sz w:val="18"/>
        </w:rPr>
        <w:t>🟦 Presentador 1 (P1)    🟩 Presentador 2 (P2)    ⬜ Acción en pantalla</w:t>
      </w:r>
    </w:p>
    <w:p>
      <w:r>
        <w:br w:type="page"/>
      </w:r>
    </w:p>
    <w:p>
      <w:r>
        <w:rPr>
          <w:b/>
          <w:i w:val="0"/>
          <w:color w:val="1F497D"/>
          <w:sz w:val="24"/>
        </w:rPr>
        <w:t>INSTRUCCIONES DE USO DEL GUION</w:t>
        <w:br/>
      </w:r>
    </w:p>
    <w:p>
      <w:pPr>
        <w:pStyle w:val="ListBullet"/>
      </w:pPr>
      <w:r>
        <w:rPr>
          <w:b/>
          <w:i w:val="0"/>
          <w:sz w:val="18"/>
        </w:rPr>
        <w:t xml:space="preserve">Columna TIEMPO: </w:t>
      </w:r>
      <w:r>
        <w:rPr>
          <w:b w:val="0"/>
          <w:i w:val="0"/>
          <w:sz w:val="18"/>
        </w:rPr>
        <w:t>Marca el inicio aproximado de cada bloque en el video.</w:t>
      </w:r>
    </w:p>
    <w:p>
      <w:pPr>
        <w:pStyle w:val="ListBullet"/>
      </w:pPr>
      <w:r>
        <w:rPr>
          <w:b/>
          <w:i w:val="0"/>
          <w:sz w:val="18"/>
        </w:rPr>
        <w:t xml:space="preserve">Columna PRESENTADOR: </w:t>
      </w:r>
      <w:r>
        <w:rPr>
          <w:b w:val="0"/>
          <w:i w:val="0"/>
          <w:sz w:val="18"/>
        </w:rPr>
        <w:t>P1 = Mateo Mejía (azul). P2 = segundo presentador (verde). AMBOS indica que hablan juntos o que cualquiera puede leer.</w:t>
      </w:r>
    </w:p>
    <w:p>
      <w:pPr>
        <w:pStyle w:val="ListBullet"/>
      </w:pPr>
      <w:r>
        <w:rPr>
          <w:b/>
          <w:i w:val="0"/>
          <w:sz w:val="18"/>
        </w:rPr>
        <w:t xml:space="preserve">Columna DIÁLOGO: </w:t>
      </w:r>
      <w:r>
        <w:rPr>
          <w:b w:val="0"/>
          <w:i w:val="0"/>
          <w:sz w:val="18"/>
        </w:rPr>
        <w:t>Texto a decir en voz alta. Puede adaptarse con lenguaje natural; no leer palabra-por-palabra si no es necesario.</w:t>
      </w:r>
    </w:p>
    <w:p>
      <w:pPr>
        <w:pStyle w:val="ListBullet"/>
      </w:pPr>
      <w:r>
        <w:rPr>
          <w:b/>
          <w:i w:val="0"/>
          <w:sz w:val="18"/>
        </w:rPr>
        <w:t xml:space="preserve">Columna ACCIÓN EN PANTALLA: </w:t>
      </w:r>
      <w:r>
        <w:rPr>
          <w:b w:val="0"/>
          <w:i w:val="0"/>
          <w:sz w:val="18"/>
        </w:rPr>
        <w:t>Lo que debe verse en el proyector/pantalla en ese momento, con la ruta exacta del archivo o el comando a ejecutar.</w:t>
      </w:r>
    </w:p>
    <w:p>
      <w:pPr>
        <w:pStyle w:val="ListBullet"/>
      </w:pPr>
      <w:r>
        <w:rPr>
          <w:b/>
          <w:i w:val="0"/>
          <w:sz w:val="18"/>
        </w:rPr>
        <w:t xml:space="preserve">Transiciones: </w:t>
      </w:r>
      <w:r>
        <w:rPr>
          <w:b w:val="0"/>
          <w:i w:val="0"/>
          <w:sz w:val="18"/>
        </w:rPr>
        <w:t>Los bloques sombreados en azul claro indican el inicio de una nueva sección obligatoria del video.</w:t>
      </w:r>
    </w:p>
    <w:p/>
    <w:p>
      <w:r>
        <w:rPr>
          <w:b/>
          <w:i w:val="0"/>
          <w:color w:val="1F497D"/>
          <w:sz w:val="26"/>
        </w:rPr>
        <w:t>GUION COMPLETO</w:t>
      </w:r>
    </w:p>
    <w:tbl>
      <w:tblPr>
        <w:tblStyle w:val="TableGrid"/>
        <w:tblW w:type="auto" w:w="0"/>
        <w:jc w:val="center"/>
        <w:tblLook w:firstColumn="1" w:firstRow="1" w:lastColumn="0" w:lastRow="0" w:noHBand="0" w:noVBand="1" w:val="04A0"/>
      </w:tblPr>
      <w:tblGrid>
        <w:gridCol w:w="2340"/>
        <w:gridCol w:w="2340"/>
        <w:gridCol w:w="2340"/>
        <w:gridCol w:w="2340"/>
      </w:tblGrid>
      <w:tr>
        <w:tc>
          <w:tcPr>
            <w:tcW w:w="793" w:type="dxa"/>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color w:val="FFFFFF"/>
                <w:sz w:val="18"/>
              </w:rPr>
              <w:t>TIEMPO</w:t>
            </w:r>
          </w:p>
        </w:tc>
        <w:tc>
          <w:tcPr>
            <w:tcW w:w="1360" w:type="dxa"/>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PRESENTADOR</w:t>
            </w:r>
          </w:p>
        </w:tc>
        <w:tc>
          <w:tcPr>
            <w:tcW w:w="4819" w:type="dxa"/>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color w:val="FFFFFF"/>
                <w:sz w:val="18"/>
              </w:rPr>
              <w:t>DIÁLOGO</w:t>
            </w:r>
          </w:p>
        </w:tc>
        <w:tc>
          <w:tcPr>
            <w:tcW w:w="3685" w:type="dxa"/>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color w:val="FFFFFF"/>
                <w:sz w:val="18"/>
              </w:rPr>
              <w:t>ACCIÓN EN PANTALLA</w:t>
            </w:r>
          </w:p>
        </w:tc>
      </w:tr>
      <w:tr>
        <w:tc>
          <w:tcPr>
            <w:tcW w:w="3685" w:type="dxa"/>
            <w:gridSpan w:val="4"/>
            <w:shd w:val="clear" w:color="auto" w:fill="C5D9F1"/>
            <w:tcBorders>
              <w:top w:val="single" w:sz="4" w:space="0" w:color="4472C4"/>
              <w:left w:val="single" w:sz="4" w:space="0" w:color="4472C4"/>
              <w:bottom w:val="single" w:sz="4" w:space="0" w:color="4472C4"/>
              <w:right w:val="single" w:sz="4" w:space="0" w:color="4472C4"/>
            </w:tcBorders>
          </w:tcPr>
          <w:p>
            <w:pPr>
              <w:jc w:val="center"/>
            </w:pPr>
            <w:r>
              <w:rPr>
                <w:b/>
                <w:i w:val="0"/>
                <w:color w:val="1F497D"/>
                <w:sz w:val="20"/>
              </w:rPr>
              <w:t xml:space="preserve">◆ SECCIÓN 1: </w:t>
            </w:r>
            <w:r>
              <w:rPr>
                <w:b/>
                <w:i w:val="0"/>
                <w:color w:val="1F497D"/>
                <w:sz w:val="20"/>
              </w:rPr>
              <w:t>INTRODUCCIÓN — ¿Por qué k-particiones?</w:t>
            </w:r>
            <w:r>
              <w:rPr>
                <w:b w:val="0"/>
                <w:i/>
                <w:color w:val="7F7F7F"/>
                <w:sz w:val="18"/>
              </w:rPr>
              <w:t xml:space="preserve">  [Duración: 0:00 – 1:10]</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0:00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Buenos días. Soy Mateo Mejía. En este video les presentamos K-QGMIP: una extensión a k-particiones del problema de la Mínima Partición de Información, conocido como MIP.</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diapositiva de título o terminal con el repositorio abierto.</w:t>
              <w:br/>
              <w:t>Ruta: K-QGMIP_Final/</w:t>
            </w:r>
          </w:p>
        </w:tc>
      </w:tr>
      <w:tr>
        <w:tc>
          <w:tcPr>
            <w:tcW w:w="793"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sz w:val="18"/>
              </w:rPr>
              <w:t>0:15</w:t>
            </w:r>
          </w:p>
        </w:tc>
        <w:tc>
          <w:tcPr>
            <w:tcW w:w="1360"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i w:val="0"/>
                <w:color w:val="378648"/>
                <w:sz w:val="18"/>
              </w:rPr>
              <w:t>P2</w:t>
            </w:r>
          </w:p>
        </w:tc>
        <w:tc>
          <w:tcPr>
            <w:tcW w:w="4819" w:type="dxa"/>
            <w:shd w:val="clear" w:color="auto" w:fill="E2EFDA"/>
            <w:tcBorders>
              <w:top w:val="single" w:sz="4" w:space="0" w:color="CCCCCC"/>
              <w:left w:val="single" w:sz="4" w:space="0" w:color="CCCCCC"/>
              <w:bottom w:val="single" w:sz="4" w:space="0" w:color="CCCCCC"/>
              <w:right w:val="single" w:sz="4" w:space="0" w:color="CCCCCC"/>
            </w:tcBorders>
          </w:tcPr>
          <w:p>
            <w:r>
              <w:rPr>
                <w:b w:val="0"/>
                <w:i w:val="0"/>
                <w:sz w:val="18"/>
              </w:rPr>
              <w:t>Los algoritmos originales — GeoMIP y QNodes — solo evaluaban particiones binarias: dividir el sistema en exactamente dos partes. Nuestro trabajo generaliza eso a k ≥ 2 partes arbitrarias.</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abrir README o mostrar diagrama conceptual.</w:t>
              <w:br/>
              <w:t>Ruta: K-QGMIP_Final/README.md</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0:30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¿Por qué importa? La Tabla de Probabilidades de Transición — la TPM — describe cómo un sistema de n nodos evoluciona en el tiempo. Tiene 2ⁿ filas y n columnas: cada fila i es la probabilidad de que cada nodo esté ON en t+1, dado que el sistema estaba en el estado i en t.</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abrir un CSV de ejemplo en el editor.</w:t>
              <w:br/>
              <w:t>Ruta: K-QGMIP_Final/QNodes/src/.samples/N3D.csv</w:t>
              <w:br/>
              <w:t>(3 nodos → 8 filas × 3 columnas)</w:t>
            </w:r>
          </w:p>
        </w:tc>
      </w:tr>
      <w:tr>
        <w:tc>
          <w:tcPr>
            <w:tcW w:w="793"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sz w:val="18"/>
              </w:rPr>
              <w:t>0:50</w:t>
            </w:r>
          </w:p>
        </w:tc>
        <w:tc>
          <w:tcPr>
            <w:tcW w:w="1360"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i w:val="0"/>
                <w:color w:val="378648"/>
                <w:sz w:val="18"/>
              </w:rPr>
              <w:t>P2</w:t>
            </w:r>
          </w:p>
        </w:tc>
        <w:tc>
          <w:tcPr>
            <w:tcW w:w="4819" w:type="dxa"/>
            <w:shd w:val="clear" w:color="auto" w:fill="E2EFDA"/>
            <w:tcBorders>
              <w:top w:val="single" w:sz="4" w:space="0" w:color="CCCCCC"/>
              <w:left w:val="single" w:sz="4" w:space="0" w:color="CCCCCC"/>
              <w:bottom w:val="single" w:sz="4" w:space="0" w:color="CCCCCC"/>
              <w:right w:val="single" w:sz="4" w:space="0" w:color="CCCCCC"/>
            </w:tcBorders>
          </w:tcPr>
          <w:p>
            <w:r>
              <w:rPr>
                <w:b w:val="0"/>
                <w:i w:val="0"/>
                <w:sz w:val="18"/>
              </w:rPr>
              <w:t>El módulo A — System.kpartir() — enumera particiones usando la función de Stirling S(n,k), que crece exponencialmente. Los módulos B y C son nuestras dos estrategias heurísticas para encontrar la partición que minimiza la distancia EMD.</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mostrar estructura de carpetas.</w:t>
              <w:br/>
              <w:t>Ruta: K-QGMIP_Final/</w:t>
              <w:br/>
              <w:t xml:space="preserve">   ├── QNodes/        ← Módulo B (KQNodes Peeling Greedy)</w:t>
              <w:br/>
              <w:t xml:space="preserve">   ├── GeoMIP/        ← Módulo C (KGeometricSIA BFS/DP)</w:t>
              <w:br/>
              <w:t xml:space="preserve">   └── interfaz_kqmip.py</w:t>
            </w:r>
          </w:p>
        </w:tc>
      </w:tr>
      <w:tr>
        <w:tc>
          <w:tcPr>
            <w:tcW w:w="3685" w:type="dxa"/>
            <w:gridSpan w:val="4"/>
            <w:shd w:val="clear" w:color="auto" w:fill="C5D9F1"/>
            <w:tcBorders>
              <w:top w:val="single" w:sz="4" w:space="0" w:color="4472C4"/>
              <w:left w:val="single" w:sz="4" w:space="0" w:color="4472C4"/>
              <w:bottom w:val="single" w:sz="4" w:space="0" w:color="4472C4"/>
              <w:right w:val="single" w:sz="4" w:space="0" w:color="4472C4"/>
            </w:tcBorders>
          </w:tcPr>
          <w:p>
            <w:pPr>
              <w:jc w:val="center"/>
            </w:pPr>
            <w:r>
              <w:rPr>
                <w:b/>
                <w:i w:val="0"/>
                <w:color w:val="1F497D"/>
                <w:sz w:val="20"/>
              </w:rPr>
              <w:t xml:space="preserve">◆ SECCIÓN 2: </w:t>
            </w:r>
            <w:r>
              <w:rPr>
                <w:b/>
                <w:i w:val="0"/>
                <w:color w:val="1F497D"/>
                <w:sz w:val="20"/>
              </w:rPr>
              <w:t>DEMOSTRACIÓN TÉCNICA — interfaz_kqmip.py en vivo</w:t>
            </w:r>
            <w:r>
              <w:rPr>
                <w:b w:val="0"/>
                <w:i/>
                <w:color w:val="7F7F7F"/>
                <w:sz w:val="18"/>
              </w:rPr>
              <w:t xml:space="preserve">  [Duración: 1:10 – 2:30]</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1:10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Vamos a la demostración. Ejecutamos la interfaz unificada con el archivo N4D.csv: cuatro nodos, partición óptima conocida — dos pares independientes.</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abrir terminal en la raíz del proyecto.</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1:20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Escribimos: python interfaz_kqmip.py   (El presentador ejecuta el comando en vivo)</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EJECUTAR en terminal:</w:t>
              <w:br/>
              <w:t xml:space="preserve">  cd K-QGMIP_Final</w:t>
              <w:br/>
              <w:t xml:space="preserve">  python interfaz_kqmip.py</w:t>
              <w:br/>
              <w:t>Cuando pida el archivo → ingresar:</w:t>
              <w:br/>
              <w:t xml:space="preserve">  QNodes/src/.samples/N4D.csv</w:t>
              <w:br/>
              <w:t>Cuando pida k → ingresar: 2</w:t>
            </w:r>
          </w:p>
        </w:tc>
      </w:tr>
      <w:tr>
        <w:tc>
          <w:tcPr>
            <w:tcW w:w="793"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sz w:val="18"/>
              </w:rPr>
              <w:t>1:40</w:t>
            </w:r>
          </w:p>
        </w:tc>
        <w:tc>
          <w:tcPr>
            <w:tcW w:w="1360"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i w:val="0"/>
                <w:color w:val="378648"/>
                <w:sz w:val="18"/>
              </w:rPr>
              <w:t>P2</w:t>
            </w:r>
          </w:p>
        </w:tc>
        <w:tc>
          <w:tcPr>
            <w:tcW w:w="4819" w:type="dxa"/>
            <w:shd w:val="clear" w:color="auto" w:fill="E2EFDA"/>
            <w:tcBorders>
              <w:top w:val="single" w:sz="4" w:space="0" w:color="CCCCCC"/>
              <w:left w:val="single" w:sz="4" w:space="0" w:color="CCCCCC"/>
              <w:bottom w:val="single" w:sz="4" w:space="0" w:color="CCCCCC"/>
              <w:right w:val="single" w:sz="4" w:space="0" w:color="CCCCCC"/>
            </w:tcBorders>
          </w:tcPr>
          <w:p>
            <w:r>
              <w:rPr>
                <w:b w:val="0"/>
                <w:i w:val="0"/>
                <w:sz w:val="18"/>
              </w:rPr>
              <w:t>Mientras carga, explico lo que está ocurriendo internamente: el módulo B — KQNodes Peeling Greedy — calcula la marginalización de cada nodo, es decir, integra sobre los estados posibles del resto del sistema para aislar la distribución de ese nodo. Luego usa EMD para medir cuánta información se pierde al 'cortar' una conexión.</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salida del terminal mostrando las fases.</w:t>
              <w:br/>
              <w:t>FASE|4|...|KQNodes iniciando</w:t>
              <w:br/>
              <w:t>PASO|Marginalizando nodo 0...</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2:05</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El resultado aparece: la partición óptima para k=2 es { {0,1}, {2,3} } con EMD ≈ 0. Esto es exactamente lo esperado, porque N4D.csv fue diseñado con dos ciclos independientes. El EMD igual a cero significa integración nula entre las partes.</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resultado en terminal.</w:t>
              <w:br/>
              <w:t>RESULTADO|{"particion": [[0,1],[2,3]], "emd": 0.0, "estrategia": "KQNodes"}</w:t>
            </w:r>
          </w:p>
        </w:tc>
      </w:tr>
      <w:tr>
        <w:tc>
          <w:tcPr>
            <w:tcW w:w="3685" w:type="dxa"/>
            <w:gridSpan w:val="4"/>
            <w:shd w:val="clear" w:color="auto" w:fill="C5D9F1"/>
            <w:tcBorders>
              <w:top w:val="single" w:sz="4" w:space="0" w:color="4472C4"/>
              <w:left w:val="single" w:sz="4" w:space="0" w:color="4472C4"/>
              <w:bottom w:val="single" w:sz="4" w:space="0" w:color="4472C4"/>
              <w:right w:val="single" w:sz="4" w:space="0" w:color="4472C4"/>
            </w:tcBorders>
          </w:tcPr>
          <w:p>
            <w:pPr>
              <w:jc w:val="center"/>
            </w:pPr>
            <w:r>
              <w:rPr>
                <w:b/>
                <w:i w:val="0"/>
                <w:color w:val="1F497D"/>
                <w:sz w:val="20"/>
              </w:rPr>
              <w:t xml:space="preserve">◆ SECCIÓN 3: </w:t>
            </w:r>
            <w:r>
              <w:rPr>
                <w:b/>
                <w:i w:val="0"/>
                <w:color w:val="1F497D"/>
                <w:sz w:val="20"/>
              </w:rPr>
              <w:t>COMPARATIVA — KQNodes vs KGeometricSIA</w:t>
            </w:r>
            <w:r>
              <w:rPr>
                <w:b w:val="0"/>
                <w:i/>
                <w:color w:val="7F7F7F"/>
                <w:sz w:val="18"/>
              </w:rPr>
              <w:t xml:space="preserve">  [Duración: 2:30 – 3:45]</w:t>
            </w:r>
          </w:p>
        </w:tc>
      </w:tr>
      <w:tr>
        <w:tc>
          <w:tcPr>
            <w:tcW w:w="793"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sz w:val="18"/>
              </w:rPr>
              <w:t>2:30</w:t>
            </w:r>
          </w:p>
        </w:tc>
        <w:tc>
          <w:tcPr>
            <w:tcW w:w="1360"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i w:val="0"/>
                <w:color w:val="378648"/>
                <w:sz w:val="18"/>
              </w:rPr>
              <w:t>P2</w:t>
            </w:r>
          </w:p>
        </w:tc>
        <w:tc>
          <w:tcPr>
            <w:tcW w:w="4819" w:type="dxa"/>
            <w:shd w:val="clear" w:color="auto" w:fill="E2EFDA"/>
            <w:tcBorders>
              <w:top w:val="single" w:sz="4" w:space="0" w:color="CCCCCC"/>
              <w:left w:val="single" w:sz="4" w:space="0" w:color="CCCCCC"/>
              <w:bottom w:val="single" w:sz="4" w:space="0" w:color="CCCCCC"/>
              <w:right w:val="single" w:sz="4" w:space="0" w:color="CCCCCC"/>
            </w:tcBorders>
          </w:tcPr>
          <w:p>
            <w:r>
              <w:rPr>
                <w:b w:val="0"/>
                <w:i w:val="0"/>
                <w:sz w:val="18"/>
              </w:rPr>
              <w:t>Ahora comparamos las dos estrategias sobre el mismo archivo N4D.csv, pero seleccionando el módulo C: KGeometricSIA con búsqueda BFS/DP.</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volver a ejecutar interfaz_kqmip.py.</w:t>
              <w:br/>
              <w:t>Cuando pida estrategia → seleccionar: KGeometricSIA</w:t>
              <w:br/>
              <w:t>Archivo: QNodes/src/.samples/N4D.csv</w:t>
              <w:br/>
              <w:t>k = 2</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2:50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KGeometricSIA trabaja de manera diferente: modela las particiones como regiones geométricas en el espacio de estados, y usa programación dinámica para explorar las combinaciones más prometedoras. Es más lento pero más exhaustivo que el greedy de KQNodes.</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salida del terminal con KGeometricSIA.</w:t>
              <w:br/>
              <w:t>FASE|4|...|KGeometricSIA BFS iniciando</w:t>
            </w:r>
          </w:p>
        </w:tc>
      </w:tr>
      <w:tr>
        <w:tc>
          <w:tcPr>
            <w:tcW w:w="793"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sz w:val="18"/>
              </w:rPr>
              <w:t>3:10</w:t>
            </w:r>
          </w:p>
        </w:tc>
        <w:tc>
          <w:tcPr>
            <w:tcW w:w="1360"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i w:val="0"/>
                <w:color w:val="378648"/>
                <w:sz w:val="18"/>
              </w:rPr>
              <w:t>P2</w:t>
            </w:r>
          </w:p>
        </w:tc>
        <w:tc>
          <w:tcPr>
            <w:tcW w:w="4819" w:type="dxa"/>
            <w:shd w:val="clear" w:color="auto" w:fill="E2EFDA"/>
            <w:tcBorders>
              <w:top w:val="single" w:sz="4" w:space="0" w:color="CCCCCC"/>
              <w:left w:val="single" w:sz="4" w:space="0" w:color="CCCCCC"/>
              <w:bottom w:val="single" w:sz="4" w:space="0" w:color="CCCCCC"/>
              <w:right w:val="single" w:sz="4" w:space="0" w:color="CCCCCC"/>
            </w:tcBorders>
          </w:tcPr>
          <w:p>
            <w:r>
              <w:rPr>
                <w:b w:val="0"/>
                <w:i w:val="0"/>
                <w:sz w:val="18"/>
              </w:rPr>
              <w:t>Ambos módulos obtienen la misma partición { {0,1}, {2,3} } con EMD = 0. Esto valida la consistencia de la implementación. En sistemas más complejos — como N6B con seis nodos — las dos estrategias pueden diferir en tiempo y en la partición encontrada cuando no existe una solución perfecta.</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tabla comparativa en un bloc de notas o documento.</w:t>
              <w:br/>
              <w:t xml:space="preserve">  CSV     | K | KQNodes EMD | KGeomSIA EMD</w:t>
              <w:br/>
              <w:t xml:space="preserve">  N4D     | 2 |     0.0     |     0.0</w:t>
              <w:br/>
              <w:t xml:space="preserve">  N6B     | 2 |    ~0.0     |    ~0.0</w:t>
              <w:br/>
              <w:t xml:space="preserve">  N4F     | 2 |    &lt;0.5     |    &lt;0.5</w:t>
              <w:br/>
              <w:t>Rutas: K-QGMIP_Final/QNodes/src/.samples/</w:t>
              <w:br/>
              <w:t xml:space="preserve">       K-QGMIP_Final/GeoMIP/data/samples/</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3:30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La elección entre estrategias depende del tamaño del sistema: para n ≤ 4 KQNodes es suficiente; para n ≥ 5 KGeometricSIA puede encontrar mejores soluciones a costa de mayor tiempo de cómputo.</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mostrar el archivo de revisión de rendimiento.</w:t>
              <w:br/>
              <w:t>Ruta: K-QGMIP_Final/review/profiling/</w:t>
              <w:br/>
              <w:t>(señalar que los HTML vacíos corresponden a sistemas rápidos &lt; 50ms;</w:t>
              <w:br/>
              <w:t xml:space="preserve"> los reports de GeoMIP N15A sí están llenos por su mayor complejidad)</w:t>
            </w:r>
          </w:p>
        </w:tc>
      </w:tr>
      <w:tr>
        <w:tc>
          <w:tcPr>
            <w:tcW w:w="3685" w:type="dxa"/>
            <w:gridSpan w:val="4"/>
            <w:shd w:val="clear" w:color="auto" w:fill="C5D9F1"/>
            <w:tcBorders>
              <w:top w:val="single" w:sz="4" w:space="0" w:color="4472C4"/>
              <w:left w:val="single" w:sz="4" w:space="0" w:color="4472C4"/>
              <w:bottom w:val="single" w:sz="4" w:space="0" w:color="4472C4"/>
              <w:right w:val="single" w:sz="4" w:space="0" w:color="4472C4"/>
            </w:tcBorders>
          </w:tcPr>
          <w:p>
            <w:pPr>
              <w:jc w:val="center"/>
            </w:pPr>
            <w:r>
              <w:rPr>
                <w:b/>
                <w:i w:val="0"/>
                <w:color w:val="1F497D"/>
                <w:sz w:val="20"/>
              </w:rPr>
              <w:t xml:space="preserve">◆ SECCIÓN 4: </w:t>
            </w:r>
            <w:r>
              <w:rPr>
                <w:b/>
                <w:i w:val="0"/>
                <w:color w:val="1F497D"/>
                <w:sz w:val="20"/>
              </w:rPr>
              <w:t>CIERRE — Pruebas, conclusiones y referencias</w:t>
            </w:r>
            <w:r>
              <w:rPr>
                <w:b w:val="0"/>
                <w:i/>
                <w:color w:val="7F7F7F"/>
                <w:sz w:val="18"/>
              </w:rPr>
              <w:t xml:space="preserve">  [Duración: 3:45 – 5:00]</w:t>
            </w:r>
          </w:p>
        </w:tc>
      </w:tr>
      <w:tr>
        <w:tc>
          <w:tcPr>
            <w:tcW w:w="793"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sz w:val="18"/>
              </w:rPr>
              <w:t>3:45</w:t>
            </w:r>
          </w:p>
        </w:tc>
        <w:tc>
          <w:tcPr>
            <w:tcW w:w="1360"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i w:val="0"/>
                <w:color w:val="378648"/>
                <w:sz w:val="18"/>
              </w:rPr>
              <w:t>P2</w:t>
            </w:r>
          </w:p>
        </w:tc>
        <w:tc>
          <w:tcPr>
            <w:tcW w:w="4819" w:type="dxa"/>
            <w:shd w:val="clear" w:color="auto" w:fill="E2EFDA"/>
            <w:tcBorders>
              <w:top w:val="single" w:sz="4" w:space="0" w:color="CCCCCC"/>
              <w:left w:val="single" w:sz="4" w:space="0" w:color="CCCCCC"/>
              <w:bottom w:val="single" w:sz="4" w:space="0" w:color="CCCCCC"/>
              <w:right w:val="single" w:sz="4" w:space="0" w:color="CCCCCC"/>
            </w:tcBorders>
          </w:tcPr>
          <w:p>
            <w:r>
              <w:rPr>
                <w:b w:val="0"/>
                <w:i w:val="0"/>
                <w:sz w:val="18"/>
              </w:rPr>
              <w:t>Para garantizar la correctitud del proyecto, implementamos 16 pruebas unitarias que verifican cada módulo de forma independiente. Las ejecutamos ahora.</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EJECUTAR en terminal:</w:t>
              <w:br/>
              <w:t xml:space="preserve">  cd K-QGMIP_Final</w:t>
              <w:br/>
              <w:t xml:space="preserve">  python verificar_todo.py</w:t>
              <w:br/>
              <w:t>Esperar salida: 16 tests — PASSED</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4:00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Todas las pruebas pasan. Esto incluye: validación del formato de la TPM, corrección del cálculo de EMD, verificación de que las k-particiones sean mutuamente excluyentes y colectivamente exhaustivas, y pruebas de integración del flujo completo.</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salida de verificar_todo.py con todos los tests en verde.</w:t>
              <w:br/>
              <w:t>Ruta: K-QGMIP_Final/verificar_todo.py</w:t>
            </w:r>
          </w:p>
        </w:tc>
      </w:tr>
      <w:tr>
        <w:tc>
          <w:tcPr>
            <w:tcW w:w="793"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sz w:val="18"/>
              </w:rPr>
              <w:t>4:20</w:t>
            </w:r>
          </w:p>
        </w:tc>
        <w:tc>
          <w:tcPr>
            <w:tcW w:w="1360" w:type="dxa"/>
            <w:shd w:val="clear" w:color="auto" w:fill="E2EFDA"/>
            <w:tcBorders>
              <w:top w:val="single" w:sz="4" w:space="0" w:color="CCCCCC"/>
              <w:left w:val="single" w:sz="4" w:space="0" w:color="CCCCCC"/>
              <w:bottom w:val="single" w:sz="4" w:space="0" w:color="CCCCCC"/>
              <w:right w:val="single" w:sz="4" w:space="0" w:color="CCCCCC"/>
            </w:tcBorders>
          </w:tcPr>
          <w:p>
            <w:pPr>
              <w:jc w:val="center"/>
            </w:pPr>
            <w:r>
              <w:rPr>
                <w:b/>
                <w:i w:val="0"/>
                <w:color w:val="378648"/>
                <w:sz w:val="18"/>
              </w:rPr>
              <w:t>P2</w:t>
            </w:r>
          </w:p>
        </w:tc>
        <w:tc>
          <w:tcPr>
            <w:tcW w:w="4819" w:type="dxa"/>
            <w:shd w:val="clear" w:color="auto" w:fill="E2EFDA"/>
            <w:tcBorders>
              <w:top w:val="single" w:sz="4" w:space="0" w:color="CCCCCC"/>
              <w:left w:val="single" w:sz="4" w:space="0" w:color="CCCCCC"/>
              <w:bottom w:val="single" w:sz="4" w:space="0" w:color="CCCCCC"/>
              <w:right w:val="single" w:sz="4" w:space="0" w:color="CCCCCC"/>
            </w:tcBorders>
          </w:tcPr>
          <w:p>
            <w:r>
              <w:rPr>
                <w:b w:val="0"/>
                <w:i w:val="0"/>
                <w:sz w:val="18"/>
              </w:rPr>
              <w:t>A modo de conclusión: generalizamos GeoMIP y QNodes a k particiones arbitrarias, implementamos dos estrategias heurísticas con complejidades distintas, y provemos una interfaz unificada que permite al usuario seleccionar la estrategia y el número de particiones interactivamente.</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abrir Manual Técnico.</w:t>
              <w:br/>
              <w:t>Ruta: K-QGMIP_Final/docs/doc_biblioteca/docFinal/Manual_Tecnico_KQMIP.docx</w:t>
            </w:r>
          </w:p>
        </w:tc>
      </w:tr>
      <w:tr>
        <w:tc>
          <w:tcPr>
            <w:tcW w:w="793"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sz w:val="18"/>
              </w:rPr>
              <w:t>4:40</w:t>
            </w:r>
          </w:p>
        </w:tc>
        <w:tc>
          <w:tcPr>
            <w:tcW w:w="1360" w:type="dxa"/>
            <w:shd w:val="clear" w:color="auto" w:fill="D6E4F0"/>
            <w:tcBorders>
              <w:top w:val="single" w:sz="4" w:space="0" w:color="CCCCCC"/>
              <w:left w:val="single" w:sz="4" w:space="0" w:color="CCCCCC"/>
              <w:bottom w:val="single" w:sz="4" w:space="0" w:color="CCCCCC"/>
              <w:right w:val="single" w:sz="4" w:space="0" w:color="CCCCCC"/>
            </w:tcBorders>
          </w:tcPr>
          <w:p>
            <w:pPr>
              <w:jc w:val="center"/>
            </w:pPr>
            <w:r>
              <w:rPr>
                <w:b/>
                <w:i w:val="0"/>
                <w:color w:val="2E75B6"/>
                <w:sz w:val="18"/>
              </w:rPr>
              <w:t>P1</w:t>
            </w:r>
          </w:p>
        </w:tc>
        <w:tc>
          <w:tcPr>
            <w:tcW w:w="4819" w:type="dxa"/>
            <w:shd w:val="clear" w:color="auto" w:fill="D6E4F0"/>
            <w:tcBorders>
              <w:top w:val="single" w:sz="4" w:space="0" w:color="CCCCCC"/>
              <w:left w:val="single" w:sz="4" w:space="0" w:color="CCCCCC"/>
              <w:bottom w:val="single" w:sz="4" w:space="0" w:color="CCCCCC"/>
              <w:right w:val="single" w:sz="4" w:space="0" w:color="CCCCCC"/>
            </w:tcBorders>
          </w:tcPr>
          <w:p>
            <w:r>
              <w:rPr>
                <w:b w:val="0"/>
                <w:i w:val="0"/>
                <w:sz w:val="18"/>
              </w:rPr>
              <w:t>La documentación completa — incluyendo el Manual Técnico y el Manual de Usuario — está disponible en la carpeta docs/. El repositorio del proyecto y las referencias bibliográficas se encuentran en el archivo README.</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abrir README en el editor o mostrar el repositorio GitHub.</w:t>
              <w:br/>
              <w:t>Ruta: K-QGMIP_Final/README.md</w:t>
              <w:br/>
              <w:t>Repo: github.com/JuManoel/projecto-analisis-20261</w:t>
            </w:r>
          </w:p>
        </w:tc>
      </w:tr>
      <w:tr>
        <w:tc>
          <w:tcPr>
            <w:tcW w:w="793" w:type="dxa"/>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sz w:val="18"/>
              </w:rPr>
              <w:t>4:50</w:t>
            </w:r>
          </w:p>
        </w:tc>
        <w:tc>
          <w:tcPr>
            <w:tcW w:w="1360" w:type="dxa"/>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i w:val="0"/>
                <w:color w:val="1F497D"/>
                <w:sz w:val="18"/>
              </w:rPr>
              <w:t>AMBOS</w:t>
            </w:r>
          </w:p>
        </w:tc>
        <w:tc>
          <w:tcPr>
            <w:tcW w:w="4819" w:type="dxa"/>
            <w:shd w:val="clear" w:color="auto" w:fill="FFFFFF"/>
            <w:tcBorders>
              <w:top w:val="single" w:sz="4" w:space="0" w:color="CCCCCC"/>
              <w:left w:val="single" w:sz="4" w:space="0" w:color="CCCCCC"/>
              <w:bottom w:val="single" w:sz="4" w:space="0" w:color="CCCCCC"/>
              <w:right w:val="single" w:sz="4" w:space="0" w:color="CCCCCC"/>
            </w:tcBorders>
          </w:tcPr>
          <w:p>
            <w:r>
              <w:rPr>
                <w:b w:val="0"/>
                <w:i w:val="0"/>
                <w:sz w:val="18"/>
              </w:rPr>
              <w:t>Gracias por su atención. Quedamos disponibles para preguntas.</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t>Pantalla: diapositiva final o terminal con el repositorio.</w:t>
            </w:r>
          </w:p>
        </w:tc>
      </w:tr>
      <w:tr>
        <w:tc>
          <w:tcPr>
            <w:tcW w:w="793" w:type="dxa"/>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sz w:val="18"/>
              </w:rPr>
              <w:t>5:00</w:t>
            </w:r>
          </w:p>
        </w:tc>
        <w:tc>
          <w:tcPr>
            <w:tcW w:w="1360" w:type="dxa"/>
            <w:shd w:val="clear" w:color="auto" w:fill="FFFFFF"/>
            <w:tcBorders>
              <w:top w:val="single" w:sz="4" w:space="0" w:color="CCCCCC"/>
              <w:left w:val="single" w:sz="4" w:space="0" w:color="CCCCCC"/>
              <w:bottom w:val="single" w:sz="4" w:space="0" w:color="CCCCCC"/>
              <w:right w:val="single" w:sz="4" w:space="0" w:color="CCCCCC"/>
            </w:tcBorders>
          </w:tcPr>
          <w:p>
            <w:pPr>
              <w:jc w:val="center"/>
            </w:pPr>
            <w:r>
              <w:rPr>
                <w:b/>
                <w:i w:val="0"/>
                <w:color w:val="1F497D"/>
                <w:sz w:val="18"/>
              </w:rPr>
              <w:t>—</w:t>
            </w:r>
          </w:p>
        </w:tc>
        <w:tc>
          <w:tcPr>
            <w:tcW w:w="4819" w:type="dxa"/>
            <w:shd w:val="clear" w:color="auto" w:fill="FFFFFF"/>
            <w:tcBorders>
              <w:top w:val="single" w:sz="4" w:space="0" w:color="CCCCCC"/>
              <w:left w:val="single" w:sz="4" w:space="0" w:color="CCCCCC"/>
              <w:bottom w:val="single" w:sz="4" w:space="0" w:color="CCCCCC"/>
              <w:right w:val="single" w:sz="4" w:space="0" w:color="CCCCCC"/>
            </w:tcBorders>
          </w:tcPr>
          <w:p>
            <w:r>
              <w:rPr>
                <w:b w:val="0"/>
                <w:i w:val="0"/>
                <w:sz w:val="18"/>
              </w:rPr>
              <w:t>[FIN DEL VIDEO]</w:t>
            </w:r>
          </w:p>
        </w:tc>
        <w:tc>
          <w:tcPr>
            <w:tcW w:w="3685" w:type="dxa"/>
            <w:shd w:val="clear" w:color="auto" w:fill="F2F2F2"/>
            <w:tcBorders>
              <w:top w:val="single" w:sz="4" w:space="0" w:color="CCCCCC"/>
              <w:left w:val="single" w:sz="4" w:space="0" w:color="CCCCCC"/>
              <w:bottom w:val="single" w:sz="4" w:space="0" w:color="CCCCCC"/>
              <w:right w:val="single" w:sz="4" w:space="0" w:color="CCCCCC"/>
            </w:tcBorders>
          </w:tcPr>
          <w:p>
            <w:r>
              <w:rPr>
                <w:b w:val="0"/>
                <w:i/>
                <w:color w:val="7F7F7F"/>
                <w:sz w:val="16"/>
              </w:rPr>
            </w:r>
          </w:p>
        </w:tc>
      </w:tr>
    </w:tbl>
    <w:p>
      <w:r>
        <w:br w:type="page"/>
      </w:r>
    </w:p>
    <w:p>
      <w:r>
        <w:rPr>
          <w:b/>
          <w:i w:val="0"/>
          <w:color w:val="1F497D"/>
          <w:sz w:val="24"/>
        </w:rPr>
        <w:t>NOTAS PARA LOS PRESENTADORES</w:t>
        <w:br/>
      </w:r>
    </w:p>
    <w:p>
      <w:pPr>
        <w:pStyle w:val="ListBullet"/>
      </w:pPr>
      <w:r>
        <w:rPr>
          <w:b w:val="0"/>
          <w:i w:val="0"/>
          <w:sz w:val="18"/>
        </w:rPr>
        <w:t>Ensayen al menos una vez con la máquina real para verificar que todos los comandos ejecutan correctamente. Los CSVs de muestra deben estar en K-QGMIP_Final/QNodes/src/.samples/ y K-QGMIP_Final/GeoMIP/data/samples/.</w:t>
      </w:r>
    </w:p>
    <w:p>
      <w:pPr>
        <w:pStyle w:val="ListBullet"/>
      </w:pPr>
      <w:r>
        <w:rPr>
          <w:b w:val="0"/>
          <w:i w:val="0"/>
          <w:sz w:val="18"/>
        </w:rPr>
        <w:t>Si interfaz_kqmip.py tarda más de 30 segundos en un sistema grande, consideren usar N3A.csv (3 nodos) para la demostración en vivo y mencionar que N4D.csv se ejecutó antes del video para los resultados comparativos.</w:t>
      </w:r>
    </w:p>
    <w:p>
      <w:pPr>
        <w:pStyle w:val="ListBullet"/>
      </w:pPr>
      <w:r>
        <w:rPr>
          <w:b w:val="0"/>
          <w:i w:val="0"/>
          <w:sz w:val="18"/>
        </w:rPr>
        <w:t>El flujo de stdout estructurado (FASE|PASO|RESULTADO) está diseñado para ser legible en cámara. Amplíen el tamaño de fuente del terminal a 14pt mínimo.</w:t>
      </w:r>
    </w:p>
    <w:p>
      <w:pPr>
        <w:pStyle w:val="ListBullet"/>
      </w:pPr>
      <w:r>
        <w:rPr>
          <w:b w:val="0"/>
          <w:i w:val="0"/>
          <w:sz w:val="18"/>
        </w:rPr>
        <w:t>La explicación de marginalización (Sección 2, bloque de P2 en 1:40) es el punto conceptual más crítico para los criterios del profesor. No omitirla.</w:t>
      </w:r>
    </w:p>
    <w:p>
      <w:pPr>
        <w:pStyle w:val="ListBullet"/>
      </w:pPr>
      <w:r>
        <w:rPr>
          <w:b w:val="0"/>
          <w:i w:val="0"/>
          <w:sz w:val="18"/>
        </w:rPr>
        <w:t>Los perfiles HTML vacíos en review/profiling/ son normales para sistemas pequeños — menciónenlo solo si el profesor pregunta; no hace falta señalarlo proactivamente.</w:t>
      </w:r>
    </w:p>
    <w:p/>
    <w:p>
      <w:pPr>
        <w:jc w:val="center"/>
      </w:pPr>
      <w:r>
        <w:rPr>
          <w:b w:val="0"/>
          <w:i/>
          <w:color w:val="7F7F7F"/>
          <w:sz w:val="16"/>
        </w:rPr>
        <w:t>K-QGMIP · Guion Video Tutorial · Universidad de Caldas ·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