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4"/>
          <w:szCs w:val="44"/>
        </w:rPr>
        <w:t xml:space="preserve">Café LT Rewards — Analysis Reasoning Log</w:t>
      </w:r>
    </w:p>
    <w:p>
      <w:pPr>
        <w:spacing w:after="60" w:before="0"/>
        <w:jc w:val="center"/>
      </w:pPr>
      <w:r>
        <w:rPr>
          <w:rFonts w:ascii="Arial" w:cs="Arial" w:eastAsia="Arial" w:hAnsi="Arial"/>
          <w:color w:val="595959"/>
          <w:sz w:val="22"/>
          <w:szCs w:val="22"/>
        </w:rPr>
        <w:t xml:space="preserve">Candidate: Data Engineer Interview Take-Home</w:t>
      </w:r>
    </w:p>
    <w:p>
      <w:pPr>
        <w:spacing w:after="60" w:before="0"/>
        <w:jc w:val="center"/>
      </w:pPr>
      <w:r>
        <w:rPr>
          <w:rFonts w:ascii="Arial" w:cs="Arial" w:eastAsia="Arial" w:hAnsi="Arial"/>
          <w:color w:val="595959"/>
          <w:sz w:val="22"/>
          <w:szCs w:val="22"/>
        </w:rPr>
        <w:t xml:space="preserve">Type: Data Engineer Take-Home Analysis</w:t>
      </w:r>
    </w:p>
    <w:p>
      <w:pPr>
        <w:spacing w:after="400" w:before="0"/>
        <w:jc w:val="center"/>
      </w:pPr>
      <w:r>
        <w:rPr>
          <w:rFonts w:ascii="Arial" w:cs="Arial" w:eastAsia="Arial" w:hAnsi="Arial"/>
          <w:i/>
          <w:iCs/>
          <w:color w:val="595959"/>
          <w:sz w:val="20"/>
          <w:szCs w:val="20"/>
        </w:rPr>
        <w:t xml:space="preserve">Purpose: This document captures the step-by-step reasoning, data discovery, and analytical decisions made throughout the project — including assumptions, edge cases identified, and the logic behind every major choice.</w:t>
      </w:r>
    </w:p>
    <w:p>
      <w:pPr>
        <w:pStyle w:val="Heading1"/>
      </w:pPr>
      <w:r>
        <w:t xml:space="preserve">Executive Summary</w:t>
      </w:r>
    </w:p>
    <w:p>
      <w:pPr>
        <w:spacing w:after="120" w:before="0"/>
      </w:pPr>
      <w:r>
        <w:rPr>
          <w:rFonts w:ascii="Arial" w:cs="Arial" w:eastAsia="Arial" w:hAnsi="Arial"/>
          <w:sz w:val="24"/>
          <w:szCs w:val="24"/>
        </w:rPr>
        <w:t xml:space="preserve">This document captures the full reasoning trail for the Cafe LT Rewards loyalty program analysis. It was maintained throughout the project to document every data discovery, analytical decision, and engineering choice made along the way.</w:t>
      </w:r>
    </w:p>
    <w:p>
      <w:pPr>
        <w:pStyle w:val="Heading2"/>
      </w:pPr>
      <w:r>
        <w:t xml:space="preserve">What Was Built</w:t>
      </w:r>
    </w:p>
    <w:p>
      <w:pPr>
        <w:pStyle w:val="ListParagraph"/>
        <w:numPr>
          <w:ilvl w:val="0"/>
          <w:numId w:val="2"/>
        </w:numPr>
      </w:pPr>
      <w:r>
        <w:rPr>
          <w:rFonts w:ascii="Arial" w:cs="Arial" w:eastAsia="Arial" w:hAnsi="Arial"/>
          <w:sz w:val="24"/>
          <w:szCs w:val="24"/>
        </w:rPr>
        <w:t xml:space="preserve">Medallion architecture (Bronze/Silver/Gold) implemented in SQL across four source files and 11 scripts.</w:t>
      </w:r>
    </w:p>
    <w:p>
      <w:pPr>
        <w:pStyle w:val="ListParagraph"/>
        <w:numPr>
          <w:ilvl w:val="0"/>
          <w:numId w:val="2"/>
        </w:numPr>
      </w:pPr>
      <w:r>
        <w:rPr>
          <w:rFonts w:ascii="Arial" w:cs="Arial" w:eastAsia="Arial" w:hAnsi="Arial"/>
          <w:sz w:val="24"/>
          <w:szCs w:val="24"/>
        </w:rPr>
        <w:t xml:space="preserve">Bronze layer: Full profiling of all three source tables with documented findings and data quality issues.</w:t>
      </w:r>
    </w:p>
    <w:p>
      <w:pPr>
        <w:pStyle w:val="ListParagraph"/>
        <w:numPr>
          <w:ilvl w:val="0"/>
          <w:numId w:val="2"/>
        </w:numPr>
      </w:pPr>
      <w:r>
        <w:rPr>
          <w:rFonts w:ascii="Arial" w:cs="Arial" w:eastAsia="Arial" w:hAnsi="Arial"/>
          <w:sz w:val="24"/>
          <w:szCs w:val="24"/>
        </w:rPr>
        <w:t xml:space="preserve">Silver layer: Three cleaned views — silver_customers (14,825 valid records), silver_events (272,388 clean events with parsed value field), silver_offers (10 offers with channels parsed to boolean flags).</w:t>
      </w:r>
    </w:p>
    <w:p>
      <w:pPr>
        <w:pStyle w:val="ListParagraph"/>
        <w:numPr>
          <w:ilvl w:val="0"/>
          <w:numId w:val="2"/>
        </w:numPr>
      </w:pPr>
      <w:r>
        <w:rPr>
          <w:rFonts w:ascii="Arial" w:cs="Arial" w:eastAsia="Arial" w:hAnsi="Arial"/>
          <w:sz w:val="24"/>
          <w:szCs w:val="24"/>
        </w:rPr>
        <w:t xml:space="preserve">Gold layer: Four analytical models answering all five business questions.</w:t>
      </w:r>
    </w:p>
    <w:p>
      <w:pPr>
        <w:pStyle w:val="Heading2"/>
      </w:pPr>
      <w:r>
        <w:t xml:space="preserve">Key Analytical Decisions</w:t>
      </w:r>
    </w:p>
    <w:p>
      <w:pPr>
        <w:pStyle w:val="ListParagraph"/>
        <w:numPr>
          <w:ilvl w:val="0"/>
          <w:numId w:val="2"/>
        </w:numPr>
      </w:pPr>
      <w:r>
        <w:rPr>
          <w:rFonts w:ascii="Arial" w:cs="Arial" w:eastAsia="Arial" w:hAnsi="Arial"/>
          <w:sz w:val="24"/>
          <w:szCs w:val="24"/>
        </w:rPr>
        <w:t xml:space="preserve">Three-tier completion framework: Tier 1 (gross), Tier 2 (attributed per case definition), Tier 3 (truly effective — viewed + completed + transaction same timestamp). Tier 3 is the primary business metric.</w:t>
      </w:r>
    </w:p>
    <w:p>
      <w:pPr>
        <w:pStyle w:val="ListParagraph"/>
        <w:numPr>
          <w:ilvl w:val="0"/>
          <w:numId w:val="2"/>
        </w:numPr>
      </w:pPr>
      <w:r>
        <w:rPr>
          <w:rFonts w:ascii="Arial" w:cs="Arial" w:eastAsia="Arial" w:hAnsi="Arial"/>
          <w:sz w:val="24"/>
          <w:szCs w:val="24"/>
        </w:rPr>
        <w:t xml:space="preserve">2,175 invalid customer records excluded from all analysis — same records share age=118, null income, and null gender.</w:t>
      </w:r>
    </w:p>
    <w:p>
      <w:pPr>
        <w:pStyle w:val="ListParagraph"/>
        <w:numPr>
          <w:ilvl w:val="0"/>
          <w:numId w:val="2"/>
        </w:numPr>
      </w:pPr>
      <w:r>
        <w:rPr>
          <w:rFonts w:ascii="Arial" w:cs="Arial" w:eastAsia="Arial" w:hAnsi="Arial"/>
          <w:sz w:val="24"/>
          <w:szCs w:val="24"/>
        </w:rPr>
        <w:t xml:space="preserve">396 duplicate offer completed events deduplicated in Silver layer.</w:t>
      </w:r>
    </w:p>
    <w:p>
      <w:pPr>
        <w:pStyle w:val="ListParagraph"/>
        <w:numPr>
          <w:ilvl w:val="0"/>
          <w:numId w:val="2"/>
        </w:numPr>
      </w:pPr>
      <w:r>
        <w:rPr>
          <w:rFonts w:ascii="Arial" w:cs="Arial" w:eastAsia="Arial" w:hAnsi="Arial"/>
          <w:sz w:val="24"/>
          <w:szCs w:val="24"/>
        </w:rPr>
        <w:t xml:space="preserve">Duration windows enforced manually in all queries — not assumed to be pre-enforced in source data.</w:t>
      </w:r>
    </w:p>
    <w:p>
      <w:pPr>
        <w:pStyle w:val="ListParagraph"/>
        <w:numPr>
          <w:ilvl w:val="0"/>
          <w:numId w:val="2"/>
        </w:numPr>
      </w:pPr>
      <w:r>
        <w:rPr>
          <w:rFonts w:ascii="Arial" w:cs="Arial" w:eastAsia="Arial" w:hAnsi="Arial"/>
          <w:sz w:val="24"/>
          <w:szCs w:val="24"/>
        </w:rPr>
        <w:t xml:space="preserve">Informational offer success defined as a transaction occurring after viewing within the duration window. Correlation not causation.</w:t>
      </w:r>
    </w:p>
    <w:p>
      <w:pPr>
        <w:pStyle w:val="Heading2"/>
      </w:pPr>
      <w:r>
        <w:t xml:space="preserve">Key Findings</w:t>
      </w:r>
    </w:p>
    <w:p>
      <w:pPr>
        <w:pStyle w:val="ListParagraph"/>
        <w:numPr>
          <w:ilvl w:val="0"/>
          <w:numId w:val="2"/>
        </w:numPr>
      </w:pPr>
      <w:r>
        <w:rPr>
          <w:rFonts w:ascii="Arial" w:cs="Arial" w:eastAsia="Arial" w:hAnsi="Arial"/>
          <w:sz w:val="24"/>
          <w:szCs w:val="24"/>
        </w:rPr>
        <w:t xml:space="preserve">Best performing offer: discount, $10 difficulty, $2 reward, 10 day duration at 76.6% Tier 3 completion rate.</w:t>
      </w:r>
    </w:p>
    <w:p>
      <w:pPr>
        <w:pStyle w:val="ListParagraph"/>
        <w:numPr>
          <w:ilvl w:val="0"/>
          <w:numId w:val="2"/>
        </w:numPr>
      </w:pPr>
      <w:r>
        <w:rPr>
          <w:rFonts w:ascii="Arial" w:cs="Arial" w:eastAsia="Arial" w:hAnsi="Arial"/>
          <w:sz w:val="24"/>
          <w:szCs w:val="24"/>
        </w:rPr>
        <w:t xml:space="preserve">Duration is the biggest lever: extending from 7 to 10 days on an identical offer drives a 29 point improvement at zero cost.</w:t>
      </w:r>
    </w:p>
    <w:p>
      <w:pPr>
        <w:pStyle w:val="ListParagraph"/>
        <w:numPr>
          <w:ilvl w:val="0"/>
          <w:numId w:val="2"/>
        </w:numPr>
      </w:pPr>
      <w:r>
        <w:rPr>
          <w:rFonts w:ascii="Arial" w:cs="Arial" w:eastAsia="Arial" w:hAnsi="Arial"/>
          <w:sz w:val="24"/>
          <w:szCs w:val="24"/>
        </w:rPr>
        <w:t xml:space="preserve">Tier 1, 2, and 3 rates are nearly identical across all offers — completions are genuine behavioral responses not coincidental spending.</w:t>
      </w:r>
    </w:p>
    <w:p>
      <w:pPr>
        <w:pStyle w:val="ListParagraph"/>
        <w:numPr>
          <w:ilvl w:val="0"/>
          <w:numId w:val="2"/>
        </w:numPr>
      </w:pPr>
      <w:r>
        <w:rPr>
          <w:rFonts w:ascii="Arial" w:cs="Arial" w:eastAsia="Arial" w:hAnsi="Arial"/>
          <w:sz w:val="24"/>
          <w:szCs w:val="24"/>
        </w:rPr>
        <w:t xml:space="preserve">Social media drives 96.1% view rate for informational offers vs 74.6% for web-only delivery.</w:t>
      </w:r>
    </w:p>
    <w:p>
      <w:pPr>
        <w:pStyle w:val="ListParagraph"/>
        <w:numPr>
          <w:ilvl w:val="0"/>
          <w:numId w:val="2"/>
        </w:numPr>
      </w:pPr>
      <w:r>
        <w:rPr>
          <w:rFonts w:ascii="Arial" w:cs="Arial" w:eastAsia="Arial" w:hAnsi="Arial"/>
          <w:sz w:val="24"/>
          <w:szCs w:val="24"/>
        </w:rPr>
        <w:t xml:space="preserve">Higher income customers ($80k-$100k) complete offers at significantly higher rates — strongest segment for targeting.</w:t>
      </w:r>
    </w:p>
    <w:p>
      <w:pPr>
        <w:pStyle w:val="ListParagraph"/>
        <w:numPr>
          <w:ilvl w:val="0"/>
          <w:numId w:val="2"/>
        </w:numPr>
      </w:pPr>
      <w:r>
        <w:rPr>
          <w:rFonts w:ascii="Arial" w:cs="Arial" w:eastAsia="Arial" w:hAnsi="Arial"/>
          <w:sz w:val="24"/>
          <w:szCs w:val="24"/>
        </w:rPr>
        <w:t xml:space="preserve">Customer base skews older (45+) and male — unusual for a cafe loyalty program.</w:t>
      </w:r>
    </w:p>
    <w:p>
      <w:pPr>
        <w:spacing w:after="0" w:before="0"/>
      </w:pPr>
    </w:p>
    <w:p>
      <w:pPr>
        <w:pStyle w:val="Heading1"/>
      </w:pPr>
      <w:r>
        <w:t xml:space="preserve">1. Project Overview &amp; Goal</w:t>
      </w:r>
    </w:p>
    <w:p>
      <w:pPr>
        <w:spacing w:after="120" w:before="0"/>
      </w:pPr>
      <w:r>
        <w:rPr>
          <w:rFonts w:ascii="Arial" w:cs="Arial" w:eastAsia="Arial" w:hAnsi="Arial"/>
          <w:sz w:val="24"/>
          <w:szCs w:val="24"/>
        </w:rPr>
        <w:t xml:space="preserve">This analysis simulates 30 days of activity for the Café LT Rewards loyalty program. The dataset includes customer demographics, offer configurations, and a full event log of customer interactions with offers and purchases.</w:t>
      </w:r>
    </w:p>
    <w:p>
      <w:pPr>
        <w:pStyle w:val="Heading2"/>
      </w:pPr>
      <w:r>
        <w:t xml:space="preserve">1.1 What This Project Is Really Testing</w:t>
      </w:r>
    </w:p>
    <w:p>
      <w:pPr>
        <w:spacing w:after="80" w:before="0"/>
      </w:pPr>
      <w:r>
        <w:rPr>
          <w:rFonts w:ascii="Arial" w:cs="Arial" w:eastAsia="Arial" w:hAnsi="Arial"/>
          <w:sz w:val="24"/>
          <w:szCs w:val="24"/>
        </w:rPr>
        <w:t xml:space="preserve">On the surface, the deliverable is answers to five analysis questions. But the actual evaluation is whether the candidate can operate as a lead data engineer — owning the full pipeline from raw, messy data to a boardroom-ready story. That means demonstrating:</w:t>
      </w:r>
    </w:p>
    <w:p>
      <w:pPr>
        <w:pStyle w:val="ListParagraph"/>
        <w:numPr>
          <w:ilvl w:val="0"/>
          <w:numId w:val="2"/>
        </w:numPr>
      </w:pPr>
      <w:r>
        <w:rPr>
          <w:rFonts w:ascii="Arial" w:cs="Arial" w:eastAsia="Arial" w:hAnsi="Arial"/>
          <w:sz w:val="24"/>
          <w:szCs w:val="24"/>
        </w:rPr>
        <w:t xml:space="preserve">Engineering rigor: Identifying and intentionally handling data quality issues rather than ignoring them.</w:t>
      </w:r>
    </w:p>
    <w:p>
      <w:pPr>
        <w:pStyle w:val="ListParagraph"/>
        <w:numPr>
          <w:ilvl w:val="0"/>
          <w:numId w:val="2"/>
        </w:numPr>
      </w:pPr>
      <w:r>
        <w:rPr>
          <w:rFonts w:ascii="Arial" w:cs="Arial" w:eastAsia="Arial" w:hAnsi="Arial"/>
          <w:sz w:val="24"/>
          <w:szCs w:val="24"/>
        </w:rPr>
        <w:t xml:space="preserve">Analytical depth: Asking the harder questions beneath the surface questions.</w:t>
      </w:r>
    </w:p>
    <w:p>
      <w:pPr>
        <w:pStyle w:val="ListParagraph"/>
        <w:numPr>
          <w:ilvl w:val="0"/>
          <w:numId w:val="2"/>
        </w:numPr>
      </w:pPr>
      <w:r>
        <w:rPr>
          <w:rFonts w:ascii="Arial" w:cs="Arial" w:eastAsia="Arial" w:hAnsi="Arial"/>
          <w:sz w:val="24"/>
          <w:szCs w:val="24"/>
        </w:rPr>
        <w:t xml:space="preserve">Storytelling and delivery: Translating findings into recommendations a business owner would act on.</w:t>
      </w:r>
    </w:p>
    <w:p>
      <w:pPr>
        <w:pStyle w:val="ListParagraph"/>
        <w:numPr>
          <w:ilvl w:val="0"/>
          <w:numId w:val="2"/>
        </w:numPr>
      </w:pPr>
      <w:r>
        <w:rPr>
          <w:rFonts w:ascii="Arial" w:cs="Arial" w:eastAsia="Arial" w:hAnsi="Arial"/>
          <w:sz w:val="24"/>
          <w:szCs w:val="24"/>
        </w:rPr>
        <w:t xml:space="preserve">Documentation discipline: Leaving a clear trail of reasoning that future engineers can follow and trust.</w:t>
      </w:r>
    </w:p>
    <w:p>
      <w:pPr>
        <w:spacing w:after="0" w:before="0"/>
      </w:pPr>
    </w:p>
    <w:p>
      <w:pPr>
        <w:pStyle w:val="Heading1"/>
      </w:pPr>
      <w:r>
        <w:t xml:space="preserve">2. Dataset Summary</w:t>
      </w:r>
    </w:p>
    <w:p>
      <w:pPr>
        <w:pStyle w:val="Heading2"/>
      </w:pPr>
      <w:r>
        <w:t xml:space="preserve">2.1 Files and Tables</w:t>
      </w:r>
    </w:p>
    <w:p>
      <w:pPr>
        <w:pStyle w:val="ListParagraph"/>
        <w:numPr>
          <w:ilvl w:val="0"/>
          <w:numId w:val="2"/>
        </w:numPr>
      </w:pPr>
      <w:r>
        <w:rPr>
          <w:rFonts w:ascii="Arial" w:cs="Arial" w:eastAsia="Arial" w:hAnsi="Arial"/>
          <w:sz w:val="24"/>
          <w:szCs w:val="24"/>
        </w:rPr>
        <w:t xml:space="preserve">offers.xlsx — 10 offer records. Fields: offer_id, offer_type (bogo / discount / informational), difficulty (minimum spend to complete), reward (dollar value), duration (days to redeem), channels (marketing channels used).</w:t>
      </w:r>
    </w:p>
    <w:p>
      <w:pPr>
        <w:pStyle w:val="ListParagraph"/>
        <w:numPr>
          <w:ilvl w:val="0"/>
          <w:numId w:val="2"/>
        </w:numPr>
      </w:pPr>
      <w:r>
        <w:rPr>
          <w:rFonts w:ascii="Arial" w:cs="Arial" w:eastAsia="Arial" w:hAnsi="Arial"/>
          <w:sz w:val="24"/>
          <w:szCs w:val="24"/>
        </w:rPr>
        <w:t xml:space="preserve">events.xlsx — 306,534 event rows. Fields: customer_id, event (offer received / offer viewed / offer completed / transaction), value (JSON-like string containing offer_id and/or transaction amount), time (hours elapsed in the 30-day period).</w:t>
      </w:r>
    </w:p>
    <w:p>
      <w:pPr>
        <w:pStyle w:val="ListParagraph"/>
        <w:numPr>
          <w:ilvl w:val="0"/>
          <w:numId w:val="2"/>
        </w:numPr>
      </w:pPr>
      <w:r>
        <w:rPr>
          <w:rFonts w:ascii="Arial" w:cs="Arial" w:eastAsia="Arial" w:hAnsi="Arial"/>
          <w:sz w:val="24"/>
          <w:szCs w:val="24"/>
        </w:rPr>
        <w:t xml:space="preserve">customers.xlsx — 17,000 customer records. Fields: customer_id, became_member_on (yyyymmdd), gender (M/F/O), age, income.</w:t>
      </w:r>
    </w:p>
    <w:p>
      <w:pPr>
        <w:pStyle w:val="ListParagraph"/>
        <w:numPr>
          <w:ilvl w:val="0"/>
          <w:numId w:val="2"/>
        </w:numPr>
      </w:pPr>
      <w:r>
        <w:rPr>
          <w:rFonts w:ascii="Arial" w:cs="Arial" w:eastAsia="Arial" w:hAnsi="Arial"/>
          <w:sz w:val="24"/>
          <w:szCs w:val="24"/>
        </w:rPr>
        <w:t xml:space="preserve">data_dictionary.xlsx — Field-level descriptions for all three tables.</w:t>
      </w:r>
    </w:p>
    <w:p>
      <w:pPr>
        <w:pStyle w:val="Heading2"/>
      </w:pPr>
      <w:r>
        <w:t xml:space="preserve">2.2 Known Data Quality Issues</w:t>
      </w:r>
    </w:p>
    <w:p>
      <w:pPr>
        <w:spacing w:after="80" w:before="0"/>
      </w:pPr>
      <w:r>
        <w:rPr>
          <w:rFonts w:ascii="Arial" w:cs="Arial" w:eastAsia="Arial" w:hAnsi="Arial"/>
          <w:b/>
          <w:bCs/>
          <w:color w:val="C00000"/>
          <w:sz w:val="24"/>
          <w:szCs w:val="24"/>
        </w:rPr>
        <w:t xml:space="preserve">Issue #1 — Invalid Customer Records (Critical)</w:t>
      </w:r>
    </w:p>
    <w:p>
      <w:pPr>
        <w:pStyle w:val="ListParagraph"/>
        <w:numPr>
          <w:ilvl w:val="0"/>
          <w:numId w:val="2"/>
        </w:numPr>
      </w:pPr>
      <w:r>
        <w:rPr>
          <w:rFonts w:ascii="Arial" w:cs="Arial" w:eastAsia="Arial" w:hAnsi="Arial"/>
          <w:sz w:val="24"/>
          <w:szCs w:val="24"/>
        </w:rPr>
        <w:t xml:space="preserve">2,175 customer records have age = 118 and null income. These are clearly invalid — a sentinel value, not real data.</w:t>
      </w:r>
    </w:p>
    <w:p>
      <w:pPr>
        <w:pStyle w:val="ListParagraph"/>
        <w:numPr>
          <w:ilvl w:val="0"/>
          <w:numId w:val="2"/>
        </w:numPr>
      </w:pPr>
      <w:r>
        <w:rPr>
          <w:rFonts w:ascii="Arial" w:cs="Arial" w:eastAsia="Arial" w:hAnsi="Arial"/>
          <w:sz w:val="24"/>
          <w:szCs w:val="24"/>
        </w:rPr>
        <w:t xml:space="preserve">Decision: These records must be excluded from all demographic analyses. However, their events may still appear in the events table and must be handled carefully — they should not be silently included in offer completion counts.</w:t>
      </w:r>
    </w:p>
    <w:p>
      <w:pPr>
        <w:pStyle w:val="ListParagraph"/>
        <w:numPr>
          <w:ilvl w:val="0"/>
          <w:numId w:val="2"/>
        </w:numPr>
      </w:pPr>
      <w:r>
        <w:rPr>
          <w:rFonts w:ascii="Arial" w:cs="Arial" w:eastAsia="Arial" w:hAnsi="Arial"/>
          <w:sz w:val="24"/>
          <w:szCs w:val="24"/>
        </w:rPr>
        <w:t xml:space="preserve">Documentation requirement: Every query that touches customer data must explicitly filter or LEFT JOIN with awareness of these records, and include a comment explaining the exclusion logic.</w:t>
      </w:r>
    </w:p>
    <w:p>
      <w:pPr>
        <w:spacing w:after="80" w:before="120"/>
      </w:pPr>
      <w:r>
        <w:rPr>
          <w:rFonts w:ascii="Arial" w:cs="Arial" w:eastAsia="Arial" w:hAnsi="Arial"/>
          <w:b/>
          <w:bCs/>
          <w:color w:val="C00000"/>
          <w:sz w:val="24"/>
          <w:szCs w:val="24"/>
        </w:rPr>
        <w:t xml:space="preserve">Issue #2 — JSON-Like Value Field (Engineering Challenge)</w:t>
      </w:r>
    </w:p>
    <w:p>
      <w:pPr>
        <w:pStyle w:val="ListParagraph"/>
        <w:numPr>
          <w:ilvl w:val="0"/>
          <w:numId w:val="2"/>
        </w:numPr>
      </w:pPr>
      <w:r>
        <w:rPr>
          <w:rFonts w:ascii="Arial" w:cs="Arial" w:eastAsia="Arial" w:hAnsi="Arial"/>
          <w:sz w:val="24"/>
          <w:szCs w:val="24"/>
        </w:rPr>
        <w:t xml:space="preserve">The value field in events is stored as a JSON-like string, not a structured column. It contains different keys depending on event type:</w:t>
      </w:r>
    </w:p>
    <w:p>
      <w:pPr>
        <w:pStyle w:val="ListParagraph"/>
        <w:numPr>
          <w:ilvl w:val="0"/>
          <w:numId w:val="3"/>
        </w:numPr>
      </w:pPr>
      <w:r>
        <w:rPr>
          <w:rFonts w:ascii="Arial" w:cs="Arial" w:eastAsia="Arial" w:hAnsi="Arial"/>
          <w:i/>
          <w:iCs/>
          <w:sz w:val="24"/>
          <w:szCs w:val="24"/>
        </w:rPr>
        <w:t xml:space="preserve">offer received / viewed / completed: {'offer id': '&lt;uuid&gt;'}</w:t>
      </w:r>
    </w:p>
    <w:p>
      <w:pPr>
        <w:pStyle w:val="ListParagraph"/>
        <w:numPr>
          <w:ilvl w:val="0"/>
          <w:numId w:val="3"/>
        </w:numPr>
      </w:pPr>
      <w:r>
        <w:rPr>
          <w:rFonts w:ascii="Arial" w:cs="Arial" w:eastAsia="Arial" w:hAnsi="Arial"/>
          <w:i/>
          <w:iCs/>
          <w:sz w:val="24"/>
          <w:szCs w:val="24"/>
        </w:rPr>
        <w:t xml:space="preserve">transaction: {'amount': &lt;float&gt;}</w:t>
      </w:r>
    </w:p>
    <w:p>
      <w:pPr>
        <w:pStyle w:val="ListParagraph"/>
        <w:numPr>
          <w:ilvl w:val="0"/>
          <w:numId w:val="2"/>
        </w:numPr>
      </w:pPr>
      <w:r>
        <w:rPr>
          <w:rFonts w:ascii="Arial" w:cs="Arial" w:eastAsia="Arial" w:hAnsi="Arial"/>
          <w:sz w:val="24"/>
          <w:szCs w:val="24"/>
        </w:rPr>
        <w:t xml:space="preserve">Decision: Parsing must be done cleanly — ideally in a staging layer — before any analysis queries run. In Snowflake, this would use PARSE_JSON() and GET() or colon-path syntax.</w:t>
      </w:r>
    </w:p>
    <w:p>
      <w:pPr>
        <w:spacing w:after="0" w:before="0"/>
      </w:pPr>
    </w:p>
    <w:p>
      <w:pPr>
        <w:pStyle w:val="Heading1"/>
      </w:pPr>
      <w:r>
        <w:t xml:space="preserve">3. Understanding the Event Model</w:t>
      </w:r>
    </w:p>
    <w:p>
      <w:pPr>
        <w:pStyle w:val="Heading2"/>
      </w:pPr>
      <w:r>
        <w:t xml:space="preserve">3.1 The Four Event Types</w:t>
      </w:r>
    </w:p>
    <w:p>
      <w:pPr>
        <w:spacing w:after="100" w:before="0"/>
      </w:pPr>
      <w:r>
        <w:rPr>
          <w:rFonts w:ascii="Arial" w:cs="Arial" w:eastAsia="Arial" w:hAnsi="Arial"/>
          <w:sz w:val="24"/>
          <w:szCs w:val="24"/>
        </w:rPr>
        <w:t xml:space="preserve">The events table contains four distinct event types, each representing a different stage of customer behavior. It is critical to understand these as separate, independent rows — not a single combined record.</w:t>
      </w:r>
    </w:p>
    <w:p>
      <w:pPr>
        <w:pStyle w:val="ListParagraph"/>
        <w:numPr>
          <w:ilvl w:val="0"/>
          <w:numId w:val="2"/>
        </w:numPr>
      </w:pPr>
      <w:r>
        <w:rPr>
          <w:rFonts w:ascii="Arial" w:cs="Arial" w:eastAsia="Arial" w:hAnsi="Arial"/>
          <w:sz w:val="24"/>
          <w:szCs w:val="24"/>
        </w:rPr>
        <w:t xml:space="preserve">offer received — The system sent an offer to the customer. Does not mean the customer saw it.</w:t>
      </w:r>
    </w:p>
    <w:p>
      <w:pPr>
        <w:pStyle w:val="ListParagraph"/>
        <w:numPr>
          <w:ilvl w:val="0"/>
          <w:numId w:val="2"/>
        </w:numPr>
      </w:pPr>
      <w:r>
        <w:rPr>
          <w:rFonts w:ascii="Arial" w:cs="Arial" w:eastAsia="Arial" w:hAnsi="Arial"/>
          <w:sz w:val="24"/>
          <w:szCs w:val="24"/>
        </w:rPr>
        <w:t xml:space="preserve">offer viewed — The customer opened or viewed the offer. Does not mean they acted on it.</w:t>
      </w:r>
    </w:p>
    <w:p>
      <w:pPr>
        <w:pStyle w:val="ListParagraph"/>
        <w:numPr>
          <w:ilvl w:val="0"/>
          <w:numId w:val="2"/>
        </w:numPr>
      </w:pPr>
      <w:r>
        <w:rPr>
          <w:rFonts w:ascii="Arial" w:cs="Arial" w:eastAsia="Arial" w:hAnsi="Arial"/>
          <w:sz w:val="24"/>
          <w:szCs w:val="24"/>
        </w:rPr>
        <w:t xml:space="preserve">offer completed — The customer met the spending threshold (difficulty) for the offer. Logged as a separate row, with its own timestamp.</w:t>
      </w:r>
    </w:p>
    <w:p>
      <w:pPr>
        <w:pStyle w:val="ListParagraph"/>
        <w:numPr>
          <w:ilvl w:val="0"/>
          <w:numId w:val="2"/>
        </w:numPr>
      </w:pPr>
      <w:r>
        <w:rPr>
          <w:rFonts w:ascii="Arial" w:cs="Arial" w:eastAsia="Arial" w:hAnsi="Arial"/>
          <w:sz w:val="24"/>
          <w:szCs w:val="24"/>
        </w:rPr>
        <w:t xml:space="preserve">transaction — A purchase occurred. Can happen with or without any offer context. Contains the dollar amount in the value field, not an offer_id.</w:t>
      </w:r>
    </w:p>
    <w:p>
      <w:pPr>
        <w:pStyle w:val="Heading2"/>
      </w:pPr>
      <w:r>
        <w:t xml:space="preserve">3.2 Expected Event Sequence (BOGO / Discount Offers)</w:t>
      </w:r>
    </w:p>
    <w:p>
      <w:pPr>
        <w:spacing w:after="100" w:before="0"/>
      </w:pPr>
      <w:r>
        <w:rPr>
          <w:rFonts w:ascii="Arial" w:cs="Arial" w:eastAsia="Arial" w:hAnsi="Arial"/>
          <w:sz w:val="24"/>
          <w:szCs w:val="24"/>
        </w:rPr>
        <w:t xml:space="preserve">For a successful, fully-attributed offer redemption, the expected sequence is:</w:t>
      </w:r>
    </w:p>
    <w:p>
      <w:pPr>
        <w:pStyle w:val="ListParagraph"/>
        <w:numPr>
          <w:ilvl w:val="0"/>
          <w:numId w:val="2"/>
        </w:numPr>
      </w:pPr>
      <w:r>
        <w:rPr>
          <w:rFonts w:ascii="Arial" w:cs="Arial" w:eastAsia="Arial" w:hAnsi="Arial"/>
          <w:sz w:val="24"/>
          <w:szCs w:val="24"/>
        </w:rPr>
        <w:t xml:space="preserve">Step 1: offer received — Offer is delivered to the customer.</w:t>
      </w:r>
    </w:p>
    <w:p>
      <w:pPr>
        <w:pStyle w:val="ListParagraph"/>
        <w:numPr>
          <w:ilvl w:val="0"/>
          <w:numId w:val="2"/>
        </w:numPr>
      </w:pPr>
      <w:r>
        <w:rPr>
          <w:rFonts w:ascii="Arial" w:cs="Arial" w:eastAsia="Arial" w:hAnsi="Arial"/>
          <w:sz w:val="24"/>
          <w:szCs w:val="24"/>
        </w:rPr>
        <w:t xml:space="preserve">Step 2: offer viewed — Customer acknowledges the offer.</w:t>
      </w:r>
    </w:p>
    <w:p>
      <w:pPr>
        <w:pStyle w:val="ListParagraph"/>
        <w:numPr>
          <w:ilvl w:val="0"/>
          <w:numId w:val="2"/>
        </w:numPr>
      </w:pPr>
      <w:r>
        <w:rPr>
          <w:rFonts w:ascii="Arial" w:cs="Arial" w:eastAsia="Arial" w:hAnsi="Arial"/>
          <w:sz w:val="24"/>
          <w:szCs w:val="24"/>
        </w:rPr>
        <w:t xml:space="preserve">Step 3: offer completed + transaction (same timestamp) — Customer spends enough to fulfill the offer. Both events are logged at the same time value for the same customer_id.</w:t>
      </w:r>
    </w:p>
    <w:p>
      <w:pPr>
        <w:pStyle w:val="Heading2"/>
      </w:pPr>
      <w:r>
        <w:t xml:space="preserve">3.3 How Transaction Attribution Works</w:t>
      </w:r>
    </w:p>
    <w:p>
      <w:pPr>
        <w:spacing w:after="100" w:before="0"/>
      </w:pPr>
      <w:r>
        <w:rPr>
          <w:rFonts w:ascii="Arial" w:cs="Arial" w:eastAsia="Arial" w:hAnsi="Arial"/>
          <w:i/>
          <w:iCs/>
          <w:sz w:val="24"/>
          <w:szCs w:val="24"/>
        </w:rPr>
        <w:t xml:space="preserve">From the case description: "For a transaction to be attributed to an offer, it must occur at the same time as when the offer was 'completed' by the customer."</w:t>
      </w:r>
    </w:p>
    <w:p>
      <w:pPr>
        <w:spacing w:after="80" w:before="0"/>
      </w:pPr>
      <w:r>
        <w:rPr>
          <w:rFonts w:ascii="Arial" w:cs="Arial" w:eastAsia="Arial" w:hAnsi="Arial"/>
          <w:b/>
          <w:bCs/>
          <w:sz w:val="24"/>
          <w:szCs w:val="24"/>
        </w:rPr>
        <w:t xml:space="preserve">This means:</w:t>
      </w:r>
    </w:p>
    <w:p>
      <w:pPr>
        <w:pStyle w:val="ListParagraph"/>
        <w:numPr>
          <w:ilvl w:val="0"/>
          <w:numId w:val="2"/>
        </w:numPr>
      </w:pPr>
      <w:r>
        <w:rPr>
          <w:rFonts w:ascii="Arial" w:cs="Arial" w:eastAsia="Arial" w:hAnsi="Arial"/>
          <w:sz w:val="24"/>
          <w:szCs w:val="24"/>
        </w:rPr>
        <w:t xml:space="preserve">An offer completed event and a transaction event for the same customer_id at the same time value are considered the same economic event.</w:t>
      </w:r>
    </w:p>
    <w:p>
      <w:pPr>
        <w:pStyle w:val="ListParagraph"/>
        <w:numPr>
          <w:ilvl w:val="0"/>
          <w:numId w:val="2"/>
        </w:numPr>
      </w:pPr>
      <w:r>
        <w:rPr>
          <w:rFonts w:ascii="Arial" w:cs="Arial" w:eastAsia="Arial" w:hAnsi="Arial"/>
          <w:sz w:val="24"/>
          <w:szCs w:val="24"/>
        </w:rPr>
        <w:t xml:space="preserve">The offer completed row carries the offer_id. The transaction row carries the dollar amount. You need to join both to get the full picture of an attributed purchase.</w:t>
      </w:r>
    </w:p>
    <w:p>
      <w:pPr>
        <w:pStyle w:val="ListParagraph"/>
        <w:numPr>
          <w:ilvl w:val="0"/>
          <w:numId w:val="2"/>
        </w:numPr>
      </w:pPr>
      <w:r>
        <w:rPr>
          <w:rFonts w:ascii="Arial" w:cs="Arial" w:eastAsia="Arial" w:hAnsi="Arial"/>
          <w:sz w:val="24"/>
          <w:szCs w:val="24"/>
        </w:rPr>
        <w:t xml:space="preserve">Transactions that have no corresponding offer completed event at the same time are organic (unattributed) purchases.</w:t>
      </w:r>
    </w:p>
    <w:p>
      <w:pPr>
        <w:pStyle w:val="Heading2"/>
      </w:pPr>
      <w:r>
        <w:t xml:space="preserve">3.4 Critical Edge Case — Unviewed Completions</w:t>
      </w:r>
    </w:p>
    <w:p>
      <w:pPr>
        <w:spacing w:after="100" w:before="0"/>
      </w:pPr>
      <w:r>
        <w:rPr>
          <w:rFonts w:ascii="Arial" w:cs="Arial" w:eastAsia="Arial" w:hAnsi="Arial"/>
          <w:sz w:val="24"/>
          <w:szCs w:val="24"/>
        </w:rPr>
        <w:t xml:space="preserve">A customer may reach the spending threshold (triggering an offer completed event) without ever having viewed the offer. In this case:</w:t>
      </w:r>
    </w:p>
    <w:p>
      <w:pPr>
        <w:pStyle w:val="ListParagraph"/>
        <w:numPr>
          <w:ilvl w:val="0"/>
          <w:numId w:val="2"/>
        </w:numPr>
      </w:pPr>
      <w:r>
        <w:rPr>
          <w:rFonts w:ascii="Arial" w:cs="Arial" w:eastAsia="Arial" w:hAnsi="Arial"/>
          <w:sz w:val="24"/>
          <w:szCs w:val="24"/>
        </w:rPr>
        <w:t xml:space="preserve">The completion is technically real — the customer spent enough money.</w:t>
      </w:r>
    </w:p>
    <w:p>
      <w:pPr>
        <w:pStyle w:val="ListParagraph"/>
        <w:numPr>
          <w:ilvl w:val="0"/>
          <w:numId w:val="2"/>
        </w:numPr>
      </w:pPr>
      <w:r>
        <w:rPr>
          <w:rFonts w:ascii="Arial" w:cs="Arial" w:eastAsia="Arial" w:hAnsi="Arial"/>
          <w:sz w:val="24"/>
          <w:szCs w:val="24"/>
        </w:rPr>
        <w:t xml:space="preserve">But the offer did not influence the customer's behavior — they would have purchased anyway.</w:t>
      </w:r>
    </w:p>
    <w:p>
      <w:pPr>
        <w:pStyle w:val="ListParagraph"/>
        <w:numPr>
          <w:ilvl w:val="0"/>
          <w:numId w:val="2"/>
        </w:numPr>
      </w:pPr>
      <w:r>
        <w:rPr>
          <w:rFonts w:ascii="Arial" w:cs="Arial" w:eastAsia="Arial" w:hAnsi="Arial"/>
          <w:sz w:val="24"/>
          <w:szCs w:val="24"/>
        </w:rPr>
        <w:t xml:space="preserve">Counting these as successful offer redemptions overstates offer effectiveness.</w:t>
      </w:r>
    </w:p>
    <w:p>
      <w:pPr>
        <w:spacing w:after="80" w:before="100"/>
      </w:pPr>
      <w:r>
        <w:rPr>
          <w:rFonts w:ascii="Arial" w:cs="Arial" w:eastAsia="Arial" w:hAnsi="Arial"/>
          <w:b/>
          <w:bCs/>
          <w:sz w:val="24"/>
          <w:szCs w:val="24"/>
        </w:rPr>
        <w:t xml:space="preserve">Decision: When measuring true offer effectiveness, we will calculate two separate completion rate metrics:</w:t>
      </w:r>
    </w:p>
    <w:p>
      <w:pPr>
        <w:pStyle w:val="ListParagraph"/>
        <w:numPr>
          <w:ilvl w:val="0"/>
          <w:numId w:val="2"/>
        </w:numPr>
      </w:pPr>
      <w:r>
        <w:rPr>
          <w:rFonts w:ascii="Arial" w:cs="Arial" w:eastAsia="Arial" w:hAnsi="Arial"/>
          <w:sz w:val="24"/>
          <w:szCs w:val="24"/>
        </w:rPr>
        <w:t xml:space="preserve">Gross completion rate: completions / offers received (standard metric, may include unviewed completions).</w:t>
      </w:r>
    </w:p>
    <w:p>
      <w:pPr>
        <w:pStyle w:val="ListParagraph"/>
        <w:numPr>
          <w:ilvl w:val="0"/>
          <w:numId w:val="2"/>
        </w:numPr>
      </w:pPr>
      <w:r>
        <w:rPr>
          <w:rFonts w:ascii="Arial" w:cs="Arial" w:eastAsia="Arial" w:hAnsi="Arial"/>
          <w:sz w:val="24"/>
          <w:szCs w:val="24"/>
        </w:rPr>
        <w:t xml:space="preserve">Influenced completion rate: completions where offer was also viewed / offers received (true behavioral influence metric).</w:t>
      </w:r>
    </w:p>
    <w:p>
      <w:pPr>
        <w:pStyle w:val="Heading2"/>
      </w:pPr>
      <w:r>
        <w:t xml:space="preserve">3.5 Informational Offers — Special Handling</w:t>
      </w:r>
    </w:p>
    <w:p>
      <w:pPr>
        <w:spacing w:after="100" w:before="0"/>
      </w:pPr>
      <w:r>
        <w:rPr>
          <w:rFonts w:ascii="Arial" w:cs="Arial" w:eastAsia="Arial" w:hAnsi="Arial"/>
          <w:sz w:val="24"/>
          <w:szCs w:val="24"/>
        </w:rPr>
        <w:t xml:space="preserve">Informational offers have no difficulty (minimum spend) and no reward. They cannot be 'completed' in the traditional sense — there is no offer completed event for them in the data.</w:t>
      </w:r>
    </w:p>
    <w:p>
      <w:pPr>
        <w:spacing w:after="80" w:before="0"/>
      </w:pPr>
      <w:r>
        <w:rPr>
          <w:rFonts w:ascii="Arial" w:cs="Arial" w:eastAsia="Arial" w:hAnsi="Arial"/>
          <w:b/>
          <w:bCs/>
          <w:sz w:val="24"/>
          <w:szCs w:val="24"/>
        </w:rPr>
        <w:t xml:space="preserve">To measure whether an informational offer 'worked,' we define a proxy metric:</w:t>
      </w:r>
    </w:p>
    <w:p>
      <w:pPr>
        <w:pStyle w:val="ListParagraph"/>
        <w:numPr>
          <w:ilvl w:val="0"/>
          <w:numId w:val="2"/>
        </w:numPr>
      </w:pPr>
      <w:r>
        <w:rPr>
          <w:rFonts w:ascii="Arial" w:cs="Arial" w:eastAsia="Arial" w:hAnsi="Arial"/>
          <w:sz w:val="24"/>
          <w:szCs w:val="24"/>
        </w:rPr>
        <w:t xml:space="preserve">A transaction that occurs after an informational offer was viewed, within the offer's duration window, for the same customer_id, is considered an influenced transaction.</w:t>
      </w:r>
    </w:p>
    <w:p>
      <w:pPr>
        <w:pStyle w:val="ListParagraph"/>
        <w:numPr>
          <w:ilvl w:val="0"/>
          <w:numId w:val="2"/>
        </w:numPr>
      </w:pPr>
      <w:r>
        <w:rPr>
          <w:rFonts w:ascii="Arial" w:cs="Arial" w:eastAsia="Arial" w:hAnsi="Arial"/>
          <w:sz w:val="24"/>
          <w:szCs w:val="24"/>
        </w:rPr>
        <w:t xml:space="preserve">Note: This is correlation, not causation. We cannot prove the offer caused the purchase — but we can measure co-occurrence within the time window as a reasonable proxy.</w:t>
      </w:r>
    </w:p>
    <w:p>
      <w:pPr>
        <w:pStyle w:val="ListParagraph"/>
        <w:numPr>
          <w:ilvl w:val="0"/>
          <w:numId w:val="2"/>
        </w:numPr>
      </w:pPr>
      <w:r>
        <w:rPr>
          <w:rFonts w:ascii="Arial" w:cs="Arial" w:eastAsia="Arial" w:hAnsi="Arial"/>
          <w:sz w:val="24"/>
          <w:szCs w:val="24"/>
        </w:rPr>
        <w:t xml:space="preserve">If a customer received but never viewed the informational offer, any subsequent transaction should NOT be attributed to the offer.</w:t>
      </w:r>
    </w:p>
    <w:p>
      <w:pPr>
        <w:spacing w:after="0" w:before="0"/>
      </w:pPr>
    </w:p>
    <w:p>
      <w:pPr>
        <w:pStyle w:val="Heading1"/>
      </w:pPr>
      <w:r>
        <w:t xml:space="preserve">4. Analysis Questions &amp; Reasoning Plan</w:t>
      </w:r>
    </w:p>
    <w:p>
      <w:pPr>
        <w:pStyle w:val="Heading2"/>
      </w:pPr>
      <w:r>
        <w:t xml:space="preserve">4.1 How many reward offers were completed? Which had the highest completion rate?</w:t>
      </w:r>
    </w:p>
    <w:p>
      <w:pPr>
        <w:pStyle w:val="ListParagraph"/>
        <w:numPr>
          <w:ilvl w:val="0"/>
          <w:numId w:val="2"/>
        </w:numPr>
      </w:pPr>
      <w:r>
        <w:rPr>
          <w:rFonts w:ascii="Arial" w:cs="Arial" w:eastAsia="Arial" w:hAnsi="Arial"/>
          <w:sz w:val="24"/>
          <w:szCs w:val="24"/>
        </w:rPr>
        <w:t xml:space="preserve">Scope: Reward offers = bogo + discount only (informational offers have no completion mechanic).</w:t>
      </w:r>
    </w:p>
    <w:p>
      <w:pPr>
        <w:pStyle w:val="ListParagraph"/>
        <w:numPr>
          <w:ilvl w:val="0"/>
          <w:numId w:val="2"/>
        </w:numPr>
      </w:pPr>
      <w:r>
        <w:rPr>
          <w:rFonts w:ascii="Arial" w:cs="Arial" w:eastAsia="Arial" w:hAnsi="Arial"/>
          <w:sz w:val="24"/>
          <w:szCs w:val="24"/>
        </w:rPr>
        <w:t xml:space="preserve">Metric definition: Completion rate requires a denominator. We will use offers received as the denominator (not customers, not views).</w:t>
      </w:r>
    </w:p>
    <w:p>
      <w:pPr>
        <w:pStyle w:val="ListParagraph"/>
        <w:numPr>
          <w:ilvl w:val="0"/>
          <w:numId w:val="2"/>
        </w:numPr>
      </w:pPr>
      <w:r>
        <w:rPr>
          <w:rFonts w:ascii="Arial" w:cs="Arial" w:eastAsia="Arial" w:hAnsi="Arial"/>
          <w:sz w:val="24"/>
          <w:szCs w:val="24"/>
        </w:rPr>
        <w:t xml:space="preserve">We will report all three tiers of completion (see Three-Tier Framework below).</w:t>
      </w:r>
    </w:p>
    <w:p>
      <w:pPr>
        <w:pStyle w:val="ListParagraph"/>
        <w:numPr>
          <w:ilvl w:val="0"/>
          <w:numId w:val="2"/>
        </w:numPr>
      </w:pPr>
      <w:r>
        <w:rPr>
          <w:rFonts w:ascii="Arial" w:cs="Arial" w:eastAsia="Arial" w:hAnsi="Arial"/>
          <w:sz w:val="24"/>
          <w:szCs w:val="24"/>
        </w:rPr>
        <w:t xml:space="preserve">We will join to the offers table to include offer metadata (type, difficulty, reward, channels) alongside completion metrics.</w:t>
      </w:r>
    </w:p>
    <w:p>
      <w:pPr>
        <w:pStyle w:val="ListParagraph"/>
        <w:numPr>
          <w:ilvl w:val="0"/>
          <w:numId w:val="2"/>
        </w:numPr>
      </w:pPr>
      <w:r>
        <w:rPr>
          <w:rFonts w:ascii="Arial" w:cs="Arial" w:eastAsia="Arial" w:hAnsi="Arial"/>
          <w:sz w:val="24"/>
          <w:szCs w:val="24"/>
        </w:rPr>
        <w:t xml:space="preserve">Duration window enforcement: We will NOT assume the source data pre-enforces the offer duration window. Every completion event will be explicitly filtered to ensure it falls within (time of offer received) + (duration * 24 hours). This is defensive engineering practice — we treat this data as messy and undocumented, consistent with real-world source systems.</w:t>
      </w:r>
    </w:p>
    <w:p>
      <w:pPr>
        <w:pStyle w:val="Heading3"/>
      </w:pPr>
      <w:r>
        <w:t xml:space="preserve">Three-Tier Completion Framework</w:t>
      </w:r>
    </w:p>
    <w:p>
      <w:pPr>
        <w:spacing w:after="80" w:before="0"/>
      </w:pPr>
      <w:r>
        <w:rPr>
          <w:rFonts w:ascii="Arial" w:cs="Arial" w:eastAsia="Arial" w:hAnsi="Arial"/>
          <w:sz w:val="24"/>
          <w:szCs w:val="24"/>
        </w:rPr>
        <w:t xml:space="preserve">We report three tiers of completion for every reward offer. All three are surfaced so the data is available for any follow-up questions. The primary business metric is Tier 3.</w:t>
      </w:r>
    </w:p>
    <w:p>
      <w:pPr>
        <w:spacing w:after="40" w:before="120"/>
      </w:pPr>
      <w:r>
        <w:rPr>
          <w:rFonts w:ascii="Arial" w:cs="Arial" w:eastAsia="Arial" w:hAnsi="Arial"/>
          <w:b/>
          <w:bCs/>
          <w:color w:val="2E75B6"/>
          <w:sz w:val="24"/>
          <w:szCs w:val="24"/>
        </w:rPr>
        <w:t xml:space="preserve">Tier 1 — Gross Completions</w:t>
      </w:r>
    </w:p>
    <w:p>
      <w:pPr>
        <w:spacing w:after="80" w:before="0"/>
      </w:pPr>
      <w:r>
        <w:rPr>
          <w:rFonts w:ascii="Arial" w:cs="Arial" w:eastAsia="Arial" w:hAnsi="Arial"/>
          <w:i/>
          <w:iCs/>
          <w:sz w:val="24"/>
          <w:szCs w:val="24"/>
        </w:rPr>
        <w:t xml:space="preserve">A straight count of offer completed events in the events table. We do not have a clearly documented description of what this event truly represents in the source system, but we include it so all data is accounted for and we remain flexible if stakeholders later request this figure. This is the ceiling number — it will always be &gt;= Tier 2 &gt;= Tier 3.</w:t>
      </w:r>
    </w:p>
    <w:p>
      <w:pPr>
        <w:spacing w:after="40" w:before="120"/>
      </w:pPr>
      <w:r>
        <w:rPr>
          <w:rFonts w:ascii="Arial" w:cs="Arial" w:eastAsia="Arial" w:hAnsi="Arial"/>
          <w:b/>
          <w:bCs/>
          <w:color w:val="2E75B6"/>
          <w:sz w:val="24"/>
          <w:szCs w:val="24"/>
        </w:rPr>
        <w:t xml:space="preserve">Tier 2 — Attributed Completions (per Case Definition)</w:t>
      </w:r>
    </w:p>
    <w:p>
      <w:pPr>
        <w:spacing w:after="80" w:before="0"/>
      </w:pPr>
      <w:r>
        <w:rPr>
          <w:rFonts w:ascii="Arial" w:cs="Arial" w:eastAsia="Arial" w:hAnsi="Arial"/>
          <w:i/>
          <w:iCs/>
          <w:sz w:val="24"/>
          <w:szCs w:val="24"/>
        </w:rPr>
        <w:t xml:space="preserve">An offer completed event and a transaction event exist for the same customer_id at the same time value. This matches the case description's definition of attribution: 'For a transaction to be attributed to an offer, it must occur at the same time as when the offer was completed by the customer.' This tells us the offer was completed and is directly associated with a real purchase by that customer.</w:t>
      </w:r>
    </w:p>
    <w:p>
      <w:pPr>
        <w:spacing w:after="40" w:before="120"/>
      </w:pPr>
      <w:r>
        <w:rPr>
          <w:rFonts w:ascii="Arial" w:cs="Arial" w:eastAsia="Arial" w:hAnsi="Arial"/>
          <w:b/>
          <w:bCs/>
          <w:color w:val="2E75B6"/>
          <w:sz w:val="24"/>
          <w:szCs w:val="24"/>
        </w:rPr>
        <w:t xml:space="preserve">Tier 3 — Truly Effective (Primary Business Metric)</w:t>
      </w:r>
    </w:p>
    <w:p>
      <w:pPr>
        <w:spacing w:after="80" w:before="0"/>
      </w:pPr>
      <w:r>
        <w:rPr>
          <w:rFonts w:ascii="Arial" w:cs="Arial" w:eastAsia="Arial" w:hAnsi="Arial"/>
          <w:i/>
          <w:iCs/>
          <w:sz w:val="24"/>
          <w:szCs w:val="24"/>
        </w:rPr>
        <w:t xml:space="preserve">The customer viewed the offer, and then completed it, and a transaction exists at the same timestamp as the completion. This is the most defensible measure of offer effectiveness. For a completion at this tier NOT to be attributed to the offer, the customer would have had to view the offer, meet the spending threshold, and complete a transaction — all while the offer had no influence on their behavior. This tier is our primary recommendation metric.</w:t>
      </w:r>
    </w:p>
    <w:p>
      <w:pPr>
        <w:pStyle w:val="Heading2"/>
      </w:pPr>
      <w:r>
        <w:t xml:space="preserve">4.2 How many informational offers were followed by transactions?</w:t>
      </w:r>
    </w:p>
    <w:p>
      <w:pPr>
        <w:pStyle w:val="ListParagraph"/>
        <w:numPr>
          <w:ilvl w:val="0"/>
          <w:numId w:val="2"/>
        </w:numPr>
      </w:pPr>
      <w:r>
        <w:rPr>
          <w:rFonts w:ascii="Arial" w:cs="Arial" w:eastAsia="Arial" w:hAnsi="Arial"/>
          <w:sz w:val="24"/>
          <w:szCs w:val="24"/>
        </w:rPr>
        <w:t xml:space="preserve">Metric: Count of customers who viewed an informational offer and then made a transaction within the offer's duration window.</w:t>
      </w:r>
    </w:p>
    <w:p>
      <w:pPr>
        <w:pStyle w:val="ListParagraph"/>
        <w:numPr>
          <w:ilvl w:val="0"/>
          <w:numId w:val="2"/>
        </w:numPr>
      </w:pPr>
      <w:r>
        <w:rPr>
          <w:rFonts w:ascii="Arial" w:cs="Arial" w:eastAsia="Arial" w:hAnsi="Arial"/>
          <w:sz w:val="24"/>
          <w:szCs w:val="24"/>
        </w:rPr>
        <w:t xml:space="preserve">Tricky part: The duration for informational offers is short (3–4 days = 72–96 hours in the time column). We must apply a time window filter, not just look for any subsequent transaction.</w:t>
      </w:r>
    </w:p>
    <w:p>
      <w:pPr>
        <w:pStyle w:val="ListParagraph"/>
        <w:numPr>
          <w:ilvl w:val="0"/>
          <w:numId w:val="2"/>
        </w:numPr>
      </w:pPr>
      <w:r>
        <w:rPr>
          <w:rFonts w:ascii="Arial" w:cs="Arial" w:eastAsia="Arial" w:hAnsi="Arial"/>
          <w:sz w:val="24"/>
          <w:szCs w:val="24"/>
        </w:rPr>
        <w:t xml:space="preserve">We will not count transactions that occurred before the offer was viewed, even if they're within the same day.</w:t>
      </w:r>
    </w:p>
    <w:p>
      <w:pPr>
        <w:pStyle w:val="Heading2"/>
      </w:pPr>
      <w:r>
        <w:t xml:space="preserve">4.3 How are customer demographics distributed?</w:t>
      </w:r>
    </w:p>
    <w:p>
      <w:pPr>
        <w:pStyle w:val="ListParagraph"/>
        <w:numPr>
          <w:ilvl w:val="0"/>
          <w:numId w:val="2"/>
        </w:numPr>
      </w:pPr>
      <w:r>
        <w:rPr>
          <w:rFonts w:ascii="Arial" w:cs="Arial" w:eastAsia="Arial" w:hAnsi="Arial"/>
          <w:sz w:val="24"/>
          <w:szCs w:val="24"/>
        </w:rPr>
        <w:t xml:space="preserve">Dimensions: gender, age (bucketed into cohorts), income (bucketed into brackets), membership tenure (derived from became_member_on).</w:t>
      </w:r>
    </w:p>
    <w:p>
      <w:pPr>
        <w:pStyle w:val="ListParagraph"/>
        <w:numPr>
          <w:ilvl w:val="0"/>
          <w:numId w:val="2"/>
        </w:numPr>
      </w:pPr>
      <w:r>
        <w:rPr>
          <w:rFonts w:ascii="Arial" w:cs="Arial" w:eastAsia="Arial" w:hAnsi="Arial"/>
          <w:sz w:val="24"/>
          <w:szCs w:val="24"/>
        </w:rPr>
        <w:t xml:space="preserve">All invalid records (age = 118, null income) are excluded from this analysis with explicit documentation.</w:t>
      </w:r>
    </w:p>
    <w:p>
      <w:pPr>
        <w:pStyle w:val="ListParagraph"/>
        <w:numPr>
          <w:ilvl w:val="0"/>
          <w:numId w:val="2"/>
        </w:numPr>
      </w:pPr>
      <w:r>
        <w:rPr>
          <w:rFonts w:ascii="Arial" w:cs="Arial" w:eastAsia="Arial" w:hAnsi="Arial"/>
          <w:sz w:val="24"/>
          <w:szCs w:val="24"/>
        </w:rPr>
        <w:t xml:space="preserve">We will note the exclusion count (2,175) in the output so stakeholders understand the effective sample size.</w:t>
      </w:r>
    </w:p>
    <w:p>
      <w:pPr>
        <w:pStyle w:val="Heading2"/>
      </w:pPr>
      <w:r>
        <w:t xml:space="preserve">4.4 Are there demographic patterns in offer completion?</w:t>
      </w:r>
    </w:p>
    <w:p>
      <w:pPr>
        <w:pStyle w:val="ListParagraph"/>
        <w:numPr>
          <w:ilvl w:val="0"/>
          <w:numId w:val="2"/>
        </w:numPr>
      </w:pPr>
      <w:r>
        <w:rPr>
          <w:rFonts w:ascii="Arial" w:cs="Arial" w:eastAsia="Arial" w:hAnsi="Arial"/>
          <w:sz w:val="24"/>
          <w:szCs w:val="24"/>
        </w:rPr>
        <w:t xml:space="preserve">This requires joining events → customers → offers — a three-table join that must be done carefully to avoid fan-out or double counting.</w:t>
      </w:r>
    </w:p>
    <w:p>
      <w:pPr>
        <w:pStyle w:val="ListParagraph"/>
        <w:numPr>
          <w:ilvl w:val="0"/>
          <w:numId w:val="2"/>
        </w:numPr>
      </w:pPr>
      <w:r>
        <w:rPr>
          <w:rFonts w:ascii="Arial" w:cs="Arial" w:eastAsia="Arial" w:hAnsi="Arial"/>
          <w:sz w:val="24"/>
          <w:szCs w:val="24"/>
        </w:rPr>
        <w:t xml:space="preserve">We will look at completion rates by gender, age cohort, and income bracket.</w:t>
      </w:r>
    </w:p>
    <w:p>
      <w:pPr>
        <w:pStyle w:val="ListParagraph"/>
        <w:numPr>
          <w:ilvl w:val="0"/>
          <w:numId w:val="2"/>
        </w:numPr>
      </w:pPr>
      <w:r>
        <w:rPr>
          <w:rFonts w:ascii="Arial" w:cs="Arial" w:eastAsia="Arial" w:hAnsi="Arial"/>
          <w:sz w:val="24"/>
          <w:szCs w:val="24"/>
        </w:rPr>
        <w:t xml:space="preserve">We will also look at which offer types resonate with which demographic segments.</w:t>
      </w:r>
    </w:p>
    <w:p>
      <w:pPr>
        <w:pStyle w:val="Heading2"/>
      </w:pPr>
      <w:r>
        <w:t xml:space="preserve">4.5 As the café owner, what are your takeaways?</w:t>
      </w:r>
    </w:p>
    <w:p>
      <w:pPr>
        <w:pStyle w:val="ListParagraph"/>
        <w:numPr>
          <w:ilvl w:val="0"/>
          <w:numId w:val="2"/>
        </w:numPr>
      </w:pPr>
      <w:r>
        <w:rPr>
          <w:rFonts w:ascii="Arial" w:cs="Arial" w:eastAsia="Arial" w:hAnsi="Arial"/>
          <w:sz w:val="24"/>
          <w:szCs w:val="24"/>
        </w:rPr>
        <w:t xml:space="preserve">This section requires translating data findings into business decisions with a clear point of view.</w:t>
      </w:r>
    </w:p>
    <w:p>
      <w:pPr>
        <w:pStyle w:val="ListParagraph"/>
        <w:numPr>
          <w:ilvl w:val="0"/>
          <w:numId w:val="2"/>
        </w:numPr>
      </w:pPr>
      <w:r>
        <w:rPr>
          <w:rFonts w:ascii="Arial" w:cs="Arial" w:eastAsia="Arial" w:hAnsi="Arial"/>
          <w:sz w:val="24"/>
          <w:szCs w:val="24"/>
        </w:rPr>
        <w:t xml:space="preserve">We will identify: which offers to keep, which to retire, which customer segments are underserved, and what the channel data tells us about where to invest.</w:t>
      </w:r>
    </w:p>
    <w:p>
      <w:pPr>
        <w:pStyle w:val="ListParagraph"/>
        <w:numPr>
          <w:ilvl w:val="0"/>
          <w:numId w:val="2"/>
        </w:numPr>
      </w:pPr>
      <w:r>
        <w:rPr>
          <w:rFonts w:ascii="Arial" w:cs="Arial" w:eastAsia="Arial" w:hAnsi="Arial"/>
          <w:sz w:val="24"/>
          <w:szCs w:val="24"/>
        </w:rPr>
        <w:t xml:space="preserve">Recommendations will be specific and actionable — not generic observations.</w:t>
      </w:r>
    </w:p>
    <w:p>
      <w:pPr>
        <w:spacing w:after="0" w:before="0"/>
      </w:pPr>
    </w:p>
    <w:p>
      <w:pPr>
        <w:pStyle w:val="Heading1"/>
      </w:pPr>
      <w:r>
        <w:t xml:space="preserve">5. Ongoing Decision Log</w:t>
      </w:r>
    </w:p>
    <w:p>
      <w:pPr>
        <w:spacing w:after="120" w:before="0"/>
      </w:pPr>
      <w:r>
        <w:rPr>
          <w:rFonts w:ascii="Arial" w:cs="Arial" w:eastAsia="Arial" w:hAnsi="Arial"/>
          <w:i/>
          <w:iCs/>
          <w:sz w:val="24"/>
          <w:szCs w:val="24"/>
        </w:rPr>
        <w:t xml:space="preserve">This section will be updated throughout the project as new decisions are made. Each entry captures what was decided, why, and what the alternative was.</w:t>
      </w:r>
    </w:p>
    <w:p>
      <w:pPr>
        <w:pStyle w:val="ListParagraph"/>
        <w:numPr>
          <w:ilvl w:val="0"/>
          <w:numId w:val="2"/>
        </w:numPr>
      </w:pPr>
      <w:r>
        <w:rPr>
          <w:rFonts w:ascii="Arial" w:cs="Arial" w:eastAsia="Arial" w:hAnsi="Arial"/>
          <w:sz w:val="24"/>
          <w:szCs w:val="24"/>
        </w:rPr>
        <w:t xml:space="preserve">Decision 001: Exclude age=118 / null income records from demographic analysis. Rationale: These are sentinel/invalid values with no analytical meaning. Alternative considered: Imputation — rejected because we have no basis for imputing age or income from other fields.</w:t>
      </w:r>
    </w:p>
    <w:p>
      <w:pPr>
        <w:pStyle w:val="ListParagraph"/>
        <w:numPr>
          <w:ilvl w:val="0"/>
          <w:numId w:val="2"/>
        </w:numPr>
      </w:pPr>
      <w:r>
        <w:rPr>
          <w:rFonts w:ascii="Arial" w:cs="Arial" w:eastAsia="Arial" w:hAnsi="Arial"/>
          <w:sz w:val="24"/>
          <w:szCs w:val="24"/>
        </w:rPr>
        <w:t xml:space="preserve">Decision 002: Report all three completion tiers rather than a single metric. Rationale: Surfacing all three ensures no data is hidden and stakeholders can interrogate the numbers at any level of strictness. The primary business metric is Tier 3 (truly effective). Alternative considered: Report only Tier 3 — rejected because it removes data that could be useful in follow-up questions.</w:t>
      </w:r>
    </w:p>
    <w:p>
      <w:pPr>
        <w:pStyle w:val="ListParagraph"/>
        <w:numPr>
          <w:ilvl w:val="0"/>
          <w:numId w:val="2"/>
        </w:numPr>
      </w:pPr>
      <w:r>
        <w:rPr>
          <w:rFonts w:ascii="Arial" w:cs="Arial" w:eastAsia="Arial" w:hAnsi="Arial"/>
          <w:sz w:val="24"/>
          <w:szCs w:val="24"/>
        </w:rPr>
        <w:t xml:space="preserve">Decision 003: Define informational offer success as a transaction occurring after the offer was viewed, within the offer duration window. Rationale: No completion event exists for informational offers; a time-windowed transaction is the closest available proxy. Limitation: This is correlation not causation.</w:t>
      </w:r>
    </w:p>
    <w:p>
      <w:pPr>
        <w:pStyle w:val="ListParagraph"/>
        <w:numPr>
          <w:ilvl w:val="0"/>
          <w:numId w:val="2"/>
        </w:numPr>
      </w:pPr>
      <w:r>
        <w:rPr>
          <w:rFonts w:ascii="Arial" w:cs="Arial" w:eastAsia="Arial" w:hAnsi="Arial"/>
          <w:sz w:val="24"/>
          <w:szCs w:val="24"/>
        </w:rPr>
        <w:t xml:space="preserve">Decision 004: Do not trust the source data to pre-enforce offer duration windows. Rationale: This dataset is described as messy and loosely documented, simulating real-world source systems. We explicitly calculate and enforce the window ourselves in SQL. This is a defensive engineering practice and will be documented in every relevant query.</w:t>
      </w:r>
    </w:p>
    <w:p>
      <w:pPr>
        <w:pStyle w:val="ListParagraph"/>
        <w:numPr>
          <w:ilvl w:val="0"/>
          <w:numId w:val="2"/>
        </w:numPr>
      </w:pPr>
      <w:r>
        <w:rPr>
          <w:rFonts w:ascii="Arial" w:cs="Arial" w:eastAsia="Arial" w:hAnsi="Arial"/>
          <w:sz w:val="24"/>
          <w:szCs w:val="24"/>
        </w:rPr>
        <w:t xml:space="preserve">Decision 005: Parse the value field in the events table in a staging layer before any analysis queries run. Rationale: The value field is a JSON-like string with different keys per event type. Parsing it inline in every query is error-prone and hard to maintain. A clean staging model isolates that complexity in one place.</w:t>
      </w:r>
    </w:p>
    <w:p>
      <w:pPr>
        <w:pStyle w:val="ListParagraph"/>
        <w:numPr>
          <w:ilvl w:val="0"/>
          <w:numId w:val="2"/>
        </w:numPr>
      </w:pPr>
      <w:r>
        <w:rPr>
          <w:rFonts w:ascii="Arial" w:cs="Arial" w:eastAsia="Arial" w:hAnsi="Arial"/>
          <w:sz w:val="24"/>
          <w:szCs w:val="24"/>
        </w:rPr>
        <w:t xml:space="preserve">Decision 006: Use DuckDB locally instead of Snowflake trial for query execution. Rationale: Snowflake trial requires credit card and setup time not available given the 2-day deadline. DuckDB syntax is nearly identical to Snowflake. All DuckDB-specific syntax is documented inline with Snowflake equivalents so SQL files serve as valid Snowflake documentation. Alternative considered: Snowflake trial — rejected due to time constraints.</w:t>
      </w:r>
    </w:p>
    <w:p>
      <w:pPr>
        <w:pStyle w:val="ListParagraph"/>
        <w:numPr>
          <w:ilvl w:val="0"/>
          <w:numId w:val="2"/>
        </w:numPr>
      </w:pPr>
      <w:r>
        <w:rPr>
          <w:rFonts w:ascii="Arial" w:cs="Arial" w:eastAsia="Arial" w:hAnsi="Arial"/>
          <w:sz w:val="24"/>
          <w:szCs w:val="24"/>
        </w:rPr>
        <w:t xml:space="preserve">Decision 007: Implement medallion architecture (Bronze/Silver/Gold) for SQL layer organization. Rationale: Avoids redundant cleaning logic across queries, provides a single source of truth for each transformation, and makes new Gold layer questions easy to add without rebuilding from scratch. Bronze = raw source data. Silver = cleaned and standardized. Gold = analytical models answering business questions.</w:t>
      </w:r>
    </w:p>
    <w:p>
      <w:pPr>
        <w:pStyle w:val="ListParagraph"/>
        <w:numPr>
          <w:ilvl w:val="0"/>
          <w:numId w:val="2"/>
        </w:numPr>
      </w:pPr>
      <w:r>
        <w:rPr>
          <w:rFonts w:ascii="Arial" w:cs="Arial" w:eastAsia="Arial" w:hAnsi="Arial"/>
          <w:sz w:val="24"/>
          <w:szCs w:val="24"/>
        </w:rPr>
        <w:t xml:space="preserve">Decision 008: Store source xlsx files in bronze folder and convert to CSV for DuckDB ingestion. Rationale: xlsx files are the original source of truth and must be preserved untouched. CSV format is required for DuckDB to read the data. Both formats coexist in bronze so the chain of custody is clear.</w:t>
      </w:r>
    </w:p>
    <w:p>
      <w:pPr>
        <w:pStyle w:val="ListParagraph"/>
        <w:numPr>
          <w:ilvl w:val="0"/>
          <w:numId w:val="2"/>
        </w:numPr>
      </w:pPr>
      <w:r>
        <w:rPr>
          <w:rFonts w:ascii="Arial" w:cs="Arial" w:eastAsia="Arial" w:hAnsi="Arial"/>
          <w:sz w:val="24"/>
          <w:szCs w:val="24"/>
        </w:rPr>
        <w:t xml:space="preserve">Decision 009: Use 2018-07-26 (MAX(became_member_on)) as study reference date for membership tenure calculation. Rationale: No explicit study start date is provided in the data. MAX(became_member_on) represents the latest join date in the dataset and is used as a proxy for study start. CURRENT_DATE was rejected because it would measure tenure up to today rather than relative to the study period.</w:t>
      </w:r>
    </w:p>
    <w:p>
      <w:pPr>
        <w:pStyle w:val="ListParagraph"/>
        <w:numPr>
          <w:ilvl w:val="0"/>
          <w:numId w:val="2"/>
        </w:numPr>
      </w:pPr>
      <w:r>
        <w:rPr>
          <w:rFonts w:ascii="Arial" w:cs="Arial" w:eastAsia="Arial" w:hAnsi="Arial"/>
          <w:sz w:val="24"/>
          <w:szCs w:val="24"/>
        </w:rPr>
        <w:t xml:space="preserve">Decision 010: Deduplicate silver_events using ROW_NUMBER() OVER (PARTITION BY customer_id, event, value, time). Rationale: 396 duplicate rows found in Bronze profiling, all in offer completed events. Root cause unknown — likely double-firing in source event tracking system. Keeping duplicates would inflate completion counts. ROW_NUMBER() keeps the first occurrence and drops subsequent duplicates cleanly.</w:t>
      </w:r>
    </w:p>
    <w:p>
      <w:pPr>
        <w:pStyle w:val="ListParagraph"/>
        <w:numPr>
          <w:ilvl w:val="0"/>
          <w:numId w:val="2"/>
        </w:numPr>
      </w:pPr>
      <w:r>
        <w:rPr>
          <w:rFonts w:ascii="Arial" w:cs="Arial" w:eastAsia="Arial" w:hAnsi="Arial"/>
          <w:sz w:val="24"/>
          <w:szCs w:val="24"/>
        </w:rPr>
        <w:t xml:space="preserve">Decision 011: Use INNER JOIN to silver_customers in silver_events rather than a WHERE clause to filter invalid customers. Rationale: INNER JOIN automatically excludes events from invalid customers because those customer_ids do not exist in silver_customers. This is cleaner and more maintainable than a separate WHERE NOT IN clause. Any future changes to silver_customers exclusion logic automatically propagate to silver_events.</w:t>
      </w:r>
    </w:p>
    <w:p>
      <w:pPr>
        <w:pStyle w:val="ListParagraph"/>
        <w:numPr>
          <w:ilvl w:val="0"/>
          <w:numId w:val="2"/>
        </w:numPr>
      </w:pPr>
      <w:r>
        <w:rPr>
          <w:rFonts w:ascii="Arial" w:cs="Arial" w:eastAsia="Arial" w:hAnsi="Arial"/>
          <w:sz w:val="24"/>
          <w:szCs w:val="24"/>
        </w:rPr>
        <w:t xml:space="preserve">Decision 012: Discovered that value field uses single quotes and 'offer id' with a space rather than standard JSON. Fixed by normalizing the string before extraction — replacing single quotes with double quotes and 'offer id' with 'offer_id'. DuckDB json_extract_string() used for extraction. Snowflake equivalent is PARSE_JSON() which handles single quotes natively.</w:t>
      </w:r>
    </w:p>
    <w:p>
      <w:pPr>
        <w:pStyle w:val="ListParagraph"/>
        <w:numPr>
          <w:ilvl w:val="0"/>
          <w:numId w:val="2"/>
        </w:numPr>
      </w:pPr>
      <w:r>
        <w:rPr>
          <w:rFonts w:ascii="Arial" w:cs="Arial" w:eastAsia="Arial" w:hAnsi="Arial"/>
          <w:sz w:val="24"/>
          <w:szCs w:val="24"/>
        </w:rPr>
        <w:t xml:space="preserve">Decision 013: Build 03_silver_offers.sql to parse channels field despite timeline pressure. Rationale: Consistency across the Silver layer is non-negotiable. Parsing channels in Gold only when needed would violate the medallion architecture principle. Silver should be complete and flexible so Gold models never need to handle raw string parsing.</w:t>
      </w:r>
    </w:p>
    <w:p>
      <w:pPr>
        <w:pStyle w:val="ListParagraph"/>
        <w:numPr>
          <w:ilvl w:val="0"/>
          <w:numId w:val="2"/>
        </w:numPr>
      </w:pPr>
      <w:r>
        <w:rPr>
          <w:rFonts w:ascii="Arial" w:cs="Arial" w:eastAsia="Arial" w:hAnsi="Arial"/>
          <w:sz w:val="24"/>
          <w:szCs w:val="24"/>
        </w:rPr>
        <w:t xml:space="preserve">Decision 014: Retain amount field in silver_events even though not immediately needed for primary analysis questions. Rationale: Silver should be flexible enough to support future Gold questions about spending behavior, average transaction value by offer type, and revenue attribution. Removing amount now would require rebuilding Silver later.</w:t>
      </w:r>
    </w:p>
    <w:p>
      <w:pPr>
        <w:pStyle w:val="ListParagraph"/>
        <w:numPr>
          <w:ilvl w:val="0"/>
          <w:numId w:val="2"/>
        </w:numPr>
      </w:pPr>
      <w:r>
        <w:rPr>
          <w:rFonts w:ascii="Arial" w:cs="Arial" w:eastAsia="Arial" w:hAnsi="Arial"/>
          <w:sz w:val="24"/>
          <w:szCs w:val="24"/>
        </w:rPr>
        <w:t xml:space="preserve">Decision 015: Build gold_offer_completion using offer received as the base table with LEFT JOINs to viewed, completed, and transaction events. Rationale: offer received is the denominator for all completion rates. LEFT JOINs preserve all received offers in the result even if they were never viewed or completed, ensuring accurate rate calculations.</w:t>
      </w:r>
    </w:p>
    <w:p>
      <w:pPr>
        <w:pStyle w:val="ListParagraph"/>
        <w:numPr>
          <w:ilvl w:val="0"/>
          <w:numId w:val="2"/>
        </w:numPr>
      </w:pPr>
      <w:r>
        <w:rPr>
          <w:rFonts w:ascii="Arial" w:cs="Arial" w:eastAsia="Arial" w:hAnsi="Arial"/>
          <w:sz w:val="24"/>
          <w:szCs w:val="24"/>
        </w:rPr>
        <w:t xml:space="preserve">Decision 016: Add channel flags to gold_informational_offers by joining silver_offers in the final SELECT. Rationale: Channel data explains view rate differences between the two informational offers. Offer with social media achieved 96.1% view rate vs 74.6% without it. Including channels in Gold makes the finding self-contained without requiring cross-referencing.</w:t>
      </w:r>
    </w:p>
    <w:p>
      <w:pPr>
        <w:pStyle w:val="ListParagraph"/>
        <w:numPr>
          <w:ilvl w:val="0"/>
          <w:numId w:val="2"/>
        </w:numPr>
      </w:pPr>
      <w:r>
        <w:rPr>
          <w:rFonts w:ascii="Arial" w:cs="Arial" w:eastAsia="Arial" w:hAnsi="Arial"/>
          <w:sz w:val="24"/>
          <w:szCs w:val="24"/>
        </w:rPr>
        <w:t xml:space="preserve">Decision 017: Add offer_type to gold_demographic_patterns GROUP BY to show which offers work best with which customer segments. Rationale: The base question asks whether demographics affect completion. Adding offer_type goes further and enables targeted offer delivery — matching specific offers to segments most likely to complete them. This is more actionable than demographic completion rates alone.</w:t>
      </w:r>
    </w:p>
    <w:p>
      <w:pPr>
        <w:pStyle w:val="ListParagraph"/>
        <w:numPr>
          <w:ilvl w:val="0"/>
          <w:numId w:val="2"/>
        </w:numPr>
      </w:pPr>
      <w:r>
        <w:rPr>
          <w:rFonts w:ascii="Arial" w:cs="Arial" w:eastAsia="Arial" w:hAnsi="Arial"/>
          <w:sz w:val="24"/>
          <w:szCs w:val="24"/>
        </w:rPr>
        <w:t xml:space="preserve">Decision 018: Apply minimum threshold of 50 offers received per segment in gold_demographic_patterns using HAVING COUNT(*) &gt;= 50. Rationale: Small segments (1-12 observations) were producing 100% completion rates due to statistical noise. These are not meaningful findings. A minimum of 50 observations per segment ensures rates are statistically reliable. Alternative considered: 100 minimum — rejected as too restrictive, removing valid mid-size segments.</w:t>
      </w:r>
    </w:p>
    <w:p>
      <w:pPr>
        <w:pStyle w:val="ListParagraph"/>
        <w:numPr>
          <w:ilvl w:val="0"/>
          <w:numId w:val="2"/>
        </w:numPr>
      </w:pPr>
      <w:r>
        <w:rPr>
          <w:rFonts w:ascii="Arial" w:cs="Arial" w:eastAsia="Arial" w:hAnsi="Arial"/>
          <w:sz w:val="24"/>
          <w:szCs w:val="24"/>
        </w:rPr>
        <w:t xml:space="preserve">Decision 019: Age cohort bucketing defined as: Under 30, 30-44, 45-59, 60+. Income bracket bucketing defined as: Under $40k, $40k-$60k, $60k-$80k, $80k-$100k, $100k+. Tenure cohorts defined as: Under 1 year, 1-2 years, 2-4 years, 4+ years. Rationale: Standard demographic segmentation ranges commonly used in retail and loyalty program analysis. Consistent across gold_demographics and gold_demographic_patterns for comparability.</w:t>
      </w:r>
    </w:p>
    <w:p>
      <w:pPr>
        <w:pStyle w:val="ListParagraph"/>
        <w:numPr>
          <w:ilvl w:val="0"/>
          <w:numId w:val="2"/>
        </w:numPr>
      </w:pPr>
      <w:r>
        <w:rPr>
          <w:rFonts w:ascii="Arial" w:cs="Arial" w:eastAsia="Arial" w:hAnsi="Arial"/>
          <w:sz w:val="24"/>
          <w:szCs w:val="24"/>
        </w:rPr>
        <w:t xml:space="preserve">Decision 020: Other gender customers (212 total) show high completion rates in gold_demographic_patterns but findings are not actionable. Rationale: Sample size is too small relative to total customer base to draw reliable conclusions. Results are included in the output for completeness but not featured in presentation recommendations.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2026-04-27T02:56:50.314Z</dcterms:created>
  <dcterms:modified xsi:type="dcterms:W3CDTF">2026-04-27T02:56:50.315Z</dcterms:modified>
</cp:coreProperties>
</file>

<file path=docProps/custom.xml><?xml version="1.0" encoding="utf-8"?>
<Properties xmlns="http://schemas.openxmlformats.org/officeDocument/2006/custom-properties" xmlns:vt="http://schemas.openxmlformats.org/officeDocument/2006/docPropsVTypes"/>
</file>