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E069AC" w:rsidRDefault="00630CD1" w:rsidP="00EB247F">
      <w:pPr>
        <w:pStyle w:val="TableofFigures"/>
        <w:tabs>
          <w:tab w:val="right" w:leader="dot" w:pos="9350"/>
        </w:tabs>
        <w:rPr>
          <w:rStyle w:val="Hyperlink"/>
          <w:noProof/>
        </w:rPr>
      </w:pPr>
      <w:r w:rsidRPr="00E069AC">
        <w:rPr>
          <w:rStyle w:val="Hyperlink"/>
          <w:noProof/>
          <w:lang w:eastAsia="en-US"/>
        </w:rPr>
        <mc:AlternateContent>
          <mc:Choice Requires="wps">
            <w:drawing>
              <wp:anchor distT="0" distB="0" distL="114300" distR="114300" simplePos="0" relativeHeight="251659264" behindDoc="0" locked="0" layoutInCell="1" allowOverlap="1" wp14:anchorId="77771319" wp14:editId="74DC8FA0">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55A2BD" w14:textId="05B6F6A8" w:rsidR="00ED2CDC" w:rsidRPr="00EB247F" w:rsidRDefault="00ED2CDC"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070D2E26" w:rsidR="00ED2CDC" w:rsidRPr="00EB247F" w:rsidRDefault="00ED2CDC"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Geothermal Power</w:t>
                            </w:r>
                          </w:p>
                          <w:p w14:paraId="4BEC3072" w14:textId="77777777" w:rsidR="00ED2CDC" w:rsidRDefault="00ED2CDC" w:rsidP="00EB247F">
                            <w:pPr>
                              <w:spacing w:line="240" w:lineRule="auto"/>
                              <w:jc w:val="center"/>
                              <w:rPr>
                                <w:rFonts w:cs="Times New Roman"/>
                                <w:smallCaps/>
                                <w:color w:val="404040" w:themeColor="text1" w:themeTint="BF"/>
                                <w:sz w:val="36"/>
                                <w:szCs w:val="36"/>
                              </w:rPr>
                            </w:pPr>
                          </w:p>
                          <w:p w14:paraId="3F0B52E4" w14:textId="77777777" w:rsidR="00ED2CDC" w:rsidRDefault="00ED2CDC" w:rsidP="00EB247F">
                            <w:pPr>
                              <w:spacing w:line="240" w:lineRule="auto"/>
                              <w:jc w:val="center"/>
                              <w:rPr>
                                <w:rFonts w:cs="Times New Roman"/>
                                <w:smallCaps/>
                                <w:color w:val="404040" w:themeColor="text1" w:themeTint="BF"/>
                                <w:sz w:val="36"/>
                                <w:szCs w:val="36"/>
                              </w:rPr>
                            </w:pPr>
                          </w:p>
                          <w:p w14:paraId="30E4023E" w14:textId="5F3CC6ED" w:rsidR="00ED2CDC" w:rsidRPr="00EB247F" w:rsidRDefault="00ED2CDC"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ED2CDC" w:rsidRPr="00EB247F" w:rsidRDefault="00ED2CDC"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6DBC2C77" w:rsidR="00ED2CDC" w:rsidRPr="00EB247F" w:rsidRDefault="00ED2CDC"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Geothermal</w:t>
                            </w:r>
                            <w:r w:rsidRPr="00EB247F">
                              <w:rPr>
                                <w:rFonts w:cs="Times New Roman"/>
                                <w:smallCaps/>
                                <w:color w:val="404040" w:themeColor="text1" w:themeTint="BF"/>
                                <w:sz w:val="36"/>
                                <w:szCs w:val="36"/>
                              </w:rPr>
                              <w:t xml:space="preserve"> Energy, Electricity Generation, Grid, Renewable Energy Source</w:t>
                            </w:r>
                          </w:p>
                          <w:p w14:paraId="5943CD2B" w14:textId="77777777" w:rsidR="00ED2CDC" w:rsidRPr="00EB247F" w:rsidRDefault="00ED2CDC" w:rsidP="00EB247F">
                            <w:pPr>
                              <w:spacing w:line="240" w:lineRule="auto"/>
                              <w:rPr>
                                <w:rFonts w:cs="Times New Roman"/>
                                <w:smallCaps/>
                                <w:color w:val="404040" w:themeColor="text1" w:themeTint="BF"/>
                                <w:sz w:val="36"/>
                                <w:szCs w:val="36"/>
                              </w:rPr>
                            </w:pPr>
                          </w:p>
                          <w:p w14:paraId="1922C9C8" w14:textId="77777777" w:rsidR="00ED2CDC" w:rsidRPr="00EB247F" w:rsidRDefault="00ED2CDC" w:rsidP="00EB247F">
                            <w:pPr>
                              <w:spacing w:line="240" w:lineRule="auto"/>
                              <w:rPr>
                                <w:rFonts w:cs="Times New Roman"/>
                                <w:smallCaps/>
                                <w:color w:val="404040" w:themeColor="text1" w:themeTint="BF"/>
                                <w:sz w:val="36"/>
                                <w:szCs w:val="36"/>
                              </w:rPr>
                            </w:pPr>
                          </w:p>
                          <w:p w14:paraId="0B02E81E" w14:textId="77777777" w:rsidR="00ED2CDC" w:rsidRPr="00EB247F" w:rsidRDefault="00ED2CDC" w:rsidP="00EB247F">
                            <w:pPr>
                              <w:spacing w:line="240" w:lineRule="auto"/>
                              <w:rPr>
                                <w:rFonts w:cs="Times New Roman"/>
                                <w:smallCaps/>
                                <w:color w:val="404040" w:themeColor="text1" w:themeTint="BF"/>
                                <w:sz w:val="36"/>
                                <w:szCs w:val="36"/>
                              </w:rPr>
                            </w:pPr>
                          </w:p>
                          <w:p w14:paraId="596D7C93" w14:textId="55EF618E" w:rsidR="00ED2CDC" w:rsidRPr="00EB247F" w:rsidRDefault="00ED2CDC"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Pr="00EB247F">
                              <w:rPr>
                                <w:rFonts w:cs="Times New Roman"/>
                                <w:smallCaps/>
                                <w:color w:val="404040" w:themeColor="text1" w:themeTint="BF"/>
                                <w:sz w:val="36"/>
                                <w:szCs w:val="36"/>
                              </w:rPr>
                              <w:t xml:space="preserve"> </w:t>
                            </w:r>
                            <w:r>
                              <w:rPr>
                                <w:rFonts w:cs="Times New Roman"/>
                                <w:smallCaps/>
                                <w:color w:val="404040" w:themeColor="text1" w:themeTint="BF"/>
                                <w:sz w:val="36"/>
                                <w:szCs w:val="36"/>
                              </w:rPr>
                              <w:t>3 (June 2020)</w:t>
                            </w:r>
                          </w:p>
                          <w:p w14:paraId="5850EC6A" w14:textId="77777777" w:rsidR="00ED2CDC" w:rsidRPr="00EB247F" w:rsidRDefault="00ED2CDC" w:rsidP="00EB247F">
                            <w:pPr>
                              <w:spacing w:after="0" w:line="240" w:lineRule="auto"/>
                              <w:rPr>
                                <w:rFonts w:cs="Times New Roman"/>
                                <w:smallCaps/>
                                <w:color w:val="404040" w:themeColor="text1" w:themeTint="BF"/>
                                <w:sz w:val="36"/>
                                <w:szCs w:val="36"/>
                              </w:rPr>
                            </w:pPr>
                          </w:p>
                          <w:p w14:paraId="21B2BC32" w14:textId="77777777" w:rsidR="00ED2CDC" w:rsidRPr="00EB247F" w:rsidRDefault="00ED2CDC" w:rsidP="00EB247F">
                            <w:pPr>
                              <w:spacing w:after="0" w:line="240" w:lineRule="auto"/>
                              <w:rPr>
                                <w:rFonts w:cs="Times New Roman"/>
                                <w:smallCaps/>
                                <w:color w:val="404040" w:themeColor="text1" w:themeTint="BF"/>
                                <w:sz w:val="36"/>
                                <w:szCs w:val="36"/>
                              </w:rPr>
                            </w:pPr>
                          </w:p>
                          <w:p w14:paraId="0EF4437F" w14:textId="77777777" w:rsidR="00ED2CDC" w:rsidRPr="00EB247F" w:rsidRDefault="00ED2CDC" w:rsidP="00EB247F">
                            <w:pPr>
                              <w:spacing w:after="0" w:line="240" w:lineRule="auto"/>
                              <w:rPr>
                                <w:rFonts w:cs="Times New Roman"/>
                                <w:smallCaps/>
                                <w:color w:val="404040" w:themeColor="text1" w:themeTint="BF"/>
                                <w:sz w:val="36"/>
                                <w:szCs w:val="36"/>
                              </w:rPr>
                            </w:pPr>
                          </w:p>
                          <w:p w14:paraId="66C10BC1" w14:textId="77777777" w:rsidR="00ED2CDC" w:rsidRPr="00EB247F" w:rsidRDefault="00ED2CDC"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4073D79A" w14:textId="77777777" w:rsidR="00ED2CDC" w:rsidRPr="001169AF" w:rsidRDefault="00ED2CDC" w:rsidP="00D058B5">
                            <w:pPr>
                              <w:spacing w:after="0" w:line="276" w:lineRule="auto"/>
                              <w:rPr>
                                <w:rFonts w:cs="Times New Roman"/>
                                <w:smallCaps/>
                                <w:color w:val="404040" w:themeColor="text1" w:themeTint="BF"/>
                                <w:sz w:val="28"/>
                                <w:szCs w:val="28"/>
                              </w:rPr>
                            </w:pPr>
                            <w:r w:rsidRPr="001169AF">
                              <w:rPr>
                                <w:rFonts w:cs="Times New Roman"/>
                                <w:smallCaps/>
                                <w:color w:val="404040" w:themeColor="text1" w:themeTint="BF"/>
                                <w:sz w:val="28"/>
                                <w:szCs w:val="28"/>
                              </w:rPr>
                              <w:t xml:space="preserve">christine shearer, Research Fellow </w:t>
                            </w:r>
                          </w:p>
                          <w:p w14:paraId="37231094" w14:textId="5C44E353" w:rsidR="00ED2CDC" w:rsidRPr="001169AF" w:rsidRDefault="00ED2CDC" w:rsidP="00D058B5">
                            <w:pPr>
                              <w:spacing w:after="0" w:line="276" w:lineRule="auto"/>
                              <w:rPr>
                                <w:rFonts w:cs="Times New Roman"/>
                                <w:smallCaps/>
                                <w:color w:val="404040" w:themeColor="text1" w:themeTint="BF"/>
                                <w:sz w:val="28"/>
                                <w:szCs w:val="28"/>
                              </w:rPr>
                            </w:pPr>
                            <w:r w:rsidRPr="001169AF">
                              <w:rPr>
                                <w:rFonts w:cs="Times New Roman"/>
                                <w:smallCaps/>
                                <w:color w:val="404040" w:themeColor="text1" w:themeTint="BF"/>
                                <w:sz w:val="28"/>
                                <w:szCs w:val="28"/>
                              </w:rPr>
                              <w:t>Kenneth Zame, Research Fellow</w:t>
                            </w:r>
                          </w:p>
                          <w:p w14:paraId="3CA63D1B" w14:textId="29979BEE" w:rsidR="00ED2CDC" w:rsidRDefault="00ED2CDC" w:rsidP="00D058B5">
                            <w:pPr>
                              <w:spacing w:after="0" w:line="276" w:lineRule="auto"/>
                              <w:rPr>
                                <w:rFonts w:cs="Times New Roman"/>
                                <w:smallCaps/>
                                <w:color w:val="404040" w:themeColor="text1" w:themeTint="BF"/>
                                <w:sz w:val="28"/>
                                <w:szCs w:val="28"/>
                              </w:rPr>
                            </w:pPr>
                            <w:r w:rsidRPr="0061349B">
                              <w:rPr>
                                <w:rFonts w:cs="Times New Roman"/>
                                <w:smallCaps/>
                                <w:color w:val="404040" w:themeColor="text1" w:themeTint="BF"/>
                                <w:sz w:val="28"/>
                                <w:szCs w:val="28"/>
                              </w:rPr>
                              <w:t>Abdulmutalib Yussuff</w:t>
                            </w:r>
                            <w:r>
                              <w:rPr>
                                <w:rFonts w:cs="Times New Roman"/>
                                <w:smallCaps/>
                                <w:color w:val="404040" w:themeColor="text1" w:themeTint="BF"/>
                                <w:sz w:val="28"/>
                                <w:szCs w:val="28"/>
                              </w:rPr>
                              <w:t>,</w:t>
                            </w:r>
                            <w:r w:rsidRPr="0061349B">
                              <w:rPr>
                                <w:rFonts w:cs="Times New Roman"/>
                                <w:smallCaps/>
                                <w:color w:val="404040" w:themeColor="text1" w:themeTint="BF"/>
                                <w:sz w:val="28"/>
                                <w:szCs w:val="28"/>
                              </w:rPr>
                              <w:t xml:space="preserve"> Research Fellow</w:t>
                            </w:r>
                          </w:p>
                          <w:p w14:paraId="0CEC6EF4" w14:textId="39F0DD75" w:rsidR="00ED2CDC" w:rsidRPr="00B06DD9" w:rsidRDefault="00ED2CDC" w:rsidP="00D058B5">
                            <w:pPr>
                              <w:spacing w:after="0" w:line="276" w:lineRule="auto"/>
                              <w:rPr>
                                <w:rFonts w:cs="Times New Roman"/>
                                <w:smallCaps/>
                                <w:color w:val="404040" w:themeColor="text1" w:themeTint="BF"/>
                                <w:sz w:val="28"/>
                                <w:szCs w:val="28"/>
                                <w:lang w:val="pt-PT"/>
                              </w:rPr>
                            </w:pPr>
                            <w:r w:rsidRPr="00B06DD9">
                              <w:rPr>
                                <w:rFonts w:cs="Times New Roman"/>
                                <w:smallCaps/>
                                <w:color w:val="404040" w:themeColor="text1" w:themeTint="BF"/>
                                <w:sz w:val="28"/>
                                <w:szCs w:val="28"/>
                                <w:lang w:val="pt-PT"/>
                              </w:rPr>
                              <w:t>João Pedro Gouveia, Senior Research Fellow</w:t>
                            </w:r>
                          </w:p>
                          <w:p w14:paraId="42740336" w14:textId="0A3B713C" w:rsidR="00ED2CDC" w:rsidRPr="00B06DD9" w:rsidRDefault="00ED2CDC" w:rsidP="007864AB">
                            <w:pPr>
                              <w:rPr>
                                <w:rFonts w:cs="Times New Roman"/>
                                <w:smallCaps/>
                                <w:color w:val="404040" w:themeColor="text1" w:themeTint="BF"/>
                                <w:sz w:val="28"/>
                                <w:szCs w:val="28"/>
                                <w:lang w:val="pt-PT"/>
                              </w:rPr>
                            </w:pPr>
                          </w:p>
                          <w:p w14:paraId="2573D08F" w14:textId="77777777" w:rsidR="00ED2CDC" w:rsidRPr="00B06DD9" w:rsidRDefault="00ED2CDC" w:rsidP="007864AB">
                            <w:pPr>
                              <w:rPr>
                                <w:rFonts w:cs="Times New Roman"/>
                                <w:smallCaps/>
                                <w:color w:val="404040" w:themeColor="text1" w:themeTint="BF"/>
                                <w:lang w:val="pt-PT"/>
                              </w:rPr>
                            </w:pPr>
                          </w:p>
                          <w:p w14:paraId="1EE415A2" w14:textId="77777777" w:rsidR="00ED2CDC" w:rsidRPr="00B06DD9" w:rsidRDefault="00ED2CDC" w:rsidP="007864AB">
                            <w:pPr>
                              <w:rPr>
                                <w:rFonts w:cs="Times New Roman"/>
                                <w:smallCaps/>
                                <w:color w:val="404040" w:themeColor="text1" w:themeTint="BF"/>
                                <w:lang w:val="pt-PT"/>
                              </w:rPr>
                            </w:pPr>
                          </w:p>
                          <w:p w14:paraId="4481356F" w14:textId="6C098178" w:rsidR="00ED2CDC" w:rsidRPr="00EB247F" w:rsidRDefault="00ED2CDC"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4C7EDCFE" w:rsidR="00ED2CDC" w:rsidRPr="000A337B" w:rsidRDefault="000F3F47" w:rsidP="007864AB">
                            <w:pPr>
                              <w:rPr>
                                <w:rFonts w:asciiTheme="minorHAnsi" w:hAnsiTheme="minorHAnsi"/>
                                <w:smallCaps/>
                                <w:color w:val="808080" w:themeColor="background1" w:themeShade="80"/>
                                <w:sz w:val="20"/>
                                <w:szCs w:val="20"/>
                              </w:rPr>
                            </w:pPr>
                            <w:hyperlink r:id="rId10" w:history="1">
                              <w:r w:rsidR="00ED2CDC" w:rsidRPr="000A337B">
                                <w:rPr>
                                  <w:rFonts w:asciiTheme="minorHAnsi" w:hAnsiTheme="minorHAnsi"/>
                                  <w:color w:val="808080" w:themeColor="background1" w:themeShade="80"/>
                                </w:rPr>
                                <w:t>info@drawdown.org</w:t>
                              </w:r>
                            </w:hyperlink>
                            <w:r w:rsidR="00ED2CDC" w:rsidRPr="000A337B">
                              <w:rPr>
                                <w:rFonts w:asciiTheme="minorHAnsi" w:hAnsiTheme="minorHAnsi"/>
                                <w:smallCaps/>
                                <w:color w:val="808080" w:themeColor="background1" w:themeShade="80"/>
                                <w:sz w:val="20"/>
                                <w:szCs w:val="20"/>
                              </w:rPr>
                              <w:t xml:space="preserve">             </w:t>
                            </w:r>
                            <w:hyperlink r:id="rId11" w:history="1">
                              <w:r w:rsidR="00ED2CDC" w:rsidRPr="000A337B">
                                <w:rPr>
                                  <w:rFonts w:asciiTheme="minorHAnsi" w:hAnsiTheme="minorHAnsi"/>
                                  <w:color w:val="808080" w:themeColor="background1" w:themeShade="80"/>
                                </w:rPr>
                                <w:t>www.drawdown.org</w:t>
                              </w:r>
                            </w:hyperlink>
                            <w:r w:rsidR="00ED2CDC" w:rsidRPr="000A337B">
                              <w:rPr>
                                <w:rFonts w:asciiTheme="minorHAnsi" w:hAnsiTheme="minorHAnsi"/>
                                <w:smallCaps/>
                                <w:color w:val="808080" w:themeColor="background1" w:themeShade="80"/>
                                <w:sz w:val="20"/>
                                <w:szCs w:val="20"/>
                              </w:rPr>
                              <w:t xml:space="preserve">  </w:t>
                            </w:r>
                          </w:p>
                          <w:p w14:paraId="05DAFFE7" w14:textId="77777777" w:rsidR="00ED2CDC" w:rsidRPr="000A337B" w:rsidRDefault="00ED2CDC" w:rsidP="00C81D94">
                            <w:pPr>
                              <w:rPr>
                                <w:rFonts w:cs="Times New Roman"/>
                                <w:smallCaps/>
                                <w:color w:val="404040" w:themeColor="text1" w:themeTint="BF"/>
                                <w:sz w:val="36"/>
                                <w:szCs w:val="36"/>
                              </w:rPr>
                            </w:pPr>
                          </w:p>
                          <w:p w14:paraId="3D97FBF6" w14:textId="77777777" w:rsidR="00ED2CDC" w:rsidRPr="000A337B" w:rsidRDefault="00ED2CDC" w:rsidP="00C81D94">
                            <w:pPr>
                              <w:rPr>
                                <w:rFonts w:cs="Times New Roman"/>
                                <w:smallCaps/>
                                <w:color w:val="404040" w:themeColor="text1" w:themeTint="BF"/>
                                <w:sz w:val="36"/>
                                <w:szCs w:val="36"/>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" filled="f" stroked="f" strokeweight=".5pt">
                <v:textbox inset=",0,54pt,0">
                  <w:txbxContent>
                    <w:p w14:paraId="1E55A2BD" w14:textId="05B6F6A8" w:rsidR="00ED2CDC" w:rsidRPr="00EB247F" w:rsidRDefault="00ED2CDC" w:rsidP="00EB247F">
                      <w:pPr>
                        <w:spacing w:line="240" w:lineRule="auto"/>
                        <w:jc w:val="center"/>
                        <w:rPr>
                          <w:rFonts w:cs="Times New Roman"/>
                          <w:b/>
                          <w:smallCaps/>
                          <w:color w:val="404040" w:themeColor="text1" w:themeTint="BF"/>
                          <w:sz w:val="48"/>
                          <w:szCs w:val="48"/>
                        </w:rPr>
                      </w:pPr>
                      <w:r w:rsidRPr="00EB247F">
                        <w:rPr>
                          <w:rFonts w:cs="Times New Roman"/>
                          <w:b/>
                          <w:smallCaps/>
                          <w:color w:val="404040" w:themeColor="text1" w:themeTint="BF"/>
                          <w:sz w:val="48"/>
                          <w:szCs w:val="48"/>
                        </w:rPr>
                        <w:t>Technical assessment for</w:t>
                      </w:r>
                    </w:p>
                    <w:p w14:paraId="7B870425" w14:textId="070D2E26" w:rsidR="00ED2CDC" w:rsidRPr="00EB247F" w:rsidRDefault="00ED2CDC" w:rsidP="00EB247F">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Geothermal Power</w:t>
                      </w:r>
                    </w:p>
                    <w:p w14:paraId="4BEC3072" w14:textId="77777777" w:rsidR="00ED2CDC" w:rsidRDefault="00ED2CDC" w:rsidP="00EB247F">
                      <w:pPr>
                        <w:spacing w:line="240" w:lineRule="auto"/>
                        <w:jc w:val="center"/>
                        <w:rPr>
                          <w:rFonts w:cs="Times New Roman"/>
                          <w:smallCaps/>
                          <w:color w:val="404040" w:themeColor="text1" w:themeTint="BF"/>
                          <w:sz w:val="36"/>
                          <w:szCs w:val="36"/>
                        </w:rPr>
                      </w:pPr>
                    </w:p>
                    <w:p w14:paraId="3F0B52E4" w14:textId="77777777" w:rsidR="00ED2CDC" w:rsidRDefault="00ED2CDC" w:rsidP="00EB247F">
                      <w:pPr>
                        <w:spacing w:line="240" w:lineRule="auto"/>
                        <w:jc w:val="center"/>
                        <w:rPr>
                          <w:rFonts w:cs="Times New Roman"/>
                          <w:smallCaps/>
                          <w:color w:val="404040" w:themeColor="text1" w:themeTint="BF"/>
                          <w:sz w:val="36"/>
                          <w:szCs w:val="36"/>
                        </w:rPr>
                      </w:pPr>
                    </w:p>
                    <w:p w14:paraId="30E4023E" w14:textId="5F3CC6ED" w:rsidR="00ED2CDC" w:rsidRPr="00EB247F" w:rsidRDefault="00ED2CDC"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Sector: Electricity generation</w:t>
                      </w:r>
                    </w:p>
                    <w:p w14:paraId="0B5B69D5" w14:textId="5E723A8B" w:rsidR="00ED2CDC" w:rsidRPr="00EB247F" w:rsidRDefault="00ED2CDC"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Agency Level: Utilities</w:t>
                      </w:r>
                    </w:p>
                    <w:p w14:paraId="4CF7CB6C" w14:textId="6DBC2C77" w:rsidR="00ED2CDC" w:rsidRPr="00EB247F" w:rsidRDefault="00ED2CDC" w:rsidP="00EB247F">
                      <w:pPr>
                        <w:spacing w:line="240" w:lineRule="auto"/>
                        <w:jc w:val="center"/>
                        <w:rPr>
                          <w:rFonts w:cs="Times New Roman"/>
                          <w:smallCaps/>
                          <w:color w:val="404040" w:themeColor="text1" w:themeTint="BF"/>
                          <w:sz w:val="36"/>
                          <w:szCs w:val="36"/>
                        </w:rPr>
                      </w:pPr>
                      <w:r w:rsidRPr="00EB247F">
                        <w:rPr>
                          <w:rFonts w:cs="Times New Roman"/>
                          <w:smallCaps/>
                          <w:color w:val="404040" w:themeColor="text1" w:themeTint="BF"/>
                          <w:sz w:val="36"/>
                          <w:szCs w:val="36"/>
                        </w:rPr>
                        <w:t xml:space="preserve">Keywords: </w:t>
                      </w:r>
                      <w:r>
                        <w:rPr>
                          <w:rFonts w:cs="Times New Roman"/>
                          <w:smallCaps/>
                          <w:color w:val="404040" w:themeColor="text1" w:themeTint="BF"/>
                          <w:sz w:val="36"/>
                          <w:szCs w:val="36"/>
                        </w:rPr>
                        <w:t>Geothermal</w:t>
                      </w:r>
                      <w:r w:rsidRPr="00EB247F">
                        <w:rPr>
                          <w:rFonts w:cs="Times New Roman"/>
                          <w:smallCaps/>
                          <w:color w:val="404040" w:themeColor="text1" w:themeTint="BF"/>
                          <w:sz w:val="36"/>
                          <w:szCs w:val="36"/>
                        </w:rPr>
                        <w:t xml:space="preserve"> Energy, Electricity Generation, Grid, Renewable Energy Source</w:t>
                      </w:r>
                    </w:p>
                    <w:p w14:paraId="5943CD2B" w14:textId="77777777" w:rsidR="00ED2CDC" w:rsidRPr="00EB247F" w:rsidRDefault="00ED2CDC" w:rsidP="00EB247F">
                      <w:pPr>
                        <w:spacing w:line="240" w:lineRule="auto"/>
                        <w:rPr>
                          <w:rFonts w:cs="Times New Roman"/>
                          <w:smallCaps/>
                          <w:color w:val="404040" w:themeColor="text1" w:themeTint="BF"/>
                          <w:sz w:val="36"/>
                          <w:szCs w:val="36"/>
                        </w:rPr>
                      </w:pPr>
                    </w:p>
                    <w:p w14:paraId="1922C9C8" w14:textId="77777777" w:rsidR="00ED2CDC" w:rsidRPr="00EB247F" w:rsidRDefault="00ED2CDC" w:rsidP="00EB247F">
                      <w:pPr>
                        <w:spacing w:line="240" w:lineRule="auto"/>
                        <w:rPr>
                          <w:rFonts w:cs="Times New Roman"/>
                          <w:smallCaps/>
                          <w:color w:val="404040" w:themeColor="text1" w:themeTint="BF"/>
                          <w:sz w:val="36"/>
                          <w:szCs w:val="36"/>
                        </w:rPr>
                      </w:pPr>
                    </w:p>
                    <w:p w14:paraId="0B02E81E" w14:textId="77777777" w:rsidR="00ED2CDC" w:rsidRPr="00EB247F" w:rsidRDefault="00ED2CDC" w:rsidP="00EB247F">
                      <w:pPr>
                        <w:spacing w:line="240" w:lineRule="auto"/>
                        <w:rPr>
                          <w:rFonts w:cs="Times New Roman"/>
                          <w:smallCaps/>
                          <w:color w:val="404040" w:themeColor="text1" w:themeTint="BF"/>
                          <w:sz w:val="36"/>
                          <w:szCs w:val="36"/>
                        </w:rPr>
                      </w:pPr>
                    </w:p>
                    <w:p w14:paraId="596D7C93" w14:textId="55EF618E" w:rsidR="00ED2CDC" w:rsidRPr="00EB247F" w:rsidRDefault="00ED2CDC" w:rsidP="00EB247F">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Version</w:t>
                      </w:r>
                      <w:r w:rsidRPr="00EB247F">
                        <w:rPr>
                          <w:rFonts w:cs="Times New Roman"/>
                          <w:smallCaps/>
                          <w:color w:val="404040" w:themeColor="text1" w:themeTint="BF"/>
                          <w:sz w:val="36"/>
                          <w:szCs w:val="36"/>
                        </w:rPr>
                        <w:t xml:space="preserve"> </w:t>
                      </w:r>
                      <w:r>
                        <w:rPr>
                          <w:rFonts w:cs="Times New Roman"/>
                          <w:smallCaps/>
                          <w:color w:val="404040" w:themeColor="text1" w:themeTint="BF"/>
                          <w:sz w:val="36"/>
                          <w:szCs w:val="36"/>
                        </w:rPr>
                        <w:t>3 (June 2020)</w:t>
                      </w:r>
                    </w:p>
                    <w:p w14:paraId="5850EC6A" w14:textId="77777777" w:rsidR="00ED2CDC" w:rsidRPr="00EB247F" w:rsidRDefault="00ED2CDC" w:rsidP="00EB247F">
                      <w:pPr>
                        <w:spacing w:after="0" w:line="240" w:lineRule="auto"/>
                        <w:rPr>
                          <w:rFonts w:cs="Times New Roman"/>
                          <w:smallCaps/>
                          <w:color w:val="404040" w:themeColor="text1" w:themeTint="BF"/>
                          <w:sz w:val="36"/>
                          <w:szCs w:val="36"/>
                        </w:rPr>
                      </w:pPr>
                    </w:p>
                    <w:p w14:paraId="21B2BC32" w14:textId="77777777" w:rsidR="00ED2CDC" w:rsidRPr="00EB247F" w:rsidRDefault="00ED2CDC" w:rsidP="00EB247F">
                      <w:pPr>
                        <w:spacing w:after="0" w:line="240" w:lineRule="auto"/>
                        <w:rPr>
                          <w:rFonts w:cs="Times New Roman"/>
                          <w:smallCaps/>
                          <w:color w:val="404040" w:themeColor="text1" w:themeTint="BF"/>
                          <w:sz w:val="36"/>
                          <w:szCs w:val="36"/>
                        </w:rPr>
                      </w:pPr>
                    </w:p>
                    <w:p w14:paraId="0EF4437F" w14:textId="77777777" w:rsidR="00ED2CDC" w:rsidRPr="00EB247F" w:rsidRDefault="00ED2CDC" w:rsidP="00EB247F">
                      <w:pPr>
                        <w:spacing w:after="0" w:line="240" w:lineRule="auto"/>
                        <w:rPr>
                          <w:rFonts w:cs="Times New Roman"/>
                          <w:smallCaps/>
                          <w:color w:val="404040" w:themeColor="text1" w:themeTint="BF"/>
                          <w:sz w:val="36"/>
                          <w:szCs w:val="36"/>
                        </w:rPr>
                      </w:pPr>
                    </w:p>
                    <w:p w14:paraId="66C10BC1" w14:textId="77777777" w:rsidR="00ED2CDC" w:rsidRPr="00EB247F" w:rsidRDefault="00ED2CDC" w:rsidP="00EB247F">
                      <w:pPr>
                        <w:spacing w:after="0" w:line="240" w:lineRule="auto"/>
                        <w:rPr>
                          <w:rFonts w:cs="Times New Roman"/>
                          <w:b/>
                          <w:smallCaps/>
                          <w:color w:val="404040" w:themeColor="text1" w:themeTint="BF"/>
                          <w:sz w:val="28"/>
                          <w:szCs w:val="28"/>
                        </w:rPr>
                      </w:pPr>
                      <w:r w:rsidRPr="00EB247F">
                        <w:rPr>
                          <w:rFonts w:cs="Times New Roman"/>
                          <w:b/>
                          <w:smallCaps/>
                          <w:color w:val="404040" w:themeColor="text1" w:themeTint="BF"/>
                          <w:sz w:val="28"/>
                          <w:szCs w:val="28"/>
                        </w:rPr>
                        <w:t>Prepared by:</w:t>
                      </w:r>
                    </w:p>
                    <w:p w14:paraId="4073D79A" w14:textId="77777777" w:rsidR="00ED2CDC" w:rsidRPr="001169AF" w:rsidRDefault="00ED2CDC" w:rsidP="00D058B5">
                      <w:pPr>
                        <w:spacing w:after="0" w:line="276" w:lineRule="auto"/>
                        <w:rPr>
                          <w:rFonts w:cs="Times New Roman"/>
                          <w:smallCaps/>
                          <w:color w:val="404040" w:themeColor="text1" w:themeTint="BF"/>
                          <w:sz w:val="28"/>
                          <w:szCs w:val="28"/>
                        </w:rPr>
                      </w:pPr>
                      <w:r w:rsidRPr="001169AF">
                        <w:rPr>
                          <w:rFonts w:cs="Times New Roman"/>
                          <w:smallCaps/>
                          <w:color w:val="404040" w:themeColor="text1" w:themeTint="BF"/>
                          <w:sz w:val="28"/>
                          <w:szCs w:val="28"/>
                        </w:rPr>
                        <w:t xml:space="preserve">christine shearer, Research Fellow </w:t>
                      </w:r>
                    </w:p>
                    <w:p w14:paraId="37231094" w14:textId="5C44E353" w:rsidR="00ED2CDC" w:rsidRPr="001169AF" w:rsidRDefault="00ED2CDC" w:rsidP="00D058B5">
                      <w:pPr>
                        <w:spacing w:after="0" w:line="276" w:lineRule="auto"/>
                        <w:rPr>
                          <w:rFonts w:cs="Times New Roman"/>
                          <w:smallCaps/>
                          <w:color w:val="404040" w:themeColor="text1" w:themeTint="BF"/>
                          <w:sz w:val="28"/>
                          <w:szCs w:val="28"/>
                        </w:rPr>
                      </w:pPr>
                      <w:r w:rsidRPr="001169AF">
                        <w:rPr>
                          <w:rFonts w:cs="Times New Roman"/>
                          <w:smallCaps/>
                          <w:color w:val="404040" w:themeColor="text1" w:themeTint="BF"/>
                          <w:sz w:val="28"/>
                          <w:szCs w:val="28"/>
                        </w:rPr>
                        <w:t>Kenneth Zame, Research Fellow</w:t>
                      </w:r>
                    </w:p>
                    <w:p w14:paraId="3CA63D1B" w14:textId="29979BEE" w:rsidR="00ED2CDC" w:rsidRDefault="00ED2CDC" w:rsidP="00D058B5">
                      <w:pPr>
                        <w:spacing w:after="0" w:line="276" w:lineRule="auto"/>
                        <w:rPr>
                          <w:rFonts w:cs="Times New Roman"/>
                          <w:smallCaps/>
                          <w:color w:val="404040" w:themeColor="text1" w:themeTint="BF"/>
                          <w:sz w:val="28"/>
                          <w:szCs w:val="28"/>
                        </w:rPr>
                      </w:pPr>
                      <w:r w:rsidRPr="0061349B">
                        <w:rPr>
                          <w:rFonts w:cs="Times New Roman"/>
                          <w:smallCaps/>
                          <w:color w:val="404040" w:themeColor="text1" w:themeTint="BF"/>
                          <w:sz w:val="28"/>
                          <w:szCs w:val="28"/>
                        </w:rPr>
                        <w:t>Abdulmutalib Yussuff</w:t>
                      </w:r>
                      <w:r>
                        <w:rPr>
                          <w:rFonts w:cs="Times New Roman"/>
                          <w:smallCaps/>
                          <w:color w:val="404040" w:themeColor="text1" w:themeTint="BF"/>
                          <w:sz w:val="28"/>
                          <w:szCs w:val="28"/>
                        </w:rPr>
                        <w:t>,</w:t>
                      </w:r>
                      <w:r w:rsidRPr="0061349B">
                        <w:rPr>
                          <w:rFonts w:cs="Times New Roman"/>
                          <w:smallCaps/>
                          <w:color w:val="404040" w:themeColor="text1" w:themeTint="BF"/>
                          <w:sz w:val="28"/>
                          <w:szCs w:val="28"/>
                        </w:rPr>
                        <w:t xml:space="preserve"> Research Fellow</w:t>
                      </w:r>
                    </w:p>
                    <w:p w14:paraId="0CEC6EF4" w14:textId="39F0DD75" w:rsidR="00ED2CDC" w:rsidRPr="00B06DD9" w:rsidRDefault="00ED2CDC" w:rsidP="00D058B5">
                      <w:pPr>
                        <w:spacing w:after="0" w:line="276" w:lineRule="auto"/>
                        <w:rPr>
                          <w:rFonts w:cs="Times New Roman"/>
                          <w:smallCaps/>
                          <w:color w:val="404040" w:themeColor="text1" w:themeTint="BF"/>
                          <w:sz w:val="28"/>
                          <w:szCs w:val="28"/>
                          <w:lang w:val="pt-PT"/>
                        </w:rPr>
                      </w:pPr>
                      <w:r w:rsidRPr="00B06DD9">
                        <w:rPr>
                          <w:rFonts w:cs="Times New Roman"/>
                          <w:smallCaps/>
                          <w:color w:val="404040" w:themeColor="text1" w:themeTint="BF"/>
                          <w:sz w:val="28"/>
                          <w:szCs w:val="28"/>
                          <w:lang w:val="pt-PT"/>
                        </w:rPr>
                        <w:t>João Pedro Gouveia, Senior Research Fellow</w:t>
                      </w:r>
                    </w:p>
                    <w:p w14:paraId="42740336" w14:textId="0A3B713C" w:rsidR="00ED2CDC" w:rsidRPr="00B06DD9" w:rsidRDefault="00ED2CDC" w:rsidP="007864AB">
                      <w:pPr>
                        <w:rPr>
                          <w:rFonts w:cs="Times New Roman"/>
                          <w:smallCaps/>
                          <w:color w:val="404040" w:themeColor="text1" w:themeTint="BF"/>
                          <w:sz w:val="28"/>
                          <w:szCs w:val="28"/>
                          <w:lang w:val="pt-PT"/>
                        </w:rPr>
                      </w:pPr>
                    </w:p>
                    <w:p w14:paraId="2573D08F" w14:textId="77777777" w:rsidR="00ED2CDC" w:rsidRPr="00B06DD9" w:rsidRDefault="00ED2CDC" w:rsidP="007864AB">
                      <w:pPr>
                        <w:rPr>
                          <w:rFonts w:cs="Times New Roman"/>
                          <w:smallCaps/>
                          <w:color w:val="404040" w:themeColor="text1" w:themeTint="BF"/>
                          <w:lang w:val="pt-PT"/>
                        </w:rPr>
                      </w:pPr>
                    </w:p>
                    <w:p w14:paraId="1EE415A2" w14:textId="77777777" w:rsidR="00ED2CDC" w:rsidRPr="00B06DD9" w:rsidRDefault="00ED2CDC" w:rsidP="007864AB">
                      <w:pPr>
                        <w:rPr>
                          <w:rFonts w:cs="Times New Roman"/>
                          <w:smallCaps/>
                          <w:color w:val="404040" w:themeColor="text1" w:themeTint="BF"/>
                          <w:lang w:val="pt-PT"/>
                        </w:rPr>
                      </w:pPr>
                    </w:p>
                    <w:p w14:paraId="4481356F" w14:textId="6C098178" w:rsidR="00ED2CDC" w:rsidRPr="00EB247F" w:rsidRDefault="00ED2CDC"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4C7EDCFE" w:rsidR="00ED2CDC" w:rsidRPr="000A337B" w:rsidRDefault="000F3F47" w:rsidP="007864AB">
                      <w:pPr>
                        <w:rPr>
                          <w:rFonts w:asciiTheme="minorHAnsi" w:hAnsiTheme="minorHAnsi"/>
                          <w:smallCaps/>
                          <w:color w:val="808080" w:themeColor="background1" w:themeShade="80"/>
                          <w:sz w:val="20"/>
                          <w:szCs w:val="20"/>
                        </w:rPr>
                      </w:pPr>
                      <w:hyperlink r:id="rId12" w:history="1">
                        <w:r w:rsidR="00ED2CDC" w:rsidRPr="000A337B">
                          <w:rPr>
                            <w:rFonts w:asciiTheme="minorHAnsi" w:hAnsiTheme="minorHAnsi"/>
                            <w:color w:val="808080" w:themeColor="background1" w:themeShade="80"/>
                          </w:rPr>
                          <w:t>info@drawdown.org</w:t>
                        </w:r>
                      </w:hyperlink>
                      <w:r w:rsidR="00ED2CDC" w:rsidRPr="000A337B">
                        <w:rPr>
                          <w:rFonts w:asciiTheme="minorHAnsi" w:hAnsiTheme="minorHAnsi"/>
                          <w:smallCaps/>
                          <w:color w:val="808080" w:themeColor="background1" w:themeShade="80"/>
                          <w:sz w:val="20"/>
                          <w:szCs w:val="20"/>
                        </w:rPr>
                        <w:t xml:space="preserve">             </w:t>
                      </w:r>
                      <w:hyperlink r:id="rId13" w:history="1">
                        <w:r w:rsidR="00ED2CDC" w:rsidRPr="000A337B">
                          <w:rPr>
                            <w:rFonts w:asciiTheme="minorHAnsi" w:hAnsiTheme="minorHAnsi"/>
                            <w:color w:val="808080" w:themeColor="background1" w:themeShade="80"/>
                          </w:rPr>
                          <w:t>www.drawdown.org</w:t>
                        </w:r>
                      </w:hyperlink>
                      <w:r w:rsidR="00ED2CDC" w:rsidRPr="000A337B">
                        <w:rPr>
                          <w:rFonts w:asciiTheme="minorHAnsi" w:hAnsiTheme="minorHAnsi"/>
                          <w:smallCaps/>
                          <w:color w:val="808080" w:themeColor="background1" w:themeShade="80"/>
                          <w:sz w:val="20"/>
                          <w:szCs w:val="20"/>
                        </w:rPr>
                        <w:t xml:space="preserve">  </w:t>
                      </w:r>
                    </w:p>
                    <w:p w14:paraId="05DAFFE7" w14:textId="77777777" w:rsidR="00ED2CDC" w:rsidRPr="000A337B" w:rsidRDefault="00ED2CDC" w:rsidP="00C81D94">
                      <w:pPr>
                        <w:rPr>
                          <w:rFonts w:cs="Times New Roman"/>
                          <w:smallCaps/>
                          <w:color w:val="404040" w:themeColor="text1" w:themeTint="BF"/>
                          <w:sz w:val="36"/>
                          <w:szCs w:val="36"/>
                        </w:rPr>
                      </w:pPr>
                    </w:p>
                    <w:p w14:paraId="3D97FBF6" w14:textId="77777777" w:rsidR="00ED2CDC" w:rsidRPr="000A337B" w:rsidRDefault="00ED2CDC" w:rsidP="00C81D94">
                      <w:pPr>
                        <w:rPr>
                          <w:rFonts w:cs="Times New Roman"/>
                          <w:smallCaps/>
                          <w:color w:val="404040" w:themeColor="text1" w:themeTint="BF"/>
                          <w:sz w:val="36"/>
                          <w:szCs w:val="36"/>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E069AC" w:rsidRDefault="551A77D0" w:rsidP="00EB247F">
          <w:pPr>
            <w:rPr>
              <w:rStyle w:val="Heading1Char"/>
            </w:rPr>
          </w:pPr>
          <w:r w:rsidRPr="00E069AC">
            <w:rPr>
              <w:rStyle w:val="Heading1Char"/>
            </w:rPr>
            <w:t>Table of Contents</w:t>
          </w:r>
        </w:p>
        <w:p w14:paraId="0E6778F1" w14:textId="2F8685CA" w:rsidR="00F54BF1" w:rsidRDefault="00640665">
          <w:pPr>
            <w:pStyle w:val="TOC1"/>
            <w:rPr>
              <w:rFonts w:asciiTheme="minorHAnsi" w:hAnsiTheme="minorHAnsi"/>
              <w:noProof/>
              <w:sz w:val="24"/>
              <w:szCs w:val="24"/>
              <w:lang w:eastAsia="en-US"/>
            </w:rPr>
          </w:pPr>
          <w:r w:rsidRPr="00E069AC">
            <w:fldChar w:fldCharType="begin"/>
          </w:r>
          <w:r w:rsidRPr="00E069AC">
            <w:instrText xml:space="preserve"> TOC \o "1-3" \h \z \u </w:instrText>
          </w:r>
          <w:r w:rsidRPr="00E069AC">
            <w:fldChar w:fldCharType="separate"/>
          </w:r>
          <w:hyperlink w:anchor="_Toc19137291" w:history="1">
            <w:r w:rsidR="00F54BF1" w:rsidRPr="00B8107F">
              <w:rPr>
                <w:rStyle w:val="Hyperlink"/>
                <w:noProof/>
              </w:rPr>
              <w:t>List of Figures</w:t>
            </w:r>
            <w:r w:rsidR="00F54BF1">
              <w:rPr>
                <w:noProof/>
                <w:webHidden/>
              </w:rPr>
              <w:tab/>
            </w:r>
            <w:r w:rsidR="00F54BF1">
              <w:rPr>
                <w:noProof/>
                <w:webHidden/>
              </w:rPr>
              <w:fldChar w:fldCharType="begin"/>
            </w:r>
            <w:r w:rsidR="00F54BF1">
              <w:rPr>
                <w:noProof/>
                <w:webHidden/>
              </w:rPr>
              <w:instrText xml:space="preserve"> PAGEREF _Toc19137291 \h </w:instrText>
            </w:r>
            <w:r w:rsidR="00F54BF1">
              <w:rPr>
                <w:noProof/>
                <w:webHidden/>
              </w:rPr>
            </w:r>
            <w:r w:rsidR="00F54BF1">
              <w:rPr>
                <w:noProof/>
                <w:webHidden/>
              </w:rPr>
              <w:fldChar w:fldCharType="separate"/>
            </w:r>
            <w:r w:rsidR="004215F3">
              <w:rPr>
                <w:noProof/>
                <w:webHidden/>
              </w:rPr>
              <w:t>4</w:t>
            </w:r>
            <w:r w:rsidR="00F54BF1">
              <w:rPr>
                <w:noProof/>
                <w:webHidden/>
              </w:rPr>
              <w:fldChar w:fldCharType="end"/>
            </w:r>
          </w:hyperlink>
        </w:p>
        <w:p w14:paraId="32976FFF" w14:textId="1828FEB3" w:rsidR="00F54BF1" w:rsidRDefault="000F3F47">
          <w:pPr>
            <w:pStyle w:val="TOC1"/>
            <w:rPr>
              <w:rFonts w:asciiTheme="minorHAnsi" w:hAnsiTheme="minorHAnsi"/>
              <w:noProof/>
              <w:sz w:val="24"/>
              <w:szCs w:val="24"/>
              <w:lang w:eastAsia="en-US"/>
            </w:rPr>
          </w:pPr>
          <w:hyperlink w:anchor="_Toc19137292" w:history="1">
            <w:r w:rsidR="00F54BF1" w:rsidRPr="00B8107F">
              <w:rPr>
                <w:rStyle w:val="Hyperlink"/>
                <w:noProof/>
              </w:rPr>
              <w:t>List of Tables</w:t>
            </w:r>
            <w:r w:rsidR="00F54BF1">
              <w:rPr>
                <w:noProof/>
                <w:webHidden/>
              </w:rPr>
              <w:tab/>
            </w:r>
            <w:r w:rsidR="00F54BF1">
              <w:rPr>
                <w:noProof/>
                <w:webHidden/>
              </w:rPr>
              <w:fldChar w:fldCharType="begin"/>
            </w:r>
            <w:r w:rsidR="00F54BF1">
              <w:rPr>
                <w:noProof/>
                <w:webHidden/>
              </w:rPr>
              <w:instrText xml:space="preserve"> PAGEREF _Toc19137292 \h </w:instrText>
            </w:r>
            <w:r w:rsidR="00F54BF1">
              <w:rPr>
                <w:noProof/>
                <w:webHidden/>
              </w:rPr>
            </w:r>
            <w:r w:rsidR="00F54BF1">
              <w:rPr>
                <w:noProof/>
                <w:webHidden/>
              </w:rPr>
              <w:fldChar w:fldCharType="separate"/>
            </w:r>
            <w:r w:rsidR="004215F3">
              <w:rPr>
                <w:noProof/>
                <w:webHidden/>
              </w:rPr>
              <w:t>4</w:t>
            </w:r>
            <w:r w:rsidR="00F54BF1">
              <w:rPr>
                <w:noProof/>
                <w:webHidden/>
              </w:rPr>
              <w:fldChar w:fldCharType="end"/>
            </w:r>
          </w:hyperlink>
        </w:p>
        <w:p w14:paraId="76B0572F" w14:textId="244CD681" w:rsidR="00F54BF1" w:rsidRDefault="000F3F47">
          <w:pPr>
            <w:pStyle w:val="TOC1"/>
            <w:rPr>
              <w:rFonts w:asciiTheme="minorHAnsi" w:hAnsiTheme="minorHAnsi"/>
              <w:noProof/>
              <w:sz w:val="24"/>
              <w:szCs w:val="24"/>
              <w:lang w:eastAsia="en-US"/>
            </w:rPr>
          </w:pPr>
          <w:hyperlink w:anchor="_Toc19137293" w:history="1">
            <w:r w:rsidR="00F54BF1" w:rsidRPr="00B8107F">
              <w:rPr>
                <w:rStyle w:val="Hyperlink"/>
                <w:noProof/>
              </w:rPr>
              <w:t>Acronyms and Symbols</w:t>
            </w:r>
            <w:r w:rsidR="00F54BF1">
              <w:rPr>
                <w:noProof/>
                <w:webHidden/>
              </w:rPr>
              <w:tab/>
            </w:r>
            <w:r w:rsidR="00F54BF1">
              <w:rPr>
                <w:noProof/>
                <w:webHidden/>
              </w:rPr>
              <w:fldChar w:fldCharType="begin"/>
            </w:r>
            <w:r w:rsidR="00F54BF1">
              <w:rPr>
                <w:noProof/>
                <w:webHidden/>
              </w:rPr>
              <w:instrText xml:space="preserve"> PAGEREF _Toc19137293 \h </w:instrText>
            </w:r>
            <w:r w:rsidR="00F54BF1">
              <w:rPr>
                <w:noProof/>
                <w:webHidden/>
              </w:rPr>
            </w:r>
            <w:r w:rsidR="00F54BF1">
              <w:rPr>
                <w:noProof/>
                <w:webHidden/>
              </w:rPr>
              <w:fldChar w:fldCharType="separate"/>
            </w:r>
            <w:r w:rsidR="004215F3">
              <w:rPr>
                <w:noProof/>
                <w:webHidden/>
              </w:rPr>
              <w:t>5</w:t>
            </w:r>
            <w:r w:rsidR="00F54BF1">
              <w:rPr>
                <w:noProof/>
                <w:webHidden/>
              </w:rPr>
              <w:fldChar w:fldCharType="end"/>
            </w:r>
          </w:hyperlink>
        </w:p>
        <w:p w14:paraId="660DA633" w14:textId="072E95DF" w:rsidR="00F54BF1" w:rsidRDefault="000F3F47">
          <w:pPr>
            <w:pStyle w:val="TOC1"/>
            <w:rPr>
              <w:rFonts w:asciiTheme="minorHAnsi" w:hAnsiTheme="minorHAnsi"/>
              <w:noProof/>
              <w:sz w:val="24"/>
              <w:szCs w:val="24"/>
              <w:lang w:eastAsia="en-US"/>
            </w:rPr>
          </w:pPr>
          <w:hyperlink w:anchor="_Toc19137294" w:history="1">
            <w:r w:rsidR="00F54BF1" w:rsidRPr="00B8107F">
              <w:rPr>
                <w:rStyle w:val="Hyperlink"/>
                <w:noProof/>
              </w:rPr>
              <w:t>Executive Summary</w:t>
            </w:r>
            <w:r w:rsidR="00F54BF1">
              <w:rPr>
                <w:noProof/>
                <w:webHidden/>
              </w:rPr>
              <w:tab/>
            </w:r>
            <w:r w:rsidR="00F54BF1">
              <w:rPr>
                <w:noProof/>
                <w:webHidden/>
              </w:rPr>
              <w:fldChar w:fldCharType="begin"/>
            </w:r>
            <w:r w:rsidR="00F54BF1">
              <w:rPr>
                <w:noProof/>
                <w:webHidden/>
              </w:rPr>
              <w:instrText xml:space="preserve"> PAGEREF _Toc19137294 \h </w:instrText>
            </w:r>
            <w:r w:rsidR="00F54BF1">
              <w:rPr>
                <w:noProof/>
                <w:webHidden/>
              </w:rPr>
            </w:r>
            <w:r w:rsidR="00F54BF1">
              <w:rPr>
                <w:noProof/>
                <w:webHidden/>
              </w:rPr>
              <w:fldChar w:fldCharType="separate"/>
            </w:r>
            <w:r w:rsidR="004215F3">
              <w:rPr>
                <w:noProof/>
                <w:webHidden/>
              </w:rPr>
              <w:t>7</w:t>
            </w:r>
            <w:r w:rsidR="00F54BF1">
              <w:rPr>
                <w:noProof/>
                <w:webHidden/>
              </w:rPr>
              <w:fldChar w:fldCharType="end"/>
            </w:r>
          </w:hyperlink>
        </w:p>
        <w:p w14:paraId="34ADE3BF" w14:textId="5C3D9C57" w:rsidR="00F54BF1" w:rsidRDefault="000F3F47">
          <w:pPr>
            <w:pStyle w:val="TOC1"/>
            <w:tabs>
              <w:tab w:val="left" w:pos="440"/>
            </w:tabs>
            <w:rPr>
              <w:rFonts w:asciiTheme="minorHAnsi" w:hAnsiTheme="minorHAnsi"/>
              <w:noProof/>
              <w:sz w:val="24"/>
              <w:szCs w:val="24"/>
              <w:lang w:eastAsia="en-US"/>
            </w:rPr>
          </w:pPr>
          <w:hyperlink w:anchor="_Toc19137295" w:history="1">
            <w:r w:rsidR="00F54BF1" w:rsidRPr="00B8107F">
              <w:rPr>
                <w:rStyle w:val="Hyperlink"/>
                <w:noProof/>
              </w:rPr>
              <w:t>1</w:t>
            </w:r>
            <w:r w:rsidR="00F54BF1">
              <w:rPr>
                <w:rFonts w:asciiTheme="minorHAnsi" w:hAnsiTheme="minorHAnsi"/>
                <w:noProof/>
                <w:sz w:val="24"/>
                <w:szCs w:val="24"/>
                <w:lang w:eastAsia="en-US"/>
              </w:rPr>
              <w:tab/>
            </w:r>
            <w:r w:rsidR="00F54BF1" w:rsidRPr="00B8107F">
              <w:rPr>
                <w:rStyle w:val="Hyperlink"/>
                <w:noProof/>
              </w:rPr>
              <w:t>Literature Review</w:t>
            </w:r>
            <w:r w:rsidR="00F54BF1">
              <w:rPr>
                <w:noProof/>
                <w:webHidden/>
              </w:rPr>
              <w:tab/>
            </w:r>
            <w:r w:rsidR="00F54BF1">
              <w:rPr>
                <w:noProof/>
                <w:webHidden/>
              </w:rPr>
              <w:fldChar w:fldCharType="begin"/>
            </w:r>
            <w:r w:rsidR="00F54BF1">
              <w:rPr>
                <w:noProof/>
                <w:webHidden/>
              </w:rPr>
              <w:instrText xml:space="preserve"> PAGEREF _Toc19137295 \h </w:instrText>
            </w:r>
            <w:r w:rsidR="00F54BF1">
              <w:rPr>
                <w:noProof/>
                <w:webHidden/>
              </w:rPr>
            </w:r>
            <w:r w:rsidR="00F54BF1">
              <w:rPr>
                <w:noProof/>
                <w:webHidden/>
              </w:rPr>
              <w:fldChar w:fldCharType="separate"/>
            </w:r>
            <w:r w:rsidR="004215F3">
              <w:rPr>
                <w:noProof/>
                <w:webHidden/>
              </w:rPr>
              <w:t>8</w:t>
            </w:r>
            <w:r w:rsidR="00F54BF1">
              <w:rPr>
                <w:noProof/>
                <w:webHidden/>
              </w:rPr>
              <w:fldChar w:fldCharType="end"/>
            </w:r>
          </w:hyperlink>
        </w:p>
        <w:p w14:paraId="0E06DB79" w14:textId="527C4CE6" w:rsidR="00F54BF1" w:rsidRDefault="000F3F47">
          <w:pPr>
            <w:pStyle w:val="TOC2"/>
            <w:rPr>
              <w:rFonts w:asciiTheme="minorHAnsi" w:hAnsiTheme="minorHAnsi"/>
              <w:noProof/>
              <w:sz w:val="24"/>
              <w:szCs w:val="24"/>
              <w:lang w:eastAsia="en-US"/>
            </w:rPr>
          </w:pPr>
          <w:hyperlink w:anchor="_Toc19137296" w:history="1">
            <w:r w:rsidR="00F54BF1" w:rsidRPr="00B8107F">
              <w:rPr>
                <w:rStyle w:val="Hyperlink"/>
                <w:noProof/>
              </w:rPr>
              <w:t>1.1.</w:t>
            </w:r>
            <w:r w:rsidR="00F54BF1">
              <w:rPr>
                <w:rFonts w:asciiTheme="minorHAnsi" w:hAnsiTheme="minorHAnsi"/>
                <w:noProof/>
                <w:sz w:val="24"/>
                <w:szCs w:val="24"/>
                <w:lang w:eastAsia="en-US"/>
              </w:rPr>
              <w:tab/>
            </w:r>
            <w:r w:rsidR="00F54BF1" w:rsidRPr="00B8107F">
              <w:rPr>
                <w:rStyle w:val="Hyperlink"/>
                <w:noProof/>
              </w:rPr>
              <w:t>State of Geothermal Electricity</w:t>
            </w:r>
            <w:r w:rsidR="00F54BF1">
              <w:rPr>
                <w:noProof/>
                <w:webHidden/>
              </w:rPr>
              <w:tab/>
            </w:r>
            <w:r w:rsidR="00F54BF1">
              <w:rPr>
                <w:noProof/>
                <w:webHidden/>
              </w:rPr>
              <w:fldChar w:fldCharType="begin"/>
            </w:r>
            <w:r w:rsidR="00F54BF1">
              <w:rPr>
                <w:noProof/>
                <w:webHidden/>
              </w:rPr>
              <w:instrText xml:space="preserve"> PAGEREF _Toc19137296 \h </w:instrText>
            </w:r>
            <w:r w:rsidR="00F54BF1">
              <w:rPr>
                <w:noProof/>
                <w:webHidden/>
              </w:rPr>
            </w:r>
            <w:r w:rsidR="00F54BF1">
              <w:rPr>
                <w:noProof/>
                <w:webHidden/>
              </w:rPr>
              <w:fldChar w:fldCharType="separate"/>
            </w:r>
            <w:r w:rsidR="004215F3">
              <w:rPr>
                <w:noProof/>
                <w:webHidden/>
              </w:rPr>
              <w:t>8</w:t>
            </w:r>
            <w:r w:rsidR="00F54BF1">
              <w:rPr>
                <w:noProof/>
                <w:webHidden/>
              </w:rPr>
              <w:fldChar w:fldCharType="end"/>
            </w:r>
          </w:hyperlink>
        </w:p>
        <w:p w14:paraId="381E7691" w14:textId="35FC30B5" w:rsidR="00F54BF1" w:rsidRDefault="000F3F47">
          <w:pPr>
            <w:pStyle w:val="TOC3"/>
            <w:rPr>
              <w:rFonts w:asciiTheme="minorHAnsi" w:hAnsiTheme="minorHAnsi"/>
              <w:noProof/>
              <w:sz w:val="24"/>
              <w:szCs w:val="24"/>
              <w:lang w:eastAsia="en-US"/>
            </w:rPr>
          </w:pPr>
          <w:hyperlink w:anchor="_Toc19137297" w:history="1">
            <w:r w:rsidR="00F54BF1" w:rsidRPr="00B8107F">
              <w:rPr>
                <w:rStyle w:val="Hyperlink"/>
                <w:noProof/>
              </w:rPr>
              <w:t>1.1.1</w:t>
            </w:r>
            <w:r w:rsidR="00F54BF1">
              <w:rPr>
                <w:rFonts w:asciiTheme="minorHAnsi" w:hAnsiTheme="minorHAnsi"/>
                <w:noProof/>
                <w:sz w:val="24"/>
                <w:szCs w:val="24"/>
                <w:lang w:eastAsia="en-US"/>
              </w:rPr>
              <w:tab/>
            </w:r>
            <w:r w:rsidR="00F54BF1" w:rsidRPr="00B8107F">
              <w:rPr>
                <w:rStyle w:val="Hyperlink"/>
                <w:noProof/>
              </w:rPr>
              <w:t>Geothermal Energy Systems</w:t>
            </w:r>
            <w:r w:rsidR="00F54BF1">
              <w:rPr>
                <w:noProof/>
                <w:webHidden/>
              </w:rPr>
              <w:tab/>
            </w:r>
            <w:r w:rsidR="00F54BF1">
              <w:rPr>
                <w:noProof/>
                <w:webHidden/>
              </w:rPr>
              <w:fldChar w:fldCharType="begin"/>
            </w:r>
            <w:r w:rsidR="00F54BF1">
              <w:rPr>
                <w:noProof/>
                <w:webHidden/>
              </w:rPr>
              <w:instrText xml:space="preserve"> PAGEREF _Toc19137297 \h </w:instrText>
            </w:r>
            <w:r w:rsidR="00F54BF1">
              <w:rPr>
                <w:noProof/>
                <w:webHidden/>
              </w:rPr>
            </w:r>
            <w:r w:rsidR="00F54BF1">
              <w:rPr>
                <w:noProof/>
                <w:webHidden/>
              </w:rPr>
              <w:fldChar w:fldCharType="separate"/>
            </w:r>
            <w:r w:rsidR="004215F3">
              <w:rPr>
                <w:noProof/>
                <w:webHidden/>
              </w:rPr>
              <w:t>8</w:t>
            </w:r>
            <w:r w:rsidR="00F54BF1">
              <w:rPr>
                <w:noProof/>
                <w:webHidden/>
              </w:rPr>
              <w:fldChar w:fldCharType="end"/>
            </w:r>
          </w:hyperlink>
        </w:p>
        <w:p w14:paraId="03B768B4" w14:textId="6B72F8D4" w:rsidR="00F54BF1" w:rsidRDefault="000F3F47">
          <w:pPr>
            <w:pStyle w:val="TOC3"/>
            <w:rPr>
              <w:rFonts w:asciiTheme="minorHAnsi" w:hAnsiTheme="minorHAnsi"/>
              <w:noProof/>
              <w:sz w:val="24"/>
              <w:szCs w:val="24"/>
              <w:lang w:eastAsia="en-US"/>
            </w:rPr>
          </w:pPr>
          <w:hyperlink w:anchor="_Toc19137298" w:history="1">
            <w:r w:rsidR="00F54BF1" w:rsidRPr="00B8107F">
              <w:rPr>
                <w:rStyle w:val="Hyperlink"/>
                <w:noProof/>
              </w:rPr>
              <w:t>1.1.2</w:t>
            </w:r>
            <w:r w:rsidR="00F54BF1">
              <w:rPr>
                <w:rFonts w:asciiTheme="minorHAnsi" w:hAnsiTheme="minorHAnsi"/>
                <w:noProof/>
                <w:sz w:val="24"/>
                <w:szCs w:val="24"/>
                <w:lang w:eastAsia="en-US"/>
              </w:rPr>
              <w:tab/>
            </w:r>
            <w:r w:rsidR="00F54BF1" w:rsidRPr="00B8107F">
              <w:rPr>
                <w:rStyle w:val="Hyperlink"/>
                <w:noProof/>
              </w:rPr>
              <w:t>Gases in Geothermal Fluids</w:t>
            </w:r>
            <w:r w:rsidR="00F54BF1">
              <w:rPr>
                <w:noProof/>
                <w:webHidden/>
              </w:rPr>
              <w:tab/>
            </w:r>
            <w:r w:rsidR="00F54BF1">
              <w:rPr>
                <w:noProof/>
                <w:webHidden/>
              </w:rPr>
              <w:fldChar w:fldCharType="begin"/>
            </w:r>
            <w:r w:rsidR="00F54BF1">
              <w:rPr>
                <w:noProof/>
                <w:webHidden/>
              </w:rPr>
              <w:instrText xml:space="preserve"> PAGEREF _Toc19137298 \h </w:instrText>
            </w:r>
            <w:r w:rsidR="00F54BF1">
              <w:rPr>
                <w:noProof/>
                <w:webHidden/>
              </w:rPr>
            </w:r>
            <w:r w:rsidR="00F54BF1">
              <w:rPr>
                <w:noProof/>
                <w:webHidden/>
              </w:rPr>
              <w:fldChar w:fldCharType="separate"/>
            </w:r>
            <w:r w:rsidR="004215F3">
              <w:rPr>
                <w:noProof/>
                <w:webHidden/>
              </w:rPr>
              <w:t>10</w:t>
            </w:r>
            <w:r w:rsidR="00F54BF1">
              <w:rPr>
                <w:noProof/>
                <w:webHidden/>
              </w:rPr>
              <w:fldChar w:fldCharType="end"/>
            </w:r>
          </w:hyperlink>
        </w:p>
        <w:p w14:paraId="2E387491" w14:textId="14900AB5" w:rsidR="00F54BF1" w:rsidRDefault="000F3F47">
          <w:pPr>
            <w:pStyle w:val="TOC2"/>
            <w:rPr>
              <w:rFonts w:asciiTheme="minorHAnsi" w:hAnsiTheme="minorHAnsi"/>
              <w:noProof/>
              <w:sz w:val="24"/>
              <w:szCs w:val="24"/>
              <w:lang w:eastAsia="en-US"/>
            </w:rPr>
          </w:pPr>
          <w:hyperlink w:anchor="_Toc19137299" w:history="1">
            <w:r w:rsidR="00F54BF1" w:rsidRPr="00B8107F">
              <w:rPr>
                <w:rStyle w:val="Hyperlink"/>
                <w:noProof/>
              </w:rPr>
              <w:t>1.2.</w:t>
            </w:r>
            <w:r w:rsidR="00F54BF1">
              <w:rPr>
                <w:rFonts w:asciiTheme="minorHAnsi" w:hAnsiTheme="minorHAnsi"/>
                <w:noProof/>
                <w:sz w:val="24"/>
                <w:szCs w:val="24"/>
                <w:lang w:eastAsia="en-US"/>
              </w:rPr>
              <w:tab/>
            </w:r>
            <w:r w:rsidR="00F54BF1" w:rsidRPr="00B8107F">
              <w:rPr>
                <w:rStyle w:val="Hyperlink"/>
                <w:noProof/>
              </w:rPr>
              <w:t>Adoption Path</w:t>
            </w:r>
            <w:r w:rsidR="00F54BF1">
              <w:rPr>
                <w:noProof/>
                <w:webHidden/>
              </w:rPr>
              <w:tab/>
            </w:r>
            <w:r w:rsidR="00F54BF1">
              <w:rPr>
                <w:noProof/>
                <w:webHidden/>
              </w:rPr>
              <w:fldChar w:fldCharType="begin"/>
            </w:r>
            <w:r w:rsidR="00F54BF1">
              <w:rPr>
                <w:noProof/>
                <w:webHidden/>
              </w:rPr>
              <w:instrText xml:space="preserve"> PAGEREF _Toc19137299 \h </w:instrText>
            </w:r>
            <w:r w:rsidR="00F54BF1">
              <w:rPr>
                <w:noProof/>
                <w:webHidden/>
              </w:rPr>
            </w:r>
            <w:r w:rsidR="00F54BF1">
              <w:rPr>
                <w:noProof/>
                <w:webHidden/>
              </w:rPr>
              <w:fldChar w:fldCharType="separate"/>
            </w:r>
            <w:r w:rsidR="004215F3">
              <w:rPr>
                <w:noProof/>
                <w:webHidden/>
              </w:rPr>
              <w:t>15</w:t>
            </w:r>
            <w:r w:rsidR="00F54BF1">
              <w:rPr>
                <w:noProof/>
                <w:webHidden/>
              </w:rPr>
              <w:fldChar w:fldCharType="end"/>
            </w:r>
          </w:hyperlink>
        </w:p>
        <w:p w14:paraId="46DCBAD6" w14:textId="245C8B2F" w:rsidR="00F54BF1" w:rsidRDefault="000F3F47">
          <w:pPr>
            <w:pStyle w:val="TOC3"/>
            <w:rPr>
              <w:rFonts w:asciiTheme="minorHAnsi" w:hAnsiTheme="minorHAnsi"/>
              <w:noProof/>
              <w:sz w:val="24"/>
              <w:szCs w:val="24"/>
              <w:lang w:eastAsia="en-US"/>
            </w:rPr>
          </w:pPr>
          <w:hyperlink w:anchor="_Toc19137300" w:history="1">
            <w:r w:rsidR="00F54BF1" w:rsidRPr="00B8107F">
              <w:rPr>
                <w:rStyle w:val="Hyperlink"/>
                <w:noProof/>
              </w:rPr>
              <w:t>1.2.1.</w:t>
            </w:r>
            <w:r w:rsidR="00F54BF1">
              <w:rPr>
                <w:rFonts w:asciiTheme="minorHAnsi" w:hAnsiTheme="minorHAnsi"/>
                <w:noProof/>
                <w:sz w:val="24"/>
                <w:szCs w:val="24"/>
                <w:lang w:eastAsia="en-US"/>
              </w:rPr>
              <w:tab/>
            </w:r>
            <w:r w:rsidR="00F54BF1" w:rsidRPr="00B8107F">
              <w:rPr>
                <w:rStyle w:val="Hyperlink"/>
                <w:noProof/>
              </w:rPr>
              <w:t>Current Adoption</w:t>
            </w:r>
            <w:r w:rsidR="00F54BF1">
              <w:rPr>
                <w:noProof/>
                <w:webHidden/>
              </w:rPr>
              <w:tab/>
            </w:r>
            <w:r w:rsidR="00F54BF1">
              <w:rPr>
                <w:noProof/>
                <w:webHidden/>
              </w:rPr>
              <w:fldChar w:fldCharType="begin"/>
            </w:r>
            <w:r w:rsidR="00F54BF1">
              <w:rPr>
                <w:noProof/>
                <w:webHidden/>
              </w:rPr>
              <w:instrText xml:space="preserve"> PAGEREF _Toc19137300 \h </w:instrText>
            </w:r>
            <w:r w:rsidR="00F54BF1">
              <w:rPr>
                <w:noProof/>
                <w:webHidden/>
              </w:rPr>
            </w:r>
            <w:r w:rsidR="00F54BF1">
              <w:rPr>
                <w:noProof/>
                <w:webHidden/>
              </w:rPr>
              <w:fldChar w:fldCharType="separate"/>
            </w:r>
            <w:r w:rsidR="004215F3">
              <w:rPr>
                <w:noProof/>
                <w:webHidden/>
              </w:rPr>
              <w:t>15</w:t>
            </w:r>
            <w:r w:rsidR="00F54BF1">
              <w:rPr>
                <w:noProof/>
                <w:webHidden/>
              </w:rPr>
              <w:fldChar w:fldCharType="end"/>
            </w:r>
          </w:hyperlink>
        </w:p>
        <w:p w14:paraId="1CF88D9E" w14:textId="0BD87863" w:rsidR="00F54BF1" w:rsidRDefault="000F3F47">
          <w:pPr>
            <w:pStyle w:val="TOC3"/>
            <w:rPr>
              <w:rFonts w:asciiTheme="minorHAnsi" w:hAnsiTheme="minorHAnsi"/>
              <w:noProof/>
              <w:sz w:val="24"/>
              <w:szCs w:val="24"/>
              <w:lang w:eastAsia="en-US"/>
            </w:rPr>
          </w:pPr>
          <w:hyperlink w:anchor="_Toc19137301" w:history="1">
            <w:r w:rsidR="00F54BF1" w:rsidRPr="00B8107F">
              <w:rPr>
                <w:rStyle w:val="Hyperlink"/>
                <w:noProof/>
              </w:rPr>
              <w:t>1.2.2.</w:t>
            </w:r>
            <w:r w:rsidR="00F54BF1">
              <w:rPr>
                <w:rFonts w:asciiTheme="minorHAnsi" w:hAnsiTheme="minorHAnsi"/>
                <w:noProof/>
                <w:sz w:val="24"/>
                <w:szCs w:val="24"/>
                <w:lang w:eastAsia="en-US"/>
              </w:rPr>
              <w:tab/>
            </w:r>
            <w:r w:rsidR="00F54BF1" w:rsidRPr="00B8107F">
              <w:rPr>
                <w:rStyle w:val="Hyperlink"/>
                <w:noProof/>
              </w:rPr>
              <w:t>Trends to Accelerate Adoption</w:t>
            </w:r>
            <w:r w:rsidR="00F54BF1">
              <w:rPr>
                <w:noProof/>
                <w:webHidden/>
              </w:rPr>
              <w:tab/>
            </w:r>
            <w:r w:rsidR="00F54BF1">
              <w:rPr>
                <w:noProof/>
                <w:webHidden/>
              </w:rPr>
              <w:fldChar w:fldCharType="begin"/>
            </w:r>
            <w:r w:rsidR="00F54BF1">
              <w:rPr>
                <w:noProof/>
                <w:webHidden/>
              </w:rPr>
              <w:instrText xml:space="preserve"> PAGEREF _Toc19137301 \h </w:instrText>
            </w:r>
            <w:r w:rsidR="00F54BF1">
              <w:rPr>
                <w:noProof/>
                <w:webHidden/>
              </w:rPr>
            </w:r>
            <w:r w:rsidR="00F54BF1">
              <w:rPr>
                <w:noProof/>
                <w:webHidden/>
              </w:rPr>
              <w:fldChar w:fldCharType="separate"/>
            </w:r>
            <w:r w:rsidR="004215F3">
              <w:rPr>
                <w:noProof/>
                <w:webHidden/>
              </w:rPr>
              <w:t>16</w:t>
            </w:r>
            <w:r w:rsidR="00F54BF1">
              <w:rPr>
                <w:noProof/>
                <w:webHidden/>
              </w:rPr>
              <w:fldChar w:fldCharType="end"/>
            </w:r>
          </w:hyperlink>
        </w:p>
        <w:p w14:paraId="065DB321" w14:textId="03E8D08A" w:rsidR="00F54BF1" w:rsidRDefault="000F3F47">
          <w:pPr>
            <w:pStyle w:val="TOC3"/>
            <w:rPr>
              <w:rFonts w:asciiTheme="minorHAnsi" w:hAnsiTheme="minorHAnsi"/>
              <w:noProof/>
              <w:sz w:val="24"/>
              <w:szCs w:val="24"/>
              <w:lang w:eastAsia="en-US"/>
            </w:rPr>
          </w:pPr>
          <w:hyperlink w:anchor="_Toc19137302" w:history="1">
            <w:r w:rsidR="00F54BF1" w:rsidRPr="00B8107F">
              <w:rPr>
                <w:rStyle w:val="Hyperlink"/>
                <w:noProof/>
              </w:rPr>
              <w:t>1.2.3.</w:t>
            </w:r>
            <w:r w:rsidR="00F54BF1">
              <w:rPr>
                <w:rFonts w:asciiTheme="minorHAnsi" w:hAnsiTheme="minorHAnsi"/>
                <w:noProof/>
                <w:sz w:val="24"/>
                <w:szCs w:val="24"/>
                <w:lang w:eastAsia="en-US"/>
              </w:rPr>
              <w:tab/>
            </w:r>
            <w:r w:rsidR="00F54BF1" w:rsidRPr="00B8107F">
              <w:rPr>
                <w:rStyle w:val="Hyperlink"/>
                <w:noProof/>
              </w:rPr>
              <w:t>Barriers to Adoption</w:t>
            </w:r>
            <w:r w:rsidR="00F54BF1">
              <w:rPr>
                <w:noProof/>
                <w:webHidden/>
              </w:rPr>
              <w:tab/>
            </w:r>
            <w:r w:rsidR="00F54BF1">
              <w:rPr>
                <w:noProof/>
                <w:webHidden/>
              </w:rPr>
              <w:fldChar w:fldCharType="begin"/>
            </w:r>
            <w:r w:rsidR="00F54BF1">
              <w:rPr>
                <w:noProof/>
                <w:webHidden/>
              </w:rPr>
              <w:instrText xml:space="preserve"> PAGEREF _Toc19137302 \h </w:instrText>
            </w:r>
            <w:r w:rsidR="00F54BF1">
              <w:rPr>
                <w:noProof/>
                <w:webHidden/>
              </w:rPr>
            </w:r>
            <w:r w:rsidR="00F54BF1">
              <w:rPr>
                <w:noProof/>
                <w:webHidden/>
              </w:rPr>
              <w:fldChar w:fldCharType="separate"/>
            </w:r>
            <w:r w:rsidR="004215F3">
              <w:rPr>
                <w:noProof/>
                <w:webHidden/>
              </w:rPr>
              <w:t>17</w:t>
            </w:r>
            <w:r w:rsidR="00F54BF1">
              <w:rPr>
                <w:noProof/>
                <w:webHidden/>
              </w:rPr>
              <w:fldChar w:fldCharType="end"/>
            </w:r>
          </w:hyperlink>
        </w:p>
        <w:p w14:paraId="53ADAC77" w14:textId="176A3800" w:rsidR="00F54BF1" w:rsidRDefault="000F3F47">
          <w:pPr>
            <w:pStyle w:val="TOC3"/>
            <w:rPr>
              <w:rFonts w:asciiTheme="minorHAnsi" w:hAnsiTheme="minorHAnsi"/>
              <w:noProof/>
              <w:sz w:val="24"/>
              <w:szCs w:val="24"/>
              <w:lang w:eastAsia="en-US"/>
            </w:rPr>
          </w:pPr>
          <w:hyperlink w:anchor="_Toc19137303" w:history="1">
            <w:r w:rsidR="00F54BF1" w:rsidRPr="00B8107F">
              <w:rPr>
                <w:rStyle w:val="Hyperlink"/>
                <w:noProof/>
              </w:rPr>
              <w:t>1.2.4.</w:t>
            </w:r>
            <w:r w:rsidR="00F54BF1">
              <w:rPr>
                <w:rFonts w:asciiTheme="minorHAnsi" w:hAnsiTheme="minorHAnsi"/>
                <w:noProof/>
                <w:sz w:val="24"/>
                <w:szCs w:val="24"/>
                <w:lang w:eastAsia="en-US"/>
              </w:rPr>
              <w:tab/>
            </w:r>
            <w:r w:rsidR="00F54BF1" w:rsidRPr="00B8107F">
              <w:rPr>
                <w:rStyle w:val="Hyperlink"/>
                <w:noProof/>
              </w:rPr>
              <w:t>Adoption Potential</w:t>
            </w:r>
            <w:r w:rsidR="00F54BF1">
              <w:rPr>
                <w:noProof/>
                <w:webHidden/>
              </w:rPr>
              <w:tab/>
            </w:r>
            <w:r w:rsidR="00F54BF1">
              <w:rPr>
                <w:noProof/>
                <w:webHidden/>
              </w:rPr>
              <w:fldChar w:fldCharType="begin"/>
            </w:r>
            <w:r w:rsidR="00F54BF1">
              <w:rPr>
                <w:noProof/>
                <w:webHidden/>
              </w:rPr>
              <w:instrText xml:space="preserve"> PAGEREF _Toc19137303 \h </w:instrText>
            </w:r>
            <w:r w:rsidR="00F54BF1">
              <w:rPr>
                <w:noProof/>
                <w:webHidden/>
              </w:rPr>
            </w:r>
            <w:r w:rsidR="00F54BF1">
              <w:rPr>
                <w:noProof/>
                <w:webHidden/>
              </w:rPr>
              <w:fldChar w:fldCharType="separate"/>
            </w:r>
            <w:r w:rsidR="004215F3">
              <w:rPr>
                <w:noProof/>
                <w:webHidden/>
              </w:rPr>
              <w:t>18</w:t>
            </w:r>
            <w:r w:rsidR="00F54BF1">
              <w:rPr>
                <w:noProof/>
                <w:webHidden/>
              </w:rPr>
              <w:fldChar w:fldCharType="end"/>
            </w:r>
          </w:hyperlink>
        </w:p>
        <w:p w14:paraId="48BE22E7" w14:textId="4FB846D4" w:rsidR="00F54BF1" w:rsidRDefault="000F3F47">
          <w:pPr>
            <w:pStyle w:val="TOC2"/>
            <w:rPr>
              <w:rFonts w:asciiTheme="minorHAnsi" w:hAnsiTheme="minorHAnsi"/>
              <w:noProof/>
              <w:sz w:val="24"/>
              <w:szCs w:val="24"/>
              <w:lang w:eastAsia="en-US"/>
            </w:rPr>
          </w:pPr>
          <w:hyperlink w:anchor="_Toc19137304" w:history="1">
            <w:r w:rsidR="00F54BF1" w:rsidRPr="00B8107F">
              <w:rPr>
                <w:rStyle w:val="Hyperlink"/>
                <w:noProof/>
              </w:rPr>
              <w:t>1.3</w:t>
            </w:r>
            <w:r w:rsidR="00F54BF1">
              <w:rPr>
                <w:rFonts w:asciiTheme="minorHAnsi" w:hAnsiTheme="minorHAnsi"/>
                <w:noProof/>
                <w:sz w:val="24"/>
                <w:szCs w:val="24"/>
                <w:lang w:eastAsia="en-US"/>
              </w:rPr>
              <w:tab/>
            </w:r>
            <w:r w:rsidR="00F54BF1" w:rsidRPr="00B8107F">
              <w:rPr>
                <w:rStyle w:val="Hyperlink"/>
                <w:noProof/>
              </w:rPr>
              <w:t>Advantages and disadvantages of Geothermal Power Systems</w:t>
            </w:r>
            <w:r w:rsidR="00F54BF1">
              <w:rPr>
                <w:noProof/>
                <w:webHidden/>
              </w:rPr>
              <w:tab/>
            </w:r>
            <w:r w:rsidR="00F54BF1">
              <w:rPr>
                <w:noProof/>
                <w:webHidden/>
              </w:rPr>
              <w:fldChar w:fldCharType="begin"/>
            </w:r>
            <w:r w:rsidR="00F54BF1">
              <w:rPr>
                <w:noProof/>
                <w:webHidden/>
              </w:rPr>
              <w:instrText xml:space="preserve"> PAGEREF _Toc19137304 \h </w:instrText>
            </w:r>
            <w:r w:rsidR="00F54BF1">
              <w:rPr>
                <w:noProof/>
                <w:webHidden/>
              </w:rPr>
            </w:r>
            <w:r w:rsidR="00F54BF1">
              <w:rPr>
                <w:noProof/>
                <w:webHidden/>
              </w:rPr>
              <w:fldChar w:fldCharType="separate"/>
            </w:r>
            <w:r w:rsidR="004215F3">
              <w:rPr>
                <w:noProof/>
                <w:webHidden/>
              </w:rPr>
              <w:t>19</w:t>
            </w:r>
            <w:r w:rsidR="00F54BF1">
              <w:rPr>
                <w:noProof/>
                <w:webHidden/>
              </w:rPr>
              <w:fldChar w:fldCharType="end"/>
            </w:r>
          </w:hyperlink>
        </w:p>
        <w:p w14:paraId="414DD14F" w14:textId="225CE0A5" w:rsidR="00F54BF1" w:rsidRDefault="000F3F47">
          <w:pPr>
            <w:pStyle w:val="TOC3"/>
            <w:rPr>
              <w:rFonts w:asciiTheme="minorHAnsi" w:hAnsiTheme="minorHAnsi"/>
              <w:noProof/>
              <w:sz w:val="24"/>
              <w:szCs w:val="24"/>
              <w:lang w:eastAsia="en-US"/>
            </w:rPr>
          </w:pPr>
          <w:hyperlink w:anchor="_Toc19137305" w:history="1">
            <w:r w:rsidR="00F54BF1" w:rsidRPr="00B8107F">
              <w:rPr>
                <w:rStyle w:val="Hyperlink"/>
                <w:noProof/>
              </w:rPr>
              <w:t>1.3.1</w:t>
            </w:r>
            <w:r w:rsidR="00F54BF1">
              <w:rPr>
                <w:rFonts w:asciiTheme="minorHAnsi" w:hAnsiTheme="minorHAnsi"/>
                <w:noProof/>
                <w:sz w:val="24"/>
                <w:szCs w:val="24"/>
                <w:lang w:eastAsia="en-US"/>
              </w:rPr>
              <w:tab/>
            </w:r>
            <w:r w:rsidR="00F54BF1" w:rsidRPr="00B8107F">
              <w:rPr>
                <w:rStyle w:val="Hyperlink"/>
                <w:noProof/>
              </w:rPr>
              <w:t>Similar Solutions</w:t>
            </w:r>
            <w:r w:rsidR="00F54BF1">
              <w:rPr>
                <w:noProof/>
                <w:webHidden/>
              </w:rPr>
              <w:tab/>
            </w:r>
            <w:r w:rsidR="00F54BF1">
              <w:rPr>
                <w:noProof/>
                <w:webHidden/>
              </w:rPr>
              <w:fldChar w:fldCharType="begin"/>
            </w:r>
            <w:r w:rsidR="00F54BF1">
              <w:rPr>
                <w:noProof/>
                <w:webHidden/>
              </w:rPr>
              <w:instrText xml:space="preserve"> PAGEREF _Toc19137305 \h </w:instrText>
            </w:r>
            <w:r w:rsidR="00F54BF1">
              <w:rPr>
                <w:noProof/>
                <w:webHidden/>
              </w:rPr>
            </w:r>
            <w:r w:rsidR="00F54BF1">
              <w:rPr>
                <w:noProof/>
                <w:webHidden/>
              </w:rPr>
              <w:fldChar w:fldCharType="separate"/>
            </w:r>
            <w:r w:rsidR="004215F3">
              <w:rPr>
                <w:noProof/>
                <w:webHidden/>
              </w:rPr>
              <w:t>19</w:t>
            </w:r>
            <w:r w:rsidR="00F54BF1">
              <w:rPr>
                <w:noProof/>
                <w:webHidden/>
              </w:rPr>
              <w:fldChar w:fldCharType="end"/>
            </w:r>
          </w:hyperlink>
        </w:p>
        <w:p w14:paraId="616391EC" w14:textId="03E5C93C" w:rsidR="00F54BF1" w:rsidRDefault="000F3F47">
          <w:pPr>
            <w:pStyle w:val="TOC3"/>
            <w:rPr>
              <w:rFonts w:asciiTheme="minorHAnsi" w:hAnsiTheme="minorHAnsi"/>
              <w:noProof/>
              <w:sz w:val="24"/>
              <w:szCs w:val="24"/>
              <w:lang w:eastAsia="en-US"/>
            </w:rPr>
          </w:pPr>
          <w:hyperlink w:anchor="_Toc19137306" w:history="1">
            <w:r w:rsidR="00F54BF1" w:rsidRPr="00B8107F">
              <w:rPr>
                <w:rStyle w:val="Hyperlink"/>
                <w:noProof/>
              </w:rPr>
              <w:t>1.3.2</w:t>
            </w:r>
            <w:r w:rsidR="00F54BF1">
              <w:rPr>
                <w:rFonts w:asciiTheme="minorHAnsi" w:hAnsiTheme="minorHAnsi"/>
                <w:noProof/>
                <w:sz w:val="24"/>
                <w:szCs w:val="24"/>
                <w:lang w:eastAsia="en-US"/>
              </w:rPr>
              <w:tab/>
            </w:r>
            <w:r w:rsidR="00F54BF1" w:rsidRPr="00B8107F">
              <w:rPr>
                <w:rStyle w:val="Hyperlink"/>
                <w:noProof/>
              </w:rPr>
              <w:t>Arguments for Adoption</w:t>
            </w:r>
            <w:r w:rsidR="00F54BF1">
              <w:rPr>
                <w:noProof/>
                <w:webHidden/>
              </w:rPr>
              <w:tab/>
            </w:r>
            <w:r w:rsidR="00F54BF1">
              <w:rPr>
                <w:noProof/>
                <w:webHidden/>
              </w:rPr>
              <w:fldChar w:fldCharType="begin"/>
            </w:r>
            <w:r w:rsidR="00F54BF1">
              <w:rPr>
                <w:noProof/>
                <w:webHidden/>
              </w:rPr>
              <w:instrText xml:space="preserve"> PAGEREF _Toc19137306 \h </w:instrText>
            </w:r>
            <w:r w:rsidR="00F54BF1">
              <w:rPr>
                <w:noProof/>
                <w:webHidden/>
              </w:rPr>
            </w:r>
            <w:r w:rsidR="00F54BF1">
              <w:rPr>
                <w:noProof/>
                <w:webHidden/>
              </w:rPr>
              <w:fldChar w:fldCharType="separate"/>
            </w:r>
            <w:r w:rsidR="004215F3">
              <w:rPr>
                <w:noProof/>
                <w:webHidden/>
              </w:rPr>
              <w:t>20</w:t>
            </w:r>
            <w:r w:rsidR="00F54BF1">
              <w:rPr>
                <w:noProof/>
                <w:webHidden/>
              </w:rPr>
              <w:fldChar w:fldCharType="end"/>
            </w:r>
          </w:hyperlink>
        </w:p>
        <w:p w14:paraId="43E1FCDA" w14:textId="021F0085" w:rsidR="00F54BF1" w:rsidRDefault="000F3F47">
          <w:pPr>
            <w:pStyle w:val="TOC3"/>
            <w:rPr>
              <w:rFonts w:asciiTheme="minorHAnsi" w:hAnsiTheme="minorHAnsi"/>
              <w:noProof/>
              <w:sz w:val="24"/>
              <w:szCs w:val="24"/>
              <w:lang w:eastAsia="en-US"/>
            </w:rPr>
          </w:pPr>
          <w:hyperlink w:anchor="_Toc19137307" w:history="1">
            <w:r w:rsidR="00F54BF1" w:rsidRPr="00B8107F">
              <w:rPr>
                <w:rStyle w:val="Hyperlink"/>
                <w:noProof/>
              </w:rPr>
              <w:t>1.3.3</w:t>
            </w:r>
            <w:r w:rsidR="00F54BF1">
              <w:rPr>
                <w:rFonts w:asciiTheme="minorHAnsi" w:hAnsiTheme="minorHAnsi"/>
                <w:noProof/>
                <w:sz w:val="24"/>
                <w:szCs w:val="24"/>
                <w:lang w:eastAsia="en-US"/>
              </w:rPr>
              <w:tab/>
            </w:r>
            <w:r w:rsidR="00F54BF1" w:rsidRPr="00B8107F">
              <w:rPr>
                <w:rStyle w:val="Hyperlink"/>
                <w:noProof/>
              </w:rPr>
              <w:t>Additional Benefits and Burdens</w:t>
            </w:r>
            <w:r w:rsidR="00F54BF1">
              <w:rPr>
                <w:noProof/>
                <w:webHidden/>
              </w:rPr>
              <w:tab/>
            </w:r>
            <w:r w:rsidR="00F54BF1">
              <w:rPr>
                <w:noProof/>
                <w:webHidden/>
              </w:rPr>
              <w:fldChar w:fldCharType="begin"/>
            </w:r>
            <w:r w:rsidR="00F54BF1">
              <w:rPr>
                <w:noProof/>
                <w:webHidden/>
              </w:rPr>
              <w:instrText xml:space="preserve"> PAGEREF _Toc19137307 \h </w:instrText>
            </w:r>
            <w:r w:rsidR="00F54BF1">
              <w:rPr>
                <w:noProof/>
                <w:webHidden/>
              </w:rPr>
            </w:r>
            <w:r w:rsidR="00F54BF1">
              <w:rPr>
                <w:noProof/>
                <w:webHidden/>
              </w:rPr>
              <w:fldChar w:fldCharType="separate"/>
            </w:r>
            <w:r w:rsidR="004215F3">
              <w:rPr>
                <w:noProof/>
                <w:webHidden/>
              </w:rPr>
              <w:t>21</w:t>
            </w:r>
            <w:r w:rsidR="00F54BF1">
              <w:rPr>
                <w:noProof/>
                <w:webHidden/>
              </w:rPr>
              <w:fldChar w:fldCharType="end"/>
            </w:r>
          </w:hyperlink>
        </w:p>
        <w:p w14:paraId="4FAE032C" w14:textId="49DA29A5" w:rsidR="00F54BF1" w:rsidRDefault="000F3F47">
          <w:pPr>
            <w:pStyle w:val="TOC1"/>
            <w:tabs>
              <w:tab w:val="left" w:pos="440"/>
            </w:tabs>
            <w:rPr>
              <w:rFonts w:asciiTheme="minorHAnsi" w:hAnsiTheme="minorHAnsi"/>
              <w:noProof/>
              <w:sz w:val="24"/>
              <w:szCs w:val="24"/>
              <w:lang w:eastAsia="en-US"/>
            </w:rPr>
          </w:pPr>
          <w:hyperlink w:anchor="_Toc19137308" w:history="1">
            <w:r w:rsidR="00F54BF1" w:rsidRPr="00B8107F">
              <w:rPr>
                <w:rStyle w:val="Hyperlink"/>
                <w:noProof/>
              </w:rPr>
              <w:t>2</w:t>
            </w:r>
            <w:r w:rsidR="00F54BF1">
              <w:rPr>
                <w:rFonts w:asciiTheme="minorHAnsi" w:hAnsiTheme="minorHAnsi"/>
                <w:noProof/>
                <w:sz w:val="24"/>
                <w:szCs w:val="24"/>
                <w:lang w:eastAsia="en-US"/>
              </w:rPr>
              <w:tab/>
            </w:r>
            <w:r w:rsidR="00F54BF1" w:rsidRPr="00B8107F">
              <w:rPr>
                <w:rStyle w:val="Hyperlink"/>
                <w:noProof/>
              </w:rPr>
              <w:t>Methodology</w:t>
            </w:r>
            <w:r w:rsidR="00F54BF1">
              <w:rPr>
                <w:noProof/>
                <w:webHidden/>
              </w:rPr>
              <w:tab/>
            </w:r>
            <w:r w:rsidR="00F54BF1">
              <w:rPr>
                <w:noProof/>
                <w:webHidden/>
              </w:rPr>
              <w:fldChar w:fldCharType="begin"/>
            </w:r>
            <w:r w:rsidR="00F54BF1">
              <w:rPr>
                <w:noProof/>
                <w:webHidden/>
              </w:rPr>
              <w:instrText xml:space="preserve"> PAGEREF _Toc19137308 \h </w:instrText>
            </w:r>
            <w:r w:rsidR="00F54BF1">
              <w:rPr>
                <w:noProof/>
                <w:webHidden/>
              </w:rPr>
            </w:r>
            <w:r w:rsidR="00F54BF1">
              <w:rPr>
                <w:noProof/>
                <w:webHidden/>
              </w:rPr>
              <w:fldChar w:fldCharType="separate"/>
            </w:r>
            <w:r w:rsidR="004215F3">
              <w:rPr>
                <w:noProof/>
                <w:webHidden/>
              </w:rPr>
              <w:t>23</w:t>
            </w:r>
            <w:r w:rsidR="00F54BF1">
              <w:rPr>
                <w:noProof/>
                <w:webHidden/>
              </w:rPr>
              <w:fldChar w:fldCharType="end"/>
            </w:r>
          </w:hyperlink>
        </w:p>
        <w:p w14:paraId="61BC8FDD" w14:textId="1FB6FF7B" w:rsidR="00F54BF1" w:rsidRDefault="000F3F47">
          <w:pPr>
            <w:pStyle w:val="TOC2"/>
            <w:rPr>
              <w:rFonts w:asciiTheme="minorHAnsi" w:hAnsiTheme="minorHAnsi"/>
              <w:noProof/>
              <w:sz w:val="24"/>
              <w:szCs w:val="24"/>
              <w:lang w:eastAsia="en-US"/>
            </w:rPr>
          </w:pPr>
          <w:hyperlink w:anchor="_Toc19137309" w:history="1">
            <w:r w:rsidR="00F54BF1" w:rsidRPr="00B8107F">
              <w:rPr>
                <w:rStyle w:val="Hyperlink"/>
                <w:noProof/>
              </w:rPr>
              <w:t>2.1</w:t>
            </w:r>
            <w:r w:rsidR="00F54BF1">
              <w:rPr>
                <w:rFonts w:asciiTheme="minorHAnsi" w:hAnsiTheme="minorHAnsi"/>
                <w:noProof/>
                <w:sz w:val="24"/>
                <w:szCs w:val="24"/>
                <w:lang w:eastAsia="en-US"/>
              </w:rPr>
              <w:tab/>
            </w:r>
            <w:r w:rsidR="00F54BF1" w:rsidRPr="00B8107F">
              <w:rPr>
                <w:rStyle w:val="Hyperlink"/>
                <w:noProof/>
              </w:rPr>
              <w:t>Introduction</w:t>
            </w:r>
            <w:r w:rsidR="00F54BF1">
              <w:rPr>
                <w:noProof/>
                <w:webHidden/>
              </w:rPr>
              <w:tab/>
            </w:r>
            <w:r w:rsidR="00F54BF1">
              <w:rPr>
                <w:noProof/>
                <w:webHidden/>
              </w:rPr>
              <w:fldChar w:fldCharType="begin"/>
            </w:r>
            <w:r w:rsidR="00F54BF1">
              <w:rPr>
                <w:noProof/>
                <w:webHidden/>
              </w:rPr>
              <w:instrText xml:space="preserve"> PAGEREF _Toc19137309 \h </w:instrText>
            </w:r>
            <w:r w:rsidR="00F54BF1">
              <w:rPr>
                <w:noProof/>
                <w:webHidden/>
              </w:rPr>
            </w:r>
            <w:r w:rsidR="00F54BF1">
              <w:rPr>
                <w:noProof/>
                <w:webHidden/>
              </w:rPr>
              <w:fldChar w:fldCharType="separate"/>
            </w:r>
            <w:r w:rsidR="004215F3">
              <w:rPr>
                <w:noProof/>
                <w:webHidden/>
              </w:rPr>
              <w:t>23</w:t>
            </w:r>
            <w:r w:rsidR="00F54BF1">
              <w:rPr>
                <w:noProof/>
                <w:webHidden/>
              </w:rPr>
              <w:fldChar w:fldCharType="end"/>
            </w:r>
          </w:hyperlink>
        </w:p>
        <w:p w14:paraId="19E80C2C" w14:textId="76B9DDE8" w:rsidR="00F54BF1" w:rsidRDefault="000F3F47">
          <w:pPr>
            <w:pStyle w:val="TOC2"/>
            <w:rPr>
              <w:rFonts w:asciiTheme="minorHAnsi" w:hAnsiTheme="minorHAnsi"/>
              <w:noProof/>
              <w:sz w:val="24"/>
              <w:szCs w:val="24"/>
              <w:lang w:eastAsia="en-US"/>
            </w:rPr>
          </w:pPr>
          <w:hyperlink w:anchor="_Toc19137310" w:history="1">
            <w:r w:rsidR="00F54BF1" w:rsidRPr="00B8107F">
              <w:rPr>
                <w:rStyle w:val="Hyperlink"/>
                <w:noProof/>
              </w:rPr>
              <w:t>2.2</w:t>
            </w:r>
            <w:r w:rsidR="00F54BF1">
              <w:rPr>
                <w:rFonts w:asciiTheme="minorHAnsi" w:hAnsiTheme="minorHAnsi"/>
                <w:noProof/>
                <w:sz w:val="24"/>
                <w:szCs w:val="24"/>
                <w:lang w:eastAsia="en-US"/>
              </w:rPr>
              <w:tab/>
            </w:r>
            <w:r w:rsidR="00F54BF1" w:rsidRPr="00B8107F">
              <w:rPr>
                <w:rStyle w:val="Hyperlink"/>
                <w:noProof/>
              </w:rPr>
              <w:t>Data Sources</w:t>
            </w:r>
            <w:r w:rsidR="00F54BF1">
              <w:rPr>
                <w:noProof/>
                <w:webHidden/>
              </w:rPr>
              <w:tab/>
            </w:r>
            <w:r w:rsidR="00F54BF1">
              <w:rPr>
                <w:noProof/>
                <w:webHidden/>
              </w:rPr>
              <w:fldChar w:fldCharType="begin"/>
            </w:r>
            <w:r w:rsidR="00F54BF1">
              <w:rPr>
                <w:noProof/>
                <w:webHidden/>
              </w:rPr>
              <w:instrText xml:space="preserve"> PAGEREF _Toc19137310 \h </w:instrText>
            </w:r>
            <w:r w:rsidR="00F54BF1">
              <w:rPr>
                <w:noProof/>
                <w:webHidden/>
              </w:rPr>
            </w:r>
            <w:r w:rsidR="00F54BF1">
              <w:rPr>
                <w:noProof/>
                <w:webHidden/>
              </w:rPr>
              <w:fldChar w:fldCharType="separate"/>
            </w:r>
            <w:r w:rsidR="004215F3">
              <w:rPr>
                <w:noProof/>
                <w:webHidden/>
              </w:rPr>
              <w:t>24</w:t>
            </w:r>
            <w:r w:rsidR="00F54BF1">
              <w:rPr>
                <w:noProof/>
                <w:webHidden/>
              </w:rPr>
              <w:fldChar w:fldCharType="end"/>
            </w:r>
          </w:hyperlink>
        </w:p>
        <w:p w14:paraId="7627A343" w14:textId="5FD48C22" w:rsidR="00F54BF1" w:rsidRDefault="000F3F47">
          <w:pPr>
            <w:pStyle w:val="TOC2"/>
            <w:rPr>
              <w:rFonts w:asciiTheme="minorHAnsi" w:hAnsiTheme="minorHAnsi"/>
              <w:noProof/>
              <w:sz w:val="24"/>
              <w:szCs w:val="24"/>
              <w:lang w:eastAsia="en-US"/>
            </w:rPr>
          </w:pPr>
          <w:hyperlink w:anchor="_Toc19137311" w:history="1">
            <w:r w:rsidR="00F54BF1" w:rsidRPr="00B8107F">
              <w:rPr>
                <w:rStyle w:val="Hyperlink"/>
                <w:noProof/>
              </w:rPr>
              <w:t>2.3</w:t>
            </w:r>
            <w:r w:rsidR="00F54BF1">
              <w:rPr>
                <w:rFonts w:asciiTheme="minorHAnsi" w:hAnsiTheme="minorHAnsi"/>
                <w:noProof/>
                <w:sz w:val="24"/>
                <w:szCs w:val="24"/>
                <w:lang w:eastAsia="en-US"/>
              </w:rPr>
              <w:tab/>
            </w:r>
            <w:r w:rsidR="00F54BF1" w:rsidRPr="00B8107F">
              <w:rPr>
                <w:rStyle w:val="Hyperlink"/>
                <w:noProof/>
              </w:rPr>
              <w:t>Total Addressable Market</w:t>
            </w:r>
            <w:r w:rsidR="00F54BF1">
              <w:rPr>
                <w:noProof/>
                <w:webHidden/>
              </w:rPr>
              <w:tab/>
            </w:r>
            <w:r w:rsidR="00F54BF1">
              <w:rPr>
                <w:noProof/>
                <w:webHidden/>
              </w:rPr>
              <w:fldChar w:fldCharType="begin"/>
            </w:r>
            <w:r w:rsidR="00F54BF1">
              <w:rPr>
                <w:noProof/>
                <w:webHidden/>
              </w:rPr>
              <w:instrText xml:space="preserve"> PAGEREF _Toc19137311 \h </w:instrText>
            </w:r>
            <w:r w:rsidR="00F54BF1">
              <w:rPr>
                <w:noProof/>
                <w:webHidden/>
              </w:rPr>
            </w:r>
            <w:r w:rsidR="00F54BF1">
              <w:rPr>
                <w:noProof/>
                <w:webHidden/>
              </w:rPr>
              <w:fldChar w:fldCharType="separate"/>
            </w:r>
            <w:r w:rsidR="004215F3">
              <w:rPr>
                <w:noProof/>
                <w:webHidden/>
              </w:rPr>
              <w:t>26</w:t>
            </w:r>
            <w:r w:rsidR="00F54BF1">
              <w:rPr>
                <w:noProof/>
                <w:webHidden/>
              </w:rPr>
              <w:fldChar w:fldCharType="end"/>
            </w:r>
          </w:hyperlink>
        </w:p>
        <w:p w14:paraId="69AF32C7" w14:textId="0547B335" w:rsidR="00F54BF1" w:rsidRDefault="000F3F47">
          <w:pPr>
            <w:pStyle w:val="TOC2"/>
            <w:rPr>
              <w:rFonts w:asciiTheme="minorHAnsi" w:hAnsiTheme="minorHAnsi"/>
              <w:noProof/>
              <w:sz w:val="24"/>
              <w:szCs w:val="24"/>
              <w:lang w:eastAsia="en-US"/>
            </w:rPr>
          </w:pPr>
          <w:hyperlink w:anchor="_Toc19137312" w:history="1">
            <w:r w:rsidR="00F54BF1" w:rsidRPr="00B8107F">
              <w:rPr>
                <w:rStyle w:val="Hyperlink"/>
                <w:noProof/>
              </w:rPr>
              <w:t>2.4</w:t>
            </w:r>
            <w:r w:rsidR="00F54BF1">
              <w:rPr>
                <w:rFonts w:asciiTheme="minorHAnsi" w:hAnsiTheme="minorHAnsi"/>
                <w:noProof/>
                <w:sz w:val="24"/>
                <w:szCs w:val="24"/>
                <w:lang w:eastAsia="en-US"/>
              </w:rPr>
              <w:tab/>
            </w:r>
            <w:r w:rsidR="00F54BF1" w:rsidRPr="00B8107F">
              <w:rPr>
                <w:rStyle w:val="Hyperlink"/>
                <w:noProof/>
              </w:rPr>
              <w:t>Adoption Scenarios</w:t>
            </w:r>
            <w:r w:rsidR="00F54BF1">
              <w:rPr>
                <w:noProof/>
                <w:webHidden/>
              </w:rPr>
              <w:tab/>
            </w:r>
            <w:r w:rsidR="00F54BF1">
              <w:rPr>
                <w:noProof/>
                <w:webHidden/>
              </w:rPr>
              <w:fldChar w:fldCharType="begin"/>
            </w:r>
            <w:r w:rsidR="00F54BF1">
              <w:rPr>
                <w:noProof/>
                <w:webHidden/>
              </w:rPr>
              <w:instrText xml:space="preserve"> PAGEREF _Toc19137312 \h </w:instrText>
            </w:r>
            <w:r w:rsidR="00F54BF1">
              <w:rPr>
                <w:noProof/>
                <w:webHidden/>
              </w:rPr>
            </w:r>
            <w:r w:rsidR="00F54BF1">
              <w:rPr>
                <w:noProof/>
                <w:webHidden/>
              </w:rPr>
              <w:fldChar w:fldCharType="separate"/>
            </w:r>
            <w:r w:rsidR="004215F3">
              <w:rPr>
                <w:noProof/>
                <w:webHidden/>
              </w:rPr>
              <w:t>27</w:t>
            </w:r>
            <w:r w:rsidR="00F54BF1">
              <w:rPr>
                <w:noProof/>
                <w:webHidden/>
              </w:rPr>
              <w:fldChar w:fldCharType="end"/>
            </w:r>
          </w:hyperlink>
        </w:p>
        <w:p w14:paraId="013BFCCD" w14:textId="31A664E0" w:rsidR="00F54BF1" w:rsidRDefault="000F3F47">
          <w:pPr>
            <w:pStyle w:val="TOC3"/>
            <w:rPr>
              <w:rFonts w:asciiTheme="minorHAnsi" w:hAnsiTheme="minorHAnsi"/>
              <w:noProof/>
              <w:sz w:val="24"/>
              <w:szCs w:val="24"/>
              <w:lang w:eastAsia="en-US"/>
            </w:rPr>
          </w:pPr>
          <w:hyperlink w:anchor="_Toc19137313" w:history="1">
            <w:r w:rsidR="00F54BF1" w:rsidRPr="00B8107F">
              <w:rPr>
                <w:rStyle w:val="Hyperlink"/>
                <w:noProof/>
              </w:rPr>
              <w:t>2.4.1</w:t>
            </w:r>
            <w:r w:rsidR="00F54BF1">
              <w:rPr>
                <w:rFonts w:asciiTheme="minorHAnsi" w:hAnsiTheme="minorHAnsi"/>
                <w:noProof/>
                <w:sz w:val="24"/>
                <w:szCs w:val="24"/>
                <w:lang w:eastAsia="en-US"/>
              </w:rPr>
              <w:tab/>
            </w:r>
            <w:r w:rsidR="00F54BF1" w:rsidRPr="00B8107F">
              <w:rPr>
                <w:rStyle w:val="Hyperlink"/>
                <w:noProof/>
              </w:rPr>
              <w:t>Reference Case / Current Adoption</w:t>
            </w:r>
            <w:r w:rsidR="00F54BF1">
              <w:rPr>
                <w:noProof/>
                <w:webHidden/>
              </w:rPr>
              <w:tab/>
            </w:r>
            <w:r w:rsidR="00F54BF1">
              <w:rPr>
                <w:noProof/>
                <w:webHidden/>
              </w:rPr>
              <w:fldChar w:fldCharType="begin"/>
            </w:r>
            <w:r w:rsidR="00F54BF1">
              <w:rPr>
                <w:noProof/>
                <w:webHidden/>
              </w:rPr>
              <w:instrText xml:space="preserve"> PAGEREF _Toc19137313 \h </w:instrText>
            </w:r>
            <w:r w:rsidR="00F54BF1">
              <w:rPr>
                <w:noProof/>
                <w:webHidden/>
              </w:rPr>
            </w:r>
            <w:r w:rsidR="00F54BF1">
              <w:rPr>
                <w:noProof/>
                <w:webHidden/>
              </w:rPr>
              <w:fldChar w:fldCharType="separate"/>
            </w:r>
            <w:r w:rsidR="004215F3">
              <w:rPr>
                <w:noProof/>
                <w:webHidden/>
              </w:rPr>
              <w:t>27</w:t>
            </w:r>
            <w:r w:rsidR="00F54BF1">
              <w:rPr>
                <w:noProof/>
                <w:webHidden/>
              </w:rPr>
              <w:fldChar w:fldCharType="end"/>
            </w:r>
          </w:hyperlink>
        </w:p>
        <w:p w14:paraId="755DE54A" w14:textId="4E8824DD" w:rsidR="00F54BF1" w:rsidRDefault="000F3F47">
          <w:pPr>
            <w:pStyle w:val="TOC3"/>
            <w:rPr>
              <w:rFonts w:asciiTheme="minorHAnsi" w:hAnsiTheme="minorHAnsi"/>
              <w:noProof/>
              <w:sz w:val="24"/>
              <w:szCs w:val="24"/>
              <w:lang w:eastAsia="en-US"/>
            </w:rPr>
          </w:pPr>
          <w:hyperlink w:anchor="_Toc19137314" w:history="1">
            <w:r w:rsidR="00F54BF1" w:rsidRPr="00B8107F">
              <w:rPr>
                <w:rStyle w:val="Hyperlink"/>
                <w:noProof/>
              </w:rPr>
              <w:t>2.4.2</w:t>
            </w:r>
            <w:r w:rsidR="00F54BF1">
              <w:rPr>
                <w:rFonts w:asciiTheme="minorHAnsi" w:hAnsiTheme="minorHAnsi"/>
                <w:noProof/>
                <w:sz w:val="24"/>
                <w:szCs w:val="24"/>
                <w:lang w:eastAsia="en-US"/>
              </w:rPr>
              <w:tab/>
            </w:r>
            <w:r w:rsidR="00F54BF1" w:rsidRPr="00B8107F">
              <w:rPr>
                <w:rStyle w:val="Hyperlink"/>
                <w:noProof/>
              </w:rPr>
              <w:t>Project Drawdown Scenarios</w:t>
            </w:r>
            <w:r w:rsidR="00F54BF1">
              <w:rPr>
                <w:noProof/>
                <w:webHidden/>
              </w:rPr>
              <w:tab/>
            </w:r>
            <w:r w:rsidR="00F54BF1">
              <w:rPr>
                <w:noProof/>
                <w:webHidden/>
              </w:rPr>
              <w:fldChar w:fldCharType="begin"/>
            </w:r>
            <w:r w:rsidR="00F54BF1">
              <w:rPr>
                <w:noProof/>
                <w:webHidden/>
              </w:rPr>
              <w:instrText xml:space="preserve"> PAGEREF _Toc19137314 \h </w:instrText>
            </w:r>
            <w:r w:rsidR="00F54BF1">
              <w:rPr>
                <w:noProof/>
                <w:webHidden/>
              </w:rPr>
            </w:r>
            <w:r w:rsidR="00F54BF1">
              <w:rPr>
                <w:noProof/>
                <w:webHidden/>
              </w:rPr>
              <w:fldChar w:fldCharType="separate"/>
            </w:r>
            <w:r w:rsidR="004215F3">
              <w:rPr>
                <w:noProof/>
                <w:webHidden/>
              </w:rPr>
              <w:t>28</w:t>
            </w:r>
            <w:r w:rsidR="00F54BF1">
              <w:rPr>
                <w:noProof/>
                <w:webHidden/>
              </w:rPr>
              <w:fldChar w:fldCharType="end"/>
            </w:r>
          </w:hyperlink>
        </w:p>
        <w:p w14:paraId="2E323727" w14:textId="4E3E6B04" w:rsidR="00F54BF1" w:rsidRDefault="000F3F47">
          <w:pPr>
            <w:pStyle w:val="TOC2"/>
            <w:rPr>
              <w:rFonts w:asciiTheme="minorHAnsi" w:hAnsiTheme="minorHAnsi"/>
              <w:noProof/>
              <w:sz w:val="24"/>
              <w:szCs w:val="24"/>
              <w:lang w:eastAsia="en-US"/>
            </w:rPr>
          </w:pPr>
          <w:hyperlink w:anchor="_Toc19137315" w:history="1">
            <w:r w:rsidR="00F54BF1" w:rsidRPr="00B8107F">
              <w:rPr>
                <w:rStyle w:val="Hyperlink"/>
                <w:noProof/>
              </w:rPr>
              <w:t>2.5</w:t>
            </w:r>
            <w:r w:rsidR="00F54BF1">
              <w:rPr>
                <w:rFonts w:asciiTheme="minorHAnsi" w:hAnsiTheme="minorHAnsi"/>
                <w:noProof/>
                <w:sz w:val="24"/>
                <w:szCs w:val="24"/>
                <w:lang w:eastAsia="en-US"/>
              </w:rPr>
              <w:tab/>
            </w:r>
            <w:r w:rsidR="00F54BF1" w:rsidRPr="00B8107F">
              <w:rPr>
                <w:rStyle w:val="Hyperlink"/>
                <w:noProof/>
              </w:rPr>
              <w:t>Inputs</w:t>
            </w:r>
            <w:r w:rsidR="00F54BF1">
              <w:rPr>
                <w:noProof/>
                <w:webHidden/>
              </w:rPr>
              <w:tab/>
            </w:r>
            <w:r w:rsidR="00F54BF1">
              <w:rPr>
                <w:noProof/>
                <w:webHidden/>
              </w:rPr>
              <w:fldChar w:fldCharType="begin"/>
            </w:r>
            <w:r w:rsidR="00F54BF1">
              <w:rPr>
                <w:noProof/>
                <w:webHidden/>
              </w:rPr>
              <w:instrText xml:space="preserve"> PAGEREF _Toc19137315 \h </w:instrText>
            </w:r>
            <w:r w:rsidR="00F54BF1">
              <w:rPr>
                <w:noProof/>
                <w:webHidden/>
              </w:rPr>
            </w:r>
            <w:r w:rsidR="00F54BF1">
              <w:rPr>
                <w:noProof/>
                <w:webHidden/>
              </w:rPr>
              <w:fldChar w:fldCharType="separate"/>
            </w:r>
            <w:r w:rsidR="004215F3">
              <w:rPr>
                <w:noProof/>
                <w:webHidden/>
              </w:rPr>
              <w:t>29</w:t>
            </w:r>
            <w:r w:rsidR="00F54BF1">
              <w:rPr>
                <w:noProof/>
                <w:webHidden/>
              </w:rPr>
              <w:fldChar w:fldCharType="end"/>
            </w:r>
          </w:hyperlink>
        </w:p>
        <w:p w14:paraId="577AAE81" w14:textId="170608CA" w:rsidR="00F54BF1" w:rsidRDefault="000F3F47">
          <w:pPr>
            <w:pStyle w:val="TOC3"/>
            <w:rPr>
              <w:rFonts w:asciiTheme="minorHAnsi" w:hAnsiTheme="minorHAnsi"/>
              <w:noProof/>
              <w:sz w:val="24"/>
              <w:szCs w:val="24"/>
              <w:lang w:eastAsia="en-US"/>
            </w:rPr>
          </w:pPr>
          <w:hyperlink w:anchor="_Toc19137316" w:history="1">
            <w:r w:rsidR="00F54BF1" w:rsidRPr="00B8107F">
              <w:rPr>
                <w:rStyle w:val="Hyperlink"/>
                <w:noProof/>
              </w:rPr>
              <w:t>2.5.1</w:t>
            </w:r>
            <w:r w:rsidR="00F54BF1">
              <w:rPr>
                <w:rFonts w:asciiTheme="minorHAnsi" w:hAnsiTheme="minorHAnsi"/>
                <w:noProof/>
                <w:sz w:val="24"/>
                <w:szCs w:val="24"/>
                <w:lang w:eastAsia="en-US"/>
              </w:rPr>
              <w:tab/>
            </w:r>
            <w:r w:rsidR="00F54BF1" w:rsidRPr="00B8107F">
              <w:rPr>
                <w:rStyle w:val="Hyperlink"/>
                <w:noProof/>
              </w:rPr>
              <w:t>Climate Inputs</w:t>
            </w:r>
            <w:r w:rsidR="00F54BF1">
              <w:rPr>
                <w:noProof/>
                <w:webHidden/>
              </w:rPr>
              <w:tab/>
            </w:r>
            <w:r w:rsidR="00F54BF1">
              <w:rPr>
                <w:noProof/>
                <w:webHidden/>
              </w:rPr>
              <w:fldChar w:fldCharType="begin"/>
            </w:r>
            <w:r w:rsidR="00F54BF1">
              <w:rPr>
                <w:noProof/>
                <w:webHidden/>
              </w:rPr>
              <w:instrText xml:space="preserve"> PAGEREF _Toc19137316 \h </w:instrText>
            </w:r>
            <w:r w:rsidR="00F54BF1">
              <w:rPr>
                <w:noProof/>
                <w:webHidden/>
              </w:rPr>
            </w:r>
            <w:r w:rsidR="00F54BF1">
              <w:rPr>
                <w:noProof/>
                <w:webHidden/>
              </w:rPr>
              <w:fldChar w:fldCharType="separate"/>
            </w:r>
            <w:r w:rsidR="004215F3">
              <w:rPr>
                <w:noProof/>
                <w:webHidden/>
              </w:rPr>
              <w:t>29</w:t>
            </w:r>
            <w:r w:rsidR="00F54BF1">
              <w:rPr>
                <w:noProof/>
                <w:webHidden/>
              </w:rPr>
              <w:fldChar w:fldCharType="end"/>
            </w:r>
          </w:hyperlink>
        </w:p>
        <w:p w14:paraId="188574D1" w14:textId="078C78BC" w:rsidR="00F54BF1" w:rsidRDefault="000F3F47">
          <w:pPr>
            <w:pStyle w:val="TOC3"/>
            <w:rPr>
              <w:rFonts w:asciiTheme="minorHAnsi" w:hAnsiTheme="minorHAnsi"/>
              <w:noProof/>
              <w:sz w:val="24"/>
              <w:szCs w:val="24"/>
              <w:lang w:eastAsia="en-US"/>
            </w:rPr>
          </w:pPr>
          <w:hyperlink w:anchor="_Toc19137317" w:history="1">
            <w:r w:rsidR="00F54BF1" w:rsidRPr="00B8107F">
              <w:rPr>
                <w:rStyle w:val="Hyperlink"/>
                <w:noProof/>
              </w:rPr>
              <w:t>2.5.2</w:t>
            </w:r>
            <w:r w:rsidR="00F54BF1">
              <w:rPr>
                <w:rFonts w:asciiTheme="minorHAnsi" w:hAnsiTheme="minorHAnsi"/>
                <w:noProof/>
                <w:sz w:val="24"/>
                <w:szCs w:val="24"/>
                <w:lang w:eastAsia="en-US"/>
              </w:rPr>
              <w:tab/>
            </w:r>
            <w:r w:rsidR="00F54BF1" w:rsidRPr="00B8107F">
              <w:rPr>
                <w:rStyle w:val="Hyperlink"/>
                <w:noProof/>
              </w:rPr>
              <w:t>Financial Inputs</w:t>
            </w:r>
            <w:r w:rsidR="00F54BF1">
              <w:rPr>
                <w:noProof/>
                <w:webHidden/>
              </w:rPr>
              <w:tab/>
            </w:r>
            <w:r w:rsidR="00F54BF1">
              <w:rPr>
                <w:noProof/>
                <w:webHidden/>
              </w:rPr>
              <w:fldChar w:fldCharType="begin"/>
            </w:r>
            <w:r w:rsidR="00F54BF1">
              <w:rPr>
                <w:noProof/>
                <w:webHidden/>
              </w:rPr>
              <w:instrText xml:space="preserve"> PAGEREF _Toc19137317 \h </w:instrText>
            </w:r>
            <w:r w:rsidR="00F54BF1">
              <w:rPr>
                <w:noProof/>
                <w:webHidden/>
              </w:rPr>
            </w:r>
            <w:r w:rsidR="00F54BF1">
              <w:rPr>
                <w:noProof/>
                <w:webHidden/>
              </w:rPr>
              <w:fldChar w:fldCharType="separate"/>
            </w:r>
            <w:r w:rsidR="004215F3">
              <w:rPr>
                <w:noProof/>
                <w:webHidden/>
              </w:rPr>
              <w:t>30</w:t>
            </w:r>
            <w:r w:rsidR="00F54BF1">
              <w:rPr>
                <w:noProof/>
                <w:webHidden/>
              </w:rPr>
              <w:fldChar w:fldCharType="end"/>
            </w:r>
          </w:hyperlink>
        </w:p>
        <w:p w14:paraId="52DF2342" w14:textId="19F20FD5" w:rsidR="00F54BF1" w:rsidRDefault="000F3F47">
          <w:pPr>
            <w:pStyle w:val="TOC3"/>
            <w:rPr>
              <w:rFonts w:asciiTheme="minorHAnsi" w:hAnsiTheme="minorHAnsi"/>
              <w:noProof/>
              <w:sz w:val="24"/>
              <w:szCs w:val="24"/>
              <w:lang w:eastAsia="en-US"/>
            </w:rPr>
          </w:pPr>
          <w:hyperlink w:anchor="_Toc19137318" w:history="1">
            <w:r w:rsidR="00F54BF1" w:rsidRPr="00B8107F">
              <w:rPr>
                <w:rStyle w:val="Hyperlink"/>
                <w:noProof/>
              </w:rPr>
              <w:t>2.5.3</w:t>
            </w:r>
            <w:r w:rsidR="00F54BF1">
              <w:rPr>
                <w:rFonts w:asciiTheme="minorHAnsi" w:hAnsiTheme="minorHAnsi"/>
                <w:noProof/>
                <w:sz w:val="24"/>
                <w:szCs w:val="24"/>
                <w:lang w:eastAsia="en-US"/>
              </w:rPr>
              <w:tab/>
            </w:r>
            <w:r w:rsidR="00F54BF1" w:rsidRPr="00B8107F">
              <w:rPr>
                <w:rStyle w:val="Hyperlink"/>
                <w:noProof/>
              </w:rPr>
              <w:t>Technical Inputs</w:t>
            </w:r>
            <w:r w:rsidR="00F54BF1">
              <w:rPr>
                <w:noProof/>
                <w:webHidden/>
              </w:rPr>
              <w:tab/>
            </w:r>
            <w:r w:rsidR="00F54BF1">
              <w:rPr>
                <w:noProof/>
                <w:webHidden/>
              </w:rPr>
              <w:fldChar w:fldCharType="begin"/>
            </w:r>
            <w:r w:rsidR="00F54BF1">
              <w:rPr>
                <w:noProof/>
                <w:webHidden/>
              </w:rPr>
              <w:instrText xml:space="preserve"> PAGEREF _Toc19137318 \h </w:instrText>
            </w:r>
            <w:r w:rsidR="00F54BF1">
              <w:rPr>
                <w:noProof/>
                <w:webHidden/>
              </w:rPr>
            </w:r>
            <w:r w:rsidR="00F54BF1">
              <w:rPr>
                <w:noProof/>
                <w:webHidden/>
              </w:rPr>
              <w:fldChar w:fldCharType="separate"/>
            </w:r>
            <w:r w:rsidR="004215F3">
              <w:rPr>
                <w:noProof/>
                <w:webHidden/>
              </w:rPr>
              <w:t>31</w:t>
            </w:r>
            <w:r w:rsidR="00F54BF1">
              <w:rPr>
                <w:noProof/>
                <w:webHidden/>
              </w:rPr>
              <w:fldChar w:fldCharType="end"/>
            </w:r>
          </w:hyperlink>
        </w:p>
        <w:p w14:paraId="555870B2" w14:textId="74FB285D" w:rsidR="00F54BF1" w:rsidRDefault="000F3F47">
          <w:pPr>
            <w:pStyle w:val="TOC2"/>
            <w:rPr>
              <w:rFonts w:asciiTheme="minorHAnsi" w:hAnsiTheme="minorHAnsi"/>
              <w:noProof/>
              <w:sz w:val="24"/>
              <w:szCs w:val="24"/>
              <w:lang w:eastAsia="en-US"/>
            </w:rPr>
          </w:pPr>
          <w:hyperlink w:anchor="_Toc19137319" w:history="1">
            <w:r w:rsidR="00F54BF1" w:rsidRPr="00B8107F">
              <w:rPr>
                <w:rStyle w:val="Hyperlink"/>
                <w:noProof/>
              </w:rPr>
              <w:t>2.6</w:t>
            </w:r>
            <w:r w:rsidR="00F54BF1">
              <w:rPr>
                <w:rFonts w:asciiTheme="minorHAnsi" w:hAnsiTheme="minorHAnsi"/>
                <w:noProof/>
                <w:sz w:val="24"/>
                <w:szCs w:val="24"/>
                <w:lang w:eastAsia="en-US"/>
              </w:rPr>
              <w:tab/>
            </w:r>
            <w:r w:rsidR="00F54BF1" w:rsidRPr="00B8107F">
              <w:rPr>
                <w:rStyle w:val="Hyperlink"/>
                <w:noProof/>
              </w:rPr>
              <w:t>Assumptions</w:t>
            </w:r>
            <w:r w:rsidR="00F54BF1">
              <w:rPr>
                <w:noProof/>
                <w:webHidden/>
              </w:rPr>
              <w:tab/>
            </w:r>
            <w:r w:rsidR="00F54BF1">
              <w:rPr>
                <w:noProof/>
                <w:webHidden/>
              </w:rPr>
              <w:fldChar w:fldCharType="begin"/>
            </w:r>
            <w:r w:rsidR="00F54BF1">
              <w:rPr>
                <w:noProof/>
                <w:webHidden/>
              </w:rPr>
              <w:instrText xml:space="preserve"> PAGEREF _Toc19137319 \h </w:instrText>
            </w:r>
            <w:r w:rsidR="00F54BF1">
              <w:rPr>
                <w:noProof/>
                <w:webHidden/>
              </w:rPr>
            </w:r>
            <w:r w:rsidR="00F54BF1">
              <w:rPr>
                <w:noProof/>
                <w:webHidden/>
              </w:rPr>
              <w:fldChar w:fldCharType="separate"/>
            </w:r>
            <w:r w:rsidR="004215F3">
              <w:rPr>
                <w:noProof/>
                <w:webHidden/>
              </w:rPr>
              <w:t>32</w:t>
            </w:r>
            <w:r w:rsidR="00F54BF1">
              <w:rPr>
                <w:noProof/>
                <w:webHidden/>
              </w:rPr>
              <w:fldChar w:fldCharType="end"/>
            </w:r>
          </w:hyperlink>
        </w:p>
        <w:p w14:paraId="3CE82EB6" w14:textId="64B70B4C" w:rsidR="00F54BF1" w:rsidRDefault="000F3F47">
          <w:pPr>
            <w:pStyle w:val="TOC2"/>
            <w:rPr>
              <w:rFonts w:asciiTheme="minorHAnsi" w:hAnsiTheme="minorHAnsi"/>
              <w:noProof/>
              <w:sz w:val="24"/>
              <w:szCs w:val="24"/>
              <w:lang w:eastAsia="en-US"/>
            </w:rPr>
          </w:pPr>
          <w:hyperlink w:anchor="_Toc19137320" w:history="1">
            <w:r w:rsidR="00F54BF1" w:rsidRPr="00B8107F">
              <w:rPr>
                <w:rStyle w:val="Hyperlink"/>
                <w:noProof/>
              </w:rPr>
              <w:t>2.7</w:t>
            </w:r>
            <w:r w:rsidR="00F54BF1">
              <w:rPr>
                <w:rFonts w:asciiTheme="minorHAnsi" w:hAnsiTheme="minorHAnsi"/>
                <w:noProof/>
                <w:sz w:val="24"/>
                <w:szCs w:val="24"/>
                <w:lang w:eastAsia="en-US"/>
              </w:rPr>
              <w:tab/>
            </w:r>
            <w:r w:rsidR="00F54BF1" w:rsidRPr="00B8107F">
              <w:rPr>
                <w:rStyle w:val="Hyperlink"/>
                <w:noProof/>
              </w:rPr>
              <w:t>Integration</w:t>
            </w:r>
            <w:r w:rsidR="00F54BF1">
              <w:rPr>
                <w:noProof/>
                <w:webHidden/>
              </w:rPr>
              <w:tab/>
            </w:r>
            <w:r w:rsidR="00F54BF1">
              <w:rPr>
                <w:noProof/>
                <w:webHidden/>
              </w:rPr>
              <w:fldChar w:fldCharType="begin"/>
            </w:r>
            <w:r w:rsidR="00F54BF1">
              <w:rPr>
                <w:noProof/>
                <w:webHidden/>
              </w:rPr>
              <w:instrText xml:space="preserve"> PAGEREF _Toc19137320 \h </w:instrText>
            </w:r>
            <w:r w:rsidR="00F54BF1">
              <w:rPr>
                <w:noProof/>
                <w:webHidden/>
              </w:rPr>
            </w:r>
            <w:r w:rsidR="00F54BF1">
              <w:rPr>
                <w:noProof/>
                <w:webHidden/>
              </w:rPr>
              <w:fldChar w:fldCharType="separate"/>
            </w:r>
            <w:r w:rsidR="004215F3">
              <w:rPr>
                <w:noProof/>
                <w:webHidden/>
              </w:rPr>
              <w:t>33</w:t>
            </w:r>
            <w:r w:rsidR="00F54BF1">
              <w:rPr>
                <w:noProof/>
                <w:webHidden/>
              </w:rPr>
              <w:fldChar w:fldCharType="end"/>
            </w:r>
          </w:hyperlink>
        </w:p>
        <w:p w14:paraId="3254D1FC" w14:textId="40DF6567" w:rsidR="00F54BF1" w:rsidRDefault="000F3F47">
          <w:pPr>
            <w:pStyle w:val="TOC2"/>
            <w:rPr>
              <w:rFonts w:asciiTheme="minorHAnsi" w:hAnsiTheme="minorHAnsi"/>
              <w:noProof/>
              <w:sz w:val="24"/>
              <w:szCs w:val="24"/>
              <w:lang w:eastAsia="en-US"/>
            </w:rPr>
          </w:pPr>
          <w:hyperlink w:anchor="_Toc19137321" w:history="1">
            <w:r w:rsidR="00F54BF1" w:rsidRPr="00B8107F">
              <w:rPr>
                <w:rStyle w:val="Hyperlink"/>
                <w:noProof/>
              </w:rPr>
              <w:t>2.8</w:t>
            </w:r>
            <w:r w:rsidR="00F54BF1">
              <w:rPr>
                <w:rFonts w:asciiTheme="minorHAnsi" w:hAnsiTheme="minorHAnsi"/>
                <w:noProof/>
                <w:sz w:val="24"/>
                <w:szCs w:val="24"/>
                <w:lang w:eastAsia="en-US"/>
              </w:rPr>
              <w:tab/>
            </w:r>
            <w:r w:rsidR="00F54BF1" w:rsidRPr="00B8107F">
              <w:rPr>
                <w:rStyle w:val="Hyperlink"/>
                <w:noProof/>
              </w:rPr>
              <w:t>Limitations / Further Developments</w:t>
            </w:r>
            <w:r w:rsidR="00F54BF1">
              <w:rPr>
                <w:noProof/>
                <w:webHidden/>
              </w:rPr>
              <w:tab/>
            </w:r>
            <w:r w:rsidR="00F54BF1">
              <w:rPr>
                <w:noProof/>
                <w:webHidden/>
              </w:rPr>
              <w:fldChar w:fldCharType="begin"/>
            </w:r>
            <w:r w:rsidR="00F54BF1">
              <w:rPr>
                <w:noProof/>
                <w:webHidden/>
              </w:rPr>
              <w:instrText xml:space="preserve"> PAGEREF _Toc19137321 \h </w:instrText>
            </w:r>
            <w:r w:rsidR="00F54BF1">
              <w:rPr>
                <w:noProof/>
                <w:webHidden/>
              </w:rPr>
            </w:r>
            <w:r w:rsidR="00F54BF1">
              <w:rPr>
                <w:noProof/>
                <w:webHidden/>
              </w:rPr>
              <w:fldChar w:fldCharType="separate"/>
            </w:r>
            <w:r w:rsidR="004215F3">
              <w:rPr>
                <w:noProof/>
                <w:webHidden/>
              </w:rPr>
              <w:t>33</w:t>
            </w:r>
            <w:r w:rsidR="00F54BF1">
              <w:rPr>
                <w:noProof/>
                <w:webHidden/>
              </w:rPr>
              <w:fldChar w:fldCharType="end"/>
            </w:r>
          </w:hyperlink>
        </w:p>
        <w:p w14:paraId="7B089087" w14:textId="0D5659A3" w:rsidR="00F54BF1" w:rsidRDefault="000F3F47">
          <w:pPr>
            <w:pStyle w:val="TOC1"/>
            <w:tabs>
              <w:tab w:val="left" w:pos="440"/>
            </w:tabs>
            <w:rPr>
              <w:rFonts w:asciiTheme="minorHAnsi" w:hAnsiTheme="minorHAnsi"/>
              <w:noProof/>
              <w:sz w:val="24"/>
              <w:szCs w:val="24"/>
              <w:lang w:eastAsia="en-US"/>
            </w:rPr>
          </w:pPr>
          <w:hyperlink w:anchor="_Toc19137322" w:history="1">
            <w:r w:rsidR="00F54BF1" w:rsidRPr="00B8107F">
              <w:rPr>
                <w:rStyle w:val="Hyperlink"/>
                <w:noProof/>
              </w:rPr>
              <w:t>3</w:t>
            </w:r>
            <w:r w:rsidR="00F54BF1">
              <w:rPr>
                <w:rFonts w:asciiTheme="minorHAnsi" w:hAnsiTheme="minorHAnsi"/>
                <w:noProof/>
                <w:sz w:val="24"/>
                <w:szCs w:val="24"/>
                <w:lang w:eastAsia="en-US"/>
              </w:rPr>
              <w:tab/>
            </w:r>
            <w:r w:rsidR="00F54BF1" w:rsidRPr="00B8107F">
              <w:rPr>
                <w:rStyle w:val="Hyperlink"/>
                <w:noProof/>
              </w:rPr>
              <w:t>Results</w:t>
            </w:r>
            <w:r w:rsidR="00F54BF1">
              <w:rPr>
                <w:noProof/>
                <w:webHidden/>
              </w:rPr>
              <w:tab/>
            </w:r>
            <w:r w:rsidR="00F54BF1">
              <w:rPr>
                <w:noProof/>
                <w:webHidden/>
              </w:rPr>
              <w:fldChar w:fldCharType="begin"/>
            </w:r>
            <w:r w:rsidR="00F54BF1">
              <w:rPr>
                <w:noProof/>
                <w:webHidden/>
              </w:rPr>
              <w:instrText xml:space="preserve"> PAGEREF _Toc19137322 \h </w:instrText>
            </w:r>
            <w:r w:rsidR="00F54BF1">
              <w:rPr>
                <w:noProof/>
                <w:webHidden/>
              </w:rPr>
            </w:r>
            <w:r w:rsidR="00F54BF1">
              <w:rPr>
                <w:noProof/>
                <w:webHidden/>
              </w:rPr>
              <w:fldChar w:fldCharType="separate"/>
            </w:r>
            <w:r w:rsidR="004215F3">
              <w:rPr>
                <w:noProof/>
                <w:webHidden/>
              </w:rPr>
              <w:t>35</w:t>
            </w:r>
            <w:r w:rsidR="00F54BF1">
              <w:rPr>
                <w:noProof/>
                <w:webHidden/>
              </w:rPr>
              <w:fldChar w:fldCharType="end"/>
            </w:r>
          </w:hyperlink>
        </w:p>
        <w:p w14:paraId="129D7F09" w14:textId="05446D7E" w:rsidR="00F54BF1" w:rsidRDefault="000F3F47">
          <w:pPr>
            <w:pStyle w:val="TOC2"/>
            <w:rPr>
              <w:rFonts w:asciiTheme="minorHAnsi" w:hAnsiTheme="minorHAnsi"/>
              <w:noProof/>
              <w:sz w:val="24"/>
              <w:szCs w:val="24"/>
              <w:lang w:eastAsia="en-US"/>
            </w:rPr>
          </w:pPr>
          <w:hyperlink w:anchor="_Toc19137323" w:history="1">
            <w:r w:rsidR="00F54BF1" w:rsidRPr="00B8107F">
              <w:rPr>
                <w:rStyle w:val="Hyperlink"/>
                <w:noProof/>
              </w:rPr>
              <w:t>3.1</w:t>
            </w:r>
            <w:r w:rsidR="00F54BF1">
              <w:rPr>
                <w:rFonts w:asciiTheme="minorHAnsi" w:hAnsiTheme="minorHAnsi"/>
                <w:noProof/>
                <w:sz w:val="24"/>
                <w:szCs w:val="24"/>
                <w:lang w:eastAsia="en-US"/>
              </w:rPr>
              <w:tab/>
            </w:r>
            <w:r w:rsidR="00F54BF1" w:rsidRPr="00B8107F">
              <w:rPr>
                <w:rStyle w:val="Hyperlink"/>
                <w:noProof/>
              </w:rPr>
              <w:t>Adoption</w:t>
            </w:r>
            <w:r w:rsidR="00F54BF1">
              <w:rPr>
                <w:noProof/>
                <w:webHidden/>
              </w:rPr>
              <w:tab/>
            </w:r>
            <w:r w:rsidR="00F54BF1">
              <w:rPr>
                <w:noProof/>
                <w:webHidden/>
              </w:rPr>
              <w:fldChar w:fldCharType="begin"/>
            </w:r>
            <w:r w:rsidR="00F54BF1">
              <w:rPr>
                <w:noProof/>
                <w:webHidden/>
              </w:rPr>
              <w:instrText xml:space="preserve"> PAGEREF _Toc19137323 \h </w:instrText>
            </w:r>
            <w:r w:rsidR="00F54BF1">
              <w:rPr>
                <w:noProof/>
                <w:webHidden/>
              </w:rPr>
            </w:r>
            <w:r w:rsidR="00F54BF1">
              <w:rPr>
                <w:noProof/>
                <w:webHidden/>
              </w:rPr>
              <w:fldChar w:fldCharType="separate"/>
            </w:r>
            <w:r w:rsidR="004215F3">
              <w:rPr>
                <w:noProof/>
                <w:webHidden/>
              </w:rPr>
              <w:t>35</w:t>
            </w:r>
            <w:r w:rsidR="00F54BF1">
              <w:rPr>
                <w:noProof/>
                <w:webHidden/>
              </w:rPr>
              <w:fldChar w:fldCharType="end"/>
            </w:r>
          </w:hyperlink>
        </w:p>
        <w:p w14:paraId="3F1F36A4" w14:textId="60CBFA45" w:rsidR="00F54BF1" w:rsidRDefault="000F3F47">
          <w:pPr>
            <w:pStyle w:val="TOC2"/>
            <w:rPr>
              <w:rFonts w:asciiTheme="minorHAnsi" w:hAnsiTheme="minorHAnsi"/>
              <w:noProof/>
              <w:sz w:val="24"/>
              <w:szCs w:val="24"/>
              <w:lang w:eastAsia="en-US"/>
            </w:rPr>
          </w:pPr>
          <w:hyperlink w:anchor="_Toc19137324" w:history="1">
            <w:r w:rsidR="00F54BF1" w:rsidRPr="00B8107F">
              <w:rPr>
                <w:rStyle w:val="Hyperlink"/>
                <w:noProof/>
              </w:rPr>
              <w:t>3.2</w:t>
            </w:r>
            <w:r w:rsidR="00F54BF1">
              <w:rPr>
                <w:rFonts w:asciiTheme="minorHAnsi" w:hAnsiTheme="minorHAnsi"/>
                <w:noProof/>
                <w:sz w:val="24"/>
                <w:szCs w:val="24"/>
                <w:lang w:eastAsia="en-US"/>
              </w:rPr>
              <w:tab/>
            </w:r>
            <w:r w:rsidR="00F54BF1" w:rsidRPr="00B8107F">
              <w:rPr>
                <w:rStyle w:val="Hyperlink"/>
                <w:noProof/>
              </w:rPr>
              <w:t>Climate Impacts</w:t>
            </w:r>
            <w:r w:rsidR="00F54BF1">
              <w:rPr>
                <w:noProof/>
                <w:webHidden/>
              </w:rPr>
              <w:tab/>
            </w:r>
            <w:r w:rsidR="00F54BF1">
              <w:rPr>
                <w:noProof/>
                <w:webHidden/>
              </w:rPr>
              <w:fldChar w:fldCharType="begin"/>
            </w:r>
            <w:r w:rsidR="00F54BF1">
              <w:rPr>
                <w:noProof/>
                <w:webHidden/>
              </w:rPr>
              <w:instrText xml:space="preserve"> PAGEREF _Toc19137324 \h </w:instrText>
            </w:r>
            <w:r w:rsidR="00F54BF1">
              <w:rPr>
                <w:noProof/>
                <w:webHidden/>
              </w:rPr>
            </w:r>
            <w:r w:rsidR="00F54BF1">
              <w:rPr>
                <w:noProof/>
                <w:webHidden/>
              </w:rPr>
              <w:fldChar w:fldCharType="separate"/>
            </w:r>
            <w:r w:rsidR="004215F3">
              <w:rPr>
                <w:noProof/>
                <w:webHidden/>
              </w:rPr>
              <w:t>36</w:t>
            </w:r>
            <w:r w:rsidR="00F54BF1">
              <w:rPr>
                <w:noProof/>
                <w:webHidden/>
              </w:rPr>
              <w:fldChar w:fldCharType="end"/>
            </w:r>
          </w:hyperlink>
        </w:p>
        <w:p w14:paraId="2B7FF82A" w14:textId="0E12A9C7" w:rsidR="00F54BF1" w:rsidRDefault="000F3F47">
          <w:pPr>
            <w:pStyle w:val="TOC2"/>
            <w:rPr>
              <w:rFonts w:asciiTheme="minorHAnsi" w:hAnsiTheme="minorHAnsi"/>
              <w:noProof/>
              <w:sz w:val="24"/>
              <w:szCs w:val="24"/>
              <w:lang w:eastAsia="en-US"/>
            </w:rPr>
          </w:pPr>
          <w:hyperlink w:anchor="_Toc19137325" w:history="1">
            <w:r w:rsidR="00F54BF1" w:rsidRPr="00B8107F">
              <w:rPr>
                <w:rStyle w:val="Hyperlink"/>
                <w:noProof/>
              </w:rPr>
              <w:t>3.3</w:t>
            </w:r>
            <w:r w:rsidR="00F54BF1">
              <w:rPr>
                <w:rFonts w:asciiTheme="minorHAnsi" w:hAnsiTheme="minorHAnsi"/>
                <w:noProof/>
                <w:sz w:val="24"/>
                <w:szCs w:val="24"/>
                <w:lang w:eastAsia="en-US"/>
              </w:rPr>
              <w:tab/>
            </w:r>
            <w:r w:rsidR="00F54BF1" w:rsidRPr="00B8107F">
              <w:rPr>
                <w:rStyle w:val="Hyperlink"/>
                <w:noProof/>
              </w:rPr>
              <w:t>Financial Impacts</w:t>
            </w:r>
            <w:r w:rsidR="00F54BF1">
              <w:rPr>
                <w:noProof/>
                <w:webHidden/>
              </w:rPr>
              <w:tab/>
            </w:r>
            <w:r w:rsidR="00F54BF1">
              <w:rPr>
                <w:noProof/>
                <w:webHidden/>
              </w:rPr>
              <w:fldChar w:fldCharType="begin"/>
            </w:r>
            <w:r w:rsidR="00F54BF1">
              <w:rPr>
                <w:noProof/>
                <w:webHidden/>
              </w:rPr>
              <w:instrText xml:space="preserve"> PAGEREF _Toc19137325 \h </w:instrText>
            </w:r>
            <w:r w:rsidR="00F54BF1">
              <w:rPr>
                <w:noProof/>
                <w:webHidden/>
              </w:rPr>
            </w:r>
            <w:r w:rsidR="00F54BF1">
              <w:rPr>
                <w:noProof/>
                <w:webHidden/>
              </w:rPr>
              <w:fldChar w:fldCharType="separate"/>
            </w:r>
            <w:r w:rsidR="004215F3">
              <w:rPr>
                <w:noProof/>
                <w:webHidden/>
              </w:rPr>
              <w:t>38</w:t>
            </w:r>
            <w:r w:rsidR="00F54BF1">
              <w:rPr>
                <w:noProof/>
                <w:webHidden/>
              </w:rPr>
              <w:fldChar w:fldCharType="end"/>
            </w:r>
          </w:hyperlink>
        </w:p>
        <w:p w14:paraId="67601AC7" w14:textId="04C06554" w:rsidR="00F54BF1" w:rsidRDefault="000F3F47">
          <w:pPr>
            <w:pStyle w:val="TOC1"/>
            <w:tabs>
              <w:tab w:val="left" w:pos="440"/>
            </w:tabs>
            <w:rPr>
              <w:rFonts w:asciiTheme="minorHAnsi" w:hAnsiTheme="minorHAnsi"/>
              <w:noProof/>
              <w:sz w:val="24"/>
              <w:szCs w:val="24"/>
              <w:lang w:eastAsia="en-US"/>
            </w:rPr>
          </w:pPr>
          <w:hyperlink w:anchor="_Toc19137326" w:history="1">
            <w:r w:rsidR="00F54BF1" w:rsidRPr="00B8107F">
              <w:rPr>
                <w:rStyle w:val="Hyperlink"/>
                <w:noProof/>
              </w:rPr>
              <w:t>4</w:t>
            </w:r>
            <w:r w:rsidR="00F54BF1">
              <w:rPr>
                <w:rFonts w:asciiTheme="minorHAnsi" w:hAnsiTheme="minorHAnsi"/>
                <w:noProof/>
                <w:sz w:val="24"/>
                <w:szCs w:val="24"/>
                <w:lang w:eastAsia="en-US"/>
              </w:rPr>
              <w:tab/>
            </w:r>
            <w:r w:rsidR="00F54BF1" w:rsidRPr="00B8107F">
              <w:rPr>
                <w:rStyle w:val="Hyperlink"/>
                <w:noProof/>
              </w:rPr>
              <w:t>Discussion</w:t>
            </w:r>
            <w:r w:rsidR="00F54BF1">
              <w:rPr>
                <w:noProof/>
                <w:webHidden/>
              </w:rPr>
              <w:tab/>
            </w:r>
            <w:r w:rsidR="00F54BF1">
              <w:rPr>
                <w:noProof/>
                <w:webHidden/>
              </w:rPr>
              <w:fldChar w:fldCharType="begin"/>
            </w:r>
            <w:r w:rsidR="00F54BF1">
              <w:rPr>
                <w:noProof/>
                <w:webHidden/>
              </w:rPr>
              <w:instrText xml:space="preserve"> PAGEREF _Toc19137326 \h </w:instrText>
            </w:r>
            <w:r w:rsidR="00F54BF1">
              <w:rPr>
                <w:noProof/>
                <w:webHidden/>
              </w:rPr>
            </w:r>
            <w:r w:rsidR="00F54BF1">
              <w:rPr>
                <w:noProof/>
                <w:webHidden/>
              </w:rPr>
              <w:fldChar w:fldCharType="separate"/>
            </w:r>
            <w:r w:rsidR="004215F3">
              <w:rPr>
                <w:noProof/>
                <w:webHidden/>
              </w:rPr>
              <w:t>40</w:t>
            </w:r>
            <w:r w:rsidR="00F54BF1">
              <w:rPr>
                <w:noProof/>
                <w:webHidden/>
              </w:rPr>
              <w:fldChar w:fldCharType="end"/>
            </w:r>
          </w:hyperlink>
        </w:p>
        <w:p w14:paraId="6CF034FC" w14:textId="42015409" w:rsidR="00F54BF1" w:rsidRDefault="000F3F47">
          <w:pPr>
            <w:pStyle w:val="TOC2"/>
            <w:rPr>
              <w:rFonts w:asciiTheme="minorHAnsi" w:hAnsiTheme="minorHAnsi"/>
              <w:noProof/>
              <w:sz w:val="24"/>
              <w:szCs w:val="24"/>
              <w:lang w:eastAsia="en-US"/>
            </w:rPr>
          </w:pPr>
          <w:hyperlink w:anchor="_Toc19137327" w:history="1">
            <w:r w:rsidR="00F54BF1" w:rsidRPr="00B8107F">
              <w:rPr>
                <w:rStyle w:val="Hyperlink"/>
                <w:noProof/>
              </w:rPr>
              <w:t>4.1</w:t>
            </w:r>
            <w:r w:rsidR="00F54BF1">
              <w:rPr>
                <w:rFonts w:asciiTheme="minorHAnsi" w:hAnsiTheme="minorHAnsi"/>
                <w:noProof/>
                <w:sz w:val="24"/>
                <w:szCs w:val="24"/>
                <w:lang w:eastAsia="en-US"/>
              </w:rPr>
              <w:tab/>
            </w:r>
            <w:r w:rsidR="00F54BF1" w:rsidRPr="00B8107F">
              <w:rPr>
                <w:rStyle w:val="Hyperlink"/>
                <w:noProof/>
              </w:rPr>
              <w:t>Limitations</w:t>
            </w:r>
            <w:r w:rsidR="00F54BF1">
              <w:rPr>
                <w:noProof/>
                <w:webHidden/>
              </w:rPr>
              <w:tab/>
            </w:r>
            <w:r w:rsidR="00F54BF1">
              <w:rPr>
                <w:noProof/>
                <w:webHidden/>
              </w:rPr>
              <w:fldChar w:fldCharType="begin"/>
            </w:r>
            <w:r w:rsidR="00F54BF1">
              <w:rPr>
                <w:noProof/>
                <w:webHidden/>
              </w:rPr>
              <w:instrText xml:space="preserve"> PAGEREF _Toc19137327 \h </w:instrText>
            </w:r>
            <w:r w:rsidR="00F54BF1">
              <w:rPr>
                <w:noProof/>
                <w:webHidden/>
              </w:rPr>
            </w:r>
            <w:r w:rsidR="00F54BF1">
              <w:rPr>
                <w:noProof/>
                <w:webHidden/>
              </w:rPr>
              <w:fldChar w:fldCharType="separate"/>
            </w:r>
            <w:r w:rsidR="004215F3">
              <w:rPr>
                <w:noProof/>
                <w:webHidden/>
              </w:rPr>
              <w:t>41</w:t>
            </w:r>
            <w:r w:rsidR="00F54BF1">
              <w:rPr>
                <w:noProof/>
                <w:webHidden/>
              </w:rPr>
              <w:fldChar w:fldCharType="end"/>
            </w:r>
          </w:hyperlink>
        </w:p>
        <w:p w14:paraId="562D8894" w14:textId="650C977A" w:rsidR="00F54BF1" w:rsidRDefault="000F3F47">
          <w:pPr>
            <w:pStyle w:val="TOC2"/>
            <w:rPr>
              <w:rFonts w:asciiTheme="minorHAnsi" w:hAnsiTheme="minorHAnsi"/>
              <w:noProof/>
              <w:sz w:val="24"/>
              <w:szCs w:val="24"/>
              <w:lang w:eastAsia="en-US"/>
            </w:rPr>
          </w:pPr>
          <w:hyperlink w:anchor="_Toc19137328" w:history="1">
            <w:r w:rsidR="00F54BF1" w:rsidRPr="00B8107F">
              <w:rPr>
                <w:rStyle w:val="Hyperlink"/>
                <w:noProof/>
              </w:rPr>
              <w:t>4.2</w:t>
            </w:r>
            <w:r w:rsidR="00F54BF1">
              <w:rPr>
                <w:rFonts w:asciiTheme="minorHAnsi" w:hAnsiTheme="minorHAnsi"/>
                <w:noProof/>
                <w:sz w:val="24"/>
                <w:szCs w:val="24"/>
                <w:lang w:eastAsia="en-US"/>
              </w:rPr>
              <w:tab/>
            </w:r>
            <w:r w:rsidR="00F54BF1" w:rsidRPr="00B8107F">
              <w:rPr>
                <w:rStyle w:val="Hyperlink"/>
                <w:noProof/>
              </w:rPr>
              <w:t>Benchmarks</w:t>
            </w:r>
            <w:r w:rsidR="00F54BF1">
              <w:rPr>
                <w:noProof/>
                <w:webHidden/>
              </w:rPr>
              <w:tab/>
            </w:r>
            <w:r w:rsidR="00F54BF1">
              <w:rPr>
                <w:noProof/>
                <w:webHidden/>
              </w:rPr>
              <w:fldChar w:fldCharType="begin"/>
            </w:r>
            <w:r w:rsidR="00F54BF1">
              <w:rPr>
                <w:noProof/>
                <w:webHidden/>
              </w:rPr>
              <w:instrText xml:space="preserve"> PAGEREF _Toc19137328 \h </w:instrText>
            </w:r>
            <w:r w:rsidR="00F54BF1">
              <w:rPr>
                <w:noProof/>
                <w:webHidden/>
              </w:rPr>
            </w:r>
            <w:r w:rsidR="00F54BF1">
              <w:rPr>
                <w:noProof/>
                <w:webHidden/>
              </w:rPr>
              <w:fldChar w:fldCharType="separate"/>
            </w:r>
            <w:r w:rsidR="004215F3">
              <w:rPr>
                <w:noProof/>
                <w:webHidden/>
              </w:rPr>
              <w:t>42</w:t>
            </w:r>
            <w:r w:rsidR="00F54BF1">
              <w:rPr>
                <w:noProof/>
                <w:webHidden/>
              </w:rPr>
              <w:fldChar w:fldCharType="end"/>
            </w:r>
          </w:hyperlink>
        </w:p>
        <w:p w14:paraId="2BDD784C" w14:textId="774C0A28" w:rsidR="00F54BF1" w:rsidRDefault="000F3F47">
          <w:pPr>
            <w:pStyle w:val="TOC1"/>
            <w:tabs>
              <w:tab w:val="left" w:pos="440"/>
            </w:tabs>
            <w:rPr>
              <w:rFonts w:asciiTheme="minorHAnsi" w:hAnsiTheme="minorHAnsi"/>
              <w:noProof/>
              <w:sz w:val="24"/>
              <w:szCs w:val="24"/>
              <w:lang w:eastAsia="en-US"/>
            </w:rPr>
          </w:pPr>
          <w:hyperlink w:anchor="_Toc19137329" w:history="1">
            <w:r w:rsidR="00F54BF1" w:rsidRPr="00B8107F">
              <w:rPr>
                <w:rStyle w:val="Hyperlink"/>
                <w:noProof/>
              </w:rPr>
              <w:t>5</w:t>
            </w:r>
            <w:r w:rsidR="00F54BF1">
              <w:rPr>
                <w:rFonts w:asciiTheme="minorHAnsi" w:hAnsiTheme="minorHAnsi"/>
                <w:noProof/>
                <w:sz w:val="24"/>
                <w:szCs w:val="24"/>
                <w:lang w:eastAsia="en-US"/>
              </w:rPr>
              <w:tab/>
            </w:r>
            <w:r w:rsidR="00F54BF1" w:rsidRPr="00B8107F">
              <w:rPr>
                <w:rStyle w:val="Hyperlink"/>
                <w:noProof/>
              </w:rPr>
              <w:t>References</w:t>
            </w:r>
            <w:r w:rsidR="00F54BF1">
              <w:rPr>
                <w:noProof/>
                <w:webHidden/>
              </w:rPr>
              <w:tab/>
            </w:r>
            <w:r w:rsidR="00F54BF1">
              <w:rPr>
                <w:noProof/>
                <w:webHidden/>
              </w:rPr>
              <w:fldChar w:fldCharType="begin"/>
            </w:r>
            <w:r w:rsidR="00F54BF1">
              <w:rPr>
                <w:noProof/>
                <w:webHidden/>
              </w:rPr>
              <w:instrText xml:space="preserve"> PAGEREF _Toc19137329 \h </w:instrText>
            </w:r>
            <w:r w:rsidR="00F54BF1">
              <w:rPr>
                <w:noProof/>
                <w:webHidden/>
              </w:rPr>
            </w:r>
            <w:r w:rsidR="00F54BF1">
              <w:rPr>
                <w:noProof/>
                <w:webHidden/>
              </w:rPr>
              <w:fldChar w:fldCharType="separate"/>
            </w:r>
            <w:r w:rsidR="004215F3">
              <w:rPr>
                <w:noProof/>
                <w:webHidden/>
              </w:rPr>
              <w:t>43</w:t>
            </w:r>
            <w:r w:rsidR="00F54BF1">
              <w:rPr>
                <w:noProof/>
                <w:webHidden/>
              </w:rPr>
              <w:fldChar w:fldCharType="end"/>
            </w:r>
          </w:hyperlink>
        </w:p>
        <w:p w14:paraId="6A5CCFFA" w14:textId="566E6EB2" w:rsidR="00F54BF1" w:rsidRDefault="000F3F47">
          <w:pPr>
            <w:pStyle w:val="TOC1"/>
            <w:tabs>
              <w:tab w:val="left" w:pos="440"/>
            </w:tabs>
            <w:rPr>
              <w:rFonts w:asciiTheme="minorHAnsi" w:hAnsiTheme="minorHAnsi"/>
              <w:noProof/>
              <w:sz w:val="24"/>
              <w:szCs w:val="24"/>
              <w:lang w:eastAsia="en-US"/>
            </w:rPr>
          </w:pPr>
          <w:hyperlink w:anchor="_Toc19137330" w:history="1">
            <w:r w:rsidR="00F54BF1" w:rsidRPr="00B8107F">
              <w:rPr>
                <w:rStyle w:val="Hyperlink"/>
                <w:noProof/>
              </w:rPr>
              <w:t>6</w:t>
            </w:r>
            <w:r w:rsidR="00F54BF1">
              <w:rPr>
                <w:rFonts w:asciiTheme="minorHAnsi" w:hAnsiTheme="minorHAnsi"/>
                <w:noProof/>
                <w:sz w:val="24"/>
                <w:szCs w:val="24"/>
                <w:lang w:eastAsia="en-US"/>
              </w:rPr>
              <w:tab/>
            </w:r>
            <w:r w:rsidR="00F54BF1" w:rsidRPr="00B8107F">
              <w:rPr>
                <w:rStyle w:val="Hyperlink"/>
                <w:noProof/>
              </w:rPr>
              <w:t>Glossary</w:t>
            </w:r>
            <w:r w:rsidR="00F54BF1">
              <w:rPr>
                <w:noProof/>
                <w:webHidden/>
              </w:rPr>
              <w:tab/>
            </w:r>
            <w:r w:rsidR="00F54BF1">
              <w:rPr>
                <w:noProof/>
                <w:webHidden/>
              </w:rPr>
              <w:fldChar w:fldCharType="begin"/>
            </w:r>
            <w:r w:rsidR="00F54BF1">
              <w:rPr>
                <w:noProof/>
                <w:webHidden/>
              </w:rPr>
              <w:instrText xml:space="preserve"> PAGEREF _Toc19137330 \h </w:instrText>
            </w:r>
            <w:r w:rsidR="00F54BF1">
              <w:rPr>
                <w:noProof/>
                <w:webHidden/>
              </w:rPr>
            </w:r>
            <w:r w:rsidR="00F54BF1">
              <w:rPr>
                <w:noProof/>
                <w:webHidden/>
              </w:rPr>
              <w:fldChar w:fldCharType="separate"/>
            </w:r>
            <w:r w:rsidR="004215F3">
              <w:rPr>
                <w:noProof/>
                <w:webHidden/>
              </w:rPr>
              <w:t>51</w:t>
            </w:r>
            <w:r w:rsidR="00F54BF1">
              <w:rPr>
                <w:noProof/>
                <w:webHidden/>
              </w:rPr>
              <w:fldChar w:fldCharType="end"/>
            </w:r>
          </w:hyperlink>
        </w:p>
        <w:p w14:paraId="12C7DAF6" w14:textId="5023F47E" w:rsidR="00640665" w:rsidRPr="00E069AC" w:rsidRDefault="00640665" w:rsidP="00EB247F">
          <w:pPr>
            <w:spacing w:after="0"/>
          </w:pPr>
          <w:r w:rsidRPr="00E069AC">
            <w:rPr>
              <w:b/>
              <w:bCs/>
              <w:noProof/>
            </w:rPr>
            <w:fldChar w:fldCharType="end"/>
          </w:r>
        </w:p>
      </w:sdtContent>
    </w:sdt>
    <w:p w14:paraId="1827C10C" w14:textId="3B09BCA5" w:rsidR="00F15AEE" w:rsidRPr="00E069AC" w:rsidRDefault="00F15AEE" w:rsidP="00EB247F">
      <w:pPr>
        <w:spacing w:after="0"/>
      </w:pPr>
      <w:r w:rsidRPr="00E069AC">
        <w:br w:type="page"/>
      </w:r>
    </w:p>
    <w:p w14:paraId="325B3971" w14:textId="4DF0A92F" w:rsidR="2D56E7D4" w:rsidRPr="00E069AC" w:rsidRDefault="00C23CAC" w:rsidP="00B20FA0">
      <w:pPr>
        <w:pStyle w:val="Heading1"/>
        <w:numPr>
          <w:ilvl w:val="0"/>
          <w:numId w:val="0"/>
        </w:numPr>
        <w:rPr>
          <w:noProof/>
        </w:rPr>
      </w:pPr>
      <w:bookmarkStart w:id="0" w:name="_Toc19137291"/>
      <w:r w:rsidRPr="00E069AC">
        <w:rPr>
          <w:noProof/>
        </w:rPr>
        <w:lastRenderedPageBreak/>
        <w:t xml:space="preserve">List of </w:t>
      </w:r>
      <w:r w:rsidR="2D56E7D4" w:rsidRPr="00E069AC">
        <w:rPr>
          <w:noProof/>
        </w:rPr>
        <w:t>Figures</w:t>
      </w:r>
      <w:bookmarkEnd w:id="0"/>
    </w:p>
    <w:p w14:paraId="122E74FB" w14:textId="25C53470" w:rsidR="00C91B6B" w:rsidRDefault="00F15AEE">
      <w:pPr>
        <w:pStyle w:val="TableofFigures"/>
        <w:tabs>
          <w:tab w:val="right" w:leader="dot" w:pos="9350"/>
        </w:tabs>
        <w:rPr>
          <w:rFonts w:asciiTheme="minorHAnsi" w:hAnsiTheme="minorHAnsi"/>
          <w:noProof/>
          <w:sz w:val="24"/>
          <w:szCs w:val="24"/>
          <w:lang w:eastAsia="en-US"/>
        </w:rPr>
      </w:pPr>
      <w:r w:rsidRPr="00E069AC">
        <w:fldChar w:fldCharType="begin"/>
      </w:r>
      <w:r w:rsidRPr="00E069AC">
        <w:instrText xml:space="preserve"> TOC \h \z \c "Figure" </w:instrText>
      </w:r>
      <w:r w:rsidRPr="00E069AC">
        <w:fldChar w:fldCharType="separate"/>
      </w:r>
      <w:hyperlink w:anchor="_Toc44542625" w:history="1">
        <w:r w:rsidR="00C91B6B" w:rsidRPr="00963B28">
          <w:rPr>
            <w:rStyle w:val="Hyperlink"/>
            <w:noProof/>
          </w:rPr>
          <w:t>Figure 1.1 - Schema showing convective hydrothermal resources. Source (IPCC, 2011)</w:t>
        </w:r>
        <w:r w:rsidR="00C91B6B">
          <w:rPr>
            <w:noProof/>
            <w:webHidden/>
          </w:rPr>
          <w:tab/>
        </w:r>
        <w:r w:rsidR="00C91B6B">
          <w:rPr>
            <w:noProof/>
            <w:webHidden/>
          </w:rPr>
          <w:fldChar w:fldCharType="begin"/>
        </w:r>
        <w:r w:rsidR="00C91B6B">
          <w:rPr>
            <w:noProof/>
            <w:webHidden/>
          </w:rPr>
          <w:instrText xml:space="preserve"> PAGEREF _Toc44542625 \h </w:instrText>
        </w:r>
        <w:r w:rsidR="00C91B6B">
          <w:rPr>
            <w:noProof/>
            <w:webHidden/>
          </w:rPr>
        </w:r>
        <w:r w:rsidR="00C91B6B">
          <w:rPr>
            <w:noProof/>
            <w:webHidden/>
          </w:rPr>
          <w:fldChar w:fldCharType="separate"/>
        </w:r>
        <w:r w:rsidR="00C91B6B">
          <w:rPr>
            <w:noProof/>
            <w:webHidden/>
          </w:rPr>
          <w:t>8</w:t>
        </w:r>
        <w:r w:rsidR="00C91B6B">
          <w:rPr>
            <w:noProof/>
            <w:webHidden/>
          </w:rPr>
          <w:fldChar w:fldCharType="end"/>
        </w:r>
      </w:hyperlink>
    </w:p>
    <w:p w14:paraId="1B4A7FD4" w14:textId="79B82267" w:rsidR="00C91B6B" w:rsidRDefault="000F3F47">
      <w:pPr>
        <w:pStyle w:val="TableofFigures"/>
        <w:tabs>
          <w:tab w:val="right" w:leader="dot" w:pos="9350"/>
        </w:tabs>
        <w:rPr>
          <w:rFonts w:asciiTheme="minorHAnsi" w:hAnsiTheme="minorHAnsi"/>
          <w:noProof/>
          <w:sz w:val="24"/>
          <w:szCs w:val="24"/>
          <w:lang w:eastAsia="en-US"/>
        </w:rPr>
      </w:pPr>
      <w:hyperlink w:anchor="_Toc44542626" w:history="1">
        <w:r w:rsidR="00C91B6B" w:rsidRPr="00963B28">
          <w:rPr>
            <w:rStyle w:val="Hyperlink"/>
            <w:noProof/>
          </w:rPr>
          <w:t>Figure 1.2 - Schema showing conventional and unconventional geothermal resources. (Source: Project Drawdown)</w:t>
        </w:r>
        <w:r w:rsidR="00C91B6B">
          <w:rPr>
            <w:noProof/>
            <w:webHidden/>
          </w:rPr>
          <w:tab/>
        </w:r>
        <w:r w:rsidR="00C91B6B">
          <w:rPr>
            <w:noProof/>
            <w:webHidden/>
          </w:rPr>
          <w:fldChar w:fldCharType="begin"/>
        </w:r>
        <w:r w:rsidR="00C91B6B">
          <w:rPr>
            <w:noProof/>
            <w:webHidden/>
          </w:rPr>
          <w:instrText xml:space="preserve"> PAGEREF _Toc44542626 \h </w:instrText>
        </w:r>
        <w:r w:rsidR="00C91B6B">
          <w:rPr>
            <w:noProof/>
            <w:webHidden/>
          </w:rPr>
        </w:r>
        <w:r w:rsidR="00C91B6B">
          <w:rPr>
            <w:noProof/>
            <w:webHidden/>
          </w:rPr>
          <w:fldChar w:fldCharType="separate"/>
        </w:r>
        <w:r w:rsidR="00C91B6B">
          <w:rPr>
            <w:noProof/>
            <w:webHidden/>
          </w:rPr>
          <w:t>11</w:t>
        </w:r>
        <w:r w:rsidR="00C91B6B">
          <w:rPr>
            <w:noProof/>
            <w:webHidden/>
          </w:rPr>
          <w:fldChar w:fldCharType="end"/>
        </w:r>
      </w:hyperlink>
    </w:p>
    <w:p w14:paraId="141695CD" w14:textId="7A4EC3DE" w:rsidR="00C91B6B" w:rsidRDefault="000F3F47">
      <w:pPr>
        <w:pStyle w:val="TableofFigures"/>
        <w:tabs>
          <w:tab w:val="right" w:leader="dot" w:pos="9350"/>
        </w:tabs>
        <w:rPr>
          <w:rFonts w:asciiTheme="minorHAnsi" w:hAnsiTheme="minorHAnsi"/>
          <w:noProof/>
          <w:sz w:val="24"/>
          <w:szCs w:val="24"/>
          <w:lang w:eastAsia="en-US"/>
        </w:rPr>
      </w:pPr>
      <w:hyperlink w:anchor="_Toc44542627" w:history="1">
        <w:r w:rsidR="00C91B6B" w:rsidRPr="00963B28">
          <w:rPr>
            <w:rStyle w:val="Hyperlink"/>
            <w:noProof/>
          </w:rPr>
          <w:t>Figure 1.3 - Schema showing the three main conventional geothermal technologies (Source: Project Drawdown)</w:t>
        </w:r>
        <w:r w:rsidR="00C91B6B">
          <w:rPr>
            <w:noProof/>
            <w:webHidden/>
          </w:rPr>
          <w:tab/>
        </w:r>
        <w:r w:rsidR="00C91B6B">
          <w:rPr>
            <w:noProof/>
            <w:webHidden/>
          </w:rPr>
          <w:fldChar w:fldCharType="begin"/>
        </w:r>
        <w:r w:rsidR="00C91B6B">
          <w:rPr>
            <w:noProof/>
            <w:webHidden/>
          </w:rPr>
          <w:instrText xml:space="preserve"> PAGEREF _Toc44542627 \h </w:instrText>
        </w:r>
        <w:r w:rsidR="00C91B6B">
          <w:rPr>
            <w:noProof/>
            <w:webHidden/>
          </w:rPr>
        </w:r>
        <w:r w:rsidR="00C91B6B">
          <w:rPr>
            <w:noProof/>
            <w:webHidden/>
          </w:rPr>
          <w:fldChar w:fldCharType="separate"/>
        </w:r>
        <w:r w:rsidR="00C91B6B">
          <w:rPr>
            <w:noProof/>
            <w:webHidden/>
          </w:rPr>
          <w:t>15</w:t>
        </w:r>
        <w:r w:rsidR="00C91B6B">
          <w:rPr>
            <w:noProof/>
            <w:webHidden/>
          </w:rPr>
          <w:fldChar w:fldCharType="end"/>
        </w:r>
      </w:hyperlink>
    </w:p>
    <w:p w14:paraId="417D8C46" w14:textId="26C98EF3" w:rsidR="00C91B6B" w:rsidRDefault="000F3F47">
      <w:pPr>
        <w:pStyle w:val="TableofFigures"/>
        <w:tabs>
          <w:tab w:val="right" w:leader="dot" w:pos="9350"/>
        </w:tabs>
        <w:rPr>
          <w:rFonts w:asciiTheme="minorHAnsi" w:hAnsiTheme="minorHAnsi"/>
          <w:noProof/>
          <w:sz w:val="24"/>
          <w:szCs w:val="24"/>
          <w:lang w:eastAsia="en-US"/>
        </w:rPr>
      </w:pPr>
      <w:hyperlink w:anchor="_Toc44542628" w:history="1">
        <w:r w:rsidR="00C91B6B" w:rsidRPr="00963B28">
          <w:rPr>
            <w:rStyle w:val="Hyperlink"/>
            <w:noProof/>
          </w:rPr>
          <w:t>Figure 1.4 -  Geothermal capacity adoption in various scenarios (Adapted from IEA ETP, 2017, &amp; ThinkGeoEnergy, 2018*)</w:t>
        </w:r>
        <w:r w:rsidR="00C91B6B">
          <w:rPr>
            <w:noProof/>
            <w:webHidden/>
          </w:rPr>
          <w:tab/>
        </w:r>
        <w:r w:rsidR="00C91B6B">
          <w:rPr>
            <w:noProof/>
            <w:webHidden/>
          </w:rPr>
          <w:fldChar w:fldCharType="begin"/>
        </w:r>
        <w:r w:rsidR="00C91B6B">
          <w:rPr>
            <w:noProof/>
            <w:webHidden/>
          </w:rPr>
          <w:instrText xml:space="preserve"> PAGEREF _Toc44542628 \h </w:instrText>
        </w:r>
        <w:r w:rsidR="00C91B6B">
          <w:rPr>
            <w:noProof/>
            <w:webHidden/>
          </w:rPr>
        </w:r>
        <w:r w:rsidR="00C91B6B">
          <w:rPr>
            <w:noProof/>
            <w:webHidden/>
          </w:rPr>
          <w:fldChar w:fldCharType="separate"/>
        </w:r>
        <w:r w:rsidR="00C91B6B">
          <w:rPr>
            <w:noProof/>
            <w:webHidden/>
          </w:rPr>
          <w:t>19</w:t>
        </w:r>
        <w:r w:rsidR="00C91B6B">
          <w:rPr>
            <w:noProof/>
            <w:webHidden/>
          </w:rPr>
          <w:fldChar w:fldCharType="end"/>
        </w:r>
      </w:hyperlink>
    </w:p>
    <w:p w14:paraId="087B391E" w14:textId="7B84621A" w:rsidR="00C91B6B" w:rsidRDefault="000F3F47">
      <w:pPr>
        <w:pStyle w:val="TableofFigures"/>
        <w:tabs>
          <w:tab w:val="right" w:leader="dot" w:pos="9350"/>
        </w:tabs>
        <w:rPr>
          <w:rFonts w:asciiTheme="minorHAnsi" w:hAnsiTheme="minorHAnsi"/>
          <w:noProof/>
          <w:sz w:val="24"/>
          <w:szCs w:val="24"/>
          <w:lang w:eastAsia="en-US"/>
        </w:rPr>
      </w:pPr>
      <w:hyperlink w:anchor="_Toc44542629" w:history="1">
        <w:r w:rsidR="00C91B6B" w:rsidRPr="00963B28">
          <w:rPr>
            <w:rStyle w:val="Hyperlink"/>
            <w:noProof/>
          </w:rPr>
          <w:t>Figure 1.5 - – Geothermal electricity generation in Ref., 2DS and B2DS scenarios (Adapted from IEA ETP, 2017; IEA, 2018*)</w:t>
        </w:r>
        <w:r w:rsidR="00C91B6B">
          <w:rPr>
            <w:noProof/>
            <w:webHidden/>
          </w:rPr>
          <w:tab/>
        </w:r>
        <w:r w:rsidR="00C91B6B">
          <w:rPr>
            <w:noProof/>
            <w:webHidden/>
          </w:rPr>
          <w:fldChar w:fldCharType="begin"/>
        </w:r>
        <w:r w:rsidR="00C91B6B">
          <w:rPr>
            <w:noProof/>
            <w:webHidden/>
          </w:rPr>
          <w:instrText xml:space="preserve"> PAGEREF _Toc44542629 \h </w:instrText>
        </w:r>
        <w:r w:rsidR="00C91B6B">
          <w:rPr>
            <w:noProof/>
            <w:webHidden/>
          </w:rPr>
        </w:r>
        <w:r w:rsidR="00C91B6B">
          <w:rPr>
            <w:noProof/>
            <w:webHidden/>
          </w:rPr>
          <w:fldChar w:fldCharType="separate"/>
        </w:r>
        <w:r w:rsidR="00C91B6B">
          <w:rPr>
            <w:noProof/>
            <w:webHidden/>
          </w:rPr>
          <w:t>19</w:t>
        </w:r>
        <w:r w:rsidR="00C91B6B">
          <w:rPr>
            <w:noProof/>
            <w:webHidden/>
          </w:rPr>
          <w:fldChar w:fldCharType="end"/>
        </w:r>
      </w:hyperlink>
    </w:p>
    <w:p w14:paraId="7A4AE5A6" w14:textId="43BAAC73" w:rsidR="00C91B6B" w:rsidRDefault="000F3F47">
      <w:pPr>
        <w:pStyle w:val="TableofFigures"/>
        <w:tabs>
          <w:tab w:val="right" w:leader="dot" w:pos="9350"/>
        </w:tabs>
        <w:rPr>
          <w:rFonts w:asciiTheme="minorHAnsi" w:hAnsiTheme="minorHAnsi"/>
          <w:noProof/>
          <w:sz w:val="24"/>
          <w:szCs w:val="24"/>
          <w:lang w:eastAsia="en-US"/>
        </w:rPr>
      </w:pPr>
      <w:hyperlink w:anchor="_Toc44542630" w:history="1">
        <w:r w:rsidR="00C91B6B" w:rsidRPr="00963B28">
          <w:rPr>
            <w:rStyle w:val="Hyperlink"/>
            <w:noProof/>
          </w:rPr>
          <w:t>Figure 3.1 World Annual Adoption 2015-2060</w:t>
        </w:r>
        <w:r w:rsidR="00C91B6B">
          <w:rPr>
            <w:noProof/>
            <w:webHidden/>
          </w:rPr>
          <w:tab/>
        </w:r>
        <w:r w:rsidR="00C91B6B">
          <w:rPr>
            <w:noProof/>
            <w:webHidden/>
          </w:rPr>
          <w:fldChar w:fldCharType="begin"/>
        </w:r>
        <w:r w:rsidR="00C91B6B">
          <w:rPr>
            <w:noProof/>
            <w:webHidden/>
          </w:rPr>
          <w:instrText xml:space="preserve"> PAGEREF _Toc44542630 \h </w:instrText>
        </w:r>
        <w:r w:rsidR="00C91B6B">
          <w:rPr>
            <w:noProof/>
            <w:webHidden/>
          </w:rPr>
        </w:r>
        <w:r w:rsidR="00C91B6B">
          <w:rPr>
            <w:noProof/>
            <w:webHidden/>
          </w:rPr>
          <w:fldChar w:fldCharType="separate"/>
        </w:r>
        <w:r w:rsidR="00C91B6B">
          <w:rPr>
            <w:noProof/>
            <w:webHidden/>
          </w:rPr>
          <w:t>36</w:t>
        </w:r>
        <w:r w:rsidR="00C91B6B">
          <w:rPr>
            <w:noProof/>
            <w:webHidden/>
          </w:rPr>
          <w:fldChar w:fldCharType="end"/>
        </w:r>
      </w:hyperlink>
    </w:p>
    <w:p w14:paraId="26590286" w14:textId="1991EC77" w:rsidR="00C91B6B" w:rsidRDefault="000F3F47">
      <w:pPr>
        <w:pStyle w:val="TableofFigures"/>
        <w:tabs>
          <w:tab w:val="right" w:leader="dot" w:pos="9350"/>
        </w:tabs>
        <w:rPr>
          <w:rFonts w:asciiTheme="minorHAnsi" w:hAnsiTheme="minorHAnsi"/>
          <w:noProof/>
          <w:sz w:val="24"/>
          <w:szCs w:val="24"/>
          <w:lang w:eastAsia="en-US"/>
        </w:rPr>
      </w:pPr>
      <w:hyperlink w:anchor="_Toc44542631" w:history="1">
        <w:r w:rsidR="00C91B6B" w:rsidRPr="00963B28">
          <w:rPr>
            <w:rStyle w:val="Hyperlink"/>
            <w:noProof/>
          </w:rPr>
          <w:t>Figure 3.2 World Annual</w:t>
        </w:r>
        <w:r w:rsidR="00C91B6B" w:rsidRPr="00963B28">
          <w:rPr>
            <w:rStyle w:val="Hyperlink"/>
            <w:noProof/>
            <w:vertAlign w:val="subscript"/>
          </w:rPr>
          <w:t xml:space="preserve"> </w:t>
        </w:r>
        <w:r w:rsidR="00C91B6B" w:rsidRPr="00963B28">
          <w:rPr>
            <w:rStyle w:val="Hyperlink"/>
            <w:noProof/>
          </w:rPr>
          <w:t>Greenhouse Gas Emissions Reduction (2015-2060)</w:t>
        </w:r>
        <w:r w:rsidR="00C91B6B">
          <w:rPr>
            <w:noProof/>
            <w:webHidden/>
          </w:rPr>
          <w:tab/>
        </w:r>
        <w:r w:rsidR="00C91B6B">
          <w:rPr>
            <w:noProof/>
            <w:webHidden/>
          </w:rPr>
          <w:fldChar w:fldCharType="begin"/>
        </w:r>
        <w:r w:rsidR="00C91B6B">
          <w:rPr>
            <w:noProof/>
            <w:webHidden/>
          </w:rPr>
          <w:instrText xml:space="preserve"> PAGEREF _Toc44542631 \h </w:instrText>
        </w:r>
        <w:r w:rsidR="00C91B6B">
          <w:rPr>
            <w:noProof/>
            <w:webHidden/>
          </w:rPr>
        </w:r>
        <w:r w:rsidR="00C91B6B">
          <w:rPr>
            <w:noProof/>
            <w:webHidden/>
          </w:rPr>
          <w:fldChar w:fldCharType="separate"/>
        </w:r>
        <w:r w:rsidR="00C91B6B">
          <w:rPr>
            <w:noProof/>
            <w:webHidden/>
          </w:rPr>
          <w:t>37</w:t>
        </w:r>
        <w:r w:rsidR="00C91B6B">
          <w:rPr>
            <w:noProof/>
            <w:webHidden/>
          </w:rPr>
          <w:fldChar w:fldCharType="end"/>
        </w:r>
      </w:hyperlink>
    </w:p>
    <w:p w14:paraId="5AD133BD" w14:textId="291E8058" w:rsidR="00640665" w:rsidRPr="00E069AC" w:rsidRDefault="00F15AEE" w:rsidP="00483FFA">
      <w:r w:rsidRPr="00E069AC">
        <w:fldChar w:fldCharType="end"/>
      </w:r>
    </w:p>
    <w:p w14:paraId="6055DED9" w14:textId="24973E3A" w:rsidR="006A4A08" w:rsidRPr="00E069AC" w:rsidRDefault="00C23CAC" w:rsidP="00B20FA0">
      <w:pPr>
        <w:pStyle w:val="Heading1"/>
        <w:numPr>
          <w:ilvl w:val="0"/>
          <w:numId w:val="0"/>
        </w:numPr>
      </w:pPr>
      <w:bookmarkStart w:id="1" w:name="_Toc19137292"/>
      <w:r w:rsidRPr="00E069AC">
        <w:t xml:space="preserve">List of </w:t>
      </w:r>
      <w:r w:rsidR="2D56E7D4" w:rsidRPr="00E069AC">
        <w:t>Tables</w:t>
      </w:r>
      <w:bookmarkEnd w:id="1"/>
    </w:p>
    <w:p w14:paraId="71A49BB4" w14:textId="733FC29E" w:rsidR="00C91B6B" w:rsidRDefault="006A4A08">
      <w:pPr>
        <w:pStyle w:val="TableofFigures"/>
        <w:tabs>
          <w:tab w:val="right" w:leader="dot" w:pos="9350"/>
        </w:tabs>
        <w:rPr>
          <w:rFonts w:asciiTheme="minorHAnsi" w:hAnsiTheme="minorHAnsi"/>
          <w:noProof/>
          <w:sz w:val="24"/>
          <w:szCs w:val="24"/>
          <w:lang w:eastAsia="en-US"/>
        </w:rPr>
      </w:pPr>
      <w:r w:rsidRPr="00E069AC">
        <w:fldChar w:fldCharType="begin"/>
      </w:r>
      <w:r w:rsidRPr="00E069AC">
        <w:instrText xml:space="preserve"> TOC \h \z \c "Table" </w:instrText>
      </w:r>
      <w:r w:rsidRPr="00E069AC">
        <w:fldChar w:fldCharType="separate"/>
      </w:r>
      <w:hyperlink w:anchor="_Toc44542632" w:history="1">
        <w:r w:rsidR="00C91B6B" w:rsidRPr="00AF4387">
          <w:rPr>
            <w:rStyle w:val="Hyperlink"/>
            <w:noProof/>
          </w:rPr>
          <w:t>Table 2.1 Climate Inputs</w:t>
        </w:r>
        <w:r w:rsidR="00C91B6B">
          <w:rPr>
            <w:noProof/>
            <w:webHidden/>
          </w:rPr>
          <w:tab/>
        </w:r>
        <w:r w:rsidR="00C91B6B">
          <w:rPr>
            <w:noProof/>
            <w:webHidden/>
          </w:rPr>
          <w:fldChar w:fldCharType="begin"/>
        </w:r>
        <w:r w:rsidR="00C91B6B">
          <w:rPr>
            <w:noProof/>
            <w:webHidden/>
          </w:rPr>
          <w:instrText xml:space="preserve"> PAGEREF _Toc44542632 \h </w:instrText>
        </w:r>
        <w:r w:rsidR="00C91B6B">
          <w:rPr>
            <w:noProof/>
            <w:webHidden/>
          </w:rPr>
        </w:r>
        <w:r w:rsidR="00C91B6B">
          <w:rPr>
            <w:noProof/>
            <w:webHidden/>
          </w:rPr>
          <w:fldChar w:fldCharType="separate"/>
        </w:r>
        <w:r w:rsidR="00C91B6B">
          <w:rPr>
            <w:noProof/>
            <w:webHidden/>
          </w:rPr>
          <w:t>29</w:t>
        </w:r>
        <w:r w:rsidR="00C91B6B">
          <w:rPr>
            <w:noProof/>
            <w:webHidden/>
          </w:rPr>
          <w:fldChar w:fldCharType="end"/>
        </w:r>
      </w:hyperlink>
    </w:p>
    <w:p w14:paraId="52F62FB7" w14:textId="463ABBBA" w:rsidR="00C91B6B" w:rsidRDefault="000F3F47">
      <w:pPr>
        <w:pStyle w:val="TableofFigures"/>
        <w:tabs>
          <w:tab w:val="right" w:leader="dot" w:pos="9350"/>
        </w:tabs>
        <w:rPr>
          <w:rFonts w:asciiTheme="minorHAnsi" w:hAnsiTheme="minorHAnsi"/>
          <w:noProof/>
          <w:sz w:val="24"/>
          <w:szCs w:val="24"/>
          <w:lang w:eastAsia="en-US"/>
        </w:rPr>
      </w:pPr>
      <w:hyperlink w:anchor="_Toc44542633" w:history="1">
        <w:r w:rsidR="00C91B6B" w:rsidRPr="00AF4387">
          <w:rPr>
            <w:rStyle w:val="Hyperlink"/>
            <w:noProof/>
          </w:rPr>
          <w:t>Table 2.2 Financial Inputs for Conventional Technologies</w:t>
        </w:r>
        <w:r w:rsidR="00C91B6B">
          <w:rPr>
            <w:noProof/>
            <w:webHidden/>
          </w:rPr>
          <w:tab/>
        </w:r>
        <w:r w:rsidR="00C91B6B">
          <w:rPr>
            <w:noProof/>
            <w:webHidden/>
          </w:rPr>
          <w:fldChar w:fldCharType="begin"/>
        </w:r>
        <w:r w:rsidR="00C91B6B">
          <w:rPr>
            <w:noProof/>
            <w:webHidden/>
          </w:rPr>
          <w:instrText xml:space="preserve"> PAGEREF _Toc44542633 \h </w:instrText>
        </w:r>
        <w:r w:rsidR="00C91B6B">
          <w:rPr>
            <w:noProof/>
            <w:webHidden/>
          </w:rPr>
        </w:r>
        <w:r w:rsidR="00C91B6B">
          <w:rPr>
            <w:noProof/>
            <w:webHidden/>
          </w:rPr>
          <w:fldChar w:fldCharType="separate"/>
        </w:r>
        <w:r w:rsidR="00C91B6B">
          <w:rPr>
            <w:noProof/>
            <w:webHidden/>
          </w:rPr>
          <w:t>31</w:t>
        </w:r>
        <w:r w:rsidR="00C91B6B">
          <w:rPr>
            <w:noProof/>
            <w:webHidden/>
          </w:rPr>
          <w:fldChar w:fldCharType="end"/>
        </w:r>
      </w:hyperlink>
    </w:p>
    <w:p w14:paraId="49916BE7" w14:textId="6F7FECE3" w:rsidR="00C91B6B" w:rsidRDefault="000F3F47">
      <w:pPr>
        <w:pStyle w:val="TableofFigures"/>
        <w:tabs>
          <w:tab w:val="right" w:leader="dot" w:pos="9350"/>
        </w:tabs>
        <w:rPr>
          <w:rFonts w:asciiTheme="minorHAnsi" w:hAnsiTheme="minorHAnsi"/>
          <w:noProof/>
          <w:sz w:val="24"/>
          <w:szCs w:val="24"/>
          <w:lang w:eastAsia="en-US"/>
        </w:rPr>
      </w:pPr>
      <w:hyperlink w:anchor="_Toc44542634" w:history="1">
        <w:r w:rsidR="00C91B6B" w:rsidRPr="00AF4387">
          <w:rPr>
            <w:rStyle w:val="Hyperlink"/>
            <w:noProof/>
          </w:rPr>
          <w:t>Table 2.3 Financial Inputs for Solution</w:t>
        </w:r>
        <w:r w:rsidR="00C91B6B">
          <w:rPr>
            <w:noProof/>
            <w:webHidden/>
          </w:rPr>
          <w:tab/>
        </w:r>
        <w:r w:rsidR="00C91B6B">
          <w:rPr>
            <w:noProof/>
            <w:webHidden/>
          </w:rPr>
          <w:fldChar w:fldCharType="begin"/>
        </w:r>
        <w:r w:rsidR="00C91B6B">
          <w:rPr>
            <w:noProof/>
            <w:webHidden/>
          </w:rPr>
          <w:instrText xml:space="preserve"> PAGEREF _Toc44542634 \h </w:instrText>
        </w:r>
        <w:r w:rsidR="00C91B6B">
          <w:rPr>
            <w:noProof/>
            <w:webHidden/>
          </w:rPr>
        </w:r>
        <w:r w:rsidR="00C91B6B">
          <w:rPr>
            <w:noProof/>
            <w:webHidden/>
          </w:rPr>
          <w:fldChar w:fldCharType="separate"/>
        </w:r>
        <w:r w:rsidR="00C91B6B">
          <w:rPr>
            <w:noProof/>
            <w:webHidden/>
          </w:rPr>
          <w:t>31</w:t>
        </w:r>
        <w:r w:rsidR="00C91B6B">
          <w:rPr>
            <w:noProof/>
            <w:webHidden/>
          </w:rPr>
          <w:fldChar w:fldCharType="end"/>
        </w:r>
      </w:hyperlink>
    </w:p>
    <w:p w14:paraId="6AE55063" w14:textId="1E882C2E" w:rsidR="00C91B6B" w:rsidRDefault="000F3F47">
      <w:pPr>
        <w:pStyle w:val="TableofFigures"/>
        <w:tabs>
          <w:tab w:val="right" w:leader="dot" w:pos="9350"/>
        </w:tabs>
        <w:rPr>
          <w:rFonts w:asciiTheme="minorHAnsi" w:hAnsiTheme="minorHAnsi"/>
          <w:noProof/>
          <w:sz w:val="24"/>
          <w:szCs w:val="24"/>
          <w:lang w:eastAsia="en-US"/>
        </w:rPr>
      </w:pPr>
      <w:hyperlink w:anchor="_Toc44542635" w:history="1">
        <w:r w:rsidR="00C91B6B" w:rsidRPr="00AF4387">
          <w:rPr>
            <w:rStyle w:val="Hyperlink"/>
            <w:noProof/>
          </w:rPr>
          <w:t>Table 2.4 Technical  Inputs Conventional Technologies</w:t>
        </w:r>
        <w:r w:rsidR="00C91B6B">
          <w:rPr>
            <w:noProof/>
            <w:webHidden/>
          </w:rPr>
          <w:tab/>
        </w:r>
        <w:r w:rsidR="00C91B6B">
          <w:rPr>
            <w:noProof/>
            <w:webHidden/>
          </w:rPr>
          <w:fldChar w:fldCharType="begin"/>
        </w:r>
        <w:r w:rsidR="00C91B6B">
          <w:rPr>
            <w:noProof/>
            <w:webHidden/>
          </w:rPr>
          <w:instrText xml:space="preserve"> PAGEREF _Toc44542635 \h </w:instrText>
        </w:r>
        <w:r w:rsidR="00C91B6B">
          <w:rPr>
            <w:noProof/>
            <w:webHidden/>
          </w:rPr>
        </w:r>
        <w:r w:rsidR="00C91B6B">
          <w:rPr>
            <w:noProof/>
            <w:webHidden/>
          </w:rPr>
          <w:fldChar w:fldCharType="separate"/>
        </w:r>
        <w:r w:rsidR="00C91B6B">
          <w:rPr>
            <w:noProof/>
            <w:webHidden/>
          </w:rPr>
          <w:t>31</w:t>
        </w:r>
        <w:r w:rsidR="00C91B6B">
          <w:rPr>
            <w:noProof/>
            <w:webHidden/>
          </w:rPr>
          <w:fldChar w:fldCharType="end"/>
        </w:r>
      </w:hyperlink>
    </w:p>
    <w:p w14:paraId="7A49CD23" w14:textId="196B0D49" w:rsidR="00C91B6B" w:rsidRDefault="000F3F47">
      <w:pPr>
        <w:pStyle w:val="TableofFigures"/>
        <w:tabs>
          <w:tab w:val="right" w:leader="dot" w:pos="9350"/>
        </w:tabs>
        <w:rPr>
          <w:rFonts w:asciiTheme="minorHAnsi" w:hAnsiTheme="minorHAnsi"/>
          <w:noProof/>
          <w:sz w:val="24"/>
          <w:szCs w:val="24"/>
          <w:lang w:eastAsia="en-US"/>
        </w:rPr>
      </w:pPr>
      <w:hyperlink w:anchor="_Toc44542636" w:history="1">
        <w:r w:rsidR="00C91B6B" w:rsidRPr="00AF4387">
          <w:rPr>
            <w:rStyle w:val="Hyperlink"/>
            <w:noProof/>
          </w:rPr>
          <w:t>Table 2.5 Technical Inputs Solution</w:t>
        </w:r>
        <w:r w:rsidR="00C91B6B">
          <w:rPr>
            <w:noProof/>
            <w:webHidden/>
          </w:rPr>
          <w:tab/>
        </w:r>
        <w:r w:rsidR="00C91B6B">
          <w:rPr>
            <w:noProof/>
            <w:webHidden/>
          </w:rPr>
          <w:fldChar w:fldCharType="begin"/>
        </w:r>
        <w:r w:rsidR="00C91B6B">
          <w:rPr>
            <w:noProof/>
            <w:webHidden/>
          </w:rPr>
          <w:instrText xml:space="preserve"> PAGEREF _Toc44542636 \h </w:instrText>
        </w:r>
        <w:r w:rsidR="00C91B6B">
          <w:rPr>
            <w:noProof/>
            <w:webHidden/>
          </w:rPr>
        </w:r>
        <w:r w:rsidR="00C91B6B">
          <w:rPr>
            <w:noProof/>
            <w:webHidden/>
          </w:rPr>
          <w:fldChar w:fldCharType="separate"/>
        </w:r>
        <w:r w:rsidR="00C91B6B">
          <w:rPr>
            <w:noProof/>
            <w:webHidden/>
          </w:rPr>
          <w:t>32</w:t>
        </w:r>
        <w:r w:rsidR="00C91B6B">
          <w:rPr>
            <w:noProof/>
            <w:webHidden/>
          </w:rPr>
          <w:fldChar w:fldCharType="end"/>
        </w:r>
      </w:hyperlink>
    </w:p>
    <w:p w14:paraId="7C4FBC8F" w14:textId="28531076" w:rsidR="00C91B6B" w:rsidRDefault="000F3F47">
      <w:pPr>
        <w:pStyle w:val="TableofFigures"/>
        <w:tabs>
          <w:tab w:val="right" w:leader="dot" w:pos="9350"/>
        </w:tabs>
        <w:rPr>
          <w:rFonts w:asciiTheme="minorHAnsi" w:hAnsiTheme="minorHAnsi"/>
          <w:noProof/>
          <w:sz w:val="24"/>
          <w:szCs w:val="24"/>
          <w:lang w:eastAsia="en-US"/>
        </w:rPr>
      </w:pPr>
      <w:hyperlink w:anchor="_Toc44542637" w:history="1">
        <w:r w:rsidR="00C91B6B" w:rsidRPr="00AF4387">
          <w:rPr>
            <w:rStyle w:val="Hyperlink"/>
            <w:noProof/>
          </w:rPr>
          <w:t>Table 3.1 World Adoption of the Solution</w:t>
        </w:r>
        <w:r w:rsidR="00C91B6B">
          <w:rPr>
            <w:noProof/>
            <w:webHidden/>
          </w:rPr>
          <w:tab/>
        </w:r>
        <w:r w:rsidR="00C91B6B">
          <w:rPr>
            <w:noProof/>
            <w:webHidden/>
          </w:rPr>
          <w:fldChar w:fldCharType="begin"/>
        </w:r>
        <w:r w:rsidR="00C91B6B">
          <w:rPr>
            <w:noProof/>
            <w:webHidden/>
          </w:rPr>
          <w:instrText xml:space="preserve"> PAGEREF _Toc44542637 \h </w:instrText>
        </w:r>
        <w:r w:rsidR="00C91B6B">
          <w:rPr>
            <w:noProof/>
            <w:webHidden/>
          </w:rPr>
        </w:r>
        <w:r w:rsidR="00C91B6B">
          <w:rPr>
            <w:noProof/>
            <w:webHidden/>
          </w:rPr>
          <w:fldChar w:fldCharType="separate"/>
        </w:r>
        <w:r w:rsidR="00C91B6B">
          <w:rPr>
            <w:noProof/>
            <w:webHidden/>
          </w:rPr>
          <w:t>35</w:t>
        </w:r>
        <w:r w:rsidR="00C91B6B">
          <w:rPr>
            <w:noProof/>
            <w:webHidden/>
          </w:rPr>
          <w:fldChar w:fldCharType="end"/>
        </w:r>
      </w:hyperlink>
    </w:p>
    <w:p w14:paraId="1A01BC1A" w14:textId="1410778D" w:rsidR="00C91B6B" w:rsidRDefault="000F3F47">
      <w:pPr>
        <w:pStyle w:val="TableofFigures"/>
        <w:tabs>
          <w:tab w:val="right" w:leader="dot" w:pos="9350"/>
        </w:tabs>
        <w:rPr>
          <w:rFonts w:asciiTheme="minorHAnsi" w:hAnsiTheme="minorHAnsi"/>
          <w:noProof/>
          <w:sz w:val="24"/>
          <w:szCs w:val="24"/>
          <w:lang w:eastAsia="en-US"/>
        </w:rPr>
      </w:pPr>
      <w:hyperlink w:anchor="_Toc44542638" w:history="1">
        <w:r w:rsidR="00C91B6B" w:rsidRPr="00AF4387">
          <w:rPr>
            <w:rStyle w:val="Hyperlink"/>
            <w:noProof/>
          </w:rPr>
          <w:t>Table 3.2 Climate Impacts</w:t>
        </w:r>
        <w:r w:rsidR="00C91B6B">
          <w:rPr>
            <w:noProof/>
            <w:webHidden/>
          </w:rPr>
          <w:tab/>
        </w:r>
        <w:r w:rsidR="00C91B6B">
          <w:rPr>
            <w:noProof/>
            <w:webHidden/>
          </w:rPr>
          <w:fldChar w:fldCharType="begin"/>
        </w:r>
        <w:r w:rsidR="00C91B6B">
          <w:rPr>
            <w:noProof/>
            <w:webHidden/>
          </w:rPr>
          <w:instrText xml:space="preserve"> PAGEREF _Toc44542638 \h </w:instrText>
        </w:r>
        <w:r w:rsidR="00C91B6B">
          <w:rPr>
            <w:noProof/>
            <w:webHidden/>
          </w:rPr>
        </w:r>
        <w:r w:rsidR="00C91B6B">
          <w:rPr>
            <w:noProof/>
            <w:webHidden/>
          </w:rPr>
          <w:fldChar w:fldCharType="separate"/>
        </w:r>
        <w:r w:rsidR="00C91B6B">
          <w:rPr>
            <w:noProof/>
            <w:webHidden/>
          </w:rPr>
          <w:t>36</w:t>
        </w:r>
        <w:r w:rsidR="00C91B6B">
          <w:rPr>
            <w:noProof/>
            <w:webHidden/>
          </w:rPr>
          <w:fldChar w:fldCharType="end"/>
        </w:r>
      </w:hyperlink>
    </w:p>
    <w:p w14:paraId="4F99F88D" w14:textId="67131D59" w:rsidR="00C91B6B" w:rsidRDefault="000F3F47">
      <w:pPr>
        <w:pStyle w:val="TableofFigures"/>
        <w:tabs>
          <w:tab w:val="right" w:leader="dot" w:pos="9350"/>
        </w:tabs>
        <w:rPr>
          <w:rFonts w:asciiTheme="minorHAnsi" w:hAnsiTheme="minorHAnsi"/>
          <w:noProof/>
          <w:sz w:val="24"/>
          <w:szCs w:val="24"/>
          <w:lang w:eastAsia="en-US"/>
        </w:rPr>
      </w:pPr>
      <w:hyperlink w:anchor="_Toc44542639" w:history="1">
        <w:r w:rsidR="00C91B6B" w:rsidRPr="00AF4387">
          <w:rPr>
            <w:rStyle w:val="Hyperlink"/>
            <w:noProof/>
          </w:rPr>
          <w:t>Table 3.3 Impacts on Atmospheric Concentrations of CO</w:t>
        </w:r>
        <w:r w:rsidR="00C91B6B" w:rsidRPr="00AF4387">
          <w:rPr>
            <w:rStyle w:val="Hyperlink"/>
            <w:noProof/>
            <w:vertAlign w:val="subscript"/>
          </w:rPr>
          <w:t>2</w:t>
        </w:r>
        <w:r w:rsidR="00C91B6B" w:rsidRPr="00AF4387">
          <w:rPr>
            <w:rStyle w:val="Hyperlink"/>
            <w:noProof/>
          </w:rPr>
          <w:t>-eq</w:t>
        </w:r>
        <w:r w:rsidR="00C91B6B">
          <w:rPr>
            <w:noProof/>
            <w:webHidden/>
          </w:rPr>
          <w:tab/>
        </w:r>
        <w:r w:rsidR="00C91B6B">
          <w:rPr>
            <w:noProof/>
            <w:webHidden/>
          </w:rPr>
          <w:fldChar w:fldCharType="begin"/>
        </w:r>
        <w:r w:rsidR="00C91B6B">
          <w:rPr>
            <w:noProof/>
            <w:webHidden/>
          </w:rPr>
          <w:instrText xml:space="preserve"> PAGEREF _Toc44542639 \h </w:instrText>
        </w:r>
        <w:r w:rsidR="00C91B6B">
          <w:rPr>
            <w:noProof/>
            <w:webHidden/>
          </w:rPr>
        </w:r>
        <w:r w:rsidR="00C91B6B">
          <w:rPr>
            <w:noProof/>
            <w:webHidden/>
          </w:rPr>
          <w:fldChar w:fldCharType="separate"/>
        </w:r>
        <w:r w:rsidR="00C91B6B">
          <w:rPr>
            <w:noProof/>
            <w:webHidden/>
          </w:rPr>
          <w:t>37</w:t>
        </w:r>
        <w:r w:rsidR="00C91B6B">
          <w:rPr>
            <w:noProof/>
            <w:webHidden/>
          </w:rPr>
          <w:fldChar w:fldCharType="end"/>
        </w:r>
      </w:hyperlink>
    </w:p>
    <w:p w14:paraId="60E12185" w14:textId="0C041C6B" w:rsidR="00C91B6B" w:rsidRDefault="000F3F47">
      <w:pPr>
        <w:pStyle w:val="TableofFigures"/>
        <w:tabs>
          <w:tab w:val="right" w:leader="dot" w:pos="9350"/>
        </w:tabs>
        <w:rPr>
          <w:rFonts w:asciiTheme="minorHAnsi" w:hAnsiTheme="minorHAnsi"/>
          <w:noProof/>
          <w:sz w:val="24"/>
          <w:szCs w:val="24"/>
          <w:lang w:eastAsia="en-US"/>
        </w:rPr>
      </w:pPr>
      <w:hyperlink w:anchor="_Toc44542640" w:history="1">
        <w:r w:rsidR="00C91B6B" w:rsidRPr="00AF4387">
          <w:rPr>
            <w:rStyle w:val="Hyperlink"/>
            <w:noProof/>
          </w:rPr>
          <w:t>Table 3.4 Financial Impacts</w:t>
        </w:r>
        <w:r w:rsidR="00C91B6B">
          <w:rPr>
            <w:noProof/>
            <w:webHidden/>
          </w:rPr>
          <w:tab/>
        </w:r>
        <w:r w:rsidR="00C91B6B">
          <w:rPr>
            <w:noProof/>
            <w:webHidden/>
          </w:rPr>
          <w:fldChar w:fldCharType="begin"/>
        </w:r>
        <w:r w:rsidR="00C91B6B">
          <w:rPr>
            <w:noProof/>
            <w:webHidden/>
          </w:rPr>
          <w:instrText xml:space="preserve"> PAGEREF _Toc44542640 \h </w:instrText>
        </w:r>
        <w:r w:rsidR="00C91B6B">
          <w:rPr>
            <w:noProof/>
            <w:webHidden/>
          </w:rPr>
        </w:r>
        <w:r w:rsidR="00C91B6B">
          <w:rPr>
            <w:noProof/>
            <w:webHidden/>
          </w:rPr>
          <w:fldChar w:fldCharType="separate"/>
        </w:r>
        <w:r w:rsidR="00C91B6B">
          <w:rPr>
            <w:noProof/>
            <w:webHidden/>
          </w:rPr>
          <w:t>38</w:t>
        </w:r>
        <w:r w:rsidR="00C91B6B">
          <w:rPr>
            <w:noProof/>
            <w:webHidden/>
          </w:rPr>
          <w:fldChar w:fldCharType="end"/>
        </w:r>
      </w:hyperlink>
    </w:p>
    <w:p w14:paraId="37CFE586" w14:textId="609AB62D" w:rsidR="00C91B6B" w:rsidRDefault="000F3F47">
      <w:pPr>
        <w:pStyle w:val="TableofFigures"/>
        <w:tabs>
          <w:tab w:val="right" w:leader="dot" w:pos="9350"/>
        </w:tabs>
        <w:rPr>
          <w:rFonts w:asciiTheme="minorHAnsi" w:hAnsiTheme="minorHAnsi"/>
          <w:noProof/>
          <w:sz w:val="24"/>
          <w:szCs w:val="24"/>
          <w:lang w:eastAsia="en-US"/>
        </w:rPr>
      </w:pPr>
      <w:hyperlink w:anchor="_Toc44542641" w:history="1">
        <w:r w:rsidR="00C91B6B" w:rsidRPr="00AF4387">
          <w:rPr>
            <w:rStyle w:val="Hyperlink"/>
            <w:noProof/>
          </w:rPr>
          <w:t>Table 4.1 Benchmarks</w:t>
        </w:r>
        <w:r w:rsidR="00C91B6B">
          <w:rPr>
            <w:noProof/>
            <w:webHidden/>
          </w:rPr>
          <w:tab/>
        </w:r>
        <w:r w:rsidR="00C91B6B">
          <w:rPr>
            <w:noProof/>
            <w:webHidden/>
          </w:rPr>
          <w:fldChar w:fldCharType="begin"/>
        </w:r>
        <w:r w:rsidR="00C91B6B">
          <w:rPr>
            <w:noProof/>
            <w:webHidden/>
          </w:rPr>
          <w:instrText xml:space="preserve"> PAGEREF _Toc44542641 \h </w:instrText>
        </w:r>
        <w:r w:rsidR="00C91B6B">
          <w:rPr>
            <w:noProof/>
            <w:webHidden/>
          </w:rPr>
        </w:r>
        <w:r w:rsidR="00C91B6B">
          <w:rPr>
            <w:noProof/>
            <w:webHidden/>
          </w:rPr>
          <w:fldChar w:fldCharType="separate"/>
        </w:r>
        <w:r w:rsidR="00C91B6B">
          <w:rPr>
            <w:noProof/>
            <w:webHidden/>
          </w:rPr>
          <w:t>42</w:t>
        </w:r>
        <w:r w:rsidR="00C91B6B">
          <w:rPr>
            <w:noProof/>
            <w:webHidden/>
          </w:rPr>
          <w:fldChar w:fldCharType="end"/>
        </w:r>
      </w:hyperlink>
    </w:p>
    <w:p w14:paraId="4825AD3F" w14:textId="1E2E4F4A" w:rsidR="00640665" w:rsidRPr="00E069AC" w:rsidRDefault="006A4A08" w:rsidP="00E069AC">
      <w:r w:rsidRPr="00E069AC">
        <w:fldChar w:fldCharType="end"/>
      </w:r>
      <w:r w:rsidR="00640665" w:rsidRPr="00E069AC">
        <w:br w:type="page"/>
      </w:r>
    </w:p>
    <w:p w14:paraId="314CD877" w14:textId="5451454D" w:rsidR="00FA6897" w:rsidRPr="00E069AC" w:rsidRDefault="2D56E7D4" w:rsidP="00B20FA0">
      <w:pPr>
        <w:pStyle w:val="Heading1"/>
        <w:numPr>
          <w:ilvl w:val="0"/>
          <w:numId w:val="0"/>
        </w:numPr>
        <w:ind w:left="720"/>
      </w:pPr>
      <w:bookmarkStart w:id="2" w:name="_Toc19137293"/>
      <w:r w:rsidRPr="00E069AC">
        <w:lastRenderedPageBreak/>
        <w:t>Acronyms and Symbols</w:t>
      </w:r>
      <w:bookmarkEnd w:id="2"/>
    </w:p>
    <w:p w14:paraId="0F4C7E23" w14:textId="7FC3AE4D" w:rsidR="00573B48" w:rsidRPr="008D55BF" w:rsidRDefault="00573B48" w:rsidP="00921A82">
      <w:pPr>
        <w:pStyle w:val="ListParagraph"/>
        <w:numPr>
          <w:ilvl w:val="0"/>
          <w:numId w:val="8"/>
        </w:numPr>
        <w:spacing w:after="160" w:line="276" w:lineRule="auto"/>
      </w:pPr>
      <w:r w:rsidRPr="00573B48">
        <w:t xml:space="preserve">GHP - </w:t>
      </w:r>
      <w:r w:rsidR="00F97D58">
        <w:rPr>
          <w:rFonts w:cs="Times New Roman"/>
        </w:rPr>
        <w:t>G</w:t>
      </w:r>
      <w:r w:rsidRPr="00573B48">
        <w:rPr>
          <w:rFonts w:cs="Times New Roman"/>
        </w:rPr>
        <w:t>eothermal heat pumps</w:t>
      </w:r>
    </w:p>
    <w:p w14:paraId="42593229" w14:textId="57BCB36B" w:rsidR="008D55BF" w:rsidRPr="008D55BF" w:rsidRDefault="008D55BF" w:rsidP="00921A82">
      <w:pPr>
        <w:pStyle w:val="ListParagraph"/>
        <w:numPr>
          <w:ilvl w:val="0"/>
          <w:numId w:val="8"/>
        </w:numPr>
        <w:spacing w:after="160" w:line="276" w:lineRule="auto"/>
      </w:pPr>
      <w:r w:rsidRPr="007A69C1">
        <w:rPr>
          <w:bCs/>
        </w:rPr>
        <w:t>H</w:t>
      </w:r>
      <w:r w:rsidRPr="005E0A6B">
        <w:rPr>
          <w:bCs/>
          <w:vertAlign w:val="subscript"/>
        </w:rPr>
        <w:t>2</w:t>
      </w:r>
      <w:r w:rsidRPr="007A69C1">
        <w:rPr>
          <w:bCs/>
        </w:rPr>
        <w:t>S</w:t>
      </w:r>
      <w:r>
        <w:rPr>
          <w:bCs/>
        </w:rPr>
        <w:t xml:space="preserve"> - </w:t>
      </w:r>
      <w:r w:rsidR="00F97D58">
        <w:rPr>
          <w:bCs/>
        </w:rPr>
        <w:t>H</w:t>
      </w:r>
      <w:r w:rsidRPr="007A69C1">
        <w:rPr>
          <w:bCs/>
        </w:rPr>
        <w:t>ydrogen sulphide</w:t>
      </w:r>
    </w:p>
    <w:p w14:paraId="02428B25" w14:textId="5134E604" w:rsidR="008D55BF" w:rsidRPr="008D55BF" w:rsidRDefault="008D55BF" w:rsidP="00921A82">
      <w:pPr>
        <w:pStyle w:val="ListParagraph"/>
        <w:numPr>
          <w:ilvl w:val="0"/>
          <w:numId w:val="8"/>
        </w:numPr>
        <w:spacing w:after="160" w:line="276" w:lineRule="auto"/>
      </w:pPr>
      <w:r w:rsidRPr="007A69C1">
        <w:rPr>
          <w:bCs/>
        </w:rPr>
        <w:t>H</w:t>
      </w:r>
      <w:r w:rsidRPr="005E0A6B">
        <w:rPr>
          <w:bCs/>
          <w:vertAlign w:val="subscript"/>
        </w:rPr>
        <w:t>2</w:t>
      </w:r>
      <w:r>
        <w:rPr>
          <w:bCs/>
        </w:rPr>
        <w:t xml:space="preserve"> - </w:t>
      </w:r>
      <w:r w:rsidR="00F97D58">
        <w:rPr>
          <w:bCs/>
        </w:rPr>
        <w:t>H</w:t>
      </w:r>
      <w:r w:rsidRPr="007A69C1">
        <w:rPr>
          <w:bCs/>
        </w:rPr>
        <w:t>ydrogen</w:t>
      </w:r>
    </w:p>
    <w:p w14:paraId="438C1EE8" w14:textId="6A17EBD0" w:rsidR="008D55BF" w:rsidRPr="008D55BF" w:rsidRDefault="008D55BF" w:rsidP="00921A82">
      <w:pPr>
        <w:pStyle w:val="ListParagraph"/>
        <w:numPr>
          <w:ilvl w:val="0"/>
          <w:numId w:val="8"/>
        </w:numPr>
        <w:spacing w:after="160" w:line="276" w:lineRule="auto"/>
      </w:pPr>
      <w:r w:rsidRPr="007A69C1">
        <w:rPr>
          <w:bCs/>
        </w:rPr>
        <w:t>CH</w:t>
      </w:r>
      <w:r w:rsidRPr="005E0A6B">
        <w:rPr>
          <w:bCs/>
          <w:vertAlign w:val="subscript"/>
        </w:rPr>
        <w:t>4</w:t>
      </w:r>
      <w:r>
        <w:rPr>
          <w:bCs/>
        </w:rPr>
        <w:t xml:space="preserve"> -</w:t>
      </w:r>
      <w:r w:rsidR="00F97D58">
        <w:rPr>
          <w:bCs/>
        </w:rPr>
        <w:t xml:space="preserve"> M</w:t>
      </w:r>
      <w:r w:rsidRPr="007A69C1">
        <w:rPr>
          <w:bCs/>
        </w:rPr>
        <w:t>ethane</w:t>
      </w:r>
    </w:p>
    <w:p w14:paraId="6F8667AC" w14:textId="27144E1C" w:rsidR="008D55BF" w:rsidRPr="008D55BF" w:rsidRDefault="008D55BF" w:rsidP="00921A82">
      <w:pPr>
        <w:pStyle w:val="ListParagraph"/>
        <w:numPr>
          <w:ilvl w:val="0"/>
          <w:numId w:val="8"/>
        </w:numPr>
        <w:spacing w:after="160" w:line="276" w:lineRule="auto"/>
      </w:pPr>
      <w:r w:rsidRPr="007A69C1">
        <w:rPr>
          <w:bCs/>
        </w:rPr>
        <w:t>NH</w:t>
      </w:r>
      <w:r w:rsidRPr="005E0A6B">
        <w:rPr>
          <w:bCs/>
          <w:vertAlign w:val="subscript"/>
        </w:rPr>
        <w:t>3</w:t>
      </w:r>
      <w:r>
        <w:rPr>
          <w:bCs/>
        </w:rPr>
        <w:t xml:space="preserve"> - </w:t>
      </w:r>
      <w:r w:rsidR="00F97D58">
        <w:rPr>
          <w:bCs/>
        </w:rPr>
        <w:t>A</w:t>
      </w:r>
      <w:r w:rsidRPr="007A69C1">
        <w:rPr>
          <w:bCs/>
        </w:rPr>
        <w:t>mmonia</w:t>
      </w:r>
    </w:p>
    <w:p w14:paraId="4B124CC3" w14:textId="536BAB4D" w:rsidR="008D55BF" w:rsidRPr="008D55BF" w:rsidRDefault="008D55BF" w:rsidP="00921A82">
      <w:pPr>
        <w:pStyle w:val="ListParagraph"/>
        <w:numPr>
          <w:ilvl w:val="0"/>
          <w:numId w:val="8"/>
        </w:numPr>
        <w:spacing w:after="160" w:line="276" w:lineRule="auto"/>
      </w:pPr>
      <w:r w:rsidRPr="007A69C1">
        <w:rPr>
          <w:bCs/>
        </w:rPr>
        <w:t>N</w:t>
      </w:r>
      <w:r w:rsidRPr="005E0A6B">
        <w:rPr>
          <w:bCs/>
          <w:vertAlign w:val="subscript"/>
        </w:rPr>
        <w:t>2</w:t>
      </w:r>
      <w:r>
        <w:rPr>
          <w:bCs/>
        </w:rPr>
        <w:t xml:space="preserve"> – </w:t>
      </w:r>
      <w:r w:rsidR="00F97D58">
        <w:rPr>
          <w:bCs/>
        </w:rPr>
        <w:t>N</w:t>
      </w:r>
      <w:r w:rsidRPr="007A69C1">
        <w:rPr>
          <w:bCs/>
        </w:rPr>
        <w:t>itrogen</w:t>
      </w:r>
    </w:p>
    <w:p w14:paraId="31987589" w14:textId="5FC15913" w:rsidR="008D55BF" w:rsidRPr="002F4053" w:rsidRDefault="008D55BF" w:rsidP="00921A82">
      <w:pPr>
        <w:pStyle w:val="ListParagraph"/>
        <w:numPr>
          <w:ilvl w:val="0"/>
          <w:numId w:val="8"/>
        </w:numPr>
        <w:spacing w:after="160" w:line="276" w:lineRule="auto"/>
      </w:pPr>
      <w:r>
        <w:t xml:space="preserve">NCG - </w:t>
      </w:r>
      <w:r w:rsidRPr="003A5754">
        <w:rPr>
          <w:bCs/>
        </w:rPr>
        <w:t>non-condensable gases</w:t>
      </w:r>
    </w:p>
    <w:p w14:paraId="17831D8C" w14:textId="6E826462" w:rsidR="002F4053" w:rsidRPr="002F4053" w:rsidRDefault="002F4053" w:rsidP="00921A82">
      <w:pPr>
        <w:pStyle w:val="ListParagraph"/>
        <w:numPr>
          <w:ilvl w:val="0"/>
          <w:numId w:val="8"/>
        </w:numPr>
        <w:spacing w:after="160" w:line="276" w:lineRule="auto"/>
      </w:pPr>
      <w:r>
        <w:rPr>
          <w:rFonts w:cs="Times New Roman"/>
          <w:color w:val="000000" w:themeColor="text1"/>
        </w:rPr>
        <w:t xml:space="preserve">ORC - </w:t>
      </w:r>
      <w:r w:rsidRPr="00740DE4">
        <w:rPr>
          <w:rFonts w:cs="Times New Roman"/>
          <w:color w:val="000000" w:themeColor="text1"/>
        </w:rPr>
        <w:t>Organic Rankine Cycle</w:t>
      </w:r>
    </w:p>
    <w:p w14:paraId="1B52077A" w14:textId="76D8A38E" w:rsidR="002F4053" w:rsidRPr="00FB55AF" w:rsidRDefault="002F4053" w:rsidP="00921A82">
      <w:pPr>
        <w:pStyle w:val="ListParagraph"/>
        <w:numPr>
          <w:ilvl w:val="0"/>
          <w:numId w:val="8"/>
        </w:numPr>
        <w:spacing w:after="160" w:line="276" w:lineRule="auto"/>
      </w:pPr>
      <w:r w:rsidRPr="00FB55AF">
        <w:t xml:space="preserve">MIT - </w:t>
      </w:r>
      <w:r w:rsidRPr="00FB55AF">
        <w:rPr>
          <w:noProof/>
        </w:rPr>
        <w:t>Massachusetts Institute of Technology</w:t>
      </w:r>
    </w:p>
    <w:p w14:paraId="149F15E8" w14:textId="43C59E08" w:rsidR="000F24D4" w:rsidRPr="00FB55AF" w:rsidRDefault="000F24D4" w:rsidP="00921A82">
      <w:pPr>
        <w:pStyle w:val="ListParagraph"/>
        <w:numPr>
          <w:ilvl w:val="0"/>
          <w:numId w:val="8"/>
        </w:numPr>
        <w:spacing w:after="160" w:line="276" w:lineRule="auto"/>
      </w:pPr>
      <w:r w:rsidRPr="00FB55AF">
        <w:t>AMPERE – Assessment of Climate Change Mitigation Pathways and Evaluation of the Robustness of Mitigation Cost Estimates</w:t>
      </w:r>
    </w:p>
    <w:p w14:paraId="36182F29" w14:textId="4427F3E9" w:rsidR="000F24D4" w:rsidRPr="008D55BF" w:rsidRDefault="000F24D4" w:rsidP="00921A82">
      <w:pPr>
        <w:pStyle w:val="ListParagraph"/>
        <w:numPr>
          <w:ilvl w:val="0"/>
          <w:numId w:val="8"/>
        </w:numPr>
        <w:spacing w:after="160" w:line="276" w:lineRule="auto"/>
      </w:pPr>
      <w:r w:rsidRPr="008D55BF">
        <w:t>CO</w:t>
      </w:r>
      <w:r w:rsidRPr="008D55BF">
        <w:rPr>
          <w:vertAlign w:val="subscript"/>
        </w:rPr>
        <w:t>2</w:t>
      </w:r>
      <w:r w:rsidRPr="008D55BF">
        <w:t xml:space="preserve"> – Carbon Dioxide</w:t>
      </w:r>
    </w:p>
    <w:p w14:paraId="63121E69" w14:textId="634534BC" w:rsidR="000F24D4" w:rsidRDefault="000F24D4" w:rsidP="00921A82">
      <w:pPr>
        <w:pStyle w:val="ListParagraph"/>
        <w:numPr>
          <w:ilvl w:val="0"/>
          <w:numId w:val="8"/>
        </w:numPr>
        <w:spacing w:after="160" w:line="276" w:lineRule="auto"/>
      </w:pPr>
      <w:r w:rsidRPr="00FB55AF">
        <w:t>DS – Degree Scenario</w:t>
      </w:r>
    </w:p>
    <w:p w14:paraId="7104F7B2" w14:textId="73C103D5" w:rsidR="00CF47FF" w:rsidRPr="00FB55AF" w:rsidRDefault="00CF47FF" w:rsidP="00921A82">
      <w:pPr>
        <w:pStyle w:val="ListParagraph"/>
        <w:numPr>
          <w:ilvl w:val="0"/>
          <w:numId w:val="8"/>
        </w:numPr>
        <w:spacing w:after="160" w:line="276" w:lineRule="auto"/>
      </w:pPr>
      <w:r>
        <w:t>EGS – Enhanced</w:t>
      </w:r>
      <w:r w:rsidR="002E61D0">
        <w:t xml:space="preserve"> (or Engineered)</w:t>
      </w:r>
      <w:r>
        <w:t xml:space="preserve"> Geothermal System</w:t>
      </w:r>
    </w:p>
    <w:p w14:paraId="3E518160" w14:textId="77777777" w:rsidR="000F24D4" w:rsidRPr="00F73DA7" w:rsidRDefault="000F24D4" w:rsidP="00921A82">
      <w:pPr>
        <w:pStyle w:val="ListParagraph"/>
        <w:numPr>
          <w:ilvl w:val="0"/>
          <w:numId w:val="8"/>
        </w:numPr>
        <w:spacing w:after="160" w:line="276" w:lineRule="auto"/>
      </w:pPr>
      <w:r w:rsidRPr="00F73DA7">
        <w:t>ETP – Energy Technology Perspectives</w:t>
      </w:r>
    </w:p>
    <w:p w14:paraId="57DD0B54" w14:textId="27149FB7" w:rsidR="000F24D4" w:rsidRDefault="000F24D4" w:rsidP="00921A82">
      <w:pPr>
        <w:pStyle w:val="ListParagraph"/>
        <w:numPr>
          <w:ilvl w:val="0"/>
          <w:numId w:val="8"/>
        </w:numPr>
        <w:spacing w:after="160" w:line="276" w:lineRule="auto"/>
      </w:pPr>
      <w:r w:rsidRPr="00F73DA7">
        <w:t>EU – European Union</w:t>
      </w:r>
    </w:p>
    <w:p w14:paraId="5D40001A" w14:textId="3DFA6960" w:rsidR="00C230EE" w:rsidRDefault="00C230EE">
      <w:pPr>
        <w:pStyle w:val="ListParagraph"/>
        <w:numPr>
          <w:ilvl w:val="0"/>
          <w:numId w:val="8"/>
        </w:numPr>
        <w:spacing w:after="160"/>
      </w:pPr>
      <w:r>
        <w:t xml:space="preserve">EWG </w:t>
      </w:r>
      <w:r w:rsidR="00C81936">
        <w:t>–</w:t>
      </w:r>
      <w:r>
        <w:t xml:space="preserve"> </w:t>
      </w:r>
      <w:r w:rsidRPr="004E37EC">
        <w:t>Energy Watch Group</w:t>
      </w:r>
    </w:p>
    <w:p w14:paraId="3F09D646" w14:textId="1F010080" w:rsidR="00C81936" w:rsidRPr="00F73DA7" w:rsidRDefault="00C81936" w:rsidP="009C30A8">
      <w:pPr>
        <w:pStyle w:val="ListParagraph"/>
        <w:numPr>
          <w:ilvl w:val="0"/>
          <w:numId w:val="8"/>
        </w:numPr>
        <w:spacing w:after="160"/>
      </w:pPr>
      <w:r>
        <w:t xml:space="preserve">GEA – </w:t>
      </w:r>
      <w:r w:rsidRPr="00524D9E">
        <w:rPr>
          <w:bCs/>
          <w:noProof/>
        </w:rPr>
        <w:t>Geothermal Energy Association</w:t>
      </w:r>
    </w:p>
    <w:p w14:paraId="56086BFB" w14:textId="77777777" w:rsidR="000F24D4" w:rsidRPr="00FB55AF" w:rsidRDefault="000F24D4" w:rsidP="00921A82">
      <w:pPr>
        <w:pStyle w:val="ListParagraph"/>
        <w:numPr>
          <w:ilvl w:val="0"/>
          <w:numId w:val="8"/>
        </w:numPr>
        <w:spacing w:after="160" w:line="276" w:lineRule="auto"/>
      </w:pPr>
      <w:r w:rsidRPr="00F73DA7">
        <w:t>GEM-E3 – General Equilibrium</w:t>
      </w:r>
      <w:r w:rsidRPr="00FB55AF">
        <w:t xml:space="preserve"> model for Economy, Energy and Environment</w:t>
      </w:r>
    </w:p>
    <w:p w14:paraId="1C236D8D" w14:textId="77777777" w:rsidR="000F24D4" w:rsidRPr="00FB55AF" w:rsidRDefault="000F24D4" w:rsidP="00921A82">
      <w:pPr>
        <w:pStyle w:val="ListParagraph"/>
        <w:numPr>
          <w:ilvl w:val="0"/>
          <w:numId w:val="8"/>
        </w:numPr>
        <w:spacing w:after="160" w:line="276" w:lineRule="auto"/>
      </w:pPr>
      <w:r w:rsidRPr="00FB55AF">
        <w:t>GHG – Greenhouse Gases</w:t>
      </w:r>
    </w:p>
    <w:p w14:paraId="162E8D3F" w14:textId="77777777" w:rsidR="000F24D4" w:rsidRPr="008D55BF" w:rsidRDefault="000F24D4" w:rsidP="00921A82">
      <w:pPr>
        <w:pStyle w:val="ListParagraph"/>
        <w:numPr>
          <w:ilvl w:val="0"/>
          <w:numId w:val="8"/>
        </w:numPr>
        <w:spacing w:after="160" w:line="276" w:lineRule="auto"/>
      </w:pPr>
      <w:r w:rsidRPr="008D55BF">
        <w:t xml:space="preserve">Gt – Gigatones </w:t>
      </w:r>
    </w:p>
    <w:p w14:paraId="12ED6742" w14:textId="574A7034" w:rsidR="000F24D4" w:rsidRDefault="000F24D4" w:rsidP="00921A82">
      <w:pPr>
        <w:pStyle w:val="ListParagraph"/>
        <w:numPr>
          <w:ilvl w:val="0"/>
          <w:numId w:val="8"/>
        </w:numPr>
        <w:spacing w:after="160" w:line="276" w:lineRule="auto"/>
      </w:pPr>
      <w:r w:rsidRPr="008D55BF">
        <w:t xml:space="preserve">GW - Gigawatts </w:t>
      </w:r>
    </w:p>
    <w:p w14:paraId="5DBF6CC8" w14:textId="39F5E2D8" w:rsidR="00C230EE" w:rsidRDefault="00C230EE" w:rsidP="00921A82">
      <w:pPr>
        <w:pStyle w:val="ListParagraph"/>
        <w:numPr>
          <w:ilvl w:val="0"/>
          <w:numId w:val="8"/>
        </w:numPr>
        <w:spacing w:after="160" w:line="276" w:lineRule="auto"/>
      </w:pPr>
      <w:r>
        <w:t>HDR – Hot Dry Rock (Hot Drock)</w:t>
      </w:r>
    </w:p>
    <w:p w14:paraId="290C48F2" w14:textId="04D162E3" w:rsidR="002E61D0" w:rsidRPr="008D55BF" w:rsidRDefault="002E61D0" w:rsidP="00921A82">
      <w:pPr>
        <w:pStyle w:val="ListParagraph"/>
        <w:numPr>
          <w:ilvl w:val="0"/>
          <w:numId w:val="8"/>
        </w:numPr>
        <w:spacing w:after="160" w:line="276" w:lineRule="auto"/>
      </w:pPr>
      <w:r>
        <w:t xml:space="preserve">HSA – </w:t>
      </w:r>
      <w:r>
        <w:rPr>
          <w:rFonts w:cs="Times New Roman"/>
        </w:rPr>
        <w:t>Hot Sedimentary Aquifer</w:t>
      </w:r>
    </w:p>
    <w:p w14:paraId="389EF963" w14:textId="20A0F16A" w:rsidR="000F24D4" w:rsidRDefault="000F24D4" w:rsidP="00921A82">
      <w:pPr>
        <w:pStyle w:val="ListParagraph"/>
        <w:numPr>
          <w:ilvl w:val="0"/>
          <w:numId w:val="8"/>
        </w:numPr>
        <w:spacing w:after="160" w:line="276" w:lineRule="auto"/>
      </w:pPr>
      <w:r w:rsidRPr="00FB55AF">
        <w:t>IEA – International Energy Agency</w:t>
      </w:r>
    </w:p>
    <w:p w14:paraId="595A2DFF" w14:textId="4AA94A1C" w:rsidR="00C230EE" w:rsidRDefault="00C230EE">
      <w:pPr>
        <w:pStyle w:val="ListParagraph"/>
        <w:numPr>
          <w:ilvl w:val="0"/>
          <w:numId w:val="8"/>
        </w:numPr>
        <w:spacing w:after="0"/>
      </w:pPr>
      <w:r>
        <w:t>IEEJ – The Institute of Energy Economics, Japan</w:t>
      </w:r>
    </w:p>
    <w:p w14:paraId="5B8D03E3" w14:textId="1A32BBA0" w:rsidR="00C81936" w:rsidRPr="00FB55AF" w:rsidRDefault="00C81936" w:rsidP="009C30A8">
      <w:pPr>
        <w:pStyle w:val="ListParagraph"/>
        <w:numPr>
          <w:ilvl w:val="0"/>
          <w:numId w:val="8"/>
        </w:numPr>
        <w:spacing w:after="0"/>
      </w:pPr>
      <w:r>
        <w:t>IGA – International Geothermal Association</w:t>
      </w:r>
    </w:p>
    <w:p w14:paraId="45D21D76" w14:textId="77777777" w:rsidR="000F24D4" w:rsidRPr="00FB55AF" w:rsidRDefault="000F24D4" w:rsidP="00921A82">
      <w:pPr>
        <w:pStyle w:val="ListParagraph"/>
        <w:numPr>
          <w:ilvl w:val="0"/>
          <w:numId w:val="8"/>
        </w:numPr>
        <w:spacing w:after="160" w:line="276" w:lineRule="auto"/>
      </w:pPr>
      <w:r w:rsidRPr="00FB55AF">
        <w:t>IMAGE/TIMER – Integrated Model to Assess the Global Environment/The Targets IMage Energy Regional model</w:t>
      </w:r>
    </w:p>
    <w:p w14:paraId="28C1112F" w14:textId="4B23D1CC" w:rsidR="000F24D4" w:rsidRDefault="000F24D4" w:rsidP="00921A82">
      <w:pPr>
        <w:pStyle w:val="ListParagraph"/>
        <w:numPr>
          <w:ilvl w:val="0"/>
          <w:numId w:val="8"/>
        </w:numPr>
        <w:spacing w:after="160" w:line="276" w:lineRule="auto"/>
      </w:pPr>
      <w:r w:rsidRPr="002F4053">
        <w:t>IPCC – Intergovernmental Panel for Climate Change</w:t>
      </w:r>
    </w:p>
    <w:p w14:paraId="38346D54" w14:textId="361C3421" w:rsidR="00C230EE" w:rsidRPr="002F4053" w:rsidRDefault="00C230EE" w:rsidP="009C30A8">
      <w:pPr>
        <w:pStyle w:val="ListParagraph"/>
        <w:numPr>
          <w:ilvl w:val="0"/>
          <w:numId w:val="8"/>
        </w:numPr>
        <w:spacing w:after="160"/>
      </w:pPr>
      <w:r>
        <w:t>IRENA – International Renewable Energy Agency</w:t>
      </w:r>
    </w:p>
    <w:p w14:paraId="11BCFF56" w14:textId="77777777" w:rsidR="000F24D4" w:rsidRPr="002F4053" w:rsidRDefault="000F24D4" w:rsidP="00921A82">
      <w:pPr>
        <w:pStyle w:val="ListParagraph"/>
        <w:numPr>
          <w:ilvl w:val="0"/>
          <w:numId w:val="8"/>
        </w:numPr>
        <w:spacing w:after="160" w:line="276" w:lineRule="auto"/>
      </w:pPr>
      <w:r w:rsidRPr="002F4053">
        <w:t>LCA – Life Cycle Assessment</w:t>
      </w:r>
    </w:p>
    <w:p w14:paraId="1A9C2FC1" w14:textId="2DE3F9FC" w:rsidR="000F24D4" w:rsidRDefault="000F24D4" w:rsidP="00921A82">
      <w:pPr>
        <w:pStyle w:val="ListParagraph"/>
        <w:numPr>
          <w:ilvl w:val="0"/>
          <w:numId w:val="8"/>
        </w:numPr>
        <w:spacing w:after="160" w:line="276" w:lineRule="auto"/>
      </w:pPr>
      <w:r w:rsidRPr="002F4053">
        <w:t>LCOE – Levelized costs of electricity</w:t>
      </w:r>
    </w:p>
    <w:p w14:paraId="1DFA001B" w14:textId="0D71158C" w:rsidR="00C230EE" w:rsidRPr="002F4053" w:rsidRDefault="00C230EE" w:rsidP="009C30A8">
      <w:pPr>
        <w:pStyle w:val="ListParagraph"/>
        <w:numPr>
          <w:ilvl w:val="0"/>
          <w:numId w:val="8"/>
        </w:numPr>
        <w:spacing w:after="160"/>
      </w:pPr>
      <w:r>
        <w:t xml:space="preserve">LUT - </w:t>
      </w:r>
      <w:r w:rsidRPr="004E37EC">
        <w:t>Lappeenra</w:t>
      </w:r>
      <w:r>
        <w:t>nta University of Technology</w:t>
      </w:r>
    </w:p>
    <w:p w14:paraId="6ECDB2E2" w14:textId="77777777" w:rsidR="000F24D4" w:rsidRPr="00FB55AF" w:rsidRDefault="000F24D4" w:rsidP="00921A82">
      <w:pPr>
        <w:pStyle w:val="ListParagraph"/>
        <w:numPr>
          <w:ilvl w:val="0"/>
          <w:numId w:val="8"/>
        </w:numPr>
        <w:spacing w:after="160" w:line="276" w:lineRule="auto"/>
      </w:pPr>
      <w:r w:rsidRPr="00FB55AF">
        <w:t>MESSAGE-MACRO – Model for Energy Supply Strategy Alternatives and their General Environmental impact with macroeconomic feedback</w:t>
      </w:r>
    </w:p>
    <w:p w14:paraId="64547139" w14:textId="77777777" w:rsidR="000F24D4" w:rsidRPr="00FB55AF" w:rsidRDefault="000F24D4" w:rsidP="00921A82">
      <w:pPr>
        <w:pStyle w:val="ListParagraph"/>
        <w:numPr>
          <w:ilvl w:val="0"/>
          <w:numId w:val="8"/>
        </w:numPr>
        <w:spacing w:after="160" w:line="276" w:lineRule="auto"/>
      </w:pPr>
      <w:r w:rsidRPr="00FB55AF">
        <w:t xml:space="preserve">O&amp;M - Operations and maintenance costs </w:t>
      </w:r>
    </w:p>
    <w:p w14:paraId="1052A1AA" w14:textId="3159D2AF" w:rsidR="000F24D4" w:rsidRPr="00FB55AF" w:rsidRDefault="000F24D4" w:rsidP="00921A82">
      <w:pPr>
        <w:pStyle w:val="ListParagraph"/>
        <w:numPr>
          <w:ilvl w:val="0"/>
          <w:numId w:val="8"/>
        </w:numPr>
        <w:spacing w:after="160" w:line="276" w:lineRule="auto"/>
      </w:pPr>
      <w:r w:rsidRPr="00FB55AF">
        <w:t>P</w:t>
      </w:r>
      <w:r w:rsidR="00F6146F">
        <w:t>PM</w:t>
      </w:r>
      <w:r w:rsidRPr="00FB55AF">
        <w:t xml:space="preserve"> - </w:t>
      </w:r>
      <w:r w:rsidR="00F97D58">
        <w:t>P</w:t>
      </w:r>
      <w:r w:rsidRPr="00FB55AF">
        <w:t>arts per million</w:t>
      </w:r>
    </w:p>
    <w:p w14:paraId="16B82AEF" w14:textId="77777777" w:rsidR="000F24D4" w:rsidRPr="00FB55AF" w:rsidRDefault="000F24D4" w:rsidP="00921A82">
      <w:pPr>
        <w:pStyle w:val="ListParagraph"/>
        <w:numPr>
          <w:ilvl w:val="0"/>
          <w:numId w:val="8"/>
        </w:numPr>
        <w:spacing w:after="160" w:line="276" w:lineRule="auto"/>
      </w:pPr>
      <w:r w:rsidRPr="00FB55AF">
        <w:lastRenderedPageBreak/>
        <w:t>R&amp;D – Research and Development</w:t>
      </w:r>
    </w:p>
    <w:p w14:paraId="3253C567" w14:textId="77777777" w:rsidR="000F24D4" w:rsidRPr="00FB55AF" w:rsidRDefault="000F24D4" w:rsidP="00921A82">
      <w:pPr>
        <w:pStyle w:val="ListParagraph"/>
        <w:numPr>
          <w:ilvl w:val="0"/>
          <w:numId w:val="8"/>
        </w:numPr>
        <w:spacing w:after="160" w:line="276" w:lineRule="auto"/>
      </w:pPr>
      <w:r w:rsidRPr="00FB55AF">
        <w:t>RES – Renewable Energy Sources</w:t>
      </w:r>
    </w:p>
    <w:p w14:paraId="44181622" w14:textId="7A66C91E" w:rsidR="000F24D4" w:rsidRDefault="000F24D4" w:rsidP="00921A82">
      <w:pPr>
        <w:pStyle w:val="ListParagraph"/>
        <w:numPr>
          <w:ilvl w:val="0"/>
          <w:numId w:val="8"/>
        </w:numPr>
        <w:spacing w:after="160" w:line="276" w:lineRule="auto"/>
      </w:pPr>
      <w:r w:rsidRPr="00FB55AF">
        <w:t>US – United States</w:t>
      </w:r>
    </w:p>
    <w:p w14:paraId="4FF02F93" w14:textId="77777777" w:rsidR="00C230EE" w:rsidRDefault="00C230EE" w:rsidP="00C230EE">
      <w:pPr>
        <w:pStyle w:val="ListParagraph"/>
        <w:numPr>
          <w:ilvl w:val="0"/>
          <w:numId w:val="8"/>
        </w:numPr>
        <w:spacing w:after="160"/>
      </w:pPr>
      <w:r>
        <w:t>USD – United States Dollar</w:t>
      </w:r>
    </w:p>
    <w:p w14:paraId="4C5DFEF5" w14:textId="77777777" w:rsidR="00C230EE" w:rsidRPr="00E069AC" w:rsidRDefault="00C230EE" w:rsidP="00C230EE">
      <w:pPr>
        <w:pStyle w:val="ListParagraph"/>
        <w:numPr>
          <w:ilvl w:val="0"/>
          <w:numId w:val="8"/>
        </w:numPr>
        <w:rPr>
          <w:bCs/>
        </w:rPr>
      </w:pPr>
      <w:r w:rsidRPr="00E069AC">
        <w:rPr>
          <w:bCs/>
        </w:rPr>
        <w:t>TAM - Total Addressable Market</w:t>
      </w:r>
    </w:p>
    <w:p w14:paraId="543E6C33" w14:textId="4EBD0581" w:rsidR="00C230EE" w:rsidRDefault="00C230EE" w:rsidP="009C30A8">
      <w:pPr>
        <w:pStyle w:val="ListParagraph"/>
        <w:numPr>
          <w:ilvl w:val="0"/>
          <w:numId w:val="8"/>
        </w:numPr>
        <w:rPr>
          <w:bCs/>
        </w:rPr>
      </w:pPr>
      <w:r w:rsidRPr="00F3570C">
        <w:rPr>
          <w:bCs/>
        </w:rPr>
        <w:t>TWh - Terawatt-Hours</w:t>
      </w:r>
    </w:p>
    <w:p w14:paraId="4488FAE8" w14:textId="01257081" w:rsidR="002E61D0" w:rsidRPr="00C230EE" w:rsidRDefault="002E61D0" w:rsidP="009C30A8">
      <w:pPr>
        <w:pStyle w:val="ListParagraph"/>
        <w:numPr>
          <w:ilvl w:val="0"/>
          <w:numId w:val="8"/>
        </w:numPr>
        <w:rPr>
          <w:bCs/>
        </w:rPr>
      </w:pPr>
      <w:r>
        <w:rPr>
          <w:bCs/>
        </w:rPr>
        <w:t>WEO – World Energy Outlook</w:t>
      </w:r>
    </w:p>
    <w:p w14:paraId="328383DF" w14:textId="77777777" w:rsidR="00FA6897" w:rsidRDefault="00FA6897" w:rsidP="00EB247F"/>
    <w:p w14:paraId="4D24B57A" w14:textId="6D1DFD18" w:rsidR="00C230EE" w:rsidRPr="00E069AC" w:rsidRDefault="00C230EE" w:rsidP="00EB247F">
      <w:pPr>
        <w:sectPr w:rsidR="00C230EE" w:rsidRPr="00E069AC" w:rsidSect="00EB247F">
          <w:footerReference w:type="even" r:id="rId14"/>
          <w:footerReference w:type="default" r:id="rId15"/>
          <w:pgSz w:w="12240" w:h="15840"/>
          <w:pgMar w:top="1440" w:right="1440" w:bottom="1440" w:left="1440" w:header="720" w:footer="720" w:gutter="0"/>
          <w:cols w:space="720"/>
          <w:titlePg/>
          <w:docGrid w:linePitch="299"/>
        </w:sectPr>
      </w:pPr>
    </w:p>
    <w:p w14:paraId="258D1C7E" w14:textId="623AAE82" w:rsidR="00E844EA" w:rsidRPr="00E069AC" w:rsidRDefault="551A77D0" w:rsidP="00B20FA0">
      <w:pPr>
        <w:pStyle w:val="Heading1"/>
        <w:numPr>
          <w:ilvl w:val="0"/>
          <w:numId w:val="0"/>
        </w:numPr>
      </w:pPr>
      <w:bookmarkStart w:id="3" w:name="_Toc19137294"/>
      <w:r w:rsidRPr="00E069AC">
        <w:lastRenderedPageBreak/>
        <w:t>Executive Summary</w:t>
      </w:r>
      <w:bookmarkEnd w:id="3"/>
    </w:p>
    <w:p w14:paraId="28522017" w14:textId="68F09A4A" w:rsidR="00E22136" w:rsidRPr="00E22136" w:rsidRDefault="00E22136" w:rsidP="00F54BF1">
      <w:pPr>
        <w:spacing w:line="240" w:lineRule="auto"/>
      </w:pPr>
      <w:r w:rsidRPr="00E22136">
        <w:t xml:space="preserve">Project Drawdown defines geothermal as: </w:t>
      </w:r>
      <w:r w:rsidRPr="00CC33E6">
        <w:rPr>
          <w:i/>
        </w:rPr>
        <w:t xml:space="preserve">geothermal </w:t>
      </w:r>
      <w:r w:rsidRPr="00E22136">
        <w:t xml:space="preserve">systems for electricity generation, combining both mature technologies and future expectations for enhanced </w:t>
      </w:r>
      <w:r w:rsidR="001F4D42">
        <w:t xml:space="preserve">or engineered </w:t>
      </w:r>
      <w:r w:rsidRPr="00E22136">
        <w:t>geothermal. This solution replaces conventional electricity-generating technologies such as coal, oil, and natural gas power plants.</w:t>
      </w:r>
      <w:r w:rsidR="00CC33E6">
        <w:t xml:space="preserve"> </w:t>
      </w:r>
      <w:r w:rsidRPr="00E22136">
        <w:t>There are three main geothermal technologies: dry steam, flash steam, and binary cycle power plants. Flash plants are the most common type of geothermal, and make up around 70 percent of total global installed geothermal capacity. Binary plants are the most recently developed geothermal technology, and are able to tap into lower temperature reservoirs</w:t>
      </w:r>
      <w:r w:rsidR="001F4D42">
        <w:t xml:space="preserve"> (at</w:t>
      </w:r>
      <w:r w:rsidR="00204311">
        <w:t xml:space="preserve"> much</w:t>
      </w:r>
      <w:r w:rsidR="001F4D42">
        <w:t xml:space="preserve"> higher costs)</w:t>
      </w:r>
      <w:r w:rsidRPr="00E22136">
        <w:t xml:space="preserve"> than flash plants. The selection of which technology to use for geothermal power generation depends on a number of factors, including the characterization of the geothermal resource</w:t>
      </w:r>
      <w:r w:rsidR="00204311">
        <w:t>,</w:t>
      </w:r>
      <w:r w:rsidRPr="00E22136">
        <w:t xml:space="preserve"> and the economic feasibility of the project.</w:t>
      </w:r>
      <w:r w:rsidR="00E75C47">
        <w:t xml:space="preserve"> </w:t>
      </w:r>
      <w:r w:rsidRPr="00E22136">
        <w:t xml:space="preserve">Geothermal energy has the potential to make a much more significant contribution on the global scale through the development of enhanced </w:t>
      </w:r>
      <w:r w:rsidR="001F4D42">
        <w:t xml:space="preserve">or engineered </w:t>
      </w:r>
      <w:r w:rsidRPr="00E22136">
        <w:t xml:space="preserve">geothermal systems, particularly those exploiting “hot rock.” Given the costs and limited full-scale system research to date, enhanced geothermal systems remains in their infancy, with only research and pilot projects existing around the world and no commercial-scale plants </w:t>
      </w:r>
      <w:r w:rsidR="00111A62">
        <w:t xml:space="preserve">available </w:t>
      </w:r>
      <w:r w:rsidRPr="00E22136">
        <w:t>to date.</w:t>
      </w:r>
    </w:p>
    <w:p w14:paraId="7CDA3E64" w14:textId="6A350C79" w:rsidR="00F54BF1" w:rsidRPr="00CC33E6" w:rsidRDefault="00E22136" w:rsidP="00F54BF1">
      <w:pPr>
        <w:spacing w:line="240" w:lineRule="auto"/>
      </w:pPr>
      <w:r w:rsidRPr="00E22136">
        <w:t xml:space="preserve">This analysis models </w:t>
      </w:r>
      <w:r w:rsidRPr="00F53F75">
        <w:t>geothermal systems for electricity generation, combining both mature technologies and future expectations for enhanced geothermal systems adoption. The total addressable market for geothermal is based on projected global electricity generation in terawatt-hours from 2020-2050, with current adoption estimated at 0.</w:t>
      </w:r>
      <w:r w:rsidR="00FB6286" w:rsidRPr="00F53F75">
        <w:t xml:space="preserve">4 </w:t>
      </w:r>
      <w:r w:rsidRPr="00F53F75">
        <w:t>percent of generation</w:t>
      </w:r>
      <w:r w:rsidR="002D5311" w:rsidRPr="00F53F75">
        <w:t xml:space="preserve"> in 201</w:t>
      </w:r>
      <w:r w:rsidR="00F53F75" w:rsidRPr="00F53F75">
        <w:t>8</w:t>
      </w:r>
      <w:r w:rsidRPr="00F53F75">
        <w:t xml:space="preserve"> (i.e. </w:t>
      </w:r>
      <w:r w:rsidR="00F53F75" w:rsidRPr="00F53F75">
        <w:t>90</w:t>
      </w:r>
      <w:r w:rsidR="000C0C6B" w:rsidRPr="00F53F75">
        <w:t xml:space="preserve"> </w:t>
      </w:r>
      <w:r w:rsidRPr="00F53F75">
        <w:t>terawatt-hours).</w:t>
      </w:r>
      <w:r w:rsidR="00573B48" w:rsidRPr="00F53F75">
        <w:t xml:space="preserve"> </w:t>
      </w:r>
      <w:r w:rsidRPr="00F53F75">
        <w:t xml:space="preserve">Impacts of increased adoption of </w:t>
      </w:r>
      <w:r w:rsidRPr="00F53F75">
        <w:rPr>
          <w:i/>
          <w:iCs/>
        </w:rPr>
        <w:t xml:space="preserve">geothermal </w:t>
      </w:r>
      <w:r w:rsidRPr="00F53F75">
        <w:t>from 2020-2050 were generated based on three growth scenarios</w:t>
      </w:r>
      <w:r>
        <w:t>, which were assessed in comparison to a </w:t>
      </w:r>
      <w:r w:rsidRPr="00E22136">
        <w:rPr>
          <w:i/>
          <w:iCs/>
        </w:rPr>
        <w:t>Reference </w:t>
      </w:r>
      <w:r>
        <w:t xml:space="preserve">Scenario where the solution’s market share was fixed at the current levels. </w:t>
      </w:r>
      <w:r w:rsidRPr="00E22136">
        <w:rPr>
          <w:i/>
          <w:iCs/>
        </w:rPr>
        <w:t xml:space="preserve">Plausible </w:t>
      </w:r>
      <w:r>
        <w:t xml:space="preserve">Scenario is based on </w:t>
      </w:r>
      <w:r w:rsidR="00F54BF1" w:rsidRPr="00A142FC">
        <w:t>the evaluation of IEA (2017) Energy Technology Perspectives 2DS and B2DS scenarios; IEA (2018) World Energy Outlook SDS;</w:t>
      </w:r>
      <w:r w:rsidR="00F54BF1">
        <w:t xml:space="preserve"> and Grantham Institute and Carbon Tracker (2017) NDC policy levels and </w:t>
      </w:r>
      <w:r w:rsidR="00F54BF1" w:rsidRPr="00CC33E6">
        <w:t xml:space="preserve">original technology costs scenario using a medium growth trajectory, while Drawdown </w:t>
      </w:r>
      <w:r w:rsidR="00CC33E6" w:rsidRPr="00CC33E6">
        <w:t xml:space="preserve">scenario </w:t>
      </w:r>
      <w:r w:rsidR="00F54BF1" w:rsidRPr="00CC33E6">
        <w:t xml:space="preserve">adoption follows a high growth using the same scenarios. </w:t>
      </w:r>
      <w:r w:rsidR="00CC33E6" w:rsidRPr="00CC33E6">
        <w:t xml:space="preserve">On both PD scenarios, geothermal represents around </w:t>
      </w:r>
      <w:r w:rsidR="00ED2CDC">
        <w:t xml:space="preserve">2.8% and </w:t>
      </w:r>
      <w:r w:rsidR="00CC33E6" w:rsidRPr="00CC33E6">
        <w:t>2.6%</w:t>
      </w:r>
      <w:r w:rsidR="00ED2CDC">
        <w:t xml:space="preserve">, respectively </w:t>
      </w:r>
      <w:r w:rsidR="00CC33E6" w:rsidRPr="00CC33E6">
        <w:t>o</w:t>
      </w:r>
      <w:r w:rsidR="00ED2CDC">
        <w:t>n</w:t>
      </w:r>
      <w:r w:rsidR="00CC33E6" w:rsidRPr="00CC33E6">
        <w:t xml:space="preserve"> each scenario total electricity generation in 2050. </w:t>
      </w:r>
      <w:r w:rsidR="00F54BF1" w:rsidRPr="00CC33E6">
        <w:t xml:space="preserve">Optimum scenario is based on </w:t>
      </w:r>
      <w:r w:rsidR="00F54BF1" w:rsidRPr="00CC33E6">
        <w:rPr>
          <w:rFonts w:cs="Times New Roman"/>
        </w:rPr>
        <w:t>three 100% RES scenarios of electricity generation by 2050</w:t>
      </w:r>
      <w:r w:rsidR="00CC33E6" w:rsidRPr="00CC33E6">
        <w:rPr>
          <w:rFonts w:cs="Times New Roman"/>
        </w:rPr>
        <w:t xml:space="preserve"> from</w:t>
      </w:r>
      <w:r w:rsidR="00F54BF1" w:rsidRPr="00CC33E6">
        <w:rPr>
          <w:rFonts w:cs="Times New Roman"/>
        </w:rPr>
        <w:t xml:space="preserve"> Greenpeace (2015) Advanced Energy [R]evolution Scenario; Ram </w:t>
      </w:r>
      <w:r w:rsidR="00F54BF1" w:rsidRPr="00111A62">
        <w:rPr>
          <w:rFonts w:cs="Times New Roman"/>
          <w:i/>
        </w:rPr>
        <w:t>et al.</w:t>
      </w:r>
      <w:r w:rsidR="00F54BF1" w:rsidRPr="00CC33E6">
        <w:rPr>
          <w:rFonts w:cs="Times New Roman"/>
        </w:rPr>
        <w:t xml:space="preserve"> (2019) scenario and Ecofys (2018) 1.5ºC scenario, with geothermal representing 5.7% of global electricity generation adoption by 2050</w:t>
      </w:r>
      <w:r w:rsidR="00CC33E6" w:rsidRPr="00CC33E6">
        <w:rPr>
          <w:rFonts w:cs="Times New Roman"/>
        </w:rPr>
        <w:t>.</w:t>
      </w:r>
    </w:p>
    <w:p w14:paraId="0FEA13C7" w14:textId="12C29A67" w:rsidR="00CC33E6" w:rsidRDefault="00E22136" w:rsidP="00E22136">
      <w:pPr>
        <w:spacing w:line="240" w:lineRule="auto"/>
      </w:pPr>
      <w:r w:rsidRPr="00CC33E6">
        <w:t xml:space="preserve">Compared to the Reference Scenario, the financial results for the Plausible Scenario show </w:t>
      </w:r>
      <w:r w:rsidR="00CC33E6" w:rsidRPr="00CC33E6">
        <w:t>marginal</w:t>
      </w:r>
      <w:r w:rsidRPr="00CC33E6">
        <w:t xml:space="preserve"> first costs of US$</w:t>
      </w:r>
      <w:r w:rsidR="00CC33E6" w:rsidRPr="00CC33E6">
        <w:t>8</w:t>
      </w:r>
      <w:r w:rsidR="00084460">
        <w:t>5</w:t>
      </w:r>
      <w:r w:rsidR="00CC33E6" w:rsidRPr="00CC33E6">
        <w:t>.</w:t>
      </w:r>
      <w:r w:rsidR="00084460">
        <w:t>0</w:t>
      </w:r>
      <w:r w:rsidRPr="00CC33E6">
        <w:t xml:space="preserve"> billion from 2020-</w:t>
      </w:r>
      <w:r w:rsidR="00CC33E6" w:rsidRPr="00CC33E6">
        <w:t>205</w:t>
      </w:r>
      <w:r w:rsidRPr="00CC33E6">
        <w:t>0, with over US$</w:t>
      </w:r>
      <w:r w:rsidR="00CC33E6" w:rsidRPr="00CC33E6">
        <w:t>377 billion</w:t>
      </w:r>
      <w:r w:rsidRPr="00CC33E6">
        <w:t xml:space="preserve"> in savings</w:t>
      </w:r>
      <w:r w:rsidR="00CC33E6">
        <w:t>.</w:t>
      </w:r>
      <w:r w:rsidRPr="00CC33E6">
        <w:t xml:space="preserve"> Under the</w:t>
      </w:r>
      <w:r w:rsidRPr="00111A62">
        <w:rPr>
          <w:i/>
        </w:rPr>
        <w:t xml:space="preserve"> Plausible </w:t>
      </w:r>
      <w:r w:rsidRPr="00CC33E6">
        <w:t xml:space="preserve">Scenario, the adoption of geothermal technologies for electricity generation could avoid </w:t>
      </w:r>
      <w:r w:rsidR="00084460">
        <w:t>6.4</w:t>
      </w:r>
      <w:r w:rsidRPr="00CC33E6">
        <w:t xml:space="preserve"> gigatons of carbon dioxide-equivalent greenhouse gas emissions compared to a Reference Scenario where the solution </w:t>
      </w:r>
      <w:r w:rsidR="00111A62">
        <w:t>does not increase its representation on the generation mix</w:t>
      </w:r>
      <w:r w:rsidRPr="00CC33E6">
        <w:t xml:space="preserve">. Both the </w:t>
      </w:r>
      <w:r w:rsidRPr="00111A62">
        <w:rPr>
          <w:i/>
        </w:rPr>
        <w:t>Drawdown</w:t>
      </w:r>
      <w:r w:rsidRPr="00CC33E6">
        <w:t xml:space="preserve"> and </w:t>
      </w:r>
      <w:r w:rsidRPr="00111A62">
        <w:rPr>
          <w:i/>
        </w:rPr>
        <w:t xml:space="preserve">Optimum </w:t>
      </w:r>
      <w:r w:rsidRPr="00CC33E6">
        <w:t xml:space="preserve">Scenarios </w:t>
      </w:r>
      <w:r w:rsidR="00CC33E6">
        <w:t>have higher</w:t>
      </w:r>
      <w:r w:rsidRPr="00CC33E6">
        <w:t xml:space="preserve"> impacts on greenhouse gas emission reductions over 2020-2050 of </w:t>
      </w:r>
      <w:r w:rsidR="00111A62">
        <w:t>9.</w:t>
      </w:r>
      <w:r w:rsidR="00084460">
        <w:t>9</w:t>
      </w:r>
      <w:r w:rsidR="00CC33E6" w:rsidRPr="00CC33E6">
        <w:t xml:space="preserve"> </w:t>
      </w:r>
      <w:r w:rsidRPr="00CC33E6">
        <w:t xml:space="preserve">and </w:t>
      </w:r>
      <w:r w:rsidR="00111A62">
        <w:t>1</w:t>
      </w:r>
      <w:r w:rsidR="00084460">
        <w:t>9</w:t>
      </w:r>
      <w:r w:rsidR="00CC33E6" w:rsidRPr="00CC33E6">
        <w:t>.0</w:t>
      </w:r>
      <w:r w:rsidRPr="00CC33E6">
        <w:t xml:space="preserve"> gigatons of carbon dioxide-equivalent, respectively.</w:t>
      </w:r>
    </w:p>
    <w:p w14:paraId="4983A928" w14:textId="4C3D46DB" w:rsidR="00E22136" w:rsidRPr="00E22136" w:rsidRDefault="00E22136" w:rsidP="00E22136">
      <w:pPr>
        <w:spacing w:line="240" w:lineRule="auto"/>
      </w:pPr>
      <w:r w:rsidRPr="00CC33E6">
        <w:t>Geothermal could act as a form of baseload power and peaking power, helping to support the increased grid integration of other forms of renewable electricity to further bring down emissions.</w:t>
      </w:r>
      <w:r w:rsidR="00CC33E6">
        <w:t xml:space="preserve"> </w:t>
      </w:r>
      <w:r w:rsidRPr="00CC33E6">
        <w:t>There exists a vast and untapped technical potential for geothermal energy. Much of the initial development could take place in areas with lots of conventional, high-temperature hydrothermal resources that have yet to be developed</w:t>
      </w:r>
      <w:r w:rsidR="00573B48" w:rsidRPr="00CC33E6">
        <w:t>.</w:t>
      </w:r>
      <w:r w:rsidRPr="00CC33E6">
        <w:t xml:space="preserve"> Large upfront cost</w:t>
      </w:r>
      <w:r w:rsidR="00573B48" w:rsidRPr="00CC33E6">
        <w:t>s</w:t>
      </w:r>
      <w:r w:rsidRPr="00CC33E6">
        <w:t xml:space="preserve"> and the</w:t>
      </w:r>
      <w:r w:rsidRPr="00573B48">
        <w:t xml:space="preserve"> high risk of investing in geothermal power plants are two of the biggest barriers to the expansion of geothermal electricity. Drilling rig rates and associated costs often make up the largest cost component of geothermal plants, and there is a significantly high chance of failure in exploratory stages. Thus, many governments are setting targets for the development of high-temperature hydrothermal resources. These goals could be aided through: renewable portfolio standards requiring a certain amount of renewable energy use; a price on carbon; and guaranteed power purchase agreements or feed-in tariffs for developers to reliably recover development costs. </w:t>
      </w:r>
    </w:p>
    <w:p w14:paraId="536FB063" w14:textId="4C2A7959" w:rsidR="00E22136" w:rsidRPr="00E22136" w:rsidRDefault="00E22136" w:rsidP="00E22136">
      <w:pPr>
        <w:spacing w:before="100" w:beforeAutospacing="1" w:after="100" w:afterAutospacing="1" w:line="240" w:lineRule="auto"/>
        <w:jc w:val="left"/>
        <w:rPr>
          <w:rFonts w:eastAsia="Times New Roman" w:cs="Times New Roman"/>
          <w:sz w:val="24"/>
          <w:szCs w:val="24"/>
          <w:lang w:eastAsia="en-US"/>
        </w:rPr>
        <w:sectPr w:rsidR="00E22136" w:rsidRPr="00E22136" w:rsidSect="00BB79D6">
          <w:pgSz w:w="12240" w:h="15840"/>
          <w:pgMar w:top="1440" w:right="1440" w:bottom="1440" w:left="1440" w:header="720" w:footer="720" w:gutter="0"/>
          <w:cols w:space="720"/>
        </w:sectPr>
      </w:pPr>
    </w:p>
    <w:p w14:paraId="34916870" w14:textId="0045908A" w:rsidR="00E815C8" w:rsidRPr="00E069AC" w:rsidRDefault="551A77D0" w:rsidP="00842B09">
      <w:pPr>
        <w:pStyle w:val="Heading1"/>
      </w:pPr>
      <w:bookmarkStart w:id="4" w:name="_Toc19137295"/>
      <w:r w:rsidRPr="00E069AC">
        <w:lastRenderedPageBreak/>
        <w:t>Literature Review</w:t>
      </w:r>
      <w:bookmarkEnd w:id="4"/>
    </w:p>
    <w:p w14:paraId="05406D4C" w14:textId="4D856433" w:rsidR="006A4A08" w:rsidRPr="00E069AC" w:rsidRDefault="551A77D0" w:rsidP="00EB247F">
      <w:pPr>
        <w:pStyle w:val="Heading2"/>
      </w:pPr>
      <w:bookmarkStart w:id="5" w:name="_Toc19137296"/>
      <w:r w:rsidRPr="00E069AC">
        <w:t xml:space="preserve">State of </w:t>
      </w:r>
      <w:r w:rsidR="00E75C47">
        <w:t>Geothermal Electricity</w:t>
      </w:r>
      <w:bookmarkEnd w:id="5"/>
    </w:p>
    <w:p w14:paraId="248C0EE0" w14:textId="2010DA95" w:rsidR="00E75C47" w:rsidRDefault="00E75C47" w:rsidP="00740DE4">
      <w:pPr>
        <w:pStyle w:val="Heading3"/>
      </w:pPr>
      <w:bookmarkStart w:id="6" w:name="_Toc461179028"/>
      <w:bookmarkStart w:id="7" w:name="_Toc19137297"/>
      <w:bookmarkStart w:id="8" w:name="_Toc467066308"/>
      <w:r w:rsidRPr="00B17584">
        <w:t xml:space="preserve">Geothermal </w:t>
      </w:r>
      <w:r>
        <w:t xml:space="preserve">Energy </w:t>
      </w:r>
      <w:r w:rsidRPr="00B17584">
        <w:t>Systems</w:t>
      </w:r>
      <w:bookmarkEnd w:id="6"/>
      <w:bookmarkEnd w:id="7"/>
    </w:p>
    <w:p w14:paraId="397FDC20" w14:textId="0ED14097" w:rsidR="00E75C47" w:rsidRDefault="00E75C47" w:rsidP="00F53F75">
      <w:pPr>
        <w:rPr>
          <w:rFonts w:cs="Times New Roman"/>
        </w:rPr>
      </w:pPr>
      <w:r w:rsidRPr="00524D9E">
        <w:rPr>
          <w:rFonts w:cs="Times New Roman"/>
          <w:noProof/>
        </w:rPr>
        <w:t xml:space="preserve">Geothermal energy </w:t>
      </w:r>
      <w:r w:rsidR="00F97D58">
        <w:rPr>
          <w:rFonts w:cs="Times New Roman"/>
          <w:noProof/>
        </w:rPr>
        <w:t xml:space="preserve">is derived from </w:t>
      </w:r>
      <w:r w:rsidRPr="00524D9E">
        <w:rPr>
          <w:rFonts w:cs="Times New Roman"/>
          <w:noProof/>
        </w:rPr>
        <w:t>Earth</w:t>
      </w:r>
      <w:r w:rsidR="00F97D58">
        <w:rPr>
          <w:rFonts w:cs="Times New Roman"/>
          <w:noProof/>
        </w:rPr>
        <w:t>’s natural heat</w:t>
      </w:r>
      <w:r w:rsidRPr="00524D9E">
        <w:rPr>
          <w:rFonts w:cs="Times New Roman"/>
          <w:noProof/>
        </w:rPr>
        <w:t>.</w:t>
      </w:r>
      <w:r>
        <w:rPr>
          <w:rFonts w:cs="Times New Roman"/>
        </w:rPr>
        <w:t xml:space="preserve"> Although th</w:t>
      </w:r>
      <w:r w:rsidR="00F97D58">
        <w:rPr>
          <w:rFonts w:cs="Times New Roman"/>
        </w:rPr>
        <w:t>is</w:t>
      </w:r>
      <w:r>
        <w:rPr>
          <w:rFonts w:cs="Times New Roman"/>
        </w:rPr>
        <w:t xml:space="preserve"> </w:t>
      </w:r>
      <w:r w:rsidRPr="00CF0A6F">
        <w:rPr>
          <w:rFonts w:cs="Times New Roman"/>
          <w:noProof/>
        </w:rPr>
        <w:t>heat</w:t>
      </w:r>
      <w:r>
        <w:rPr>
          <w:rFonts w:cs="Times New Roman"/>
        </w:rPr>
        <w:t xml:space="preserve"> is available everywhere, geothermal energy </w:t>
      </w:r>
      <w:r w:rsidRPr="00DF007A">
        <w:rPr>
          <w:rFonts w:cs="Times New Roman"/>
          <w:noProof/>
        </w:rPr>
        <w:t>is used</w:t>
      </w:r>
      <w:r>
        <w:rPr>
          <w:rFonts w:cs="Times New Roman"/>
        </w:rPr>
        <w:t xml:space="preserve"> in regions in the world where the geothermal energy systems occur naturally. In these </w:t>
      </w:r>
      <w:r w:rsidRPr="00DF007A">
        <w:rPr>
          <w:rFonts w:cs="Times New Roman"/>
          <w:noProof/>
        </w:rPr>
        <w:t>regions</w:t>
      </w:r>
      <w:r>
        <w:rPr>
          <w:rFonts w:cs="Times New Roman"/>
        </w:rPr>
        <w:t>, the occurrence of g</w:t>
      </w:r>
      <w:r w:rsidRPr="00710A7C">
        <w:rPr>
          <w:rFonts w:cs="Times New Roman"/>
        </w:rPr>
        <w:t xml:space="preserve">eothermal </w:t>
      </w:r>
      <w:r>
        <w:rPr>
          <w:rFonts w:cs="Times New Roman"/>
        </w:rPr>
        <w:t xml:space="preserve">energy </w:t>
      </w:r>
      <w:r w:rsidRPr="00710A7C">
        <w:rPr>
          <w:rFonts w:cs="Times New Roman"/>
        </w:rPr>
        <w:t>system</w:t>
      </w:r>
      <w:r>
        <w:rPr>
          <w:rFonts w:cs="Times New Roman"/>
        </w:rPr>
        <w:t xml:space="preserve">s </w:t>
      </w:r>
      <w:r w:rsidRPr="00CF0A6F">
        <w:rPr>
          <w:rFonts w:cs="Times New Roman"/>
          <w:noProof/>
        </w:rPr>
        <w:t>is as a result</w:t>
      </w:r>
      <w:r>
        <w:rPr>
          <w:rFonts w:cs="Times New Roman"/>
          <w:noProof/>
        </w:rPr>
        <w:t xml:space="preserve"> of a</w:t>
      </w:r>
      <w:r>
        <w:rPr>
          <w:rFonts w:cs="Times New Roman"/>
        </w:rPr>
        <w:t xml:space="preserve"> </w:t>
      </w:r>
      <w:r w:rsidRPr="00CF0A6F">
        <w:rPr>
          <w:rFonts w:cs="Times New Roman"/>
          <w:noProof/>
        </w:rPr>
        <w:t>thermal</w:t>
      </w:r>
      <w:r w:rsidRPr="00710A7C">
        <w:rPr>
          <w:rFonts w:cs="Times New Roman"/>
        </w:rPr>
        <w:t xml:space="preserve"> </w:t>
      </w:r>
      <w:r>
        <w:rPr>
          <w:rFonts w:cs="Times New Roman"/>
        </w:rPr>
        <w:t xml:space="preserve">anomaly in the earth’s upper crust allowing convective </w:t>
      </w:r>
      <w:r w:rsidRPr="00710A7C">
        <w:rPr>
          <w:rFonts w:cs="Times New Roman"/>
        </w:rPr>
        <w:t>fluid transfers heat from a heat source at depth towards the surface</w:t>
      </w:r>
      <w:r w:rsidRPr="00050D81">
        <w:t xml:space="preserve"> </w:t>
      </w:r>
      <w:r>
        <w:t>(</w:t>
      </w:r>
      <w:r w:rsidRPr="00050D81">
        <w:rPr>
          <w:rFonts w:cs="Times New Roman"/>
        </w:rPr>
        <w:t>Fridriksson</w:t>
      </w:r>
      <w:r>
        <w:rPr>
          <w:rFonts w:cs="Times New Roman"/>
        </w:rPr>
        <w:t xml:space="preserve"> </w:t>
      </w:r>
      <w:r w:rsidRPr="00573B48">
        <w:rPr>
          <w:rFonts w:cs="Times New Roman"/>
          <w:i/>
        </w:rPr>
        <w:t>et al</w:t>
      </w:r>
      <w:r>
        <w:rPr>
          <w:rFonts w:cs="Times New Roman"/>
        </w:rPr>
        <w:t>., 2016). Such heat sources are</w:t>
      </w:r>
      <w:r>
        <w:rPr>
          <w:rFonts w:cs="Times New Roman"/>
          <w:bCs/>
        </w:rPr>
        <w:t xml:space="preserve"> </w:t>
      </w:r>
      <w:r>
        <w:rPr>
          <w:rFonts w:cs="Times New Roman"/>
          <w:bCs/>
          <w:noProof/>
        </w:rPr>
        <w:t>molten hot</w:t>
      </w:r>
      <w:r>
        <w:rPr>
          <w:rFonts w:cs="Times New Roman"/>
          <w:bCs/>
        </w:rPr>
        <w:t xml:space="preserve"> m</w:t>
      </w:r>
      <w:r w:rsidRPr="00251388">
        <w:rPr>
          <w:rFonts w:cs="Times New Roman"/>
          <w:bCs/>
        </w:rPr>
        <w:t xml:space="preserve">agma </w:t>
      </w:r>
      <w:r>
        <w:rPr>
          <w:rFonts w:cs="Times New Roman"/>
        </w:rPr>
        <w:t>(molten rock) coming</w:t>
      </w:r>
      <w:r w:rsidRPr="00251388">
        <w:rPr>
          <w:rFonts w:cs="Times New Roman"/>
        </w:rPr>
        <w:t xml:space="preserve"> quite close to the earth’s </w:t>
      </w:r>
      <w:r w:rsidRPr="00524D9E">
        <w:rPr>
          <w:rFonts w:cs="Times New Roman"/>
          <w:noProof/>
        </w:rPr>
        <w:t>surface where the crust has been thinned, faulted, or fractured by plate tectonics</w:t>
      </w:r>
      <w:r w:rsidR="00D7180F">
        <w:rPr>
          <w:rFonts w:cs="Times New Roman"/>
          <w:noProof/>
        </w:rPr>
        <w:t xml:space="preserve"> movement</w:t>
      </w:r>
      <w:r w:rsidRPr="00524D9E">
        <w:rPr>
          <w:rFonts w:cs="Times New Roman"/>
          <w:noProof/>
        </w:rPr>
        <w:t>. When this</w:t>
      </w:r>
      <w:r>
        <w:rPr>
          <w:rFonts w:cs="Times New Roman"/>
        </w:rPr>
        <w:t xml:space="preserve"> </w:t>
      </w:r>
      <w:r w:rsidRPr="00CF0A6F">
        <w:rPr>
          <w:rFonts w:cs="Times New Roman"/>
          <w:noProof/>
        </w:rPr>
        <w:t>happens</w:t>
      </w:r>
      <w:r>
        <w:rPr>
          <w:rFonts w:cs="Times New Roman"/>
          <w:noProof/>
        </w:rPr>
        <w:t>,</w:t>
      </w:r>
      <w:r>
        <w:rPr>
          <w:rFonts w:cs="Times New Roman"/>
        </w:rPr>
        <w:t xml:space="preserve"> and </w:t>
      </w:r>
      <w:r w:rsidRPr="00DF007A">
        <w:rPr>
          <w:rFonts w:cs="Times New Roman"/>
          <w:noProof/>
        </w:rPr>
        <w:t>water is heated by the earth’s heat</w:t>
      </w:r>
      <w:r>
        <w:rPr>
          <w:rFonts w:cs="Times New Roman"/>
        </w:rPr>
        <w:t xml:space="preserve">, hot water or steam is </w:t>
      </w:r>
      <w:r w:rsidRPr="00524D9E">
        <w:rPr>
          <w:rFonts w:cs="Times New Roman"/>
          <w:noProof/>
        </w:rPr>
        <w:t xml:space="preserve">trapped in permeable and porous rocks </w:t>
      </w:r>
      <w:r w:rsidR="00D7180F">
        <w:rPr>
          <w:rFonts w:cs="Times New Roman"/>
          <w:noProof/>
        </w:rPr>
        <w:t xml:space="preserve">between </w:t>
      </w:r>
      <w:r w:rsidRPr="00524D9E">
        <w:rPr>
          <w:rFonts w:cs="Times New Roman"/>
          <w:noProof/>
        </w:rPr>
        <w:t>layers of impermeable</w:t>
      </w:r>
      <w:r>
        <w:rPr>
          <w:rFonts w:cs="Times New Roman"/>
        </w:rPr>
        <w:t xml:space="preserve"> rocks to form geothermal reservoirs </w:t>
      </w:r>
      <w:r w:rsidR="00F97D58">
        <w:rPr>
          <w:rFonts w:cs="Times New Roman"/>
        </w:rPr>
        <w:t xml:space="preserve">(Oil&amp;Gas Portal, 2017) </w:t>
      </w:r>
      <w:r>
        <w:rPr>
          <w:rFonts w:cs="Times New Roman"/>
        </w:rPr>
        <w:t>(see Figure 1</w:t>
      </w:r>
      <w:r w:rsidR="00573B48">
        <w:rPr>
          <w:rFonts w:cs="Times New Roman"/>
        </w:rPr>
        <w:t>.1</w:t>
      </w:r>
      <w:r>
        <w:rPr>
          <w:rFonts w:cs="Times New Roman"/>
        </w:rPr>
        <w:t xml:space="preserve"> below).</w:t>
      </w:r>
      <w:r w:rsidR="00D7180F">
        <w:rPr>
          <w:rFonts w:cs="Times New Roman"/>
        </w:rPr>
        <w:t xml:space="preserve"> The lower impermeable rock is located above the molten magma, acting as the heat source, while the upper impermeable rock has fault line</w:t>
      </w:r>
      <w:r w:rsidR="00F41671">
        <w:rPr>
          <w:rFonts w:cs="Times New Roman"/>
        </w:rPr>
        <w:t xml:space="preserve"> and geyser opening</w:t>
      </w:r>
      <w:r w:rsidR="00D7180F">
        <w:rPr>
          <w:rFonts w:cs="Times New Roman"/>
        </w:rPr>
        <w:t xml:space="preserve"> through which rain or surface water seep into the hydrothermal reservoir.</w:t>
      </w:r>
      <w:r w:rsidR="00F53F75">
        <w:rPr>
          <w:rFonts w:cs="Times New Roman"/>
        </w:rPr>
        <w:t xml:space="preserve"> </w:t>
      </w:r>
      <w:r>
        <w:rPr>
          <w:rFonts w:cs="Times New Roman"/>
        </w:rPr>
        <w:t xml:space="preserve">Geothermal systems can be classified based on the </w:t>
      </w:r>
      <w:r w:rsidRPr="00CF0A6F">
        <w:rPr>
          <w:rFonts w:cs="Times New Roman"/>
          <w:noProof/>
        </w:rPr>
        <w:t>reservoir</w:t>
      </w:r>
      <w:r>
        <w:rPr>
          <w:rFonts w:cs="Times New Roman"/>
        </w:rPr>
        <w:t xml:space="preserve"> temperature; </w:t>
      </w:r>
      <w:r w:rsidRPr="00524D9E">
        <w:rPr>
          <w:rFonts w:cs="Times New Roman"/>
          <w:noProof/>
        </w:rPr>
        <w:t xml:space="preserve">low </w:t>
      </w:r>
      <w:r w:rsidR="00F97D58">
        <w:rPr>
          <w:rFonts w:cs="Times New Roman"/>
          <w:noProof/>
        </w:rPr>
        <w:t xml:space="preserve"> when teoeratures range from </w:t>
      </w:r>
      <w:r w:rsidRPr="00524D9E">
        <w:rPr>
          <w:rFonts w:cs="Times New Roman"/>
          <w:noProof/>
        </w:rPr>
        <w:t>&lt;100–150°C, intermediate (between 100- 150°C and 200°C), and high temperature (&gt;200°C</w:t>
      </w:r>
      <w:r>
        <w:rPr>
          <w:rFonts w:cs="Times New Roman"/>
        </w:rPr>
        <w:t xml:space="preserve">) </w:t>
      </w:r>
      <w:r w:rsidRPr="00F63D88">
        <w:rPr>
          <w:rFonts w:cs="Times New Roman"/>
        </w:rPr>
        <w:t xml:space="preserve">(Fridriksson </w:t>
      </w:r>
      <w:r w:rsidRPr="00740DE4">
        <w:rPr>
          <w:rFonts w:cs="Times New Roman"/>
          <w:i/>
        </w:rPr>
        <w:t>et al</w:t>
      </w:r>
      <w:r w:rsidRPr="00F63D88">
        <w:rPr>
          <w:rFonts w:cs="Times New Roman"/>
        </w:rPr>
        <w:t>., 2016).</w:t>
      </w:r>
      <w:r>
        <w:rPr>
          <w:rFonts w:cs="Times New Roman"/>
        </w:rPr>
        <w:t xml:space="preserve"> Depending on the dominant state of the fluid (i.e. gas</w:t>
      </w:r>
      <w:r w:rsidR="00F97D58">
        <w:rPr>
          <w:rFonts w:cs="Times New Roman"/>
        </w:rPr>
        <w:t xml:space="preserve"> or liquid</w:t>
      </w:r>
      <w:r>
        <w:rPr>
          <w:rFonts w:cs="Times New Roman"/>
        </w:rPr>
        <w:t xml:space="preserve">) in the reservoir, </w:t>
      </w:r>
      <w:r w:rsidRPr="00CF0A6F">
        <w:rPr>
          <w:rFonts w:cs="Times New Roman"/>
          <w:noProof/>
        </w:rPr>
        <w:t>high</w:t>
      </w:r>
      <w:r>
        <w:rPr>
          <w:rFonts w:cs="Times New Roman"/>
          <w:noProof/>
        </w:rPr>
        <w:t>-</w:t>
      </w:r>
      <w:r w:rsidRPr="00CF0A6F">
        <w:rPr>
          <w:rFonts w:cs="Times New Roman"/>
          <w:noProof/>
        </w:rPr>
        <w:t>temperature</w:t>
      </w:r>
      <w:r>
        <w:rPr>
          <w:rFonts w:cs="Times New Roman"/>
        </w:rPr>
        <w:t xml:space="preserve"> geothermal systems can </w:t>
      </w:r>
      <w:r w:rsidRPr="00DF007A">
        <w:rPr>
          <w:rFonts w:cs="Times New Roman"/>
          <w:noProof/>
        </w:rPr>
        <w:t>be categorized</w:t>
      </w:r>
      <w:r>
        <w:rPr>
          <w:rFonts w:cs="Times New Roman"/>
        </w:rPr>
        <w:t xml:space="preserve"> as liquid dominated or vapor dominated systems (see Figure </w:t>
      </w:r>
      <w:r w:rsidR="00573B48">
        <w:rPr>
          <w:rFonts w:cs="Times New Roman"/>
        </w:rPr>
        <w:t>1.</w:t>
      </w:r>
      <w:r>
        <w:rPr>
          <w:rFonts w:cs="Times New Roman"/>
        </w:rPr>
        <w:t>1 below).</w:t>
      </w:r>
    </w:p>
    <w:p w14:paraId="792C91E9" w14:textId="77777777" w:rsidR="00E75C47" w:rsidRDefault="00E75C47" w:rsidP="00E75C47">
      <w:pPr>
        <w:spacing w:after="0"/>
        <w:jc w:val="center"/>
        <w:rPr>
          <w:rFonts w:cs="Times New Roman"/>
        </w:rPr>
      </w:pPr>
      <w:r>
        <w:rPr>
          <w:rFonts w:cs="Times New Roman"/>
          <w:noProof/>
          <w:lang w:val="en-GB" w:eastAsia="en-GB"/>
        </w:rPr>
        <w:drawing>
          <wp:inline distT="0" distB="0" distL="0" distR="0" wp14:anchorId="72F73357" wp14:editId="041D0F4C">
            <wp:extent cx="3200400" cy="27065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RREN_04.01a_v01_20110303_ks.eps"/>
                    <pic:cNvPicPr/>
                  </pic:nvPicPr>
                  <pic:blipFill>
                    <a:blip r:embed="rId16">
                      <a:extLst>
                        <a:ext uri="{28A0092B-C50C-407E-A947-70E740481C1C}">
                          <a14:useLocalDpi xmlns:a14="http://schemas.microsoft.com/office/drawing/2010/main" val="0"/>
                        </a:ext>
                      </a:extLst>
                    </a:blip>
                    <a:stretch>
                      <a:fillRect/>
                    </a:stretch>
                  </pic:blipFill>
                  <pic:spPr>
                    <a:xfrm>
                      <a:off x="0" y="0"/>
                      <a:ext cx="3204091" cy="2709672"/>
                    </a:xfrm>
                    <a:prstGeom prst="rect">
                      <a:avLst/>
                    </a:prstGeom>
                  </pic:spPr>
                </pic:pic>
              </a:graphicData>
            </a:graphic>
          </wp:inline>
        </w:drawing>
      </w:r>
    </w:p>
    <w:p w14:paraId="51A719A7" w14:textId="744FE7D5" w:rsidR="00E75C47" w:rsidRPr="00740DE4" w:rsidRDefault="00E75C47" w:rsidP="00740DE4">
      <w:pPr>
        <w:pStyle w:val="Caption"/>
        <w:spacing w:after="0"/>
        <w:jc w:val="center"/>
      </w:pPr>
      <w:bookmarkStart w:id="9" w:name="_Toc461184839"/>
      <w:bookmarkStart w:id="10" w:name="_Toc535797551"/>
      <w:bookmarkStart w:id="11" w:name="_Toc44542625"/>
      <w:r w:rsidRPr="00740DE4">
        <w:t xml:space="preserve">Figure </w:t>
      </w:r>
      <w:fldSimple w:instr=" SEQ Figure \* ARABIC ">
        <w:r w:rsidRPr="00740DE4">
          <w:t>1</w:t>
        </w:r>
      </w:fldSimple>
      <w:r w:rsidR="00740DE4" w:rsidRPr="00740DE4">
        <w:t>.1 -</w:t>
      </w:r>
      <w:r w:rsidRPr="00740DE4">
        <w:t xml:space="preserve"> Schema showing convective hydrothermal resources.</w:t>
      </w:r>
      <w:bookmarkEnd w:id="9"/>
      <w:r w:rsidR="00740DE4">
        <w:t xml:space="preserve"> </w:t>
      </w:r>
      <w:r w:rsidRPr="00740DE4">
        <w:rPr>
          <w:i w:val="0"/>
          <w:iCs w:val="0"/>
        </w:rPr>
        <w:t>Source (IPCC</w:t>
      </w:r>
      <w:r w:rsidR="00F97D58">
        <w:rPr>
          <w:i w:val="0"/>
          <w:iCs w:val="0"/>
        </w:rPr>
        <w:t>,</w:t>
      </w:r>
      <w:r w:rsidRPr="00740DE4">
        <w:rPr>
          <w:i w:val="0"/>
          <w:iCs w:val="0"/>
        </w:rPr>
        <w:t xml:space="preserve"> 2011)</w:t>
      </w:r>
      <w:bookmarkEnd w:id="10"/>
      <w:bookmarkEnd w:id="11"/>
    </w:p>
    <w:p w14:paraId="128FEC25" w14:textId="77777777" w:rsidR="00E75C47" w:rsidRDefault="00E75C47" w:rsidP="00E75C47">
      <w:pPr>
        <w:spacing w:after="0"/>
        <w:rPr>
          <w:rFonts w:cs="Times New Roman"/>
        </w:rPr>
      </w:pPr>
    </w:p>
    <w:p w14:paraId="3662FE11" w14:textId="34641EE9" w:rsidR="00E75C47" w:rsidRDefault="00E75C47" w:rsidP="00740DE4">
      <w:pPr>
        <w:rPr>
          <w:rFonts w:cs="Times New Roman"/>
        </w:rPr>
      </w:pPr>
      <w:r w:rsidRPr="00513D6A">
        <w:rPr>
          <w:rFonts w:cs="Times New Roman"/>
        </w:rPr>
        <w:t xml:space="preserve">Classification of </w:t>
      </w:r>
      <w:r w:rsidRPr="00DF007A">
        <w:rPr>
          <w:rFonts w:cs="Times New Roman"/>
        </w:rPr>
        <w:t>geothermal</w:t>
      </w:r>
      <w:r w:rsidRPr="00513D6A">
        <w:rPr>
          <w:rFonts w:cs="Times New Roman"/>
        </w:rPr>
        <w:t xml:space="preserve"> systems can also </w:t>
      </w:r>
      <w:r w:rsidRPr="00DF007A">
        <w:rPr>
          <w:rFonts w:cs="Times New Roman"/>
        </w:rPr>
        <w:t>be based</w:t>
      </w:r>
      <w:r w:rsidRPr="00513D6A">
        <w:rPr>
          <w:rFonts w:cs="Times New Roman"/>
        </w:rPr>
        <w:t xml:space="preserve"> on their geological nature. Geothermal systems characterized by a volcanic heat source such as </w:t>
      </w:r>
      <w:r w:rsidRPr="00DF007A">
        <w:rPr>
          <w:rFonts w:cs="Times New Roman"/>
        </w:rPr>
        <w:t>hot</w:t>
      </w:r>
      <w:r w:rsidRPr="00513D6A">
        <w:rPr>
          <w:rFonts w:cs="Times New Roman"/>
        </w:rPr>
        <w:t xml:space="preserve"> intrusions or magma are usually the most </w:t>
      </w:r>
      <w:r>
        <w:rPr>
          <w:rFonts w:cs="Times New Roman"/>
        </w:rPr>
        <w:t>typical</w:t>
      </w:r>
      <w:r w:rsidRPr="00513D6A">
        <w:rPr>
          <w:rFonts w:cs="Times New Roman"/>
        </w:rPr>
        <w:t xml:space="preserve"> </w:t>
      </w:r>
      <w:r w:rsidRPr="00EE2A1A">
        <w:rPr>
          <w:rFonts w:cs="Times New Roman"/>
        </w:rPr>
        <w:t>high</w:t>
      </w:r>
      <w:r>
        <w:rPr>
          <w:rFonts w:cs="Times New Roman"/>
        </w:rPr>
        <w:t>-</w:t>
      </w:r>
      <w:r w:rsidRPr="00EE2A1A">
        <w:rPr>
          <w:rFonts w:cs="Times New Roman"/>
        </w:rPr>
        <w:t>temperature</w:t>
      </w:r>
      <w:r w:rsidRPr="00513D6A">
        <w:rPr>
          <w:rFonts w:cs="Times New Roman"/>
        </w:rPr>
        <w:t xml:space="preserve"> geothermal systems. Volcanically active areas along tectonic pl</w:t>
      </w:r>
      <w:r>
        <w:rPr>
          <w:rFonts w:cs="Times New Roman"/>
        </w:rPr>
        <w:t xml:space="preserve">ate boundaries are therefore some of the </w:t>
      </w:r>
      <w:r w:rsidRPr="00513D6A">
        <w:rPr>
          <w:rFonts w:cs="Times New Roman"/>
        </w:rPr>
        <w:t xml:space="preserve">locations where volcanic geothermal systems </w:t>
      </w:r>
      <w:r w:rsidRPr="00DF007A">
        <w:rPr>
          <w:rFonts w:cs="Times New Roman"/>
        </w:rPr>
        <w:t>are found</w:t>
      </w:r>
      <w:r w:rsidRPr="00513D6A">
        <w:rPr>
          <w:rFonts w:cs="Times New Roman"/>
        </w:rPr>
        <w:t xml:space="preserve"> on </w:t>
      </w:r>
      <w:r w:rsidRPr="00EE2A1A">
        <w:rPr>
          <w:rFonts w:cs="Times New Roman"/>
        </w:rPr>
        <w:t>Earth</w:t>
      </w:r>
      <w:r>
        <w:rPr>
          <w:rFonts w:cs="Times New Roman"/>
        </w:rPr>
        <w:t>. H</w:t>
      </w:r>
      <w:r w:rsidRPr="00EE2A1A">
        <w:rPr>
          <w:rFonts w:cs="Times New Roman"/>
        </w:rPr>
        <w:t>owever</w:t>
      </w:r>
      <w:r w:rsidRPr="00513D6A">
        <w:rPr>
          <w:rFonts w:cs="Times New Roman"/>
        </w:rPr>
        <w:t xml:space="preserve">, not all volcanic systems develop geothermal systems (Fridriksson </w:t>
      </w:r>
      <w:r w:rsidRPr="00573B48">
        <w:rPr>
          <w:rFonts w:cs="Times New Roman"/>
          <w:i/>
        </w:rPr>
        <w:t>et al</w:t>
      </w:r>
      <w:r w:rsidRPr="00513D6A">
        <w:rPr>
          <w:rFonts w:cs="Times New Roman"/>
        </w:rPr>
        <w:t>., 2016)</w:t>
      </w:r>
      <w:r w:rsidR="00891C6A">
        <w:rPr>
          <w:rFonts w:cs="Times New Roman"/>
        </w:rPr>
        <w:t xml:space="preserve"> because the sub-surface rock system has to offer suitable conditions (i.e., a layer of highly porous and permeable rock sandwiched between layers of impermeable rocks)</w:t>
      </w:r>
      <w:r w:rsidRPr="00513D6A">
        <w:rPr>
          <w:rFonts w:cs="Times New Roman"/>
        </w:rPr>
        <w:t>.</w:t>
      </w:r>
      <w:r>
        <w:rPr>
          <w:rFonts w:cs="Times New Roman"/>
        </w:rPr>
        <w:t xml:space="preserve"> The use of geothermal energy has so far </w:t>
      </w:r>
      <w:r w:rsidRPr="00DF007A">
        <w:rPr>
          <w:rFonts w:cs="Times New Roman"/>
        </w:rPr>
        <w:t>been constrained</w:t>
      </w:r>
      <w:r w:rsidRPr="00AB0B6F">
        <w:rPr>
          <w:rFonts w:cs="Times New Roman"/>
        </w:rPr>
        <w:t xml:space="preserve"> location</w:t>
      </w:r>
      <w:r>
        <w:rPr>
          <w:rFonts w:cs="Times New Roman"/>
        </w:rPr>
        <w:t>-wise since c</w:t>
      </w:r>
      <w:r w:rsidRPr="00AB0B6F">
        <w:rPr>
          <w:rFonts w:cs="Times New Roman"/>
        </w:rPr>
        <w:t>onventional hydrothermal reservoirs</w:t>
      </w:r>
      <w:r>
        <w:rPr>
          <w:rFonts w:cs="Times New Roman"/>
        </w:rPr>
        <w:t xml:space="preserve"> are location specific. The geographic scope of geothermal energy could </w:t>
      </w:r>
      <w:r w:rsidRPr="00DF007A">
        <w:rPr>
          <w:rFonts w:cs="Times New Roman"/>
        </w:rPr>
        <w:t>be significantly increased</w:t>
      </w:r>
      <w:r>
        <w:rPr>
          <w:rFonts w:cs="Times New Roman"/>
        </w:rPr>
        <w:t xml:space="preserve"> through the development of advanced technologies such as enhanced geothermal systems that target lower</w:t>
      </w:r>
      <w:r w:rsidRPr="001A766F">
        <w:rPr>
          <w:rFonts w:cs="Times New Roman"/>
        </w:rPr>
        <w:t>-permeability reservoirs</w:t>
      </w:r>
      <w:r>
        <w:rPr>
          <w:rFonts w:cs="Times New Roman"/>
        </w:rPr>
        <w:t>.</w:t>
      </w:r>
      <w:r w:rsidRPr="001A766F">
        <w:rPr>
          <w:rFonts w:cs="Times New Roman"/>
        </w:rPr>
        <w:t xml:space="preserve"> </w:t>
      </w:r>
      <w:r>
        <w:rPr>
          <w:rFonts w:cs="Times New Roman"/>
        </w:rPr>
        <w:t>Geothermal energy can also be</w:t>
      </w:r>
      <w:r w:rsidRPr="001A766F">
        <w:rPr>
          <w:rFonts w:cs="Times New Roman"/>
        </w:rPr>
        <w:t xml:space="preserve"> </w:t>
      </w:r>
      <w:r>
        <w:rPr>
          <w:rFonts w:cs="Times New Roman"/>
        </w:rPr>
        <w:t>obtain</w:t>
      </w:r>
      <w:r w:rsidRPr="00EE2A1A">
        <w:rPr>
          <w:rFonts w:cs="Times New Roman"/>
        </w:rPr>
        <w:t>ed</w:t>
      </w:r>
      <w:r>
        <w:rPr>
          <w:rFonts w:cs="Times New Roman"/>
        </w:rPr>
        <w:t xml:space="preserve"> </w:t>
      </w:r>
      <w:r w:rsidRPr="00EE2A1A">
        <w:rPr>
          <w:rFonts w:cs="Times New Roman"/>
        </w:rPr>
        <w:t>u</w:t>
      </w:r>
      <w:r>
        <w:rPr>
          <w:rFonts w:cs="Times New Roman"/>
        </w:rPr>
        <w:t xml:space="preserve">sing </w:t>
      </w:r>
      <w:r w:rsidRPr="00DF007A">
        <w:rPr>
          <w:rFonts w:cs="Times New Roman"/>
        </w:rPr>
        <w:t>artificial</w:t>
      </w:r>
      <w:r>
        <w:rPr>
          <w:rFonts w:cs="Times New Roman"/>
        </w:rPr>
        <w:t xml:space="preserve"> fluid pathways into</w:t>
      </w:r>
      <w:r w:rsidRPr="001A766F">
        <w:rPr>
          <w:rFonts w:cs="Times New Roman"/>
        </w:rPr>
        <w:t xml:space="preserve"> lower-pe</w:t>
      </w:r>
      <w:r>
        <w:rPr>
          <w:rFonts w:cs="Times New Roman"/>
        </w:rPr>
        <w:t>rmeability reservoirs</w:t>
      </w:r>
      <w:r w:rsidR="00F97D58">
        <w:rPr>
          <w:rFonts w:cs="Times New Roman"/>
        </w:rPr>
        <w:t>;</w:t>
      </w:r>
      <w:r w:rsidR="00573B48" w:rsidRPr="00016857">
        <w:rPr>
          <w:rFonts w:cs="Times New Roman"/>
        </w:rPr>
        <w:t xml:space="preserve"> extracted using wells or other means t</w:t>
      </w:r>
      <w:r w:rsidR="00573B48">
        <w:rPr>
          <w:rFonts w:cs="Times New Roman"/>
        </w:rPr>
        <w:t xml:space="preserve">hat produce hot ﬂuids from hydrothermal reservoirs which </w:t>
      </w:r>
      <w:r w:rsidR="00573B48" w:rsidRPr="00016857">
        <w:rPr>
          <w:rFonts w:cs="Times New Roman"/>
        </w:rPr>
        <w:t xml:space="preserve">naturally </w:t>
      </w:r>
      <w:r w:rsidR="00573B48">
        <w:rPr>
          <w:rFonts w:cs="Times New Roman"/>
        </w:rPr>
        <w:t xml:space="preserve">have </w:t>
      </w:r>
      <w:r w:rsidR="00573B48" w:rsidRPr="00016857">
        <w:rPr>
          <w:rFonts w:cs="Times New Roman"/>
        </w:rPr>
        <w:t>high permeability</w:t>
      </w:r>
      <w:r w:rsidR="00F97D58">
        <w:rPr>
          <w:rFonts w:cs="Times New Roman"/>
        </w:rPr>
        <w:t xml:space="preserve"> (IPCC, 2011)</w:t>
      </w:r>
      <w:r w:rsidR="00573B48">
        <w:rPr>
          <w:rFonts w:cs="Times New Roman"/>
        </w:rPr>
        <w:t>.</w:t>
      </w:r>
    </w:p>
    <w:p w14:paraId="750AE38D" w14:textId="52288981" w:rsidR="003A0C18" w:rsidRDefault="00E75C47" w:rsidP="00E75C47">
      <w:pPr>
        <w:rPr>
          <w:rFonts w:cs="Times New Roman"/>
        </w:rPr>
      </w:pPr>
      <w:r>
        <w:rPr>
          <w:rFonts w:cs="Times New Roman"/>
        </w:rPr>
        <w:t xml:space="preserve">Applications of geothermal energy systems can </w:t>
      </w:r>
      <w:r w:rsidRPr="00EE2A1A">
        <w:rPr>
          <w:rFonts w:cs="Times New Roman"/>
        </w:rPr>
        <w:t>be categorized</w:t>
      </w:r>
      <w:r>
        <w:rPr>
          <w:rFonts w:cs="Times New Roman"/>
        </w:rPr>
        <w:t xml:space="preserve"> </w:t>
      </w:r>
      <w:r w:rsidRPr="00EE2A1A">
        <w:rPr>
          <w:rFonts w:cs="Times New Roman"/>
        </w:rPr>
        <w:t>into</w:t>
      </w:r>
      <w:r>
        <w:rPr>
          <w:rFonts w:cs="Times New Roman"/>
        </w:rPr>
        <w:t xml:space="preserve"> 1) direct </w:t>
      </w:r>
      <w:r w:rsidRPr="00EE2A1A">
        <w:rPr>
          <w:rFonts w:cs="Times New Roman"/>
        </w:rPr>
        <w:t>u</w:t>
      </w:r>
      <w:r>
        <w:rPr>
          <w:rFonts w:cs="Times New Roman"/>
        </w:rPr>
        <w:t>tilization and district heating; 2) electricity generation; and 3) geothermal heat pumps.</w:t>
      </w:r>
      <w:r w:rsidRPr="00C55089">
        <w:rPr>
          <w:rFonts w:cs="Times New Roman"/>
        </w:rPr>
        <w:t xml:space="preserve"> </w:t>
      </w:r>
      <w:r>
        <w:rPr>
          <w:rFonts w:cs="Times New Roman"/>
        </w:rPr>
        <w:t>D</w:t>
      </w:r>
      <w:r w:rsidRPr="002B6FB1">
        <w:rPr>
          <w:rFonts w:cs="Times New Roman"/>
        </w:rPr>
        <w:t xml:space="preserve">irect </w:t>
      </w:r>
      <w:r w:rsidR="00D94D4D">
        <w:rPr>
          <w:rFonts w:cs="Times New Roman"/>
        </w:rPr>
        <w:t xml:space="preserve">use </w:t>
      </w:r>
      <w:r>
        <w:rPr>
          <w:rFonts w:cs="Times New Roman"/>
        </w:rPr>
        <w:t xml:space="preserve">and district heating </w:t>
      </w:r>
      <w:r w:rsidRPr="002B6FB1">
        <w:rPr>
          <w:rFonts w:cs="Times New Roman"/>
        </w:rPr>
        <w:t>appli</w:t>
      </w:r>
      <w:r>
        <w:rPr>
          <w:rFonts w:cs="Times New Roman"/>
        </w:rPr>
        <w:t xml:space="preserve">cations of geothermal energy </w:t>
      </w:r>
      <w:r w:rsidRPr="00EE2A1A">
        <w:rPr>
          <w:rFonts w:cs="Times New Roman"/>
        </w:rPr>
        <w:t>include</w:t>
      </w:r>
      <w:r w:rsidRPr="002B6FB1">
        <w:rPr>
          <w:rFonts w:cs="Times New Roman"/>
        </w:rPr>
        <w:t xml:space="preserve"> space heating, bathing and swimm</w:t>
      </w:r>
      <w:r>
        <w:rPr>
          <w:rFonts w:cs="Times New Roman"/>
        </w:rPr>
        <w:t xml:space="preserve">ing (including balneology), </w:t>
      </w:r>
      <w:r w:rsidRPr="002B6FB1">
        <w:rPr>
          <w:rFonts w:cs="Times New Roman"/>
        </w:rPr>
        <w:t>horticulture (greenhou</w:t>
      </w:r>
      <w:r>
        <w:rPr>
          <w:rFonts w:cs="Times New Roman"/>
        </w:rPr>
        <w:t xml:space="preserve">ses and soil heating), industrial </w:t>
      </w:r>
      <w:r w:rsidRPr="00EE2A1A">
        <w:rPr>
          <w:rFonts w:cs="Times New Roman"/>
        </w:rPr>
        <w:t>heating</w:t>
      </w:r>
      <w:r>
        <w:rPr>
          <w:rFonts w:cs="Times New Roman"/>
        </w:rPr>
        <w:t xml:space="preserve"> (for drying and heating purposes), </w:t>
      </w:r>
      <w:r w:rsidRPr="002B6FB1">
        <w:rPr>
          <w:rFonts w:cs="Times New Roman"/>
        </w:rPr>
        <w:t>and aquaculture (mainly</w:t>
      </w:r>
      <w:r>
        <w:rPr>
          <w:rFonts w:cs="Times New Roman"/>
        </w:rPr>
        <w:t xml:space="preserve"> in</w:t>
      </w:r>
      <w:r w:rsidRPr="002B6FB1">
        <w:rPr>
          <w:rFonts w:cs="Times New Roman"/>
        </w:rPr>
        <w:t xml:space="preserve"> fish farming)</w:t>
      </w:r>
      <w:r>
        <w:rPr>
          <w:rFonts w:cs="Times New Roman"/>
        </w:rPr>
        <w:t>.</w:t>
      </w:r>
      <w:r w:rsidRPr="002B6FB1">
        <w:rPr>
          <w:rFonts w:cs="Times New Roman"/>
        </w:rPr>
        <w:t xml:space="preserve"> </w:t>
      </w:r>
      <w:r w:rsidR="00573B48">
        <w:rPr>
          <w:rFonts w:cs="Times New Roman"/>
        </w:rPr>
        <w:t xml:space="preserve">When converted to electricity, geothermal electric power </w:t>
      </w:r>
      <w:r w:rsidR="00573B48" w:rsidRPr="001A766F">
        <w:rPr>
          <w:rFonts w:cs="Times New Roman"/>
        </w:rPr>
        <w:t xml:space="preserve">can </w:t>
      </w:r>
      <w:r w:rsidR="00573B48" w:rsidRPr="00DF007A">
        <w:rPr>
          <w:rFonts w:cs="Times New Roman"/>
        </w:rPr>
        <w:t>be utilized</w:t>
      </w:r>
      <w:r w:rsidR="00573B48" w:rsidRPr="001A766F">
        <w:rPr>
          <w:rFonts w:cs="Times New Roman"/>
        </w:rPr>
        <w:t xml:space="preserve"> as a source of </w:t>
      </w:r>
      <w:r w:rsidR="00573B48" w:rsidRPr="00EE2A1A">
        <w:rPr>
          <w:rFonts w:cs="Times New Roman"/>
        </w:rPr>
        <w:t>baseload</w:t>
      </w:r>
      <w:r w:rsidR="00573B48" w:rsidRPr="001A766F">
        <w:rPr>
          <w:rFonts w:cs="Times New Roman"/>
        </w:rPr>
        <w:t xml:space="preserve"> power, </w:t>
      </w:r>
      <w:r w:rsidR="00573B48" w:rsidRPr="00DF007A">
        <w:rPr>
          <w:rFonts w:cs="Times New Roman"/>
        </w:rPr>
        <w:t>flexible</w:t>
      </w:r>
      <w:r w:rsidR="00573B48" w:rsidRPr="001A766F">
        <w:rPr>
          <w:rFonts w:cs="Times New Roman"/>
        </w:rPr>
        <w:t xml:space="preserve"> peaking power</w:t>
      </w:r>
      <w:r w:rsidR="00AB39F9">
        <w:rPr>
          <w:rFonts w:cs="Times New Roman"/>
        </w:rPr>
        <w:t xml:space="preserve">, </w:t>
      </w:r>
      <w:r w:rsidR="00AB39F9" w:rsidRPr="001A766F">
        <w:rPr>
          <w:rFonts w:cs="Times New Roman"/>
        </w:rPr>
        <w:t xml:space="preserve">as well as </w:t>
      </w:r>
      <w:r w:rsidR="00AB39F9">
        <w:rPr>
          <w:rFonts w:cs="Times New Roman"/>
        </w:rPr>
        <w:t>load-following power</w:t>
      </w:r>
      <w:r w:rsidR="00461E21">
        <w:rPr>
          <w:rFonts w:cs="Times New Roman"/>
        </w:rPr>
        <w:t xml:space="preserve"> (</w:t>
      </w:r>
      <w:r w:rsidR="00AB39F9" w:rsidRPr="00AB39F9">
        <w:rPr>
          <w:rFonts w:cs="Times New Roman"/>
        </w:rPr>
        <w:t>Eliasson</w:t>
      </w:r>
      <w:r w:rsidR="00FD5DFF">
        <w:rPr>
          <w:rFonts w:cs="Times New Roman"/>
        </w:rPr>
        <w:t xml:space="preserve"> et al</w:t>
      </w:r>
      <w:r w:rsidR="009C30A8">
        <w:rPr>
          <w:rFonts w:cs="Times New Roman"/>
        </w:rPr>
        <w:t>.</w:t>
      </w:r>
      <w:r w:rsidR="00AB39F9">
        <w:rPr>
          <w:rFonts w:cs="Times New Roman"/>
        </w:rPr>
        <w:t>, 2011</w:t>
      </w:r>
      <w:r w:rsidR="00461E21">
        <w:rPr>
          <w:rFonts w:cs="Times New Roman"/>
        </w:rPr>
        <w:t>)</w:t>
      </w:r>
      <w:r w:rsidR="00573B48" w:rsidRPr="001A766F">
        <w:rPr>
          <w:rFonts w:cs="Times New Roman"/>
        </w:rPr>
        <w:t>.</w:t>
      </w:r>
    </w:p>
    <w:p w14:paraId="50C37F6B" w14:textId="1D14E11B" w:rsidR="003A0C18" w:rsidRDefault="003A0C18" w:rsidP="00E75C47">
      <w:pPr>
        <w:rPr>
          <w:rFonts w:cs="Times New Roman"/>
        </w:rPr>
      </w:pPr>
      <w:r>
        <w:rPr>
          <w:rFonts w:cs="Times New Roman"/>
        </w:rPr>
        <w:t xml:space="preserve">Geothermal power plant is traditionally used as a baseload power plant to continuously provide </w:t>
      </w:r>
      <w:r w:rsidR="005B5E02">
        <w:rPr>
          <w:rFonts w:cs="Times New Roman"/>
        </w:rPr>
        <w:t xml:space="preserve">full-load </w:t>
      </w:r>
      <w:r>
        <w:rPr>
          <w:rFonts w:cs="Times New Roman"/>
        </w:rPr>
        <w:t xml:space="preserve">power output unless in the occasional cases of maintenance shut-down. In the times of maximum power demand (i.e. peak load), and fluctuating power demand (i.e. </w:t>
      </w:r>
      <w:r w:rsidR="005B5E02">
        <w:rPr>
          <w:rFonts w:cs="Times New Roman"/>
        </w:rPr>
        <w:t>ramping</w:t>
      </w:r>
      <w:r w:rsidR="004A08D6">
        <w:rPr>
          <w:rFonts w:cs="Times New Roman"/>
        </w:rPr>
        <w:t xml:space="preserve"> or transient</w:t>
      </w:r>
      <w:r w:rsidR="005B5E02">
        <w:rPr>
          <w:rFonts w:cs="Times New Roman"/>
        </w:rPr>
        <w:t xml:space="preserve"> </w:t>
      </w:r>
      <w:r>
        <w:rPr>
          <w:rFonts w:cs="Times New Roman"/>
        </w:rPr>
        <w:t>load), geothermal plants particularly the condensing</w:t>
      </w:r>
      <w:r w:rsidR="00844AD6">
        <w:rPr>
          <w:rFonts w:cs="Times New Roman"/>
        </w:rPr>
        <w:t>-</w:t>
      </w:r>
      <w:r>
        <w:rPr>
          <w:rFonts w:cs="Times New Roman"/>
        </w:rPr>
        <w:t>type</w:t>
      </w:r>
      <w:r w:rsidR="00844AD6">
        <w:rPr>
          <w:rFonts w:cs="Times New Roman"/>
        </w:rPr>
        <w:t xml:space="preserve"> steam/flash plant</w:t>
      </w:r>
      <w:r w:rsidR="005B5E02">
        <w:rPr>
          <w:rFonts w:cs="Times New Roman"/>
        </w:rPr>
        <w:t>, and hybrid geothermal plants</w:t>
      </w:r>
      <w:r w:rsidR="00844AD6">
        <w:rPr>
          <w:rFonts w:cs="Times New Roman"/>
        </w:rPr>
        <w:t xml:space="preserve"> </w:t>
      </w:r>
      <w:r>
        <w:rPr>
          <w:rFonts w:cs="Times New Roman"/>
        </w:rPr>
        <w:t>could be adapted for more flexibility required to load-peak and/or load-follow</w:t>
      </w:r>
      <w:r w:rsidR="00043527">
        <w:rPr>
          <w:rFonts w:cs="Times New Roman"/>
        </w:rPr>
        <w:t xml:space="preserve"> in times of varying load in the grid</w:t>
      </w:r>
      <w:r w:rsidR="005B5E02">
        <w:rPr>
          <w:rFonts w:cs="Times New Roman"/>
        </w:rPr>
        <w:t xml:space="preserve"> (</w:t>
      </w:r>
      <w:r w:rsidR="005B5E02" w:rsidRPr="005B5E02">
        <w:rPr>
          <w:rFonts w:cs="Times New Roman"/>
        </w:rPr>
        <w:t>Eliasson</w:t>
      </w:r>
      <w:r w:rsidR="00FD5DFF">
        <w:rPr>
          <w:rFonts w:cs="Times New Roman"/>
        </w:rPr>
        <w:t xml:space="preserve"> et al</w:t>
      </w:r>
      <w:r w:rsidR="009C30A8">
        <w:rPr>
          <w:rFonts w:cs="Times New Roman"/>
        </w:rPr>
        <w:t>.</w:t>
      </w:r>
      <w:r w:rsidR="005B5E02">
        <w:rPr>
          <w:rFonts w:cs="Times New Roman"/>
        </w:rPr>
        <w:t>, 2011)</w:t>
      </w:r>
      <w:r>
        <w:rPr>
          <w:rFonts w:cs="Times New Roman"/>
        </w:rPr>
        <w:t>.</w:t>
      </w:r>
      <w:r w:rsidR="00BF6EA7">
        <w:rPr>
          <w:rFonts w:cs="Times New Roman"/>
        </w:rPr>
        <w:t xml:space="preserve"> In a well-managed geothermal reservoir, extraction pump and/or throttle valve could be used to regulate steam flow to turbine, and thus regulate the power generated by geothermal plants. </w:t>
      </w:r>
      <w:r>
        <w:rPr>
          <w:rFonts w:cs="Times New Roman"/>
        </w:rPr>
        <w:t xml:space="preserve">Using geothermal plants for load-peaking, and/or load-following </w:t>
      </w:r>
      <w:r w:rsidR="00043527">
        <w:rPr>
          <w:rFonts w:cs="Times New Roman"/>
        </w:rPr>
        <w:t xml:space="preserve">purposes </w:t>
      </w:r>
      <w:r>
        <w:rPr>
          <w:rFonts w:cs="Times New Roman"/>
        </w:rPr>
        <w:t>will usually come at a more expensive costs than for base-load power.</w:t>
      </w:r>
      <w:r w:rsidR="004A08D6">
        <w:rPr>
          <w:rFonts w:cs="Times New Roman"/>
        </w:rPr>
        <w:t xml:space="preserve"> This is because power plants </w:t>
      </w:r>
      <w:r w:rsidR="00C65D8A">
        <w:rPr>
          <w:rFonts w:cs="Times New Roman"/>
        </w:rPr>
        <w:t xml:space="preserve">constantly deviating from their maximum </w:t>
      </w:r>
      <w:r w:rsidR="004A08D6">
        <w:rPr>
          <w:rFonts w:cs="Times New Roman"/>
        </w:rPr>
        <w:t xml:space="preserve">operating </w:t>
      </w:r>
      <w:r w:rsidR="00C65D8A">
        <w:rPr>
          <w:rFonts w:cs="Times New Roman"/>
        </w:rPr>
        <w:t>points to support low or</w:t>
      </w:r>
      <w:r w:rsidR="004A08D6">
        <w:rPr>
          <w:rFonts w:cs="Times New Roman"/>
        </w:rPr>
        <w:t xml:space="preserve"> partial load do so to the detriments of their efficiencies. To load-follow is to be able to output low power for a lo</w:t>
      </w:r>
      <w:r w:rsidR="00C65D8A">
        <w:rPr>
          <w:rFonts w:cs="Times New Roman"/>
        </w:rPr>
        <w:t>ng</w:t>
      </w:r>
      <w:r w:rsidR="004A08D6">
        <w:rPr>
          <w:rFonts w:cs="Times New Roman"/>
        </w:rPr>
        <w:t xml:space="preserve"> time</w:t>
      </w:r>
      <w:r w:rsidR="00C65D8A">
        <w:rPr>
          <w:rFonts w:cs="Times New Roman"/>
        </w:rPr>
        <w:t>,</w:t>
      </w:r>
      <w:r w:rsidR="004A08D6">
        <w:rPr>
          <w:rFonts w:cs="Times New Roman"/>
        </w:rPr>
        <w:t xml:space="preserve"> and to ramp up and down in near-zero time. To load-peak is to be able</w:t>
      </w:r>
      <w:r w:rsidR="00C65D8A">
        <w:rPr>
          <w:rFonts w:cs="Times New Roman"/>
        </w:rPr>
        <w:t xml:space="preserve"> change operating point to support maximum power demand.</w:t>
      </w:r>
      <w:r w:rsidR="00FD5DFF">
        <w:rPr>
          <w:rFonts w:cs="Times New Roman"/>
        </w:rPr>
        <w:t xml:space="preserve"> Geothermal power plant</w:t>
      </w:r>
      <w:r w:rsidR="00140811">
        <w:rPr>
          <w:rFonts w:cs="Times New Roman"/>
        </w:rPr>
        <w:t>, such as the case of 38 MW Puna plant in Hawaii,</w:t>
      </w:r>
      <w:r w:rsidR="00FD5DFF">
        <w:rPr>
          <w:rFonts w:cs="Times New Roman"/>
        </w:rPr>
        <w:t xml:space="preserve"> ha</w:t>
      </w:r>
      <w:r w:rsidR="00140811">
        <w:rPr>
          <w:rFonts w:cs="Times New Roman"/>
        </w:rPr>
        <w:t>s</w:t>
      </w:r>
      <w:r w:rsidR="00FD5DFF">
        <w:rPr>
          <w:rFonts w:cs="Times New Roman"/>
        </w:rPr>
        <w:t xml:space="preserve"> been used to provide ancillary services such as load-following,</w:t>
      </w:r>
      <w:r w:rsidR="00140811">
        <w:rPr>
          <w:rFonts w:cs="Times New Roman"/>
        </w:rPr>
        <w:t xml:space="preserve"> </w:t>
      </w:r>
      <w:r w:rsidR="00FD5DFF">
        <w:rPr>
          <w:rFonts w:cs="Times New Roman"/>
        </w:rPr>
        <w:lastRenderedPageBreak/>
        <w:t>frequency regulation</w:t>
      </w:r>
      <w:r w:rsidR="00140811">
        <w:rPr>
          <w:rFonts w:cs="Times New Roman"/>
        </w:rPr>
        <w:t>, spinning, and non-spinning reserves to Independent System Operators</w:t>
      </w:r>
      <w:r w:rsidR="00FD5DFF">
        <w:rPr>
          <w:rFonts w:cs="Times New Roman"/>
        </w:rPr>
        <w:t xml:space="preserve"> </w:t>
      </w:r>
      <w:r w:rsidR="00FD5DFF">
        <w:t>(Edmunds</w:t>
      </w:r>
      <w:r w:rsidR="00E43BA9">
        <w:t xml:space="preserve"> et al,</w:t>
      </w:r>
      <w:r w:rsidR="00FD5DFF">
        <w:t xml:space="preserve"> 2014</w:t>
      </w:r>
      <w:r w:rsidR="00E43BA9">
        <w:t>; Edmunds &amp; Sotorrio, 2015</w:t>
      </w:r>
      <w:r w:rsidR="00B26215">
        <w:t>; AltEnergy, 2013</w:t>
      </w:r>
      <w:r w:rsidR="00FD5DFF">
        <w:t>)</w:t>
      </w:r>
      <w:r w:rsidR="00E43BA9">
        <w:t>.</w:t>
      </w:r>
    </w:p>
    <w:p w14:paraId="4B5B0B0D" w14:textId="7BE5FFC3" w:rsidR="00E75C47" w:rsidRPr="00B17584" w:rsidRDefault="00E75C47" w:rsidP="00740DE4">
      <w:pPr>
        <w:pStyle w:val="Heading3"/>
      </w:pPr>
      <w:bookmarkStart w:id="12" w:name="_Toc536710678"/>
      <w:bookmarkStart w:id="13" w:name="_Toc461179029"/>
      <w:bookmarkStart w:id="14" w:name="_Toc19137298"/>
      <w:bookmarkEnd w:id="12"/>
      <w:r w:rsidRPr="00B17584">
        <w:t>Gases in Geothermal Fluids</w:t>
      </w:r>
      <w:bookmarkEnd w:id="13"/>
      <w:bookmarkEnd w:id="14"/>
    </w:p>
    <w:p w14:paraId="735659A2" w14:textId="795F8488" w:rsidR="00C81936" w:rsidRPr="009C30A8" w:rsidRDefault="00E75C47" w:rsidP="009C30A8">
      <w:pPr>
        <w:rPr>
          <w:rFonts w:cs="Times New Roman"/>
        </w:rPr>
      </w:pPr>
      <w:r w:rsidRPr="007A69C1">
        <w:rPr>
          <w:bCs/>
        </w:rPr>
        <w:t>Geothermal fluids contain minerals leached from the reservoir rock and variable quantities of gas</w:t>
      </w:r>
      <w:r>
        <w:rPr>
          <w:bCs/>
        </w:rPr>
        <w:t xml:space="preserve">es of which </w:t>
      </w:r>
      <w:r w:rsidR="00573B48">
        <w:rPr>
          <w:bCs/>
        </w:rPr>
        <w:t>carbon dioxide (CO</w:t>
      </w:r>
      <w:r w:rsidR="00573B48" w:rsidRPr="00573B48">
        <w:rPr>
          <w:bCs/>
          <w:vertAlign w:val="subscript"/>
        </w:rPr>
        <w:t>2</w:t>
      </w:r>
      <w:r w:rsidR="00573B48">
        <w:rPr>
          <w:bCs/>
        </w:rPr>
        <w:t xml:space="preserve">) </w:t>
      </w:r>
      <w:r>
        <w:rPr>
          <w:bCs/>
        </w:rPr>
        <w:t xml:space="preserve">constitutes the </w:t>
      </w:r>
      <w:r w:rsidR="007C3E89">
        <w:rPr>
          <w:bCs/>
        </w:rPr>
        <w:t>majority</w:t>
      </w:r>
      <w:r w:rsidR="00F01DC8">
        <w:rPr>
          <w:bCs/>
        </w:rPr>
        <w:t>, especially in carbonate-rich reservoirs</w:t>
      </w:r>
      <w:r w:rsidRPr="007A69C1">
        <w:rPr>
          <w:bCs/>
        </w:rPr>
        <w:t xml:space="preserve">. </w:t>
      </w:r>
      <w:r w:rsidR="00C81936">
        <w:rPr>
          <w:rStyle w:val="textexposedshow"/>
        </w:rPr>
        <w:t xml:space="preserve">The heated reservoir water usually dissolves </w:t>
      </w:r>
      <w:r w:rsidR="00C81936" w:rsidRPr="009C30A8">
        <w:rPr>
          <w:rFonts w:cs="Times New Roman"/>
        </w:rPr>
        <w:t>some rock minerals to form brine. In a carbonate-rich reservoir, a high fugacity CO</w:t>
      </w:r>
      <w:r w:rsidR="00C81936" w:rsidRPr="009C30A8">
        <w:rPr>
          <w:rFonts w:cs="Times New Roman"/>
          <w:vertAlign w:val="subscript"/>
        </w:rPr>
        <w:t xml:space="preserve">2 </w:t>
      </w:r>
      <w:r w:rsidR="00C81936" w:rsidRPr="009C30A8">
        <w:rPr>
          <w:rFonts w:cs="Times New Roman"/>
        </w:rPr>
        <w:t>is formed due to Poynting effect (i.e. a sudden over-pressure as water vapor mix with CO</w:t>
      </w:r>
      <w:r w:rsidR="00C81936" w:rsidRPr="009C30A8">
        <w:rPr>
          <w:rFonts w:cs="Times New Roman"/>
          <w:vertAlign w:val="subscript"/>
        </w:rPr>
        <w:t>2</w:t>
      </w:r>
      <w:r w:rsidR="00C81936" w:rsidRPr="009C30A8">
        <w:rPr>
          <w:rFonts w:cs="Times New Roman"/>
        </w:rPr>
        <w:t>), and will spontaneously escape through the soil like a jet even without a geothermal plant in the site.</w:t>
      </w:r>
    </w:p>
    <w:p w14:paraId="7D6F4AB4" w14:textId="090A8DDC" w:rsidR="00222F4D" w:rsidRPr="009C30A8" w:rsidRDefault="00E75C47" w:rsidP="009C30A8">
      <w:pPr>
        <w:rPr>
          <w:rFonts w:cs="Times New Roman"/>
        </w:rPr>
      </w:pPr>
      <w:r w:rsidRPr="009C30A8">
        <w:rPr>
          <w:rFonts w:cs="Times New Roman"/>
        </w:rPr>
        <w:t xml:space="preserve">The gas composition and amount depends on the geological conditions of different geothermal fields. </w:t>
      </w:r>
      <w:r w:rsidR="008D55BF" w:rsidRPr="009C30A8">
        <w:rPr>
          <w:rFonts w:cs="Times New Roman"/>
        </w:rPr>
        <w:t xml:space="preserve">Though, </w:t>
      </w:r>
      <w:r w:rsidR="007C3E89">
        <w:rPr>
          <w:rFonts w:cs="Times New Roman"/>
        </w:rPr>
        <w:t>geothermal power plants related</w:t>
      </w:r>
      <w:r w:rsidRPr="009C30A8">
        <w:rPr>
          <w:rFonts w:cs="Times New Roman"/>
        </w:rPr>
        <w:t xml:space="preserve"> emissions are much lower than from coal or natural gas power plants. A report from the Geothermal Energy Association </w:t>
      </w:r>
      <w:r w:rsidR="00C81936" w:rsidRPr="009C30A8">
        <w:rPr>
          <w:rFonts w:cs="Times New Roman"/>
        </w:rPr>
        <w:t xml:space="preserve">(GEA) </w:t>
      </w:r>
      <w:r w:rsidRPr="009C30A8">
        <w:rPr>
          <w:rFonts w:cs="Times New Roman"/>
        </w:rPr>
        <w:t xml:space="preserve">indicates that geothermal power plants emit about 5% </w:t>
      </w:r>
      <w:r w:rsidR="007C3E89">
        <w:rPr>
          <w:rFonts w:cs="Times New Roman"/>
        </w:rPr>
        <w:t>CO</w:t>
      </w:r>
      <w:r w:rsidR="007C3E89" w:rsidRPr="007C3E89">
        <w:rPr>
          <w:rFonts w:cs="Times New Roman"/>
          <w:vertAlign w:val="subscript"/>
        </w:rPr>
        <w:t>2</w:t>
      </w:r>
      <w:r w:rsidRPr="009C30A8">
        <w:rPr>
          <w:rFonts w:cs="Times New Roman"/>
        </w:rPr>
        <w:t>, 1% of sulphur dioxide, and less than 1% of the nitrous oxide emitted by</w:t>
      </w:r>
      <w:r w:rsidR="007C3E89">
        <w:rPr>
          <w:rFonts w:cs="Times New Roman"/>
        </w:rPr>
        <w:t xml:space="preserve"> a</w:t>
      </w:r>
      <w:r w:rsidRPr="009C30A8">
        <w:rPr>
          <w:rFonts w:cs="Times New Roman"/>
        </w:rPr>
        <w:t xml:space="preserve"> </w:t>
      </w:r>
      <w:r w:rsidR="007C3E89">
        <w:rPr>
          <w:rFonts w:cs="Times New Roman"/>
        </w:rPr>
        <w:t xml:space="preserve">similar sized </w:t>
      </w:r>
      <w:r w:rsidRPr="009C30A8">
        <w:rPr>
          <w:rFonts w:cs="Times New Roman"/>
        </w:rPr>
        <w:t>coal</w:t>
      </w:r>
      <w:r w:rsidR="007C3E89">
        <w:rPr>
          <w:rFonts w:cs="Times New Roman"/>
        </w:rPr>
        <w:t xml:space="preserve"> powerplant.</w:t>
      </w:r>
      <w:r w:rsidRPr="009C30A8">
        <w:rPr>
          <w:rFonts w:cs="Times New Roman"/>
        </w:rPr>
        <w:t xml:space="preserve"> </w:t>
      </w:r>
      <w:r w:rsidR="007C3E89">
        <w:rPr>
          <w:rFonts w:cs="Times New Roman"/>
        </w:rPr>
        <w:t>Ce</w:t>
      </w:r>
      <w:r w:rsidRPr="009C30A8">
        <w:rPr>
          <w:rFonts w:cs="Times New Roman"/>
        </w:rPr>
        <w:t xml:space="preserve">rtain types of geothermal plants produce near-zero emissions (Holm </w:t>
      </w:r>
      <w:r w:rsidRPr="00EF3277">
        <w:rPr>
          <w:rFonts w:cs="Times New Roman"/>
          <w:i/>
        </w:rPr>
        <w:t>et al</w:t>
      </w:r>
      <w:r w:rsidRPr="009C30A8">
        <w:rPr>
          <w:rFonts w:cs="Times New Roman"/>
        </w:rPr>
        <w:t>.</w:t>
      </w:r>
      <w:r w:rsidR="008D55BF" w:rsidRPr="009C30A8">
        <w:rPr>
          <w:rFonts w:cs="Times New Roman"/>
        </w:rPr>
        <w:t>,</w:t>
      </w:r>
      <w:r w:rsidRPr="009C30A8">
        <w:rPr>
          <w:rFonts w:cs="Times New Roman"/>
        </w:rPr>
        <w:t xml:space="preserve"> 2012). Other gases that could be found in geothermal fluids are hydrogen sulphide (H</w:t>
      </w:r>
      <w:r w:rsidRPr="009C30A8">
        <w:rPr>
          <w:rFonts w:cs="Times New Roman"/>
          <w:vertAlign w:val="subscript"/>
        </w:rPr>
        <w:t>2</w:t>
      </w:r>
      <w:r w:rsidRPr="009C30A8">
        <w:rPr>
          <w:rFonts w:cs="Times New Roman"/>
        </w:rPr>
        <w:t>S), hydrogen (H</w:t>
      </w:r>
      <w:r w:rsidRPr="009C30A8">
        <w:rPr>
          <w:rFonts w:cs="Times New Roman"/>
          <w:vertAlign w:val="subscript"/>
        </w:rPr>
        <w:t>2</w:t>
      </w:r>
      <w:r w:rsidRPr="009C30A8">
        <w:rPr>
          <w:rFonts w:cs="Times New Roman"/>
        </w:rPr>
        <w:t>), methane (CH</w:t>
      </w:r>
      <w:r w:rsidRPr="009C30A8">
        <w:rPr>
          <w:rFonts w:cs="Times New Roman"/>
          <w:vertAlign w:val="subscript"/>
        </w:rPr>
        <w:t>4</w:t>
      </w:r>
      <w:r w:rsidRPr="009C30A8">
        <w:rPr>
          <w:rFonts w:cs="Times New Roman"/>
        </w:rPr>
        <w:t>), ammonia (NH</w:t>
      </w:r>
      <w:r w:rsidRPr="009C30A8">
        <w:rPr>
          <w:rFonts w:cs="Times New Roman"/>
          <w:vertAlign w:val="subscript"/>
        </w:rPr>
        <w:t>3</w:t>
      </w:r>
      <w:r w:rsidRPr="009C30A8">
        <w:rPr>
          <w:rFonts w:cs="Times New Roman"/>
        </w:rPr>
        <w:t>) and nitrogen (N</w:t>
      </w:r>
      <w:r w:rsidRPr="009C30A8">
        <w:rPr>
          <w:rFonts w:cs="Times New Roman"/>
          <w:vertAlign w:val="subscript"/>
        </w:rPr>
        <w:t>2</w:t>
      </w:r>
      <w:r w:rsidRPr="009C30A8">
        <w:rPr>
          <w:rFonts w:cs="Times New Roman"/>
        </w:rPr>
        <w:t>). Of the minor gases, H</w:t>
      </w:r>
      <w:r w:rsidRPr="009C30A8">
        <w:rPr>
          <w:rFonts w:cs="Times New Roman"/>
          <w:vertAlign w:val="subscript"/>
        </w:rPr>
        <w:t>2</w:t>
      </w:r>
      <w:r w:rsidRPr="009C30A8">
        <w:rPr>
          <w:rFonts w:cs="Times New Roman"/>
        </w:rPr>
        <w:t xml:space="preserve">S is toxic, but rarely of sufficient concentration to be harmful after venting to the atmosphere and dispersal. Methane, which has global warming potential, is present in small concentrations, </w:t>
      </w:r>
      <w:r w:rsidR="007C3E89">
        <w:rPr>
          <w:rFonts w:cs="Times New Roman"/>
        </w:rPr>
        <w:t>from a</w:t>
      </w:r>
      <w:r w:rsidRPr="009C30A8">
        <w:rPr>
          <w:rFonts w:cs="Times New Roman"/>
        </w:rPr>
        <w:t xml:space="preserve"> fraction of a percent to more than one-fourth of the total GHG emissions in the </w:t>
      </w:r>
      <w:r w:rsidR="007C3E89">
        <w:rPr>
          <w:rFonts w:cs="Times New Roman"/>
        </w:rPr>
        <w:t>high end</w:t>
      </w:r>
      <w:r w:rsidRPr="009C30A8">
        <w:rPr>
          <w:rFonts w:cs="Times New Roman"/>
        </w:rPr>
        <w:t xml:space="preserve"> cases (Fridriksson at al., 2016). Depending on the technology, most of the mineral content of the fluid and some of the gases are re-injected back into the reservoir</w:t>
      </w:r>
      <w:r w:rsidR="007C3E89">
        <w:rPr>
          <w:rFonts w:cs="Times New Roman"/>
        </w:rPr>
        <w:t xml:space="preserve"> (IPCC, 2011)</w:t>
      </w:r>
      <w:r w:rsidRPr="009C30A8">
        <w:rPr>
          <w:rFonts w:cs="Times New Roman"/>
        </w:rPr>
        <w:t xml:space="preserve">. Since these gases do not condense in the power generation process, they are usually referred to as non-condensable gases (NCG). Traces of arsenic, </w:t>
      </w:r>
      <w:r w:rsidR="007C3E89" w:rsidRPr="009C30A8">
        <w:rPr>
          <w:rFonts w:cs="Times New Roman"/>
        </w:rPr>
        <w:t>mercury, boron</w:t>
      </w:r>
      <w:r w:rsidR="007C3E89">
        <w:rPr>
          <w:rFonts w:cs="Times New Roman"/>
        </w:rPr>
        <w:t xml:space="preserve"> and </w:t>
      </w:r>
      <w:r w:rsidRPr="009C30A8">
        <w:rPr>
          <w:rFonts w:cs="Times New Roman"/>
        </w:rPr>
        <w:t>radon may also be present.</w:t>
      </w:r>
      <w:r w:rsidR="00F01DC8" w:rsidRPr="009C30A8">
        <w:rPr>
          <w:rFonts w:cs="Times New Roman"/>
        </w:rPr>
        <w:t xml:space="preserve"> In Turkey, </w:t>
      </w:r>
      <w:r w:rsidR="002D69DE" w:rsidRPr="009C30A8">
        <w:rPr>
          <w:rFonts w:cs="Times New Roman"/>
        </w:rPr>
        <w:t>CO</w:t>
      </w:r>
      <w:r w:rsidR="002D69DE" w:rsidRPr="009C30A8">
        <w:rPr>
          <w:rFonts w:cs="Times New Roman"/>
          <w:vertAlign w:val="subscript"/>
        </w:rPr>
        <w:t>2</w:t>
      </w:r>
      <w:r w:rsidR="002D69DE" w:rsidRPr="009C30A8">
        <w:rPr>
          <w:rFonts w:cs="Times New Roman"/>
        </w:rPr>
        <w:t>-rich NCGs has been used as a commercial source of producing carbon dioxide for other applications such as fire extinguishers, food preservation, and green houses.</w:t>
      </w:r>
      <w:r w:rsidR="00C81936" w:rsidRPr="009C30A8">
        <w:rPr>
          <w:rFonts w:cs="Times New Roman"/>
        </w:rPr>
        <w:t xml:space="preserve"> Also, </w:t>
      </w:r>
      <w:r w:rsidR="00216CA1" w:rsidRPr="009C30A8">
        <w:rPr>
          <w:rFonts w:cs="Times New Roman"/>
        </w:rPr>
        <w:t>revenue could be generated by recovering minerals such as lithium from the spent brine prior to re-injection (Edmunds et al</w:t>
      </w:r>
      <w:r w:rsidR="009C30A8">
        <w:rPr>
          <w:rFonts w:cs="Times New Roman"/>
        </w:rPr>
        <w:t>.</w:t>
      </w:r>
      <w:r w:rsidR="00216CA1" w:rsidRPr="009C30A8">
        <w:rPr>
          <w:rFonts w:cs="Times New Roman"/>
        </w:rPr>
        <w:t>, 2014).</w:t>
      </w:r>
      <w:bookmarkEnd w:id="8"/>
    </w:p>
    <w:p w14:paraId="7A424D3D" w14:textId="2ECB2DD2" w:rsidR="00DC4A84" w:rsidRPr="00B17584" w:rsidRDefault="00DC4A84" w:rsidP="00DC4A84">
      <w:pPr>
        <w:pStyle w:val="Heading3"/>
      </w:pPr>
      <w:bookmarkStart w:id="15" w:name="_Toc467066309"/>
      <w:r w:rsidRPr="00B17584">
        <w:t xml:space="preserve">Geothermal </w:t>
      </w:r>
      <w:r>
        <w:t>Technologies for power</w:t>
      </w:r>
    </w:p>
    <w:p w14:paraId="05DB9151" w14:textId="6DDCD612" w:rsidR="00716957" w:rsidRDefault="00716957" w:rsidP="00903C32">
      <w:pPr>
        <w:rPr>
          <w:rFonts w:cs="Times New Roman"/>
        </w:rPr>
      </w:pPr>
      <w:r>
        <w:rPr>
          <w:rFonts w:cs="Times New Roman"/>
        </w:rPr>
        <w:t xml:space="preserve">Geothermal resources can be classified into conventional and un-conventional. The conventional resources, also known as hydrothermal resources, are the ones where the natural heat of the earth is found in association with trapped brine (or water) within </w:t>
      </w:r>
      <w:r w:rsidR="000B7FEC">
        <w:rPr>
          <w:rFonts w:cs="Times New Roman"/>
        </w:rPr>
        <w:t>a layer of</w:t>
      </w:r>
      <w:r>
        <w:rPr>
          <w:rFonts w:cs="Times New Roman"/>
        </w:rPr>
        <w:t xml:space="preserve"> permeable rock held between layers of hard rocks. Un-conventional resources</w:t>
      </w:r>
      <w:r w:rsidR="003B420B">
        <w:rPr>
          <w:rFonts w:cs="Times New Roman"/>
        </w:rPr>
        <w:t xml:space="preserve"> include the Hot Dry Rock (HDR)</w:t>
      </w:r>
      <w:r>
        <w:rPr>
          <w:rFonts w:cs="Times New Roman"/>
        </w:rPr>
        <w:t xml:space="preserve"> found deep down the earth </w:t>
      </w:r>
      <w:r w:rsidR="003B420B">
        <w:rPr>
          <w:rFonts w:cs="Times New Roman"/>
        </w:rPr>
        <w:t>within a layer of impervious rock,</w:t>
      </w:r>
      <w:r>
        <w:rPr>
          <w:rFonts w:cs="Times New Roman"/>
        </w:rPr>
        <w:t xml:space="preserve"> with</w:t>
      </w:r>
      <w:r w:rsidR="003B420B">
        <w:rPr>
          <w:rFonts w:cs="Times New Roman"/>
        </w:rPr>
        <w:t xml:space="preserve"> no</w:t>
      </w:r>
      <w:r>
        <w:rPr>
          <w:rFonts w:cs="Times New Roman"/>
        </w:rPr>
        <w:t xml:space="preserve"> associated water or brine</w:t>
      </w:r>
      <w:r w:rsidR="003B420B">
        <w:rPr>
          <w:rFonts w:cs="Times New Roman"/>
        </w:rPr>
        <w:t>; Hot Sedimentary Aquifer (HSA) found deep down the earth within a layer of highly porous sedimentary rocks</w:t>
      </w:r>
      <w:r w:rsidR="000B7FEC">
        <w:rPr>
          <w:rFonts w:cs="Times New Roman"/>
        </w:rPr>
        <w:t>, and usually contains natural fluid</w:t>
      </w:r>
      <w:r w:rsidR="003B420B">
        <w:rPr>
          <w:rFonts w:cs="Times New Roman"/>
        </w:rPr>
        <w:t>.</w:t>
      </w:r>
      <w:r w:rsidR="000B7FEC">
        <w:rPr>
          <w:rFonts w:cs="Times New Roman"/>
        </w:rPr>
        <w:t xml:space="preserve"> Hot Sedimentary Aquifer resource is basically like the hydrothermal resource because it contains natural fluid. The main </w:t>
      </w:r>
      <w:r w:rsidR="000B7FEC">
        <w:rPr>
          <w:rFonts w:cs="Times New Roman"/>
        </w:rPr>
        <w:lastRenderedPageBreak/>
        <w:t>differences are that HSA is at lower temperature and higher depth than conventional or hydrothermal resources</w:t>
      </w:r>
      <w:r w:rsidR="00EE1ABE">
        <w:rPr>
          <w:rFonts w:cs="Times New Roman"/>
        </w:rPr>
        <w:t xml:space="preserve"> (</w:t>
      </w:r>
      <w:r w:rsidR="00EE1ABE">
        <w:t>Geoscience Australia and CSIRO, 2012</w:t>
      </w:r>
      <w:r w:rsidR="00EE1ABE">
        <w:rPr>
          <w:rFonts w:cs="Times New Roman"/>
        </w:rPr>
        <w:t>)</w:t>
      </w:r>
      <w:r w:rsidR="000B7FEC">
        <w:rPr>
          <w:rFonts w:cs="Times New Roman"/>
        </w:rPr>
        <w:t xml:space="preserve">. Because of its lower temperature, it is potentially more </w:t>
      </w:r>
      <w:r w:rsidR="00A43F28">
        <w:rPr>
          <w:rFonts w:cs="Times New Roman"/>
        </w:rPr>
        <w:t>suitable</w:t>
      </w:r>
      <w:r w:rsidR="000B7FEC">
        <w:rPr>
          <w:rFonts w:cs="Times New Roman"/>
        </w:rPr>
        <w:t xml:space="preserve"> for direct application. Unlike conventional</w:t>
      </w:r>
      <w:r w:rsidR="00295E78">
        <w:rPr>
          <w:rFonts w:cs="Times New Roman"/>
        </w:rPr>
        <w:t xml:space="preserve"> or hydrothermal resources where heat </w:t>
      </w:r>
      <w:r w:rsidR="002E61D0">
        <w:rPr>
          <w:rFonts w:cs="Times New Roman"/>
        </w:rPr>
        <w:t xml:space="preserve">flow </w:t>
      </w:r>
      <w:r w:rsidR="00295E78">
        <w:rPr>
          <w:rFonts w:cs="Times New Roman"/>
        </w:rPr>
        <w:t xml:space="preserve">is convectively driven by brine or steam, heat flow in unconventional resources is driven by conduction – heat is transmitted through static fluid in the case of HSA, and/or rock matrix in the case of </w:t>
      </w:r>
      <w:r w:rsidR="002F4D9C">
        <w:rPr>
          <w:rFonts w:cs="Times New Roman"/>
        </w:rPr>
        <w:t>Hot Drock</w:t>
      </w:r>
      <w:r w:rsidR="00295E78">
        <w:rPr>
          <w:rFonts w:cs="Times New Roman"/>
        </w:rPr>
        <w:t>.</w:t>
      </w:r>
    </w:p>
    <w:p w14:paraId="54C46E29" w14:textId="50ADB264" w:rsidR="00B53F9B" w:rsidRDefault="005770C7" w:rsidP="00B36958">
      <w:pPr>
        <w:jc w:val="center"/>
        <w:rPr>
          <w:rFonts w:cs="Times New Roman"/>
        </w:rPr>
      </w:pPr>
      <w:r>
        <w:rPr>
          <w:rFonts w:cs="Times New Roman"/>
          <w:noProof/>
        </w:rPr>
        <w:drawing>
          <wp:inline distT="0" distB="0" distL="0" distR="0" wp14:anchorId="786D9C11" wp14:editId="3CE9EAAE">
            <wp:extent cx="5691116" cy="395546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2169" cy="3956195"/>
                    </a:xfrm>
                    <a:prstGeom prst="rect">
                      <a:avLst/>
                    </a:prstGeom>
                    <a:noFill/>
                    <a:ln>
                      <a:noFill/>
                    </a:ln>
                  </pic:spPr>
                </pic:pic>
              </a:graphicData>
            </a:graphic>
          </wp:inline>
        </w:drawing>
      </w:r>
    </w:p>
    <w:p w14:paraId="151E1D43" w14:textId="09A49C42" w:rsidR="00A76723" w:rsidRPr="00740DE4" w:rsidRDefault="00A76723" w:rsidP="00B36958">
      <w:pPr>
        <w:pStyle w:val="Caption"/>
        <w:spacing w:after="0"/>
        <w:jc w:val="center"/>
      </w:pPr>
      <w:bookmarkStart w:id="16" w:name="_Toc44542626"/>
      <w:r w:rsidRPr="00740DE4">
        <w:t xml:space="preserve">Figure </w:t>
      </w:r>
      <w:fldSimple w:instr=" SEQ Figure \* ARABIC ">
        <w:r w:rsidRPr="00740DE4">
          <w:t>1</w:t>
        </w:r>
      </w:fldSimple>
      <w:r w:rsidRPr="00740DE4">
        <w:t>.</w:t>
      </w:r>
      <w:r>
        <w:t>2</w:t>
      </w:r>
      <w:r w:rsidRPr="00740DE4">
        <w:t xml:space="preserve"> - Schema showing conve</w:t>
      </w:r>
      <w:r w:rsidR="00AE2474">
        <w:t xml:space="preserve">ntional and unconventional </w:t>
      </w:r>
      <w:r w:rsidR="008E500A">
        <w:t>geothermal</w:t>
      </w:r>
      <w:r w:rsidRPr="00740DE4">
        <w:t xml:space="preserve"> resources.</w:t>
      </w:r>
      <w:r>
        <w:t xml:space="preserve"> </w:t>
      </w:r>
      <w:r w:rsidR="00D73895">
        <w:t xml:space="preserve">(Source: </w:t>
      </w:r>
      <w:r w:rsidR="00B36958">
        <w:t>Project Drawdown</w:t>
      </w:r>
      <w:r w:rsidR="00D73895">
        <w:t>)</w:t>
      </w:r>
      <w:bookmarkEnd w:id="16"/>
    </w:p>
    <w:p w14:paraId="5C6F4483" w14:textId="77777777" w:rsidR="00F53F75" w:rsidRDefault="00F53F75" w:rsidP="00740DE4">
      <w:pPr>
        <w:rPr>
          <w:rFonts w:cs="Times New Roman"/>
        </w:rPr>
      </w:pPr>
    </w:p>
    <w:p w14:paraId="106BEBE4" w14:textId="74DCF9FD" w:rsidR="00EE1ABE" w:rsidRDefault="00740DE4" w:rsidP="00740DE4">
      <w:pPr>
        <w:rPr>
          <w:rFonts w:cs="Times New Roman"/>
        </w:rPr>
      </w:pPr>
      <w:r>
        <w:rPr>
          <w:rFonts w:cs="Times New Roman"/>
        </w:rPr>
        <w:t xml:space="preserve">The three-main geothermal </w:t>
      </w:r>
      <w:r w:rsidR="00D93DCF">
        <w:rPr>
          <w:rFonts w:cs="Times New Roman"/>
        </w:rPr>
        <w:t xml:space="preserve">electricity </w:t>
      </w:r>
      <w:r>
        <w:rPr>
          <w:rFonts w:cs="Times New Roman"/>
        </w:rPr>
        <w:t xml:space="preserve">technologies for converting </w:t>
      </w:r>
      <w:r w:rsidR="003961DA">
        <w:rPr>
          <w:rFonts w:cs="Times New Roman"/>
        </w:rPr>
        <w:t>the conventional geothermal</w:t>
      </w:r>
      <w:r w:rsidR="00B43493">
        <w:rPr>
          <w:rFonts w:cs="Times New Roman"/>
        </w:rPr>
        <w:t xml:space="preserve"> </w:t>
      </w:r>
      <w:r w:rsidR="003961DA">
        <w:rPr>
          <w:rFonts w:cs="Times New Roman"/>
        </w:rPr>
        <w:t xml:space="preserve">(or </w:t>
      </w:r>
      <w:r>
        <w:rPr>
          <w:rFonts w:cs="Times New Roman"/>
        </w:rPr>
        <w:t>hydrothermal</w:t>
      </w:r>
      <w:r w:rsidR="003B420B">
        <w:rPr>
          <w:rFonts w:cs="Times New Roman"/>
        </w:rPr>
        <w:t>)</w:t>
      </w:r>
      <w:r w:rsidR="00B43493">
        <w:rPr>
          <w:rFonts w:cs="Times New Roman"/>
        </w:rPr>
        <w:t xml:space="preserve"> resource</w:t>
      </w:r>
      <w:r>
        <w:rPr>
          <w:rFonts w:cs="Times New Roman"/>
        </w:rPr>
        <w:t xml:space="preserve"> </w:t>
      </w:r>
      <w:r w:rsidR="003B420B">
        <w:rPr>
          <w:rFonts w:cs="Times New Roman"/>
        </w:rPr>
        <w:t>in</w:t>
      </w:r>
      <w:r>
        <w:rPr>
          <w:rFonts w:cs="Times New Roman"/>
        </w:rPr>
        <w:t xml:space="preserve">to electricity are </w:t>
      </w:r>
      <w:r w:rsidR="00EC3115">
        <w:rPr>
          <w:rFonts w:cs="Times New Roman"/>
        </w:rPr>
        <w:t xml:space="preserve">direct </w:t>
      </w:r>
      <w:r w:rsidRPr="00251388">
        <w:rPr>
          <w:rFonts w:cs="Times New Roman"/>
        </w:rPr>
        <w:t>dry</w:t>
      </w:r>
      <w:r>
        <w:rPr>
          <w:rFonts w:cs="Times New Roman"/>
        </w:rPr>
        <w:t xml:space="preserve"> steam</w:t>
      </w:r>
      <w:r w:rsidRPr="00251388">
        <w:rPr>
          <w:rFonts w:cs="Times New Roman"/>
        </w:rPr>
        <w:t>, flash</w:t>
      </w:r>
      <w:r>
        <w:rPr>
          <w:rFonts w:cs="Times New Roman"/>
        </w:rPr>
        <w:t xml:space="preserve"> steam</w:t>
      </w:r>
      <w:r w:rsidRPr="00251388">
        <w:rPr>
          <w:rFonts w:cs="Times New Roman"/>
        </w:rPr>
        <w:t>, and binary</w:t>
      </w:r>
      <w:r>
        <w:rPr>
          <w:rFonts w:cs="Times New Roman"/>
        </w:rPr>
        <w:t xml:space="preserve"> cycle power plants</w:t>
      </w:r>
      <w:r w:rsidR="008E500A">
        <w:rPr>
          <w:rFonts w:cs="Times New Roman"/>
        </w:rPr>
        <w:t xml:space="preserve"> as shown in Figure 1.2</w:t>
      </w:r>
      <w:r w:rsidRPr="00251388">
        <w:rPr>
          <w:rFonts w:cs="Times New Roman"/>
        </w:rPr>
        <w:t>.</w:t>
      </w:r>
      <w:r w:rsidR="00D93DCF">
        <w:rPr>
          <w:rFonts w:cs="Times New Roman"/>
        </w:rPr>
        <w:t xml:space="preserve"> </w:t>
      </w:r>
      <w:r w:rsidR="003B420B">
        <w:rPr>
          <w:rFonts w:cs="Times New Roman"/>
        </w:rPr>
        <w:t>T</w:t>
      </w:r>
      <w:r w:rsidR="00D93DCF">
        <w:rPr>
          <w:rFonts w:cs="Times New Roman"/>
        </w:rPr>
        <w:t xml:space="preserve">echnologies </w:t>
      </w:r>
      <w:r w:rsidR="003B420B">
        <w:rPr>
          <w:rFonts w:cs="Times New Roman"/>
        </w:rPr>
        <w:t xml:space="preserve">for converting non-conventional resources mostly under development </w:t>
      </w:r>
      <w:r w:rsidR="00D93DCF">
        <w:rPr>
          <w:rFonts w:cs="Times New Roman"/>
        </w:rPr>
        <w:t>include enhance</w:t>
      </w:r>
      <w:r w:rsidR="00315101">
        <w:rPr>
          <w:rFonts w:cs="Times New Roman"/>
        </w:rPr>
        <w:t>d</w:t>
      </w:r>
      <w:r w:rsidR="00D93DCF">
        <w:rPr>
          <w:rFonts w:cs="Times New Roman"/>
        </w:rPr>
        <w:t xml:space="preserve"> (or engineered) geothermal technolog</w:t>
      </w:r>
      <w:r w:rsidR="002F4D9C">
        <w:rPr>
          <w:rFonts w:cs="Times New Roman"/>
        </w:rPr>
        <w:t>y particularly</w:t>
      </w:r>
      <w:r w:rsidR="00315101">
        <w:rPr>
          <w:rFonts w:cs="Times New Roman"/>
        </w:rPr>
        <w:t xml:space="preserve"> </w:t>
      </w:r>
      <w:r w:rsidR="002F4D9C">
        <w:rPr>
          <w:rFonts w:cs="Times New Roman"/>
        </w:rPr>
        <w:t xml:space="preserve">for </w:t>
      </w:r>
      <w:r w:rsidR="00D93DCF">
        <w:rPr>
          <w:rFonts w:cs="Times New Roman"/>
        </w:rPr>
        <w:t>the hot dry rock (Hot</w:t>
      </w:r>
      <w:r w:rsidR="003B420B">
        <w:rPr>
          <w:rFonts w:cs="Times New Roman"/>
        </w:rPr>
        <w:t xml:space="preserve"> </w:t>
      </w:r>
      <w:r w:rsidR="00D93DCF">
        <w:rPr>
          <w:rFonts w:cs="Times New Roman"/>
        </w:rPr>
        <w:t>Drock)</w:t>
      </w:r>
      <w:r w:rsidR="002F4D9C">
        <w:rPr>
          <w:rFonts w:cs="Times New Roman"/>
        </w:rPr>
        <w:t>.</w:t>
      </w:r>
    </w:p>
    <w:p w14:paraId="22D5C7F0" w14:textId="48951CEB" w:rsidR="007551F2" w:rsidRDefault="00E67BB8" w:rsidP="00740DE4">
      <w:pPr>
        <w:rPr>
          <w:rFonts w:cs="Times New Roman"/>
        </w:rPr>
      </w:pPr>
      <w:r>
        <w:t xml:space="preserve">The anatomy of the main </w:t>
      </w:r>
      <w:r w:rsidR="00D93DCF">
        <w:t xml:space="preserve">conventional </w:t>
      </w:r>
      <w:r>
        <w:t>types of geothermal technologies presented in Figure 1.</w:t>
      </w:r>
      <w:r w:rsidR="004E23CB">
        <w:t>3</w:t>
      </w:r>
      <w:r>
        <w:t xml:space="preserve"> shows that geothermal technologies generally comprise of throttling valve, turbine, generator, condenser, cooling tower, as well as extraction, injection, and water pumps. A binary system has heat exchanger network in addition to the afore-mentioned components.</w:t>
      </w:r>
      <w:r w:rsidR="00740DE4" w:rsidRPr="00E708EE">
        <w:t xml:space="preserve"> </w:t>
      </w:r>
      <w:r w:rsidR="00740DE4" w:rsidRPr="00524D9E">
        <w:rPr>
          <w:rFonts w:cs="Times New Roman"/>
          <w:noProof/>
        </w:rPr>
        <w:t>The selection of which technology to use for</w:t>
      </w:r>
      <w:r w:rsidR="00740DE4" w:rsidRPr="00EE2A1A">
        <w:rPr>
          <w:rFonts w:cs="Times New Roman"/>
          <w:noProof/>
        </w:rPr>
        <w:t xml:space="preserve"> </w:t>
      </w:r>
      <w:r w:rsidR="00740DE4" w:rsidRPr="00DF007A">
        <w:rPr>
          <w:rFonts w:cs="Times New Roman"/>
          <w:noProof/>
        </w:rPr>
        <w:t>geothermal power generation</w:t>
      </w:r>
      <w:r w:rsidR="00740DE4">
        <w:rPr>
          <w:rFonts w:cs="Times New Roman"/>
        </w:rPr>
        <w:t xml:space="preserve"> depends on </w:t>
      </w:r>
      <w:r w:rsidR="00740DE4">
        <w:rPr>
          <w:rFonts w:cs="Times New Roman"/>
          <w:noProof/>
        </w:rPr>
        <w:t>a number of</w:t>
      </w:r>
      <w:r w:rsidR="00740DE4">
        <w:rPr>
          <w:rFonts w:cs="Times New Roman"/>
        </w:rPr>
        <w:t xml:space="preserve"> factors including the characterization</w:t>
      </w:r>
      <w:r w:rsidR="00740DE4" w:rsidRPr="004B74A3">
        <w:rPr>
          <w:rFonts w:cs="Times New Roman"/>
        </w:rPr>
        <w:t xml:space="preserve"> </w:t>
      </w:r>
      <w:r w:rsidR="00740DE4">
        <w:rPr>
          <w:rFonts w:cs="Times New Roman"/>
        </w:rPr>
        <w:t>of the geothermal resource</w:t>
      </w:r>
      <w:r w:rsidR="002D69DE">
        <w:rPr>
          <w:rFonts w:cs="Times New Roman"/>
        </w:rPr>
        <w:t>,</w:t>
      </w:r>
      <w:r w:rsidR="0085242E">
        <w:rPr>
          <w:rFonts w:cs="Times New Roman"/>
        </w:rPr>
        <w:t xml:space="preserve"> </w:t>
      </w:r>
      <w:r w:rsidR="0085242E">
        <w:rPr>
          <w:rFonts w:cs="Times New Roman"/>
        </w:rPr>
        <w:lastRenderedPageBreak/>
        <w:t>the desired application of the plant (to load peak, load base, load-follow demands, or combinations of these),</w:t>
      </w:r>
      <w:r w:rsidR="00740DE4">
        <w:rPr>
          <w:rFonts w:cs="Times New Roman"/>
        </w:rPr>
        <w:t xml:space="preserve"> and the economic feasibility of the project. Typically, l</w:t>
      </w:r>
      <w:r w:rsidR="00740DE4" w:rsidRPr="003670ED">
        <w:rPr>
          <w:rFonts w:cs="Times New Roman"/>
        </w:rPr>
        <w:t>ow-</w:t>
      </w:r>
      <w:r w:rsidR="00740DE4">
        <w:rPr>
          <w:rFonts w:cs="Times New Roman"/>
        </w:rPr>
        <w:t xml:space="preserve">temperature reservoirs </w:t>
      </w:r>
      <w:r w:rsidR="002D69DE">
        <w:rPr>
          <w:rFonts w:cs="Times New Roman"/>
        </w:rPr>
        <w:t>(&lt; 150</w:t>
      </w:r>
      <w:r w:rsidR="002D69DE">
        <w:rPr>
          <w:rFonts w:ascii="Ebrima" w:hAnsi="Ebrima" w:cs="Times New Roman"/>
        </w:rPr>
        <w:t>°</w:t>
      </w:r>
      <w:r w:rsidR="002D69DE">
        <w:rPr>
          <w:rFonts w:cs="Times New Roman"/>
        </w:rPr>
        <w:t xml:space="preserve">C) </w:t>
      </w:r>
      <w:r w:rsidR="00740DE4">
        <w:rPr>
          <w:rFonts w:cs="Times New Roman"/>
        </w:rPr>
        <w:t>are used by binary power plants, and d</w:t>
      </w:r>
      <w:r w:rsidR="00740DE4" w:rsidRPr="003670ED">
        <w:rPr>
          <w:rFonts w:cs="Times New Roman"/>
        </w:rPr>
        <w:t>ry steam or</w:t>
      </w:r>
      <w:r w:rsidR="00740DE4">
        <w:rPr>
          <w:rFonts w:cs="Times New Roman"/>
        </w:rPr>
        <w:t xml:space="preserve"> </w:t>
      </w:r>
      <w:r w:rsidR="00740DE4" w:rsidRPr="003670ED">
        <w:rPr>
          <w:rFonts w:cs="Times New Roman"/>
        </w:rPr>
        <w:t>flash steam plants</w:t>
      </w:r>
      <w:r w:rsidR="00740DE4">
        <w:rPr>
          <w:rFonts w:cs="Times New Roman"/>
        </w:rPr>
        <w:t xml:space="preserve"> </w:t>
      </w:r>
      <w:r w:rsidR="00740DE4" w:rsidRPr="00DF007A">
        <w:rPr>
          <w:rFonts w:cs="Times New Roman"/>
          <w:noProof/>
        </w:rPr>
        <w:t>are employed</w:t>
      </w:r>
      <w:r w:rsidR="00740DE4">
        <w:rPr>
          <w:rFonts w:cs="Times New Roman"/>
        </w:rPr>
        <w:t xml:space="preserve"> for moderate to </w:t>
      </w:r>
      <w:r w:rsidR="00740DE4" w:rsidRPr="00EE2A1A">
        <w:rPr>
          <w:rFonts w:cs="Times New Roman"/>
          <w:noProof/>
        </w:rPr>
        <w:t>high</w:t>
      </w:r>
      <w:r w:rsidR="00740DE4">
        <w:rPr>
          <w:rFonts w:cs="Times New Roman"/>
          <w:noProof/>
        </w:rPr>
        <w:t>-</w:t>
      </w:r>
      <w:r w:rsidR="00740DE4" w:rsidRPr="00EE2A1A">
        <w:rPr>
          <w:rFonts w:cs="Times New Roman"/>
          <w:noProof/>
        </w:rPr>
        <w:t>temperature</w:t>
      </w:r>
      <w:r w:rsidR="00740DE4">
        <w:rPr>
          <w:rFonts w:cs="Times New Roman"/>
        </w:rPr>
        <w:t xml:space="preserve"> reservoirs. </w:t>
      </w:r>
      <w:r w:rsidR="00740DE4" w:rsidRPr="00AB3E5F">
        <w:rPr>
          <w:rFonts w:cs="Times New Roman"/>
        </w:rPr>
        <w:t>The average capacity factor of geothermal power plants worldwide is currently 71–72%, although new plants often achieve more than 90%, leading the IPCC to estimate that geothermal electricity would reach an average capacity factor of 80% by 2020 (</w:t>
      </w:r>
      <w:r w:rsidR="00740DE4">
        <w:rPr>
          <w:rFonts w:cs="Times New Roman"/>
        </w:rPr>
        <w:t xml:space="preserve">IPPC, </w:t>
      </w:r>
      <w:r w:rsidR="00740DE4" w:rsidRPr="00AB3E5F">
        <w:rPr>
          <w:rFonts w:cs="Times New Roman"/>
        </w:rPr>
        <w:t>2011).</w:t>
      </w:r>
      <w:r w:rsidR="005962A1">
        <w:rPr>
          <w:rFonts w:cs="Times New Roman"/>
        </w:rPr>
        <w:t xml:space="preserve"> </w:t>
      </w:r>
      <w:r w:rsidR="007551F2">
        <w:rPr>
          <w:rFonts w:cs="Times New Roman"/>
        </w:rPr>
        <w:t xml:space="preserve">Higher capacity factor of up to 90% is achievable in hybrid plants combining features of two or more main types of geothermal plants, and/or multiple flash steam plants. In comparison, </w:t>
      </w:r>
      <w:r w:rsidR="00131A8B">
        <w:rPr>
          <w:rFonts w:cs="Times New Roman"/>
        </w:rPr>
        <w:t>the capacitor factor</w:t>
      </w:r>
      <w:r w:rsidR="00843EFF">
        <w:rPr>
          <w:rFonts w:cs="Times New Roman"/>
        </w:rPr>
        <w:t>,</w:t>
      </w:r>
      <w:r w:rsidR="00131A8B">
        <w:rPr>
          <w:rFonts w:cs="Times New Roman"/>
        </w:rPr>
        <w:t xml:space="preserve"> and capacity credit are</w:t>
      </w:r>
      <w:r w:rsidR="00843EFF">
        <w:rPr>
          <w:rFonts w:cs="Times New Roman"/>
        </w:rPr>
        <w:t xml:space="preserve"> close to their conventional counterparts.</w:t>
      </w:r>
    </w:p>
    <w:p w14:paraId="6CE00164" w14:textId="1AA035E5" w:rsidR="00201DA6" w:rsidRDefault="007551F2" w:rsidP="00740DE4">
      <w:pPr>
        <w:rPr>
          <w:rFonts w:cs="Times New Roman"/>
        </w:rPr>
      </w:pPr>
      <w:r>
        <w:rPr>
          <w:rFonts w:cs="Times New Roman"/>
        </w:rPr>
        <w:t>T</w:t>
      </w:r>
      <w:r w:rsidR="005962A1">
        <w:rPr>
          <w:rFonts w:cs="Times New Roman"/>
        </w:rPr>
        <w:t xml:space="preserve">he economic feasibility of geothermal project is driven by factors including resource type, resource temperature, reservoir flow rate (pressure), capital costs, financing costs, plant type, and size. Since the same level of </w:t>
      </w:r>
      <w:r w:rsidR="009C30A8">
        <w:rPr>
          <w:rFonts w:cs="Times New Roman"/>
        </w:rPr>
        <w:t>labor</w:t>
      </w:r>
      <w:r w:rsidR="005962A1">
        <w:rPr>
          <w:rFonts w:cs="Times New Roman"/>
        </w:rPr>
        <w:t xml:space="preserve"> is required in drilling a geothermal reservoir, a larger megawatt plant size makes better economic sense than smaller one.</w:t>
      </w:r>
      <w:r w:rsidR="00762C90">
        <w:rPr>
          <w:rFonts w:cs="Times New Roman"/>
        </w:rPr>
        <w:t xml:space="preserve"> A typical </w:t>
      </w:r>
      <w:r w:rsidR="00201DA6">
        <w:rPr>
          <w:rFonts w:cs="Times New Roman"/>
        </w:rPr>
        <w:t xml:space="preserve">discounted </w:t>
      </w:r>
      <w:r w:rsidR="00762C90">
        <w:rPr>
          <w:rFonts w:cs="Times New Roman"/>
        </w:rPr>
        <w:t>payba</w:t>
      </w:r>
      <w:r w:rsidR="00C14CD2">
        <w:rPr>
          <w:rFonts w:cs="Times New Roman"/>
        </w:rPr>
        <w:t xml:space="preserve">ck period for a </w:t>
      </w:r>
      <w:r w:rsidR="00625988">
        <w:rPr>
          <w:rFonts w:cs="Times New Roman"/>
        </w:rPr>
        <w:t xml:space="preserve">below 1 MW </w:t>
      </w:r>
      <w:r w:rsidR="00C14CD2">
        <w:rPr>
          <w:rFonts w:cs="Times New Roman"/>
        </w:rPr>
        <w:t xml:space="preserve">geothermal power plant ranges from </w:t>
      </w:r>
      <w:r w:rsidR="00201DA6">
        <w:rPr>
          <w:rFonts w:cs="Times New Roman"/>
        </w:rPr>
        <w:t>12</w:t>
      </w:r>
      <w:r w:rsidR="00C14CD2">
        <w:rPr>
          <w:rFonts w:cs="Times New Roman"/>
        </w:rPr>
        <w:t xml:space="preserve"> – 1</w:t>
      </w:r>
      <w:r w:rsidR="00201DA6">
        <w:rPr>
          <w:rFonts w:cs="Times New Roman"/>
        </w:rPr>
        <w:t>5</w:t>
      </w:r>
      <w:r w:rsidR="00C14CD2">
        <w:rPr>
          <w:rFonts w:cs="Times New Roman"/>
        </w:rPr>
        <w:t xml:space="preserve"> years</w:t>
      </w:r>
      <w:r w:rsidR="00201DA6">
        <w:rPr>
          <w:rFonts w:cs="Times New Roman"/>
        </w:rPr>
        <w:t>, and construction time of 3 – 5 years (</w:t>
      </w:r>
      <w:r w:rsidR="00201DA6">
        <w:t>Budisulistyo &amp; Krumdieck, 2015</w:t>
      </w:r>
      <w:r w:rsidR="00201DA6">
        <w:rPr>
          <w:rFonts w:cs="Times New Roman"/>
        </w:rPr>
        <w:t>)</w:t>
      </w:r>
      <w:r w:rsidR="00625988">
        <w:rPr>
          <w:rFonts w:cs="Times New Roman"/>
        </w:rPr>
        <w:t xml:space="preserve">. The payback for larger </w:t>
      </w:r>
      <w:r w:rsidR="00556B09">
        <w:rPr>
          <w:rFonts w:cs="Times New Roman"/>
        </w:rPr>
        <w:t xml:space="preserve">or megawatt-scale </w:t>
      </w:r>
      <w:r w:rsidR="00625988">
        <w:rPr>
          <w:rFonts w:cs="Times New Roman"/>
        </w:rPr>
        <w:t>plants could be as low as 50% less</w:t>
      </w:r>
      <w:r w:rsidR="00556B09">
        <w:rPr>
          <w:rFonts w:cs="Times New Roman"/>
        </w:rPr>
        <w:t>.</w:t>
      </w:r>
    </w:p>
    <w:bookmarkEnd w:id="15"/>
    <w:p w14:paraId="6D4346D3" w14:textId="2FDA4675" w:rsidR="00222F4D" w:rsidRPr="00222F4D" w:rsidRDefault="00740DE4" w:rsidP="00740DE4">
      <w:pPr>
        <w:pStyle w:val="Heading4"/>
      </w:pPr>
      <w:r>
        <w:t>Dry Steam Systems</w:t>
      </w:r>
    </w:p>
    <w:p w14:paraId="33F1EFF8" w14:textId="14844226" w:rsidR="00EE1ABE" w:rsidRPr="00740DE4" w:rsidRDefault="00740DE4" w:rsidP="00740DE4">
      <w:r w:rsidRPr="00740DE4">
        <w:t xml:space="preserve">In a dry steam system, the geothermal fluid </w:t>
      </w:r>
      <w:r w:rsidR="002D69DE">
        <w:t xml:space="preserve">(high temperature </w:t>
      </w:r>
      <w:r w:rsidRPr="00740DE4">
        <w:t>steam</w:t>
      </w:r>
      <w:r w:rsidR="002D69DE">
        <w:t>)</w:t>
      </w:r>
      <w:r w:rsidRPr="00740DE4">
        <w:t xml:space="preserve"> goes directly through the turbine to drive a generator</w:t>
      </w:r>
      <w:r w:rsidR="002D69DE">
        <w:t xml:space="preserve"> (with prime mover)</w:t>
      </w:r>
      <w:r w:rsidRPr="00740DE4">
        <w:t xml:space="preserve"> to produce electricity. The process requires no separation of resource content as the hydrothermal fluid from the geothermal system being used is steam.</w:t>
      </w:r>
      <w:r w:rsidR="00B23A74">
        <w:t xml:space="preserve"> At the well head, there are valve and steam </w:t>
      </w:r>
      <w:r w:rsidR="0043701E">
        <w:t xml:space="preserve">purifier to regulate steam flow and to strip the steam </w:t>
      </w:r>
      <w:r w:rsidR="00B23A74">
        <w:t>of impurities</w:t>
      </w:r>
      <w:r w:rsidR="0043701E">
        <w:t xml:space="preserve"> </w:t>
      </w:r>
      <w:r w:rsidR="00B23A74">
        <w:t>to minimize damages to the turbine, and the balance of plant.</w:t>
      </w:r>
      <w:r w:rsidRPr="00740DE4">
        <w:t xml:space="preserve"> The steam is condensed after being cycled through the turbine either by dry</w:t>
      </w:r>
      <w:r w:rsidR="006140B3">
        <w:t xml:space="preserve"> (air)</w:t>
      </w:r>
      <w:r w:rsidRPr="00740DE4">
        <w:t xml:space="preserve"> cooling or </w:t>
      </w:r>
      <w:r w:rsidR="00E67BB8">
        <w:t xml:space="preserve">by </w:t>
      </w:r>
      <w:r w:rsidR="002D69DE" w:rsidRPr="00740DE4">
        <w:t>using</w:t>
      </w:r>
      <w:r w:rsidRPr="00740DE4">
        <w:t xml:space="preserve"> water-cooling towers. Though cooling the steam is usually expensive, the condensed steam from turbine is often returned into the reservoir to replenish the stock</w:t>
      </w:r>
      <w:r w:rsidR="00E67BB8">
        <w:t>, and/or make-up for the cooling water</w:t>
      </w:r>
      <w:r w:rsidR="008D55BF">
        <w:t>.</w:t>
      </w:r>
      <w:r w:rsidR="006140B3">
        <w:t xml:space="preserve"> </w:t>
      </w:r>
      <w:r w:rsidR="00B36958">
        <w:t xml:space="preserve">Another </w:t>
      </w:r>
      <w:r w:rsidR="00EE1ABE">
        <w:rPr>
          <w:rFonts w:cs="Times New Roman"/>
        </w:rPr>
        <w:t>possible innovation is to use the chilled fluid destined for geothermal reservoir to power underground hydro-turbines prior to re-injection.</w:t>
      </w:r>
    </w:p>
    <w:p w14:paraId="1BE4D551" w14:textId="1D6D0BBE" w:rsidR="00222F4D" w:rsidRPr="00222F4D" w:rsidRDefault="00740DE4" w:rsidP="00740DE4">
      <w:pPr>
        <w:pStyle w:val="Heading4"/>
      </w:pPr>
      <w:r>
        <w:t>Flash Steam Systems</w:t>
      </w:r>
    </w:p>
    <w:p w14:paraId="5D69AF79" w14:textId="59559768" w:rsidR="00740DE4" w:rsidRDefault="00740DE4" w:rsidP="00740DE4">
      <w:pPr>
        <w:rPr>
          <w:rFonts w:cs="Times New Roman"/>
        </w:rPr>
      </w:pPr>
      <w:bookmarkStart w:id="17" w:name="_Toc467066311"/>
      <w:r w:rsidRPr="001F4C9F">
        <w:rPr>
          <w:rFonts w:cs="Times New Roman"/>
        </w:rPr>
        <w:t>Flash plants are the m</w:t>
      </w:r>
      <w:r>
        <w:rPr>
          <w:rFonts w:cs="Times New Roman"/>
        </w:rPr>
        <w:t xml:space="preserve">ost common geothermal power technologies, making up nearly two-thirds of </w:t>
      </w:r>
      <w:r w:rsidRPr="001F4C9F">
        <w:rPr>
          <w:rFonts w:cs="Times New Roman"/>
        </w:rPr>
        <w:t>total globa</w:t>
      </w:r>
      <w:r>
        <w:rPr>
          <w:rFonts w:cs="Times New Roman"/>
        </w:rPr>
        <w:t>l installed geothermal capacity as of 2015</w:t>
      </w:r>
      <w:r w:rsidRPr="001F4C9F">
        <w:rPr>
          <w:rFonts w:cs="Times New Roman"/>
        </w:rPr>
        <w:t>.</w:t>
      </w:r>
      <w:r>
        <w:t xml:space="preserve"> They </w:t>
      </w:r>
      <w:r w:rsidRPr="00DF007A">
        <w:rPr>
          <w:noProof/>
        </w:rPr>
        <w:t>are used</w:t>
      </w:r>
      <w:r>
        <w:t xml:space="preserve"> </w:t>
      </w:r>
      <w:r w:rsidRPr="0081303F">
        <w:rPr>
          <w:rFonts w:cs="Times New Roman"/>
        </w:rPr>
        <w:t>where water</w:t>
      </w:r>
      <w:r>
        <w:rPr>
          <w:rFonts w:cs="Times New Roman"/>
        </w:rPr>
        <w:t xml:space="preserve"> </w:t>
      </w:r>
      <w:r w:rsidRPr="0081303F">
        <w:rPr>
          <w:rFonts w:cs="Times New Roman"/>
        </w:rPr>
        <w:t>dominated</w:t>
      </w:r>
      <w:r>
        <w:rPr>
          <w:rFonts w:cs="Times New Roman"/>
        </w:rPr>
        <w:t xml:space="preserve"> reservoirs </w:t>
      </w:r>
      <w:r w:rsidRPr="0081303F">
        <w:rPr>
          <w:rFonts w:cs="Times New Roman"/>
        </w:rPr>
        <w:t>have temperatures above</w:t>
      </w:r>
      <w:r>
        <w:rPr>
          <w:rFonts w:cs="Times New Roman"/>
        </w:rPr>
        <w:t xml:space="preserve"> 180</w:t>
      </w:r>
      <w:r w:rsidRPr="0081303F">
        <w:rPr>
          <w:rFonts w:cs="Times New Roman"/>
          <w:vertAlign w:val="superscript"/>
        </w:rPr>
        <w:t>o</w:t>
      </w:r>
      <w:r>
        <w:rPr>
          <w:rFonts w:cs="Times New Roman"/>
        </w:rPr>
        <w:t>C. In flash plants, superheated water rising to the surface under high pressure</w:t>
      </w:r>
      <w:r w:rsidRPr="001A766F">
        <w:rPr>
          <w:rFonts w:cs="Times New Roman"/>
        </w:rPr>
        <w:t xml:space="preserve"> </w:t>
      </w:r>
      <w:r w:rsidRPr="00524D9E">
        <w:rPr>
          <w:rFonts w:cs="Times New Roman"/>
          <w:noProof/>
        </w:rPr>
        <w:t>is sprayed into a tank held at a much lower pressure than the fluid, causing some of the fluid to</w:t>
      </w:r>
      <w:r w:rsidRPr="00EE2A1A">
        <w:rPr>
          <w:rFonts w:cs="Times New Roman"/>
          <w:noProof/>
        </w:rPr>
        <w:t xml:space="preserve"> </w:t>
      </w:r>
      <w:r>
        <w:rPr>
          <w:rFonts w:cs="Times New Roman"/>
          <w:noProof/>
        </w:rPr>
        <w:t>vaporize rapidly</w:t>
      </w:r>
      <w:r w:rsidRPr="001A766F">
        <w:rPr>
          <w:rFonts w:cs="Times New Roman"/>
        </w:rPr>
        <w:t>, or "flash"</w:t>
      </w:r>
      <w:r w:rsidR="007C3E89">
        <w:rPr>
          <w:rFonts w:cs="Times New Roman"/>
        </w:rPr>
        <w:t>. (CEC, 2019).</w:t>
      </w:r>
      <w:r>
        <w:rPr>
          <w:rFonts w:cs="Times New Roman"/>
        </w:rPr>
        <w:t xml:space="preserve"> The vapor is piped to drive a turbine which in turn drives a generator to produce electricity.</w:t>
      </w:r>
      <w:r w:rsidRPr="00976D51">
        <w:rPr>
          <w:rFonts w:cs="Times New Roman"/>
        </w:rPr>
        <w:t xml:space="preserve"> </w:t>
      </w:r>
      <w:r>
        <w:rPr>
          <w:rFonts w:cs="Times New Roman"/>
        </w:rPr>
        <w:t xml:space="preserve">The brine remaining can </w:t>
      </w:r>
      <w:r w:rsidRPr="00524D9E">
        <w:rPr>
          <w:rFonts w:cs="Times New Roman"/>
          <w:noProof/>
        </w:rPr>
        <w:t>be used</w:t>
      </w:r>
      <w:r>
        <w:rPr>
          <w:rFonts w:cs="Times New Roman"/>
        </w:rPr>
        <w:t xml:space="preserve"> </w:t>
      </w:r>
      <w:r>
        <w:rPr>
          <w:rFonts w:cs="Times New Roman"/>
          <w:noProof/>
        </w:rPr>
        <w:t>for</w:t>
      </w:r>
      <w:r>
        <w:rPr>
          <w:rFonts w:cs="Times New Roman"/>
        </w:rPr>
        <w:t xml:space="preserve"> direct </w:t>
      </w:r>
      <w:r w:rsidRPr="00EE2A1A">
        <w:rPr>
          <w:rFonts w:cs="Times New Roman"/>
          <w:noProof/>
        </w:rPr>
        <w:t>heating</w:t>
      </w:r>
      <w:r>
        <w:rPr>
          <w:rFonts w:cs="Times New Roman"/>
          <w:noProof/>
        </w:rPr>
        <w:t>. H</w:t>
      </w:r>
      <w:r w:rsidRPr="00EE2A1A">
        <w:rPr>
          <w:rFonts w:cs="Times New Roman"/>
          <w:noProof/>
        </w:rPr>
        <w:t>owever</w:t>
      </w:r>
      <w:r>
        <w:rPr>
          <w:rFonts w:cs="Times New Roman"/>
        </w:rPr>
        <w:t>, the brine together with the condensed</w:t>
      </w:r>
      <w:r w:rsidR="006C5C3B">
        <w:rPr>
          <w:rFonts w:cs="Times New Roman"/>
        </w:rPr>
        <w:t xml:space="preserve"> fluid</w:t>
      </w:r>
      <w:r>
        <w:rPr>
          <w:rFonts w:cs="Times New Roman"/>
        </w:rPr>
        <w:t xml:space="preserve"> </w:t>
      </w:r>
      <w:r>
        <w:rPr>
          <w:rFonts w:cs="Times New Roman"/>
          <w:noProof/>
        </w:rPr>
        <w:t>is</w:t>
      </w:r>
      <w:r>
        <w:rPr>
          <w:rFonts w:cs="Times New Roman"/>
        </w:rPr>
        <w:t xml:space="preserve"> eventually re-injected to replenish the reservoir. In a dual-flash steam power cycle, any fluid remaining in the flash tank is </w:t>
      </w:r>
      <w:r w:rsidRPr="00EE2A1A">
        <w:rPr>
          <w:rFonts w:cs="Times New Roman"/>
          <w:noProof/>
        </w:rPr>
        <w:t>flashed</w:t>
      </w:r>
      <w:r>
        <w:rPr>
          <w:rFonts w:cs="Times New Roman"/>
        </w:rPr>
        <w:t xml:space="preserve"> </w:t>
      </w:r>
      <w:r w:rsidRPr="00524D9E">
        <w:rPr>
          <w:rFonts w:cs="Times New Roman"/>
          <w:noProof/>
        </w:rPr>
        <w:t>in a second</w:t>
      </w:r>
      <w:r w:rsidRPr="00524D9E">
        <w:rPr>
          <w:noProof/>
        </w:rPr>
        <w:t xml:space="preserve"> </w:t>
      </w:r>
      <w:r w:rsidRPr="00524D9E">
        <w:rPr>
          <w:rFonts w:cs="Times New Roman"/>
          <w:noProof/>
        </w:rPr>
        <w:t>tank to extract even more energy.</w:t>
      </w:r>
      <w:r w:rsidRPr="00F6061F">
        <w:rPr>
          <w:rFonts w:cs="Times New Roman"/>
        </w:rPr>
        <w:t xml:space="preserve"> The steam fro</w:t>
      </w:r>
      <w:r>
        <w:rPr>
          <w:rFonts w:cs="Times New Roman"/>
        </w:rPr>
        <w:t>m the second-stage flash is</w:t>
      </w:r>
      <w:r w:rsidRPr="00F6061F">
        <w:rPr>
          <w:rFonts w:cs="Times New Roman"/>
        </w:rPr>
        <w:t xml:space="preserve"> used to drive a second turbine</w:t>
      </w:r>
      <w:r>
        <w:rPr>
          <w:rFonts w:cs="Times New Roman"/>
        </w:rPr>
        <w:t xml:space="preserve">. If </w:t>
      </w:r>
      <w:r w:rsidRPr="00F6061F">
        <w:rPr>
          <w:rFonts w:cs="Times New Roman"/>
        </w:rPr>
        <w:t xml:space="preserve">a single turbine </w:t>
      </w:r>
      <w:r w:rsidRPr="00524D9E">
        <w:rPr>
          <w:rFonts w:cs="Times New Roman"/>
          <w:noProof/>
        </w:rPr>
        <w:t>is used</w:t>
      </w:r>
      <w:r w:rsidRPr="00F6061F">
        <w:rPr>
          <w:rFonts w:cs="Times New Roman"/>
        </w:rPr>
        <w:t xml:space="preserve">, </w:t>
      </w:r>
      <w:r>
        <w:rPr>
          <w:rFonts w:cs="Times New Roman"/>
        </w:rPr>
        <w:t xml:space="preserve">the steam from the second stage flash is introduced </w:t>
      </w:r>
      <w:r w:rsidRPr="00F6061F">
        <w:rPr>
          <w:rFonts w:cs="Times New Roman"/>
        </w:rPr>
        <w:t>to the turbine at an intermediate stage</w:t>
      </w:r>
      <w:r>
        <w:rPr>
          <w:rFonts w:cs="Times New Roman"/>
        </w:rPr>
        <w:t>.</w:t>
      </w:r>
    </w:p>
    <w:p w14:paraId="23AE4ABE" w14:textId="09C85C84" w:rsidR="002F4D9C" w:rsidRDefault="00B00BC0" w:rsidP="00740DE4">
      <w:pPr>
        <w:rPr>
          <w:rFonts w:cs="Times New Roman"/>
        </w:rPr>
      </w:pPr>
      <w:r>
        <w:rPr>
          <w:rFonts w:cs="Times New Roman"/>
        </w:rPr>
        <w:t>F</w:t>
      </w:r>
      <w:r w:rsidR="002F4D9C">
        <w:rPr>
          <w:rFonts w:cs="Times New Roman"/>
        </w:rPr>
        <w:t>lash steam</w:t>
      </w:r>
      <w:r>
        <w:rPr>
          <w:rFonts w:cs="Times New Roman"/>
        </w:rPr>
        <w:t xml:space="preserve"> system</w:t>
      </w:r>
      <w:r w:rsidR="002F4D9C">
        <w:rPr>
          <w:rFonts w:cs="Times New Roman"/>
        </w:rPr>
        <w:t xml:space="preserve"> comes in different configurations, including single, double, and triple flash, with the triple flash giving better efficiency, in trade-off with costs. Also, hybrid configurations combining in series</w:t>
      </w:r>
      <w:r w:rsidR="000644FB">
        <w:rPr>
          <w:rFonts w:cs="Times New Roman"/>
        </w:rPr>
        <w:t>,</w:t>
      </w:r>
      <w:r w:rsidR="002F4D9C">
        <w:rPr>
          <w:rFonts w:cs="Times New Roman"/>
        </w:rPr>
        <w:t xml:space="preserve"> the features of some of the three main geothermal technologies are possible. Where multiple flash and/or hybrid configurations are used, heat from other technologies such as concentrated solar power (CSP) could be used as supplement to drive the multiple effects.</w:t>
      </w:r>
    </w:p>
    <w:p w14:paraId="6B6B2952" w14:textId="05D7455F" w:rsidR="00EE1ABE" w:rsidRDefault="00EE1ABE" w:rsidP="00740DE4">
      <w:pPr>
        <w:rPr>
          <w:rFonts w:cs="Times New Roman"/>
        </w:rPr>
      </w:pPr>
      <w:r>
        <w:rPr>
          <w:rFonts w:cs="Times New Roman"/>
        </w:rPr>
        <w:t>Depending on the handling and the destination of the spent steam,</w:t>
      </w:r>
      <w:r w:rsidR="006B0BCF">
        <w:rPr>
          <w:rFonts w:cs="Times New Roman"/>
        </w:rPr>
        <w:t xml:space="preserve"> </w:t>
      </w:r>
      <w:r>
        <w:rPr>
          <w:rFonts w:cs="Times New Roman"/>
        </w:rPr>
        <w:t>direct dry steam and/or flash steam geothermal plants could be categorized as back-pressure or atmospheric exhaust (spent steam not condensed but discharged into the atmosphere) or condensing-type exhaust where spent steam is condensed in</w:t>
      </w:r>
      <w:r w:rsidR="006B0BCF">
        <w:rPr>
          <w:rFonts w:cs="Times New Roman"/>
        </w:rPr>
        <w:t xml:space="preserve"> </w:t>
      </w:r>
      <w:r>
        <w:rPr>
          <w:rFonts w:cs="Times New Roman"/>
        </w:rPr>
        <w:t>condensers, partly used as make-up water, and/or re-injected into</w:t>
      </w:r>
      <w:r w:rsidR="006B0BCF">
        <w:rPr>
          <w:rFonts w:cs="Times New Roman"/>
        </w:rPr>
        <w:t xml:space="preserve"> the </w:t>
      </w:r>
      <w:r>
        <w:rPr>
          <w:rFonts w:cs="Times New Roman"/>
        </w:rPr>
        <w:t>reservoir. While the back-pressure type presents low cost and easy maintenance to the detriment of thermal efficiency, the condensing-type is more expensive and complex but with higher efficiency, and more flexibility making it a good candidate as load-following power plant. In other words, direct dry steam, and flash steam geothermal plants operating as condensing-type offer improved load-following qualities (</w:t>
      </w:r>
      <w:r>
        <w:t xml:space="preserve">Eliasson </w:t>
      </w:r>
      <w:r w:rsidRPr="00EF3277">
        <w:rPr>
          <w:i/>
        </w:rPr>
        <w:t>et al</w:t>
      </w:r>
      <w:r w:rsidR="00EF3277" w:rsidRPr="00EF3277">
        <w:rPr>
          <w:i/>
        </w:rPr>
        <w:t>.</w:t>
      </w:r>
      <w:r>
        <w:t>, 2011</w:t>
      </w:r>
      <w:r>
        <w:rPr>
          <w:rFonts w:cs="Times New Roman"/>
        </w:rPr>
        <w:t>).</w:t>
      </w:r>
    </w:p>
    <w:bookmarkEnd w:id="17"/>
    <w:p w14:paraId="45B6AB93" w14:textId="4E9D1380" w:rsidR="00222F4D" w:rsidRDefault="00740DE4" w:rsidP="00740DE4">
      <w:pPr>
        <w:pStyle w:val="Heading4"/>
      </w:pPr>
      <w:r>
        <w:t>Binary Cycle Systems</w:t>
      </w:r>
    </w:p>
    <w:p w14:paraId="7B01E525" w14:textId="47450668" w:rsidR="00740DE4" w:rsidRPr="00740DE4" w:rsidRDefault="00740DE4" w:rsidP="00740DE4">
      <w:pPr>
        <w:rPr>
          <w:rFonts w:cs="Times New Roman"/>
          <w:color w:val="000000" w:themeColor="text1"/>
        </w:rPr>
      </w:pPr>
      <w:r>
        <w:rPr>
          <w:rFonts w:cs="Times New Roman"/>
        </w:rPr>
        <w:t>B</w:t>
      </w:r>
      <w:r w:rsidRPr="001A766F">
        <w:rPr>
          <w:rFonts w:cs="Times New Roman"/>
        </w:rPr>
        <w:t xml:space="preserve">inary </w:t>
      </w:r>
      <w:r>
        <w:rPr>
          <w:rFonts w:cs="Times New Roman"/>
        </w:rPr>
        <w:t xml:space="preserve">cycle systems </w:t>
      </w:r>
      <w:r w:rsidRPr="00524D9E">
        <w:rPr>
          <w:rFonts w:cs="Times New Roman"/>
          <w:noProof/>
        </w:rPr>
        <w:t>are deployed</w:t>
      </w:r>
      <w:r>
        <w:rPr>
          <w:rFonts w:cs="Times New Roman"/>
        </w:rPr>
        <w:t xml:space="preserve"> where only medium-temperature </w:t>
      </w:r>
      <w:r w:rsidR="006C5C3B">
        <w:rPr>
          <w:rFonts w:cs="Times New Roman"/>
        </w:rPr>
        <w:t xml:space="preserve">hydrothermal </w:t>
      </w:r>
      <w:r>
        <w:rPr>
          <w:rFonts w:cs="Times New Roman"/>
        </w:rPr>
        <w:t xml:space="preserve">resources are available. </w:t>
      </w:r>
      <w:r w:rsidRPr="00524D9E">
        <w:rPr>
          <w:rFonts w:cs="Times New Roman"/>
          <w:noProof/>
        </w:rPr>
        <w:t xml:space="preserve">Unlike dry </w:t>
      </w:r>
      <w:r w:rsidR="00DF42E4">
        <w:rPr>
          <w:rFonts w:cs="Times New Roman"/>
          <w:noProof/>
        </w:rPr>
        <w:t>and</w:t>
      </w:r>
      <w:r w:rsidRPr="00524D9E">
        <w:rPr>
          <w:rFonts w:cs="Times New Roman"/>
          <w:noProof/>
        </w:rPr>
        <w:t xml:space="preserve"> flash steam systems, the</w:t>
      </w:r>
      <w:r>
        <w:rPr>
          <w:rFonts w:cs="Times New Roman"/>
        </w:rPr>
        <w:t xml:space="preserve"> hydrothermal fluid from the </w:t>
      </w:r>
      <w:r w:rsidRPr="001F4C9F">
        <w:rPr>
          <w:rFonts w:cs="Times New Roman"/>
        </w:rPr>
        <w:t>reservoir never comes in contact with the turbine/generator units</w:t>
      </w:r>
      <w:r>
        <w:rPr>
          <w:rFonts w:cs="Times New Roman"/>
        </w:rPr>
        <w:t xml:space="preserve"> in binary cycle systems. </w:t>
      </w:r>
      <w:r>
        <w:rPr>
          <w:rFonts w:cs="Times New Roman"/>
          <w:noProof/>
        </w:rPr>
        <w:t>The h</w:t>
      </w:r>
      <w:r w:rsidRPr="00EE2A1A">
        <w:rPr>
          <w:rFonts w:cs="Times New Roman"/>
          <w:noProof/>
        </w:rPr>
        <w:t>ydrothermal</w:t>
      </w:r>
      <w:r>
        <w:rPr>
          <w:rFonts w:cs="Times New Roman"/>
        </w:rPr>
        <w:t xml:space="preserve"> fluid of low to moderate heat </w:t>
      </w:r>
      <w:r w:rsidRPr="00524D9E">
        <w:rPr>
          <w:rFonts w:cs="Times New Roman"/>
          <w:noProof/>
        </w:rPr>
        <w:t>is passed</w:t>
      </w:r>
      <w:r w:rsidRPr="001A766F">
        <w:rPr>
          <w:rFonts w:cs="Times New Roman"/>
        </w:rPr>
        <w:t xml:space="preserve"> through a heat exchanger, where </w:t>
      </w:r>
      <w:r>
        <w:rPr>
          <w:rFonts w:cs="Times New Roman"/>
        </w:rPr>
        <w:t xml:space="preserve">it causes a </w:t>
      </w:r>
      <w:r w:rsidRPr="001A766F">
        <w:rPr>
          <w:rFonts w:cs="Times New Roman"/>
        </w:rPr>
        <w:t>second</w:t>
      </w:r>
      <w:r>
        <w:rPr>
          <w:rFonts w:cs="Times New Roman"/>
        </w:rPr>
        <w:t xml:space="preserve">ary fluid </w:t>
      </w:r>
      <w:r w:rsidR="006C5C3B">
        <w:rPr>
          <w:rFonts w:cs="Times New Roman"/>
        </w:rPr>
        <w:t>(</w:t>
      </w:r>
      <w:r w:rsidR="00F046E5">
        <w:rPr>
          <w:rFonts w:cs="Times New Roman"/>
        </w:rPr>
        <w:t xml:space="preserve">multicomponent </w:t>
      </w:r>
      <w:r w:rsidR="006C5C3B">
        <w:rPr>
          <w:rFonts w:cs="Times New Roman"/>
        </w:rPr>
        <w:t>working fluid with a much</w:t>
      </w:r>
      <w:r w:rsidR="00F046E5">
        <w:rPr>
          <w:rFonts w:cs="Times New Roman"/>
        </w:rPr>
        <w:t xml:space="preserve"> higher latent</w:t>
      </w:r>
      <w:r w:rsidR="006C5C3B">
        <w:rPr>
          <w:rFonts w:cs="Times New Roman"/>
        </w:rPr>
        <w:t xml:space="preserve"> heat</w:t>
      </w:r>
      <w:r w:rsidR="00F046E5">
        <w:rPr>
          <w:rFonts w:cs="Times New Roman"/>
        </w:rPr>
        <w:t xml:space="preserve"> of vaporization</w:t>
      </w:r>
      <w:r w:rsidR="007F3C7B">
        <w:rPr>
          <w:rFonts w:cs="Times New Roman"/>
        </w:rPr>
        <w:t xml:space="preserve"> than water</w:t>
      </w:r>
      <w:r w:rsidR="006C5C3B">
        <w:rPr>
          <w:rFonts w:cs="Times New Roman"/>
        </w:rPr>
        <w:t xml:space="preserve">) </w:t>
      </w:r>
      <w:r>
        <w:rPr>
          <w:rFonts w:cs="Times New Roman"/>
        </w:rPr>
        <w:t xml:space="preserve">to flash to vapor, which drives the turbines and </w:t>
      </w:r>
      <w:r w:rsidRPr="00740DE4">
        <w:rPr>
          <w:rFonts w:cs="Times New Roman"/>
          <w:color w:val="000000" w:themeColor="text1"/>
        </w:rPr>
        <w:t xml:space="preserve">subsequently, the generators. As the system loops in a binary plant are closed, the geothermal brine </w:t>
      </w:r>
      <w:r w:rsidRPr="00740DE4">
        <w:rPr>
          <w:rFonts w:cs="Times New Roman"/>
          <w:noProof/>
          <w:color w:val="000000" w:themeColor="text1"/>
        </w:rPr>
        <w:t>is returned</w:t>
      </w:r>
      <w:r w:rsidRPr="00740DE4">
        <w:rPr>
          <w:rFonts w:cs="Times New Roman"/>
          <w:color w:val="000000" w:themeColor="text1"/>
        </w:rPr>
        <w:t xml:space="preserve"> to the </w:t>
      </w:r>
      <w:r w:rsidRPr="00740DE4">
        <w:rPr>
          <w:rFonts w:cs="Times New Roman"/>
          <w:noProof/>
          <w:color w:val="000000" w:themeColor="text1"/>
        </w:rPr>
        <w:t>reservoir,</w:t>
      </w:r>
      <w:r w:rsidRPr="00740DE4">
        <w:rPr>
          <w:rFonts w:cs="Times New Roman"/>
          <w:color w:val="000000" w:themeColor="text1"/>
        </w:rPr>
        <w:t xml:space="preserve"> and the secondary liquid is condensed and repeatedly cycled.</w:t>
      </w:r>
    </w:p>
    <w:p w14:paraId="104A63C3" w14:textId="2EE4DAA3" w:rsidR="00740DE4" w:rsidRPr="00740DE4" w:rsidRDefault="00740DE4" w:rsidP="00740DE4">
      <w:pPr>
        <w:rPr>
          <w:rFonts w:cs="Times New Roman"/>
          <w:color w:val="000000" w:themeColor="text1"/>
        </w:rPr>
      </w:pPr>
      <w:r w:rsidRPr="00740DE4">
        <w:rPr>
          <w:rFonts w:cs="Times New Roman"/>
          <w:color w:val="000000" w:themeColor="text1"/>
        </w:rPr>
        <w:t>Electricity generation using binary technology that extracts low-temperature hydrothermal resources utilizes processes like the Organic Rankine Cycle (ORC)</w:t>
      </w:r>
      <w:r w:rsidR="007F3C7B">
        <w:rPr>
          <w:rFonts w:cs="Times New Roman"/>
          <w:color w:val="000000" w:themeColor="text1"/>
        </w:rPr>
        <w:t xml:space="preserve"> – a low-temperature counterpart of Rankine Cycle,</w:t>
      </w:r>
      <w:r w:rsidRPr="00740DE4">
        <w:rPr>
          <w:rFonts w:cs="Times New Roman"/>
          <w:color w:val="000000" w:themeColor="text1"/>
        </w:rPr>
        <w:t xml:space="preserve"> and the Kalina cycle. The secondary fluid typically used in geothermal power binary cycle plants based </w:t>
      </w:r>
      <w:r w:rsidRPr="00740DE4">
        <w:rPr>
          <w:rFonts w:cs="Times New Roman"/>
          <w:noProof/>
          <w:color w:val="000000" w:themeColor="text1"/>
        </w:rPr>
        <w:t>on</w:t>
      </w:r>
      <w:r w:rsidRPr="00740DE4">
        <w:rPr>
          <w:rFonts w:cs="Times New Roman"/>
          <w:color w:val="000000" w:themeColor="text1"/>
        </w:rPr>
        <w:t xml:space="preserve"> the Organic Rankine Cycle is often isobutane or </w:t>
      </w:r>
      <w:r w:rsidRPr="00740DE4">
        <w:rPr>
          <w:rFonts w:cs="Times New Roman"/>
          <w:noProof/>
          <w:color w:val="000000" w:themeColor="text1"/>
        </w:rPr>
        <w:t>pentafluoropropane</w:t>
      </w:r>
      <w:r w:rsidRPr="00740DE4">
        <w:rPr>
          <w:rFonts w:cs="Times New Roman"/>
          <w:color w:val="000000" w:themeColor="text1"/>
        </w:rPr>
        <w:t>, and that for the Kalina cycle is usually an ammonia-water mix.</w:t>
      </w:r>
      <w:r w:rsidR="007F3C7B">
        <w:rPr>
          <w:rFonts w:cs="Times New Roman"/>
          <w:color w:val="000000" w:themeColor="text1"/>
        </w:rPr>
        <w:t xml:space="preserve"> The working fluids are preferably low-boiling, and high latent heat of vaporization.</w:t>
      </w:r>
    </w:p>
    <w:p w14:paraId="01E5F4B7" w14:textId="4A1DD131" w:rsidR="00B5371E" w:rsidRDefault="00B5371E" w:rsidP="00B5371E">
      <w:pPr>
        <w:pStyle w:val="Heading4"/>
      </w:pPr>
      <w:r>
        <w:t>Enhanced Geothermal Systems (EGS)</w:t>
      </w:r>
    </w:p>
    <w:p w14:paraId="475F2294" w14:textId="4878BA1E" w:rsidR="00B5371E" w:rsidRDefault="00B5371E" w:rsidP="00B5371E">
      <w:r w:rsidRPr="00524D9E">
        <w:rPr>
          <w:noProof/>
        </w:rPr>
        <w:t>Geothermal energy has the potential to make a</w:t>
      </w:r>
      <w:r>
        <w:t xml:space="preserve"> much more significant contribution on the global scale through the development of advanced technologies, particularly those exploiting “hot </w:t>
      </w:r>
      <w:r w:rsidR="00522CF9">
        <w:t xml:space="preserve">dry </w:t>
      </w:r>
      <w:r>
        <w:t>rock”</w:t>
      </w:r>
      <w:r w:rsidR="009C30A8">
        <w:t xml:space="preserve"> (HDR)</w:t>
      </w:r>
      <w:r>
        <w:t xml:space="preserve"> resources. Hot </w:t>
      </w:r>
      <w:r w:rsidR="001E19DA">
        <w:t xml:space="preserve">dry </w:t>
      </w:r>
      <w:r w:rsidRPr="00EE2A1A">
        <w:rPr>
          <w:noProof/>
        </w:rPr>
        <w:t>rock</w:t>
      </w:r>
      <w:r>
        <w:t xml:space="preserve"> resources refer to energy stored deep in the Earth, within rock formations where there are little or no fluids</w:t>
      </w:r>
      <w:r w:rsidR="001E19DA">
        <w:t>, and/or low permeability</w:t>
      </w:r>
      <w:r>
        <w:t xml:space="preserve">. These hot rock resources could be </w:t>
      </w:r>
      <w:r w:rsidR="001E19DA">
        <w:t xml:space="preserve">hydraulically stimulated or fractured </w:t>
      </w:r>
      <w:r>
        <w:t xml:space="preserve">using enhanced geothermal system (EGS) technologies and techniques. These EGS technologies are designed to target reservoirs at greater depths below the surface than conventional sources, pumping high-pressure water through hot rock. The water heats up and returns to the surface as steam, powering </w:t>
      </w:r>
      <w:r w:rsidRPr="00524D9E">
        <w:rPr>
          <w:noProof/>
        </w:rPr>
        <w:t xml:space="preserve">turbines to generate electricity. The </w:t>
      </w:r>
      <w:r w:rsidR="00522CF9">
        <w:rPr>
          <w:noProof/>
        </w:rPr>
        <w:t xml:space="preserve">recycled </w:t>
      </w:r>
      <w:r w:rsidRPr="00524D9E">
        <w:rPr>
          <w:noProof/>
        </w:rPr>
        <w:t>water</w:t>
      </w:r>
      <w:r w:rsidR="00522CF9">
        <w:rPr>
          <w:noProof/>
        </w:rPr>
        <w:t>, with some make-up water,</w:t>
      </w:r>
      <w:r w:rsidRPr="00524D9E">
        <w:rPr>
          <w:noProof/>
        </w:rPr>
        <w:t xml:space="preserve"> is then returned to the reservoir through injection wells,</w:t>
      </w:r>
      <w:r>
        <w:t xml:space="preserve"> creating a closed-loop system</w:t>
      </w:r>
      <w:r w:rsidR="00DF42E4">
        <w:t xml:space="preserve"> (Fogarty and Lamb, 2012)</w:t>
      </w:r>
      <w:r>
        <w:t>.</w:t>
      </w:r>
    </w:p>
    <w:p w14:paraId="3D209295" w14:textId="2D8F19B7" w:rsidR="009E4975" w:rsidRDefault="00B5371E" w:rsidP="00740DE4">
      <w:r>
        <w:t xml:space="preserve">EGS has the benefit of cutting down on the risks and high costs associated with hydrothermal exploration. </w:t>
      </w:r>
      <w:r w:rsidRPr="00DF007A">
        <w:rPr>
          <w:noProof/>
        </w:rPr>
        <w:t>A 2006 study by</w:t>
      </w:r>
      <w:r>
        <w:rPr>
          <w:noProof/>
        </w:rPr>
        <w:t xml:space="preserve"> </w:t>
      </w:r>
      <w:r w:rsidRPr="006C55A5">
        <w:rPr>
          <w:noProof/>
        </w:rPr>
        <w:t>Massachusetts Institute of Technology</w:t>
      </w:r>
      <w:r>
        <w:rPr>
          <w:noProof/>
        </w:rPr>
        <w:t xml:space="preserve"> (MIT)</w:t>
      </w:r>
      <w:r w:rsidRPr="00DF007A">
        <w:rPr>
          <w:noProof/>
        </w:rPr>
        <w:t xml:space="preserve"> found that EGS technology could provide 100</w:t>
      </w:r>
      <w:r>
        <w:t xml:space="preserve"> GW of global electricity by 2050 (Tester et al., 2006). Although demonstration projects have </w:t>
      </w:r>
      <w:r w:rsidRPr="00DF007A">
        <w:rPr>
          <w:noProof/>
        </w:rPr>
        <w:t>been piloted</w:t>
      </w:r>
      <w:r>
        <w:t xml:space="preserve">, EGS has yet to </w:t>
      </w:r>
      <w:r w:rsidRPr="00DF007A">
        <w:rPr>
          <w:noProof/>
        </w:rPr>
        <w:t>be used</w:t>
      </w:r>
      <w:r>
        <w:t xml:space="preserve"> at a commercial scale.</w:t>
      </w:r>
      <w:r w:rsidR="00BE47A4">
        <w:t xml:space="preserve"> T</w:t>
      </w:r>
      <w:r w:rsidR="00684852">
        <w:t xml:space="preserve">he </w:t>
      </w:r>
      <w:r w:rsidR="006A4E9C">
        <w:t>current</w:t>
      </w:r>
      <w:r w:rsidR="00BE47A4">
        <w:t xml:space="preserve"> commercial-scale</w:t>
      </w:r>
      <w:r w:rsidR="006A4E9C">
        <w:t xml:space="preserve"> geothermal power plants are based on hydrothermal resources, and efforts are ongoing to exploit energy from EGS, and supercritical resource.</w:t>
      </w:r>
      <w:r>
        <w:t xml:space="preserve"> Advanced technologies for EGS, as well as offshore, geo-pressured, and super-critical or magma </w:t>
      </w:r>
      <w:r w:rsidRPr="00EE2A1A">
        <w:rPr>
          <w:noProof/>
        </w:rPr>
        <w:t>resources</w:t>
      </w:r>
      <w:r>
        <w:rPr>
          <w:noProof/>
        </w:rPr>
        <w:t xml:space="preserve">, </w:t>
      </w:r>
      <w:r>
        <w:t xml:space="preserve">could unlock a huge additional </w:t>
      </w:r>
      <w:r w:rsidRPr="00EE2A1A">
        <w:rPr>
          <w:noProof/>
        </w:rPr>
        <w:t>resource</w:t>
      </w:r>
      <w:r>
        <w:t xml:space="preserve"> base.</w:t>
      </w:r>
      <w:r w:rsidR="00BE47A4">
        <w:t xml:space="preserve"> The stumbling blocks </w:t>
      </w:r>
      <w:r w:rsidR="007511C3">
        <w:t>preventing the development of</w:t>
      </w:r>
      <w:r w:rsidR="00BE47A4">
        <w:t xml:space="preserve"> these</w:t>
      </w:r>
      <w:r w:rsidR="007511C3">
        <w:t xml:space="preserve"> new</w:t>
      </w:r>
      <w:r w:rsidR="00BE47A4">
        <w:t xml:space="preserve"> resources are due to lack of advanced technologies, and the concerns about handling high-temperature, high-pressure magma resources to avoid</w:t>
      </w:r>
      <w:r w:rsidR="007511C3">
        <w:t xml:space="preserve"> a disastrous</w:t>
      </w:r>
      <w:r w:rsidR="00BE47A4">
        <w:t xml:space="preserve"> blow-out. </w:t>
      </w:r>
      <w:r w:rsidR="00BD6604">
        <w:t xml:space="preserve">In Iceland, </w:t>
      </w:r>
      <w:r w:rsidR="007F5AB1">
        <w:t>the world’s</w:t>
      </w:r>
      <w:r w:rsidR="00BD6604">
        <w:t xml:space="preserve"> first </w:t>
      </w:r>
      <w:r w:rsidR="007F5AB1">
        <w:t>‘</w:t>
      </w:r>
      <w:r w:rsidR="00BD6604">
        <w:t>magma-enhanced</w:t>
      </w:r>
      <w:r w:rsidR="007F5AB1">
        <w:t>’</w:t>
      </w:r>
      <w:r w:rsidR="00BD6604">
        <w:t xml:space="preserve"> geothermal system was </w:t>
      </w:r>
      <w:r w:rsidR="00267294">
        <w:t>attemp</w:t>
      </w:r>
      <w:r w:rsidR="00BD6604">
        <w:t>ted in 20</w:t>
      </w:r>
      <w:r w:rsidR="00306358">
        <w:t>09</w:t>
      </w:r>
      <w:r w:rsidR="00BD6604">
        <w:t xml:space="preserve"> after </w:t>
      </w:r>
      <w:r w:rsidR="007F5AB1">
        <w:t xml:space="preserve">a drilling over a depth of </w:t>
      </w:r>
      <w:r w:rsidR="001B5DE3">
        <w:t>4</w:t>
      </w:r>
      <w:r w:rsidR="007F5AB1">
        <w:t xml:space="preserve"> km directly encountered zone of molten magma with high temperature range of</w:t>
      </w:r>
      <w:r w:rsidR="00AF49D1">
        <w:t xml:space="preserve"> </w:t>
      </w:r>
      <w:r w:rsidR="0069333A">
        <w:t xml:space="preserve">over </w:t>
      </w:r>
      <w:r w:rsidR="007F5AB1">
        <w:t>900</w:t>
      </w:r>
      <w:r w:rsidR="007F5AB1">
        <w:rPr>
          <w:rFonts w:ascii="Ebrima" w:hAnsi="Ebrima"/>
        </w:rPr>
        <w:t>°</w:t>
      </w:r>
      <w:r w:rsidR="007F5AB1">
        <w:t>C</w:t>
      </w:r>
      <w:r w:rsidR="0069333A">
        <w:t>, prompting the project to be aborted and only completed to a depth of about 2.1 km</w:t>
      </w:r>
      <w:r w:rsidR="0039391D">
        <w:t xml:space="preserve"> (Elders et al, 2014; Ommedal, 2018)</w:t>
      </w:r>
      <w:r w:rsidR="007F5AB1">
        <w:t>.</w:t>
      </w:r>
      <w:r w:rsidR="00306358">
        <w:t xml:space="preserve"> This project is currently feeding a 60 MW </w:t>
      </w:r>
      <w:r w:rsidR="00CA6119">
        <w:t xml:space="preserve">Krafla </w:t>
      </w:r>
      <w:r w:rsidR="00306358">
        <w:t>geothermal power plant with superheated steam.</w:t>
      </w:r>
    </w:p>
    <w:p w14:paraId="602B2D24" w14:textId="7F3AF18A" w:rsidR="00DD560C" w:rsidRDefault="00941EA8" w:rsidP="009C30A8">
      <w:pPr>
        <w:jc w:val="center"/>
      </w:pPr>
      <w:r>
        <w:rPr>
          <w:noProof/>
        </w:rPr>
        <w:drawing>
          <wp:inline distT="0" distB="0" distL="0" distR="0" wp14:anchorId="55E6E5AC" wp14:editId="26C93DB0">
            <wp:extent cx="5610225" cy="3497148"/>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8">
                      <a:extLst>
                        <a:ext uri="{28A0092B-C50C-407E-A947-70E740481C1C}">
                          <a14:useLocalDpi xmlns:a14="http://schemas.microsoft.com/office/drawing/2010/main" val="0"/>
                        </a:ext>
                      </a:extLst>
                    </a:blip>
                    <a:srcRect l="1340" r="34584"/>
                    <a:stretch/>
                  </pic:blipFill>
                  <pic:spPr bwMode="auto">
                    <a:xfrm>
                      <a:off x="0" y="0"/>
                      <a:ext cx="5644931" cy="3518782"/>
                    </a:xfrm>
                    <a:prstGeom prst="rect">
                      <a:avLst/>
                    </a:prstGeom>
                    <a:noFill/>
                    <a:ln>
                      <a:noFill/>
                    </a:ln>
                    <a:extLst>
                      <a:ext uri="{53640926-AAD7-44D8-BBD7-CCE9431645EC}">
                        <a14:shadowObscured xmlns:a14="http://schemas.microsoft.com/office/drawing/2010/main"/>
                      </a:ext>
                    </a:extLst>
                  </pic:spPr>
                </pic:pic>
              </a:graphicData>
            </a:graphic>
          </wp:inline>
        </w:drawing>
      </w:r>
    </w:p>
    <w:p w14:paraId="1D3DE9B6" w14:textId="46564609" w:rsidR="00275B05" w:rsidRDefault="00C95A3D" w:rsidP="009C30A8">
      <w:pPr>
        <w:pStyle w:val="Caption"/>
        <w:spacing w:after="0"/>
        <w:jc w:val="center"/>
      </w:pPr>
      <w:bookmarkStart w:id="18" w:name="_Toc44542627"/>
      <w:r w:rsidRPr="00740DE4">
        <w:t xml:space="preserve">Figure </w:t>
      </w:r>
      <w:fldSimple w:instr=" SEQ Figure \* ARABIC ">
        <w:r w:rsidRPr="00740DE4">
          <w:t>1</w:t>
        </w:r>
      </w:fldSimple>
      <w:r w:rsidRPr="00740DE4">
        <w:t>.</w:t>
      </w:r>
      <w:r w:rsidR="00AE2474">
        <w:t>3</w:t>
      </w:r>
      <w:r w:rsidRPr="00740DE4">
        <w:t xml:space="preserve"> - Schema showing </w:t>
      </w:r>
      <w:r>
        <w:t xml:space="preserve">the three main </w:t>
      </w:r>
      <w:r w:rsidR="00D93DCF">
        <w:t xml:space="preserve">conventional </w:t>
      </w:r>
      <w:r>
        <w:t>geothermal technologies</w:t>
      </w:r>
      <w:r w:rsidR="00D93DCF">
        <w:t xml:space="preserve"> (Source: </w:t>
      </w:r>
      <w:r w:rsidR="00B36958">
        <w:t>Project Drawdown</w:t>
      </w:r>
      <w:r w:rsidR="00D93DCF">
        <w:t>)</w:t>
      </w:r>
      <w:bookmarkEnd w:id="18"/>
    </w:p>
    <w:p w14:paraId="111F4010" w14:textId="43A6976C" w:rsidR="00434F61" w:rsidRPr="00E069AC" w:rsidRDefault="551A77D0" w:rsidP="00EB247F">
      <w:pPr>
        <w:pStyle w:val="Heading2"/>
      </w:pPr>
      <w:bookmarkStart w:id="19" w:name="_Toc536710682"/>
      <w:bookmarkStart w:id="20" w:name="_Toc19137299"/>
      <w:bookmarkEnd w:id="19"/>
      <w:r w:rsidRPr="00E069AC">
        <w:t>Adoption Path</w:t>
      </w:r>
      <w:bookmarkEnd w:id="20"/>
    </w:p>
    <w:p w14:paraId="2027DBA6" w14:textId="2B6436C2" w:rsidR="00D1508C" w:rsidRPr="00E069AC" w:rsidRDefault="551A77D0" w:rsidP="00921A82">
      <w:pPr>
        <w:pStyle w:val="Heading3"/>
        <w:numPr>
          <w:ilvl w:val="2"/>
          <w:numId w:val="3"/>
        </w:numPr>
      </w:pPr>
      <w:bookmarkStart w:id="21" w:name="_Toc19137300"/>
      <w:r w:rsidRPr="00E069AC">
        <w:t>Current Adoption</w:t>
      </w:r>
      <w:bookmarkEnd w:id="21"/>
    </w:p>
    <w:p w14:paraId="0B866FD2" w14:textId="5420CCC4" w:rsidR="000A0BED" w:rsidRDefault="00B5371E" w:rsidP="00B5371E">
      <w:r>
        <w:t xml:space="preserve">Large-scale geothermal power development has </w:t>
      </w:r>
      <w:r w:rsidRPr="00DF007A">
        <w:rPr>
          <w:noProof/>
        </w:rPr>
        <w:t xml:space="preserve">been </w:t>
      </w:r>
      <w:r w:rsidR="00DF42E4" w:rsidRPr="00DF007A">
        <w:rPr>
          <w:noProof/>
        </w:rPr>
        <w:t>restricted</w:t>
      </w:r>
      <w:r>
        <w:t xml:space="preserve"> to </w:t>
      </w:r>
      <w:r w:rsidR="00DF42E4">
        <w:t xml:space="preserve">active </w:t>
      </w:r>
      <w:r>
        <w:t xml:space="preserve">heat-flow tectonic areas </w:t>
      </w:r>
      <w:r w:rsidR="00DF42E4">
        <w:t>like</w:t>
      </w:r>
      <w:r>
        <w:t xml:space="preserve"> near plate boundaries, rift zones, and mantle plumes and hot spots</w:t>
      </w:r>
      <w:r w:rsidR="00B11785">
        <w:t xml:space="preserve"> which present thinner crust</w:t>
      </w:r>
      <w:r>
        <w:t>. Regions and countries near the “Ring of Fire” that have developed geothermal power include the western coast of the United States, Indonesia, Philippines, Japan, New Zealand, and Central America. Rift zone areas that have developed geothermal power include Iceland and East Africa (Ethiopia and Kenya) (</w:t>
      </w:r>
      <w:r w:rsidRPr="00CB481D">
        <w:t>IEA ETSAP</w:t>
      </w:r>
      <w:r>
        <w:t>, 2010).</w:t>
      </w:r>
      <w:r w:rsidR="00B11785">
        <w:t xml:space="preserve"> The “Ring of Fire” is a horse shoe-shaped ring </w:t>
      </w:r>
      <w:r w:rsidR="000A0BED">
        <w:t xml:space="preserve">around the Pacific </w:t>
      </w:r>
      <w:r w:rsidR="00B11785">
        <w:t>that plays host to over 90% of the world’s most</w:t>
      </w:r>
      <w:r w:rsidR="000A0BED">
        <w:t xml:space="preserve"> active</w:t>
      </w:r>
      <w:r w:rsidR="00B11785">
        <w:t xml:space="preserve"> volcan</w:t>
      </w:r>
      <w:r w:rsidR="000A0BED">
        <w:t>oes.</w:t>
      </w:r>
    </w:p>
    <w:p w14:paraId="622592E9" w14:textId="64157A87" w:rsidR="00B5371E" w:rsidRDefault="00B5371E" w:rsidP="00B5371E">
      <w:r>
        <w:t xml:space="preserve">Global installed </w:t>
      </w:r>
      <w:r w:rsidRPr="008F4829">
        <w:t xml:space="preserve">geothermal electric power capacity at the end of  </w:t>
      </w:r>
      <w:r w:rsidR="000A0BED" w:rsidRPr="008F4829">
        <w:t>201</w:t>
      </w:r>
      <w:r w:rsidR="00DC2859" w:rsidRPr="008F4829">
        <w:t>8</w:t>
      </w:r>
      <w:r w:rsidR="000A0BED" w:rsidRPr="008F4829">
        <w:t xml:space="preserve"> </w:t>
      </w:r>
      <w:r w:rsidRPr="008F4829">
        <w:t xml:space="preserve">was at a total of about </w:t>
      </w:r>
      <w:r w:rsidR="000A0BED" w:rsidRPr="008F4829">
        <w:t xml:space="preserve">14.6 </w:t>
      </w:r>
      <w:r w:rsidRPr="008F4829">
        <w:t>gigawatts (GW)</w:t>
      </w:r>
      <w:r w:rsidR="006A3CB8" w:rsidRPr="008F4829">
        <w:t xml:space="preserve"> with new additions from 8 countries led by Turkey and Indonesia</w:t>
      </w:r>
      <w:r w:rsidR="00DC2859" w:rsidRPr="008F4829">
        <w:t xml:space="preserve"> (ThinkGeoEnergy, 2018)</w:t>
      </w:r>
      <w:r w:rsidR="006A3CB8" w:rsidRPr="008F4829">
        <w:t>. Based on average full load hours of 6.3 GWh/MW</w:t>
      </w:r>
      <w:r w:rsidR="006A3CB8" w:rsidRPr="008F4829">
        <w:rPr>
          <w:vertAlign w:val="subscript"/>
        </w:rPr>
        <w:t>e</w:t>
      </w:r>
      <w:r w:rsidR="006A3CB8" w:rsidRPr="008F4829">
        <w:t xml:space="preserve"> or 72% capacity factor, the 14.6 GW installed capacity </w:t>
      </w:r>
      <w:r w:rsidR="00EE3E4B" w:rsidRPr="008F4829">
        <w:t>corresponds to an estimated</w:t>
      </w:r>
      <w:r w:rsidR="006A3CB8" w:rsidRPr="008F4829">
        <w:t xml:space="preserve"> 92 TWh of electricity</w:t>
      </w:r>
      <w:r w:rsidR="00A50800" w:rsidRPr="008F4829">
        <w:t xml:space="preserve"> in 2018</w:t>
      </w:r>
      <w:r w:rsidR="006A3CB8" w:rsidRPr="008F4829">
        <w:t xml:space="preserve">. In 2017, IEA estimated a global geothermal electricity generation of </w:t>
      </w:r>
      <w:r w:rsidR="000A0BED" w:rsidRPr="008F4829">
        <w:t xml:space="preserve">84.8 </w:t>
      </w:r>
      <w:r w:rsidRPr="008F4829">
        <w:t xml:space="preserve">terawatt-hours </w:t>
      </w:r>
      <w:r w:rsidR="00DC2859" w:rsidRPr="008F4829">
        <w:t>(IEA, 2018)</w:t>
      </w:r>
      <w:r w:rsidRPr="008F4829">
        <w:t>. The average annualized</w:t>
      </w:r>
      <w:r>
        <w:t xml:space="preserve"> growth of installed geothermal power capacity over the last </w:t>
      </w:r>
      <w:r>
        <w:rPr>
          <w:noProof/>
        </w:rPr>
        <w:t>five</w:t>
      </w:r>
      <w:r>
        <w:t xml:space="preserve"> years </w:t>
      </w:r>
      <w:r>
        <w:rPr>
          <w:noProof/>
        </w:rPr>
        <w:t>before</w:t>
      </w:r>
      <w:r>
        <w:t xml:space="preserve"> 2014 was 3.6% (REN21, 2015</w:t>
      </w:r>
      <w:r w:rsidRPr="00D414D0">
        <w:t>).</w:t>
      </w:r>
      <w:r w:rsidRPr="00650959">
        <w:t xml:space="preserve"> </w:t>
      </w:r>
      <w:r>
        <w:t xml:space="preserve">According to REN21 (2015), </w:t>
      </w:r>
      <w:r>
        <w:rPr>
          <w:noProof/>
        </w:rPr>
        <w:t>612 geothermal power plants were</w:t>
      </w:r>
      <w:r w:rsidRPr="00EE2A1A">
        <w:rPr>
          <w:noProof/>
        </w:rPr>
        <w:t xml:space="preserve"> operating</w:t>
      </w:r>
      <w:r>
        <w:t xml:space="preserve"> </w:t>
      </w:r>
      <w:r w:rsidR="00013820">
        <w:t>at the global level</w:t>
      </w:r>
      <w:r>
        <w:t xml:space="preserve"> at the end of 2014. </w:t>
      </w:r>
      <w:r w:rsidRPr="00EE2A1A">
        <w:rPr>
          <w:noProof/>
        </w:rPr>
        <w:t>Of these, the most installed global capacity - 7.8 GW and 63% of geothermal generation</w:t>
      </w:r>
      <w:r>
        <w:rPr>
          <w:noProof/>
        </w:rPr>
        <w:t xml:space="preserve"> was</w:t>
      </w:r>
      <w:r w:rsidRPr="00EE2A1A">
        <w:rPr>
          <w:noProof/>
        </w:rPr>
        <w:t xml:space="preserve"> represented by 237 flash plants.</w:t>
      </w:r>
      <w:r>
        <w:rPr>
          <w:noProof/>
        </w:rPr>
        <w:t xml:space="preserve"> W</w:t>
      </w:r>
      <w:r w:rsidRPr="00EE2A1A">
        <w:rPr>
          <w:noProof/>
        </w:rPr>
        <w:t>ith 286 plants, binary-cycle were the most deployed technology, however, representing the less capacity of about 1.8 GW and 12%</w:t>
      </w:r>
      <w:r>
        <w:rPr>
          <w:noProof/>
        </w:rPr>
        <w:t xml:space="preserve"> of generation. D</w:t>
      </w:r>
      <w:r w:rsidRPr="00EE2A1A">
        <w:rPr>
          <w:noProof/>
        </w:rPr>
        <w:t>ry steam plants were 63 and represented 2.9 GW (22%</w:t>
      </w:r>
      <w:r>
        <w:rPr>
          <w:noProof/>
        </w:rPr>
        <w:t xml:space="preserve"> </w:t>
      </w:r>
      <w:r w:rsidRPr="00EE2A1A">
        <w:rPr>
          <w:noProof/>
        </w:rPr>
        <w:t>of generation).</w:t>
      </w:r>
    </w:p>
    <w:p w14:paraId="1CD09BB3" w14:textId="00174234" w:rsidR="002C6C04" w:rsidRDefault="00A706C6" w:rsidP="00B5371E">
      <w:pPr>
        <w:spacing w:after="0"/>
      </w:pPr>
      <w:r>
        <w:t>According to ThinkGeoEnergy (2018), t</w:t>
      </w:r>
      <w:r w:rsidR="00B5371E">
        <w:t xml:space="preserve">he top five countries </w:t>
      </w:r>
      <w:r w:rsidR="00F713A2">
        <w:t xml:space="preserve">or gigawatt country club </w:t>
      </w:r>
      <w:r w:rsidR="00B5371E">
        <w:t>for installed geothermal capacity as of 201</w:t>
      </w:r>
      <w:r w:rsidR="00B44C50">
        <w:t>8</w:t>
      </w:r>
      <w:r w:rsidR="00B5371E">
        <w:t xml:space="preserve"> were United States of America (</w:t>
      </w:r>
      <w:r w:rsidR="00B44C50">
        <w:t>3,6</w:t>
      </w:r>
      <w:r>
        <w:t>39</w:t>
      </w:r>
      <w:r w:rsidR="00B44C50">
        <w:t xml:space="preserve"> </w:t>
      </w:r>
      <w:r w:rsidR="00B5371E">
        <w:t>MW</w:t>
      </w:r>
      <w:r w:rsidR="00F713A2">
        <w:t>)</w:t>
      </w:r>
      <w:r w:rsidR="00B5371E">
        <w:t>;</w:t>
      </w:r>
      <w:r w:rsidR="00B44C50">
        <w:t xml:space="preserve"> Indonesia (1,948 MW);</w:t>
      </w:r>
      <w:r w:rsidR="00B5371E">
        <w:t xml:space="preserve"> Philippines (</w:t>
      </w:r>
      <w:r>
        <w:t xml:space="preserve">1,868 </w:t>
      </w:r>
      <w:r w:rsidR="00B5371E">
        <w:t>MW</w:t>
      </w:r>
      <w:r w:rsidR="00F713A2">
        <w:t>)</w:t>
      </w:r>
      <w:r w:rsidR="00B5371E">
        <w:t xml:space="preserve">;; </w:t>
      </w:r>
      <w:r w:rsidR="00F713A2">
        <w:t>Turkey</w:t>
      </w:r>
      <w:r>
        <w:t xml:space="preserve"> (1,</w:t>
      </w:r>
      <w:r w:rsidR="00F713A2">
        <w:t>3</w:t>
      </w:r>
      <w:r>
        <w:t>4</w:t>
      </w:r>
      <w:r w:rsidR="00F713A2">
        <w:t>7</w:t>
      </w:r>
      <w:r>
        <w:t xml:space="preserve"> MW);</w:t>
      </w:r>
      <w:r w:rsidR="00B5371E">
        <w:t xml:space="preserve"> and New Zealand (1,005 MW</w:t>
      </w:r>
      <w:r w:rsidR="00F713A2">
        <w:t>).</w:t>
      </w:r>
      <w:r w:rsidR="00B5371E">
        <w:t xml:space="preserve"> </w:t>
      </w:r>
      <w:r w:rsidR="00F713A2">
        <w:t>Mexico with its new renewables support policy for geothermal is expected to join the gigawatt country club in the coming years.</w:t>
      </w:r>
      <w:r w:rsidR="00CB1AE2">
        <w:t xml:space="preserve"> </w:t>
      </w:r>
      <w:r w:rsidR="00F713A2">
        <w:t xml:space="preserve">According to </w:t>
      </w:r>
      <w:r w:rsidR="00DA1303">
        <w:t xml:space="preserve">IRENA (2018), the top geothermal electricity generation countries in 2016 include USA (18,584 GWh); Philippines (11,070 GWh); Indonesia (10,656 </w:t>
      </w:r>
      <w:r w:rsidR="0045087B">
        <w:t>G</w:t>
      </w:r>
      <w:r w:rsidR="00DA1303">
        <w:t xml:space="preserve">Wh); Mexico (6,148 </w:t>
      </w:r>
      <w:r w:rsidR="0045087B">
        <w:t>G</w:t>
      </w:r>
      <w:r w:rsidR="00DA1303">
        <w:t xml:space="preserve">Wh); Turkey (4,819 </w:t>
      </w:r>
      <w:r w:rsidR="0045087B">
        <w:t>G</w:t>
      </w:r>
      <w:r w:rsidR="00DA1303">
        <w:t xml:space="preserve">Wh); and Kenya (4,758 </w:t>
      </w:r>
      <w:r w:rsidR="0045087B">
        <w:t>G</w:t>
      </w:r>
      <w:r w:rsidR="00DA1303">
        <w:t>Wh).</w:t>
      </w:r>
    </w:p>
    <w:p w14:paraId="4352D9E4" w14:textId="77777777" w:rsidR="00454FA1" w:rsidRDefault="00454FA1" w:rsidP="00B5371E">
      <w:pPr>
        <w:spacing w:after="0"/>
      </w:pPr>
    </w:p>
    <w:p w14:paraId="4B6E5C96" w14:textId="462C3C71" w:rsidR="00D1508C" w:rsidRDefault="551A77D0" w:rsidP="00921A82">
      <w:pPr>
        <w:pStyle w:val="Heading3"/>
        <w:numPr>
          <w:ilvl w:val="2"/>
          <w:numId w:val="3"/>
        </w:numPr>
      </w:pPr>
      <w:bookmarkStart w:id="22" w:name="_Toc19137301"/>
      <w:r w:rsidRPr="00E069AC">
        <w:t>Trends</w:t>
      </w:r>
      <w:r w:rsidR="000C3205" w:rsidRPr="00E069AC">
        <w:t xml:space="preserve"> </w:t>
      </w:r>
      <w:r w:rsidR="00A53CDF" w:rsidRPr="00E069AC">
        <w:t>to Accelerate Adoption</w:t>
      </w:r>
      <w:bookmarkEnd w:id="22"/>
    </w:p>
    <w:p w14:paraId="068BE1E5" w14:textId="7F2A97B4" w:rsidR="00B5371E" w:rsidRPr="00B5371E" w:rsidRDefault="00013820" w:rsidP="00B5371E">
      <w:pPr>
        <w:rPr>
          <w:rFonts w:cs="Times New Roman"/>
        </w:rPr>
      </w:pPr>
      <w:r>
        <w:t>The e</w:t>
      </w:r>
      <w:r w:rsidR="00742E81" w:rsidRPr="00742E81">
        <w:t xml:space="preserve">nvironmental and social impacts from geothermal </w:t>
      </w:r>
      <w:r>
        <w:t xml:space="preserve">energy </w:t>
      </w:r>
      <w:r w:rsidR="00742E81" w:rsidRPr="00742E81">
        <w:t xml:space="preserve">use are site and technology </w:t>
      </w:r>
      <w:r>
        <w:t>dependent</w:t>
      </w:r>
      <w:r w:rsidR="00742E81" w:rsidRPr="00742E81">
        <w:t xml:space="preserve"> and largely manageable</w:t>
      </w:r>
      <w:r>
        <w:t xml:space="preserve"> (IPCC, 2011)</w:t>
      </w:r>
      <w:r w:rsidR="00742E81" w:rsidRPr="00742E81">
        <w:t>.</w:t>
      </w:r>
      <w:r w:rsidR="00742E81" w:rsidRPr="006360BF">
        <w:rPr>
          <w:rFonts w:ascii="Helvetica" w:eastAsia="Times New Roman" w:hAnsi="Helvetica" w:cs="Times New Roman"/>
          <w:sz w:val="24"/>
          <w:szCs w:val="24"/>
          <w:lang w:val="en-GB" w:eastAsia="en-GB"/>
        </w:rPr>
        <w:t xml:space="preserve"> </w:t>
      </w:r>
      <w:r w:rsidR="00B5371E" w:rsidRPr="00B5371E">
        <w:rPr>
          <w:rFonts w:cs="Times New Roman"/>
        </w:rPr>
        <w:t xml:space="preserve">Geothermal technology development has historically focused on natural hydrothermal reservoirs, such as high-temperature hydrothermal resources along tectonic plate boundaries, although low- and medium-temperature hydrothermal resources have also </w:t>
      </w:r>
      <w:r w:rsidR="00B5371E" w:rsidRPr="00B5371E">
        <w:rPr>
          <w:rFonts w:cs="Times New Roman"/>
          <w:noProof/>
        </w:rPr>
        <w:t>been increasingly accessed</w:t>
      </w:r>
      <w:r w:rsidR="00B5371E" w:rsidRPr="00B5371E">
        <w:rPr>
          <w:rFonts w:cs="Times New Roman"/>
        </w:rPr>
        <w:t xml:space="preserve"> through binary (combined heat and power) plants</w:t>
      </w:r>
      <w:r w:rsidR="00FF5ABA">
        <w:rPr>
          <w:rFonts w:cs="Times New Roman"/>
        </w:rPr>
        <w:t>, and more recently using engineered geothermal system to hydraulically fracture</w:t>
      </w:r>
      <w:r w:rsidR="00AD0A44">
        <w:rPr>
          <w:rFonts w:cs="Times New Roman"/>
        </w:rPr>
        <w:t xml:space="preserve"> or stimulate</w:t>
      </w:r>
      <w:r w:rsidR="00FF5ABA">
        <w:rPr>
          <w:rFonts w:cs="Times New Roman"/>
        </w:rPr>
        <w:t xml:space="preserve"> impervious hot rocks</w:t>
      </w:r>
      <w:r w:rsidR="00B5371E" w:rsidRPr="00B5371E">
        <w:rPr>
          <w:rFonts w:cs="Times New Roman"/>
        </w:rPr>
        <w:t>.</w:t>
      </w:r>
    </w:p>
    <w:p w14:paraId="2A1783F5" w14:textId="58F7CB1C" w:rsidR="00B5371E" w:rsidRDefault="00B5371E" w:rsidP="002C6C04">
      <w:pPr>
        <w:spacing w:after="0"/>
        <w:rPr>
          <w:rFonts w:eastAsia="Times New Roman" w:cs="Times New Roman"/>
        </w:rPr>
      </w:pPr>
      <w:r>
        <w:rPr>
          <w:rFonts w:cs="Times New Roman"/>
        </w:rPr>
        <w:t>Although g</w:t>
      </w:r>
      <w:r w:rsidRPr="001A766F">
        <w:rPr>
          <w:rFonts w:cs="Times New Roman"/>
        </w:rPr>
        <w:t xml:space="preserve">eothermal </w:t>
      </w:r>
      <w:r>
        <w:rPr>
          <w:rFonts w:cs="Times New Roman"/>
        </w:rPr>
        <w:t xml:space="preserve">power often has </w:t>
      </w:r>
      <w:r w:rsidRPr="00DF007A">
        <w:rPr>
          <w:rFonts w:cs="Times New Roman"/>
          <w:noProof/>
        </w:rPr>
        <w:t>large</w:t>
      </w:r>
      <w:r>
        <w:rPr>
          <w:rFonts w:cs="Times New Roman"/>
        </w:rPr>
        <w:t xml:space="preserve"> upfront costs, its </w:t>
      </w:r>
      <w:r w:rsidRPr="001A766F">
        <w:rPr>
          <w:rFonts w:cs="Times New Roman"/>
        </w:rPr>
        <w:t>plants have significantly lower operational, maintenance, and fuel costs than coal and natural gas plants, evening out the levelized cost of electricity (LCOE) between the different energy sources over time (BNEF</w:t>
      </w:r>
      <w:r>
        <w:rPr>
          <w:rFonts w:cs="Times New Roman"/>
        </w:rPr>
        <w:t>,</w:t>
      </w:r>
      <w:r w:rsidRPr="001A766F">
        <w:rPr>
          <w:rFonts w:cs="Times New Roman"/>
        </w:rPr>
        <w:t xml:space="preserve"> 2014).</w:t>
      </w:r>
      <w:r>
        <w:rPr>
          <w:rFonts w:cs="Times New Roman"/>
        </w:rPr>
        <w:t xml:space="preserve"> </w:t>
      </w:r>
      <w:r>
        <w:rPr>
          <w:rFonts w:eastAsia="Times New Roman" w:cs="Times New Roman"/>
        </w:rPr>
        <w:t>According to IRENA (2014), t</w:t>
      </w:r>
      <w:r w:rsidRPr="00F34BA7">
        <w:rPr>
          <w:rFonts w:eastAsia="Times New Roman" w:cs="Times New Roman"/>
        </w:rPr>
        <w:t xml:space="preserve">he LCOE of conventional </w:t>
      </w:r>
      <w:r>
        <w:rPr>
          <w:rFonts w:eastAsia="Times New Roman" w:cs="Times New Roman"/>
        </w:rPr>
        <w:t xml:space="preserve">global </w:t>
      </w:r>
      <w:r w:rsidRPr="00F34BA7">
        <w:rPr>
          <w:rFonts w:eastAsia="Times New Roman" w:cs="Times New Roman"/>
        </w:rPr>
        <w:t>g</w:t>
      </w:r>
      <w:r>
        <w:rPr>
          <w:rFonts w:eastAsia="Times New Roman" w:cs="Times New Roman"/>
        </w:rPr>
        <w:t xml:space="preserve">eothermal power varied from US$0.05 to US$0.10/kWh for </w:t>
      </w:r>
      <w:r w:rsidRPr="00F34BA7">
        <w:rPr>
          <w:rFonts w:eastAsia="Times New Roman" w:cs="Times New Roman"/>
        </w:rPr>
        <w:t>projects</w:t>
      </w:r>
      <w:r>
        <w:rPr>
          <w:rFonts w:eastAsia="Times New Roman" w:cs="Times New Roman"/>
        </w:rPr>
        <w:t xml:space="preserve"> between the year 2010 and 2014</w:t>
      </w:r>
      <w:r w:rsidRPr="00F34BA7">
        <w:rPr>
          <w:rFonts w:eastAsia="Times New Roman" w:cs="Times New Roman"/>
        </w:rPr>
        <w:t>. However</w:t>
      </w:r>
      <w:r>
        <w:rPr>
          <w:rFonts w:eastAsia="Times New Roman" w:cs="Times New Roman"/>
        </w:rPr>
        <w:t xml:space="preserve">, the LCOE can be as </w:t>
      </w:r>
      <w:r w:rsidRPr="00DF007A">
        <w:rPr>
          <w:rFonts w:eastAsia="Times New Roman" w:cs="Times New Roman"/>
          <w:noProof/>
        </w:rPr>
        <w:t>low</w:t>
      </w:r>
      <w:r>
        <w:rPr>
          <w:rFonts w:eastAsia="Times New Roman" w:cs="Times New Roman"/>
        </w:rPr>
        <w:t xml:space="preserve"> as US$</w:t>
      </w:r>
      <w:r w:rsidRPr="00F34BA7">
        <w:rPr>
          <w:rFonts w:eastAsia="Times New Roman" w:cs="Times New Roman"/>
        </w:rPr>
        <w:t xml:space="preserve">0.04/kWh for the most competitive projects, such as those </w:t>
      </w:r>
      <w:r>
        <w:rPr>
          <w:rFonts w:eastAsia="Times New Roman" w:cs="Times New Roman"/>
        </w:rPr>
        <w:t>utilizing</w:t>
      </w:r>
      <w:r w:rsidRPr="00F34BA7">
        <w:rPr>
          <w:rFonts w:eastAsia="Times New Roman" w:cs="Times New Roman"/>
        </w:rPr>
        <w:t xml:space="preserve"> well-documented resources or brownfield developments. </w:t>
      </w:r>
      <w:r>
        <w:rPr>
          <w:rFonts w:eastAsia="Times New Roman" w:cs="Times New Roman"/>
        </w:rPr>
        <w:t>T</w:t>
      </w:r>
      <w:r w:rsidRPr="00427EE4">
        <w:rPr>
          <w:rFonts w:eastAsia="Times New Roman" w:cs="Times New Roman"/>
        </w:rPr>
        <w:t>he</w:t>
      </w:r>
      <w:r>
        <w:rPr>
          <w:rFonts w:eastAsia="Times New Roman" w:cs="Times New Roman"/>
        </w:rPr>
        <w:t xml:space="preserve">se LCOE costs are </w:t>
      </w:r>
      <w:r w:rsidRPr="00427EE4">
        <w:rPr>
          <w:rFonts w:eastAsia="Times New Roman" w:cs="Times New Roman"/>
        </w:rPr>
        <w:t>within the r</w:t>
      </w:r>
      <w:r>
        <w:rPr>
          <w:rFonts w:eastAsia="Times New Roman" w:cs="Times New Roman"/>
        </w:rPr>
        <w:t>ange of fossil fuels, which had an estimated LCOE of $0.04 to $0.13/kWh, without accounting for their external costs (IRENA 2014).</w:t>
      </w:r>
      <w:r w:rsidRPr="00427EE4">
        <w:rPr>
          <w:rFonts w:eastAsia="Times New Roman" w:cs="Times New Roman"/>
        </w:rPr>
        <w:t xml:space="preserve"> </w:t>
      </w:r>
      <w:r>
        <w:rPr>
          <w:rFonts w:eastAsia="Times New Roman" w:cs="Times New Roman"/>
          <w:noProof/>
        </w:rPr>
        <w:t>Moreover,</w:t>
      </w:r>
      <w:r w:rsidRPr="00DF007A">
        <w:rPr>
          <w:rFonts w:eastAsia="Times New Roman" w:cs="Times New Roman"/>
          <w:noProof/>
        </w:rPr>
        <w:t xml:space="preserve"> since</w:t>
      </w:r>
      <w:r>
        <w:rPr>
          <w:rFonts w:eastAsia="Times New Roman" w:cs="Times New Roman"/>
        </w:rPr>
        <w:t xml:space="preserve"> geothermal plants do not require additional fuel, t</w:t>
      </w:r>
      <w:r w:rsidRPr="00CF3D14">
        <w:rPr>
          <w:rFonts w:eastAsia="Times New Roman" w:cs="Times New Roman"/>
        </w:rPr>
        <w:t>he pr</w:t>
      </w:r>
      <w:r>
        <w:rPr>
          <w:rFonts w:eastAsia="Times New Roman" w:cs="Times New Roman"/>
        </w:rPr>
        <w:t xml:space="preserve">ice of geothermal power is </w:t>
      </w:r>
      <w:r w:rsidRPr="00CF3D14">
        <w:rPr>
          <w:rFonts w:eastAsia="Times New Roman" w:cs="Times New Roman"/>
        </w:rPr>
        <w:t>stable, making it a natural hedge against the volatility of fossil fuel prices.</w:t>
      </w:r>
      <w:r w:rsidR="00AD0A44">
        <w:rPr>
          <w:rFonts w:eastAsia="Times New Roman" w:cs="Times New Roman"/>
        </w:rPr>
        <w:t xml:space="preserve"> When commercially integrated, en</w:t>
      </w:r>
      <w:r w:rsidR="004E354E">
        <w:rPr>
          <w:rFonts w:eastAsia="Times New Roman" w:cs="Times New Roman"/>
        </w:rPr>
        <w:t>gineered</w:t>
      </w:r>
      <w:r w:rsidR="00AD0A44">
        <w:rPr>
          <w:rFonts w:eastAsia="Times New Roman" w:cs="Times New Roman"/>
        </w:rPr>
        <w:t xml:space="preserve"> geothermal system is expected to come at a much higher LCOE</w:t>
      </w:r>
      <w:r w:rsidR="00D31090">
        <w:rPr>
          <w:rFonts w:eastAsia="Times New Roman" w:cs="Times New Roman"/>
        </w:rPr>
        <w:t xml:space="preserve"> up to $0.</w:t>
      </w:r>
      <w:r w:rsidR="007F6D7C">
        <w:rPr>
          <w:rFonts w:eastAsia="Times New Roman" w:cs="Times New Roman"/>
        </w:rPr>
        <w:t>2</w:t>
      </w:r>
      <w:r w:rsidR="00D31090">
        <w:rPr>
          <w:rFonts w:eastAsia="Times New Roman" w:cs="Times New Roman"/>
        </w:rPr>
        <w:t>/kWh</w:t>
      </w:r>
      <w:r w:rsidR="007F6D7C">
        <w:rPr>
          <w:rFonts w:eastAsia="Times New Roman" w:cs="Times New Roman"/>
        </w:rPr>
        <w:t xml:space="preserve"> or higher (A</w:t>
      </w:r>
      <w:r w:rsidR="008370C3">
        <w:rPr>
          <w:rFonts w:eastAsia="Times New Roman" w:cs="Times New Roman"/>
        </w:rPr>
        <w:t>REA</w:t>
      </w:r>
      <w:r w:rsidR="007F6D7C">
        <w:rPr>
          <w:rFonts w:eastAsia="Times New Roman" w:cs="Times New Roman"/>
        </w:rPr>
        <w:t>, 2014)</w:t>
      </w:r>
      <w:r w:rsidR="00D31090">
        <w:rPr>
          <w:rFonts w:eastAsia="Times New Roman" w:cs="Times New Roman"/>
        </w:rPr>
        <w:t>,</w:t>
      </w:r>
      <w:r w:rsidR="00AD0A44">
        <w:rPr>
          <w:rFonts w:eastAsia="Times New Roman" w:cs="Times New Roman"/>
        </w:rPr>
        <w:t xml:space="preserve"> considering the resource-intensive nature, especially in drilling, more materials requirement in well </w:t>
      </w:r>
      <w:r w:rsidR="00D31090">
        <w:rPr>
          <w:rFonts w:eastAsia="Times New Roman" w:cs="Times New Roman"/>
        </w:rPr>
        <w:t>completion/casing</w:t>
      </w:r>
      <w:r w:rsidR="00AD0A44">
        <w:rPr>
          <w:rFonts w:eastAsia="Times New Roman" w:cs="Times New Roman"/>
        </w:rPr>
        <w:t xml:space="preserve"> to a higher depth</w:t>
      </w:r>
      <w:r w:rsidR="00D31090">
        <w:rPr>
          <w:rFonts w:eastAsia="Times New Roman" w:cs="Times New Roman"/>
        </w:rPr>
        <w:t xml:space="preserve">, and the use of thermally </w:t>
      </w:r>
      <w:r w:rsidR="00593C74">
        <w:rPr>
          <w:rFonts w:eastAsia="Times New Roman" w:cs="Times New Roman"/>
        </w:rPr>
        <w:t xml:space="preserve">and chemically </w:t>
      </w:r>
      <w:r w:rsidR="00D31090">
        <w:rPr>
          <w:rFonts w:eastAsia="Times New Roman" w:cs="Times New Roman"/>
        </w:rPr>
        <w:t>stable fluid to serve the dual purpose</w:t>
      </w:r>
      <w:r w:rsidR="0032069E">
        <w:rPr>
          <w:rFonts w:eastAsia="Times New Roman" w:cs="Times New Roman"/>
        </w:rPr>
        <w:t>s</w:t>
      </w:r>
      <w:r w:rsidR="00D31090">
        <w:rPr>
          <w:rFonts w:eastAsia="Times New Roman" w:cs="Times New Roman"/>
        </w:rPr>
        <w:t xml:space="preserve"> of creating a porous reservoir and extracting the heat</w:t>
      </w:r>
      <w:r w:rsidR="00AD0A44">
        <w:rPr>
          <w:rFonts w:eastAsia="Times New Roman" w:cs="Times New Roman"/>
        </w:rPr>
        <w:t>.</w:t>
      </w:r>
    </w:p>
    <w:p w14:paraId="3537C4B8" w14:textId="77777777" w:rsidR="0061349B" w:rsidRPr="00B5371E" w:rsidRDefault="0061349B" w:rsidP="002C6C04">
      <w:pPr>
        <w:spacing w:after="0"/>
      </w:pPr>
    </w:p>
    <w:p w14:paraId="0B8C3EFB" w14:textId="4FBA8921" w:rsidR="00D1508C" w:rsidRDefault="551A77D0" w:rsidP="00921A82">
      <w:pPr>
        <w:pStyle w:val="Heading3"/>
        <w:numPr>
          <w:ilvl w:val="2"/>
          <w:numId w:val="3"/>
        </w:numPr>
      </w:pPr>
      <w:bookmarkStart w:id="23" w:name="_Toc19137302"/>
      <w:r w:rsidRPr="00E069AC">
        <w:t>Barriers to Adoption</w:t>
      </w:r>
      <w:bookmarkEnd w:id="23"/>
    </w:p>
    <w:p w14:paraId="6CA6C06F" w14:textId="60589CAD" w:rsidR="00F72504" w:rsidRPr="00F72504" w:rsidRDefault="00F72504" w:rsidP="00B5371E">
      <w:r>
        <w:t xml:space="preserve">Geothermal has been used for electricity </w:t>
      </w:r>
      <w:r w:rsidR="00602911">
        <w:t xml:space="preserve">generation </w:t>
      </w:r>
      <w:r>
        <w:t xml:space="preserve">since the early </w:t>
      </w:r>
      <w:r w:rsidRPr="00DF007A">
        <w:rPr>
          <w:noProof/>
        </w:rPr>
        <w:t>1900s</w:t>
      </w:r>
      <w:r w:rsidR="00C66A16">
        <w:rPr>
          <w:noProof/>
        </w:rPr>
        <w:t xml:space="preserve"> </w:t>
      </w:r>
      <w:r w:rsidR="00602911">
        <w:rPr>
          <w:noProof/>
        </w:rPr>
        <w:t>in</w:t>
      </w:r>
      <w:r w:rsidR="00C66A16">
        <w:rPr>
          <w:noProof/>
        </w:rPr>
        <w:t xml:space="preserve"> Larderello, Italy (WEC, 2016)</w:t>
      </w:r>
      <w:r>
        <w:t xml:space="preserve"> and is therefore considered a more mature energy source. Although the cost of geothermal power </w:t>
      </w:r>
      <w:r w:rsidRPr="00DF007A">
        <w:rPr>
          <w:noProof/>
        </w:rPr>
        <w:t>ha</w:t>
      </w:r>
      <w:r>
        <w:rPr>
          <w:noProof/>
        </w:rPr>
        <w:t>s</w:t>
      </w:r>
      <w:r>
        <w:t xml:space="preserve"> </w:t>
      </w:r>
      <w:r w:rsidRPr="00DF007A">
        <w:rPr>
          <w:noProof/>
        </w:rPr>
        <w:t>change</w:t>
      </w:r>
      <w:r>
        <w:rPr>
          <w:noProof/>
        </w:rPr>
        <w:t>d</w:t>
      </w:r>
      <w:r>
        <w:t xml:space="preserve"> less over time compared to many newer energy technologies, capital </w:t>
      </w:r>
      <w:r w:rsidRPr="00DF007A">
        <w:rPr>
          <w:noProof/>
        </w:rPr>
        <w:t>expenditures</w:t>
      </w:r>
      <w:r>
        <w:rPr>
          <w:noProof/>
        </w:rPr>
        <w:t>, in particular,</w:t>
      </w:r>
      <w:r>
        <w:t xml:space="preserve"> can vary widely by plant type and region.</w:t>
      </w:r>
      <w:r w:rsidR="0033196F">
        <w:t xml:space="preserve"> The key barriers to adoption could be viewed from the lenses of technical, financial, policy, and regulatory hurdles.</w:t>
      </w:r>
    </w:p>
    <w:p w14:paraId="753DC433" w14:textId="0504A91A" w:rsidR="00F72504" w:rsidRDefault="00F72504" w:rsidP="00F72504">
      <w:pPr>
        <w:rPr>
          <w:highlight w:val="red"/>
        </w:rPr>
      </w:pPr>
      <w:r w:rsidRPr="00F72504">
        <w:t xml:space="preserve">Geothermal projects typically </w:t>
      </w:r>
      <w:r w:rsidR="00DF42E4">
        <w:t>require</w:t>
      </w:r>
      <w:r w:rsidRPr="00F72504">
        <w:t xml:space="preserve"> high upfront investment costs</w:t>
      </w:r>
      <w:r w:rsidR="00DF42E4">
        <w:t xml:space="preserve"> related</w:t>
      </w:r>
      <w:r w:rsidRPr="00F72504">
        <w:t xml:space="preserve"> to the need to drill wells and construct power plants</w:t>
      </w:r>
      <w:r w:rsidR="00DF42E4">
        <w:t>,</w:t>
      </w:r>
      <w:r w:rsidRPr="00F72504">
        <w:t xml:space="preserve"> and relatively low operational costs. </w:t>
      </w:r>
      <w:r w:rsidR="00DF42E4">
        <w:t>These costs</w:t>
      </w:r>
      <w:r w:rsidRPr="00F72504">
        <w:t xml:space="preserve"> </w:t>
      </w:r>
      <w:r w:rsidR="00DF42E4">
        <w:t>may vary due to</w:t>
      </w:r>
      <w:r w:rsidRPr="00F72504">
        <w:t xml:space="preserve"> plant capacity, make-up</w:t>
      </w:r>
      <w:r w:rsidR="00602911">
        <w:t xml:space="preserve"> fluid</w:t>
      </w:r>
      <w:r w:rsidRPr="00F72504">
        <w:t xml:space="preserve"> and/or injection well requirements, and the chemical composition of the geothermal fluids. </w:t>
      </w:r>
      <w:r w:rsidR="00DF42E4">
        <w:t xml:space="preserve">Due to the inexistence of fuel costs, the </w:t>
      </w:r>
      <w:r w:rsidRPr="00F72504">
        <w:t xml:space="preserve">operating costs for geothermal </w:t>
      </w:r>
      <w:r w:rsidR="00013820">
        <w:t xml:space="preserve">plants </w:t>
      </w:r>
      <w:r w:rsidRPr="000D1E17">
        <w:t xml:space="preserve">are predictable in comparison to </w:t>
      </w:r>
      <w:r w:rsidR="00013820">
        <w:t>fossil fuel</w:t>
      </w:r>
      <w:r w:rsidRPr="000D1E17">
        <w:t xml:space="preserve"> power plants that are subject to market fluctuations in fuel prices (Goldstein </w:t>
      </w:r>
      <w:r w:rsidR="000D1E17" w:rsidRPr="000D1E17">
        <w:t xml:space="preserve">et al., </w:t>
      </w:r>
      <w:r w:rsidRPr="000D1E17">
        <w:t>2011).</w:t>
      </w:r>
    </w:p>
    <w:p w14:paraId="534BF889" w14:textId="0507ABA6" w:rsidR="0073345A" w:rsidRDefault="00D118D9" w:rsidP="00D118D9">
      <w:r w:rsidRPr="00742E81">
        <w:rPr>
          <w:bCs/>
        </w:rPr>
        <w:t xml:space="preserve">Due to the limited geographic availability of natural geothermal systems and the infancy of EGS technologies, many forecasts of future geothermal power deployment tend to be modest. </w:t>
      </w:r>
      <w:r w:rsidRPr="00742E81">
        <w:rPr>
          <w:bCs/>
          <w:noProof/>
        </w:rPr>
        <w:t>Cost</w:t>
      </w:r>
      <w:r w:rsidRPr="00742E81">
        <w:rPr>
          <w:bCs/>
        </w:rPr>
        <w:t xml:space="preserve"> is a </w:t>
      </w:r>
      <w:r w:rsidRPr="00F72504">
        <w:t>determinant factor since there is a significant variation in geothermal forecasts creating uncertainty for investment in new technologies.</w:t>
      </w:r>
      <w:r w:rsidR="0086178A">
        <w:t xml:space="preserve"> </w:t>
      </w:r>
      <w:r w:rsidR="0073345A">
        <w:t xml:space="preserve">The </w:t>
      </w:r>
      <w:r w:rsidR="0086178A">
        <w:t xml:space="preserve">high </w:t>
      </w:r>
      <w:r w:rsidR="00151238">
        <w:t xml:space="preserve">pre-development and </w:t>
      </w:r>
      <w:r w:rsidR="00454FA1">
        <w:t>pr</w:t>
      </w:r>
      <w:r w:rsidR="00343215">
        <w:t xml:space="preserve">oject development </w:t>
      </w:r>
      <w:r w:rsidR="0086178A">
        <w:t>risks associated with the prospecting, drilling, and completion of well for hydrothermal resources, and the construction of surface plants for the conversion also adversely affect adoption</w:t>
      </w:r>
      <w:r w:rsidR="0033196F">
        <w:t xml:space="preserve"> growth</w:t>
      </w:r>
      <w:r w:rsidR="006A20B1">
        <w:t xml:space="preserve"> (</w:t>
      </w:r>
      <w:r w:rsidR="006A20B1" w:rsidRPr="00F1479C">
        <w:rPr>
          <w:rFonts w:cs="Times New Roman"/>
        </w:rPr>
        <w:t>Chatenay &amp; Jóhannesson,</w:t>
      </w:r>
      <w:r w:rsidR="006A20B1">
        <w:rPr>
          <w:rFonts w:cs="Times New Roman"/>
        </w:rPr>
        <w:t xml:space="preserve"> </w:t>
      </w:r>
      <w:r w:rsidR="006A20B1" w:rsidRPr="00F1479C">
        <w:rPr>
          <w:rFonts w:cs="Times New Roman"/>
        </w:rPr>
        <w:t>2014</w:t>
      </w:r>
      <w:r w:rsidR="006A20B1">
        <w:t>)</w:t>
      </w:r>
      <w:r w:rsidR="0086178A">
        <w:t xml:space="preserve">. </w:t>
      </w:r>
      <w:r w:rsidR="00343215">
        <w:t xml:space="preserve">Owing to these high risks, </w:t>
      </w:r>
      <w:r w:rsidR="0033196F">
        <w:t xml:space="preserve">securing financing could be challenging in the </w:t>
      </w:r>
      <w:r w:rsidR="00343215">
        <w:t>absence of government policy support in the form of risk guarantee</w:t>
      </w:r>
      <w:r w:rsidR="0033196F">
        <w:t xml:space="preserve">, and/or </w:t>
      </w:r>
      <w:r w:rsidR="007E2B40">
        <w:t>reliable</w:t>
      </w:r>
      <w:r w:rsidR="00464CA9">
        <w:t xml:space="preserve"> ‘take or pay’</w:t>
      </w:r>
      <w:r w:rsidR="007E2B40">
        <w:t xml:space="preserve"> </w:t>
      </w:r>
      <w:r w:rsidR="0033196F">
        <w:t>power purchase agreement (PPA)</w:t>
      </w:r>
      <w:r w:rsidR="00343215">
        <w:t>.</w:t>
      </w:r>
    </w:p>
    <w:p w14:paraId="2282CB5F" w14:textId="17538362" w:rsidR="00C92BED" w:rsidRDefault="00C92BED" w:rsidP="00D118D9">
      <w:r>
        <w:t>Grid integration of geothermal power does not present variability, and reserve capacity requirement issues because of its base load capability</w:t>
      </w:r>
      <w:r w:rsidR="00EF5091">
        <w:t>, and the inertia to provide voltage stability support to the grid</w:t>
      </w:r>
      <w:r>
        <w:t>. Compared to conventional alternatives, geothermal power plant offers high capacity credit (i.e. the fraction of the installed capacity that is firm</w:t>
      </w:r>
      <w:r w:rsidR="005145A0">
        <w:t xml:space="preserve"> or conventional-like</w:t>
      </w:r>
      <w:r>
        <w:t>)</w:t>
      </w:r>
      <w:r w:rsidR="00EF5091">
        <w:t xml:space="preserve">. Depending on resource location site relative to grid infrastructure and/or sub-station, </w:t>
      </w:r>
      <w:r w:rsidR="00B26968">
        <w:t>grid extension</w:t>
      </w:r>
      <w:r w:rsidR="00EF5091">
        <w:t xml:space="preserve"> may be needed for interconnection</w:t>
      </w:r>
      <w:r w:rsidR="00B26968">
        <w:t>, and/or grid reinforcement</w:t>
      </w:r>
      <w:r w:rsidR="00EF5091">
        <w:t xml:space="preserve"> to wheel the electricity to the market</w:t>
      </w:r>
      <w:r w:rsidR="00B26968">
        <w:t xml:space="preserve"> without grid congestion</w:t>
      </w:r>
      <w:r w:rsidR="00EF5091">
        <w:t>.</w:t>
      </w:r>
      <w:r w:rsidR="004A2827">
        <w:t xml:space="preserve"> This factor also </w:t>
      </w:r>
      <w:r w:rsidR="00B26968">
        <w:t>determines</w:t>
      </w:r>
      <w:r w:rsidR="004A2827">
        <w:t xml:space="preserve"> deep and/or shallow connection charges</w:t>
      </w:r>
      <w:r w:rsidR="007E2B40">
        <w:t xml:space="preserve"> to be paid by the project developer</w:t>
      </w:r>
      <w:r w:rsidR="004A2827">
        <w:t xml:space="preserve">, which in-turn affect the </w:t>
      </w:r>
      <w:r w:rsidR="00B26968">
        <w:t xml:space="preserve">overall </w:t>
      </w:r>
      <w:r w:rsidR="004A2827">
        <w:t>planning of geothermal power plant.</w:t>
      </w:r>
    </w:p>
    <w:p w14:paraId="51AA4DBD" w14:textId="5B9F59E4" w:rsidR="00C35ADD" w:rsidRPr="00D118D9" w:rsidRDefault="005145A0" w:rsidP="00D118D9">
      <w:r>
        <w:t>It is also important to note that many geothermal resources are not only remotely located, but also on lands that are usually government-owned, and therefore challenging to obtain planning permissions especially by</w:t>
      </w:r>
      <w:r w:rsidR="007E2B40">
        <w:t xml:space="preserve"> </w:t>
      </w:r>
      <w:r>
        <w:t>small companies that dominate the geothermal energy market.</w:t>
      </w:r>
    </w:p>
    <w:p w14:paraId="34222FBE" w14:textId="4EEBECBF" w:rsidR="00D1508C" w:rsidRPr="00E069AC" w:rsidRDefault="551A77D0" w:rsidP="00921A82">
      <w:pPr>
        <w:pStyle w:val="Heading3"/>
        <w:numPr>
          <w:ilvl w:val="2"/>
          <w:numId w:val="3"/>
        </w:numPr>
      </w:pPr>
      <w:bookmarkStart w:id="24" w:name="_Toc19137303"/>
      <w:r w:rsidRPr="00E069AC">
        <w:t>Adoption</w:t>
      </w:r>
      <w:r w:rsidR="006E6C65" w:rsidRPr="00E069AC">
        <w:t xml:space="preserve"> </w:t>
      </w:r>
      <w:r w:rsidRPr="00E069AC">
        <w:t>Potential</w:t>
      </w:r>
      <w:bookmarkEnd w:id="24"/>
    </w:p>
    <w:p w14:paraId="49AACCA3" w14:textId="3A84B818" w:rsidR="00B5371E" w:rsidRDefault="00B5371E" w:rsidP="00B5371E">
      <w:r>
        <w:t>There exist vast global geothermal energy</w:t>
      </w:r>
      <w:r w:rsidRPr="005B31C3">
        <w:t xml:space="preserve"> </w:t>
      </w:r>
      <w:r>
        <w:t xml:space="preserve">technical potential. Theoretical estimates suggest that about 45 EJ per year of geothermal power (and 1040 EJ per year of heat) could </w:t>
      </w:r>
      <w:r w:rsidRPr="00DF007A">
        <w:rPr>
          <w:noProof/>
        </w:rPr>
        <w:t>be obtained</w:t>
      </w:r>
      <w:r>
        <w:t xml:space="preserve"> by tapping 10 kilometers into the earth’s crust. In additional to this theoretical potential, geothermal energy potential exists in off-shore hydrothermal systems, </w:t>
      </w:r>
      <w:r w:rsidRPr="00BE1B06">
        <w:rPr>
          <w:noProof/>
        </w:rPr>
        <w:t>supercritical</w:t>
      </w:r>
      <w:r>
        <w:t xml:space="preserve"> fluids, magmatic and geo-pressured resources. This </w:t>
      </w:r>
      <w:r>
        <w:rPr>
          <w:noProof/>
        </w:rPr>
        <w:t>extra</w:t>
      </w:r>
      <w:r>
        <w:t xml:space="preserve"> potential could </w:t>
      </w:r>
      <w:r w:rsidRPr="00DF007A">
        <w:rPr>
          <w:noProof/>
        </w:rPr>
        <w:t>be harnessed</w:t>
      </w:r>
      <w:r>
        <w:t xml:space="preserve"> via enhanced geothermal technologies (Bromley &amp; Beerepoot, 2011).</w:t>
      </w:r>
    </w:p>
    <w:p w14:paraId="7DD39B8C" w14:textId="77777777" w:rsidR="00742E81" w:rsidRDefault="00742E81" w:rsidP="00742E81">
      <w:pPr>
        <w:rPr>
          <w:bCs/>
        </w:rPr>
      </w:pPr>
      <w:r w:rsidRPr="000B5BB4">
        <w:rPr>
          <w:bCs/>
        </w:rPr>
        <w:t>The MESSAGE model appears to have pessimistic assumptions and high costs for geothermal that resulted in little future growth, even under a 450 parts per million (ppm) scenario. GCAM, conversely, had very optimistic assumptions, calculating costs for all geothermal resources (hydrothermal and advanced) at $2,600/kW, making a much larger amount of geothermal resources available at low cost (Hannan et al. 2009). Under these assumptions, there was substantial future growth for geothermal in both GCAM’s 450 and base (business-as-usual) scenario – the base scenario, in fact, had more future growth in geothermal than the International Energy Agency (IEA)’s 2°C scenario. This scenario could be highly plausible under conditions in which advanced geothermal technologies like EGS become more commercialized and come down in cost, potentially foreshadowing the significant role that geothermal may play in the global energy mix. However, for now, EGS remains at the pilot stage.</w:t>
      </w:r>
    </w:p>
    <w:p w14:paraId="67F3D5EB" w14:textId="2F89402D" w:rsidR="007D6308" w:rsidRDefault="00742E81" w:rsidP="007D6308">
      <w:r>
        <w:t xml:space="preserve">The expansion of geothermal power in </w:t>
      </w:r>
      <w:r w:rsidR="00013820" w:rsidRPr="00701C25">
        <w:t xml:space="preserve">IEA Energy Technology Perspectives (ETP) </w:t>
      </w:r>
      <w:r>
        <w:t xml:space="preserve">results </w:t>
      </w:r>
      <w:r w:rsidRPr="00DF007A">
        <w:rPr>
          <w:noProof/>
        </w:rPr>
        <w:t>are dominated</w:t>
      </w:r>
      <w:r>
        <w:t xml:space="preserve"> by the accelerated deployment of conventional high-temperature hydrothermal resources and is therefore limited to areas where such resources are available</w:t>
      </w:r>
      <w:r w:rsidR="00013820">
        <w:t xml:space="preserve"> (i.e.</w:t>
      </w:r>
      <w:r>
        <w:t xml:space="preserve"> Asia, Central and South America, and East Africa</w:t>
      </w:r>
      <w:r w:rsidR="00013820">
        <w:t>)</w:t>
      </w:r>
      <w:r>
        <w:t xml:space="preserve">. There are abundant high-temperature hydrothermal resources particularly in Indonesia and the Philippines that </w:t>
      </w:r>
      <w:r w:rsidR="008A5CF3">
        <w:t xml:space="preserve">are </w:t>
      </w:r>
      <w:r>
        <w:t xml:space="preserve">yet to </w:t>
      </w:r>
      <w:r w:rsidRPr="00DF007A">
        <w:rPr>
          <w:noProof/>
        </w:rPr>
        <w:t>be exploited</w:t>
      </w:r>
      <w:r>
        <w:t xml:space="preserve">. </w:t>
      </w:r>
      <w:r w:rsidRPr="00DF007A">
        <w:rPr>
          <w:noProof/>
        </w:rPr>
        <w:t>Deployment of low- and medium-temperature hydrothermal resources in deep aquifers</w:t>
      </w:r>
      <w:r>
        <w:t xml:space="preserve"> is also growing quickly, particularly in OECD nations. The IEA expects advanced hot</w:t>
      </w:r>
      <w:r w:rsidR="008A5CF3">
        <w:t xml:space="preserve"> dry</w:t>
      </w:r>
      <w:r>
        <w:t xml:space="preserve"> rock geothermal technologies to become commercially viable shortly after 2030, and its deployment to help geothermal electric capacity to continue to grow after conventional hydrothermal resources </w:t>
      </w:r>
      <w:r w:rsidRPr="00DF007A">
        <w:rPr>
          <w:noProof/>
        </w:rPr>
        <w:t>are developed</w:t>
      </w:r>
      <w:r>
        <w:t>, and reach more geographic areas.</w:t>
      </w:r>
    </w:p>
    <w:p w14:paraId="69969A05" w14:textId="3058FF4B" w:rsidR="002C6C04" w:rsidRDefault="002C6C04" w:rsidP="002C6C04">
      <w:pPr>
        <w:spacing w:after="0"/>
      </w:pPr>
      <w:r>
        <w:t>Figures 1.</w:t>
      </w:r>
      <w:r w:rsidR="00AE2474">
        <w:t>4</w:t>
      </w:r>
      <w:r>
        <w:t xml:space="preserve"> and 1.</w:t>
      </w:r>
      <w:r w:rsidR="00AE2474">
        <w:t>5</w:t>
      </w:r>
      <w:r>
        <w:t xml:space="preserve"> present the installed capacity and electricity generation adoptions for the three scenarios presented in the 2017 Energy Technology Perspectives by the International Energy Agency (IEA). It shows that adoption of geothermal electricity</w:t>
      </w:r>
      <w:r w:rsidR="003478E7">
        <w:t xml:space="preserve"> in 2050</w:t>
      </w:r>
      <w:r>
        <w:t xml:space="preserve"> is expected to increase 7 times more than the current adoption </w:t>
      </w:r>
      <w:r w:rsidR="003478E7">
        <w:t xml:space="preserve">(84.8 TWh) </w:t>
      </w:r>
      <w:r>
        <w:t xml:space="preserve">even in the absence of any ambitious </w:t>
      </w:r>
      <w:r w:rsidR="008763A4">
        <w:t>decarbonization</w:t>
      </w:r>
      <w:r>
        <w:t xml:space="preserve"> policy.</w:t>
      </w:r>
    </w:p>
    <w:p w14:paraId="519FAAFA" w14:textId="77777777" w:rsidR="002C6C04" w:rsidRDefault="002C6C04" w:rsidP="00DC4A84">
      <w:pPr>
        <w:spacing w:after="0"/>
        <w:jc w:val="center"/>
      </w:pPr>
      <w:r>
        <w:rPr>
          <w:noProof/>
        </w:rPr>
        <w:drawing>
          <wp:inline distT="0" distB="0" distL="0" distR="0" wp14:anchorId="2F5BFC29" wp14:editId="43D5E242">
            <wp:extent cx="5029200" cy="26586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8685" cy="2663658"/>
                    </a:xfrm>
                    <a:prstGeom prst="rect">
                      <a:avLst/>
                    </a:prstGeom>
                  </pic:spPr>
                </pic:pic>
              </a:graphicData>
            </a:graphic>
          </wp:inline>
        </w:drawing>
      </w:r>
    </w:p>
    <w:p w14:paraId="6D9AC98C" w14:textId="332AA972" w:rsidR="006E7C83" w:rsidRDefault="00812165" w:rsidP="009E4975">
      <w:pPr>
        <w:pStyle w:val="Caption"/>
        <w:jc w:val="center"/>
      </w:pPr>
      <w:bookmarkStart w:id="25" w:name="_Toc44542628"/>
      <w:r w:rsidRPr="00740DE4">
        <w:t xml:space="preserve">Figure </w:t>
      </w:r>
      <w:fldSimple w:instr=" SEQ Figure \* ARABIC ">
        <w:r w:rsidRPr="00740DE4">
          <w:t>1</w:t>
        </w:r>
      </w:fldSimple>
      <w:r w:rsidRPr="00740DE4">
        <w:t>.</w:t>
      </w:r>
      <w:r>
        <w:t>4</w:t>
      </w:r>
      <w:r w:rsidRPr="00740DE4">
        <w:t xml:space="preserve"> - </w:t>
      </w:r>
      <w:r w:rsidR="002C6C04">
        <w:t xml:space="preserve"> Geothermal capacity adoption in various scenarios (Ad</w:t>
      </w:r>
      <w:r w:rsidR="001D7FF6">
        <w:t>a</w:t>
      </w:r>
      <w:r w:rsidR="002C6C04">
        <w:t>pted from IEA ETP, 2017, &amp; ThinkGeoEnergy, 2018*)</w:t>
      </w:r>
      <w:bookmarkEnd w:id="25"/>
    </w:p>
    <w:p w14:paraId="487B578D" w14:textId="77777777" w:rsidR="009E4975" w:rsidRPr="009E4975" w:rsidRDefault="009E4975" w:rsidP="008763A4"/>
    <w:p w14:paraId="506872F7" w14:textId="77777777" w:rsidR="002C6C04" w:rsidRDefault="002C6C04" w:rsidP="00DC4A84">
      <w:pPr>
        <w:spacing w:after="0"/>
        <w:jc w:val="center"/>
      </w:pPr>
      <w:r>
        <w:rPr>
          <w:noProof/>
        </w:rPr>
        <w:drawing>
          <wp:inline distT="0" distB="0" distL="0" distR="0" wp14:anchorId="5D4D73E2" wp14:editId="75AB7FE5">
            <wp:extent cx="4867275" cy="20996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71541" cy="2101449"/>
                    </a:xfrm>
                    <a:prstGeom prst="rect">
                      <a:avLst/>
                    </a:prstGeom>
                  </pic:spPr>
                </pic:pic>
              </a:graphicData>
            </a:graphic>
          </wp:inline>
        </w:drawing>
      </w:r>
    </w:p>
    <w:p w14:paraId="6A6BF422" w14:textId="219D1A46" w:rsidR="002C6C04" w:rsidRPr="00812165" w:rsidRDefault="00812165" w:rsidP="008763A4">
      <w:pPr>
        <w:pStyle w:val="Caption"/>
        <w:jc w:val="center"/>
      </w:pPr>
      <w:bookmarkStart w:id="26" w:name="_Toc44542629"/>
      <w:r w:rsidRPr="00740DE4">
        <w:t xml:space="preserve">Figure </w:t>
      </w:r>
      <w:fldSimple w:instr=" SEQ Figure \* ARABIC ">
        <w:r w:rsidRPr="00740DE4">
          <w:t>1</w:t>
        </w:r>
      </w:fldSimple>
      <w:r w:rsidRPr="00740DE4">
        <w:t>.</w:t>
      </w:r>
      <w:r>
        <w:t>5</w:t>
      </w:r>
      <w:r w:rsidRPr="00740DE4">
        <w:t xml:space="preserve"> - </w:t>
      </w:r>
      <w:r w:rsidR="002C6C04">
        <w:t xml:space="preserve">– Geothermal electricity generation in Ref., </w:t>
      </w:r>
      <w:r w:rsidR="002C6C04" w:rsidRPr="00251902">
        <w:t>2DS</w:t>
      </w:r>
      <w:r w:rsidR="002C6C04">
        <w:t xml:space="preserve"> and B2DS scenarios (Ad</w:t>
      </w:r>
      <w:r w:rsidR="001D7FF6">
        <w:t>a</w:t>
      </w:r>
      <w:r w:rsidR="002C6C04">
        <w:t>pted from IEA ETP, 2017; IEA, 2018*)</w:t>
      </w:r>
      <w:bookmarkEnd w:id="26"/>
    </w:p>
    <w:p w14:paraId="12A2F24A" w14:textId="0334E7EF" w:rsidR="001C49CB" w:rsidRPr="00E069AC" w:rsidRDefault="551A77D0" w:rsidP="00921A82">
      <w:pPr>
        <w:pStyle w:val="Heading2"/>
        <w:numPr>
          <w:ilvl w:val="1"/>
          <w:numId w:val="9"/>
        </w:numPr>
      </w:pPr>
      <w:bookmarkStart w:id="27" w:name="_Toc19137304"/>
      <w:r w:rsidRPr="00E069AC">
        <w:t xml:space="preserve">Advantages and disadvantages of </w:t>
      </w:r>
      <w:r w:rsidR="00573B48">
        <w:t>Geothermal</w:t>
      </w:r>
      <w:r w:rsidR="002415D6">
        <w:t xml:space="preserve"> Power Systems</w:t>
      </w:r>
      <w:bookmarkEnd w:id="27"/>
    </w:p>
    <w:p w14:paraId="473285D3" w14:textId="65590644" w:rsidR="00202788" w:rsidRPr="00E069AC" w:rsidRDefault="551A77D0" w:rsidP="00B5371E">
      <w:pPr>
        <w:pStyle w:val="Heading3"/>
      </w:pPr>
      <w:bookmarkStart w:id="28" w:name="_Toc19137305"/>
      <w:r w:rsidRPr="00E069AC">
        <w:t>Similar Solutions</w:t>
      </w:r>
      <w:bookmarkEnd w:id="28"/>
    </w:p>
    <w:p w14:paraId="2087A888" w14:textId="51904008" w:rsidR="000D1E17" w:rsidRDefault="00202788" w:rsidP="000D1E17">
      <w:pPr>
        <w:rPr>
          <w:rFonts w:cs="Times New Roman"/>
        </w:rPr>
      </w:pPr>
      <w:r w:rsidRPr="00696A8C">
        <w:rPr>
          <w:rFonts w:cs="Times New Roman"/>
        </w:rPr>
        <w:t>There are several solutions in the electricity generation sector that replace conventional electricity-generating technologies such as coal, oil, and natural gas power plants, and that could be considered similar solutions.</w:t>
      </w:r>
    </w:p>
    <w:p w14:paraId="2CED7B98" w14:textId="6146AEB2" w:rsidR="00627843" w:rsidRDefault="00AA0E95" w:rsidP="000D1E17">
      <w:pPr>
        <w:rPr>
          <w:rFonts w:cs="Times New Roman"/>
        </w:rPr>
      </w:pPr>
      <w:r>
        <w:rPr>
          <w:rFonts w:cs="Times New Roman"/>
        </w:rPr>
        <w:t xml:space="preserve">Geothermal power plant is essentially a steam plant with its own in-situ heat source. </w:t>
      </w:r>
      <w:r w:rsidR="008C74A4">
        <w:rPr>
          <w:rFonts w:cs="Times New Roman"/>
        </w:rPr>
        <w:t>In other words, it can be likened to a gas power plant, where the required fuel (</w:t>
      </w:r>
      <w:r w:rsidR="00110734">
        <w:rPr>
          <w:rFonts w:cs="Times New Roman"/>
        </w:rPr>
        <w:t xml:space="preserve">i.e. </w:t>
      </w:r>
      <w:r w:rsidR="008C74A4">
        <w:rPr>
          <w:rFonts w:cs="Times New Roman"/>
        </w:rPr>
        <w:t xml:space="preserve">hydrothermal for raising steam) throughout its lifetime </w:t>
      </w:r>
      <w:r w:rsidR="00E92C1D">
        <w:rPr>
          <w:rFonts w:cs="Times New Roman"/>
        </w:rPr>
        <w:t>must</w:t>
      </w:r>
      <w:r w:rsidR="008C74A4">
        <w:rPr>
          <w:rFonts w:cs="Times New Roman"/>
        </w:rPr>
        <w:t xml:space="preserve"> be procured upfront</w:t>
      </w:r>
      <w:r w:rsidR="005D7734">
        <w:rPr>
          <w:rFonts w:cs="Times New Roman"/>
        </w:rPr>
        <w:t xml:space="preserve"> so that no exposure to</w:t>
      </w:r>
      <w:r w:rsidR="00101263">
        <w:rPr>
          <w:rFonts w:cs="Times New Roman"/>
        </w:rPr>
        <w:t xml:space="preserve"> </w:t>
      </w:r>
      <w:r w:rsidR="001A6953">
        <w:rPr>
          <w:rFonts w:cs="Times New Roman"/>
        </w:rPr>
        <w:t xml:space="preserve">future </w:t>
      </w:r>
      <w:r w:rsidR="00101263">
        <w:rPr>
          <w:rFonts w:cs="Times New Roman"/>
        </w:rPr>
        <w:t>fuel price fluctuation risks</w:t>
      </w:r>
      <w:r w:rsidR="008C74A4">
        <w:rPr>
          <w:rFonts w:cs="Times New Roman"/>
        </w:rPr>
        <w:t xml:space="preserve">. </w:t>
      </w:r>
      <w:r>
        <w:rPr>
          <w:rFonts w:cs="Times New Roman"/>
        </w:rPr>
        <w:t xml:space="preserve">Other </w:t>
      </w:r>
      <w:r w:rsidR="006F7408">
        <w:rPr>
          <w:rFonts w:cs="Times New Roman"/>
        </w:rPr>
        <w:t>clean technologies</w:t>
      </w:r>
      <w:r>
        <w:rPr>
          <w:rFonts w:cs="Times New Roman"/>
        </w:rPr>
        <w:t xml:space="preserve"> that could be considered similar to this solution</w:t>
      </w:r>
      <w:r w:rsidR="001A6953">
        <w:rPr>
          <w:rFonts w:cs="Times New Roman"/>
        </w:rPr>
        <w:t xml:space="preserve"> at the same or different level of agencies</w:t>
      </w:r>
      <w:r>
        <w:rPr>
          <w:rFonts w:cs="Times New Roman"/>
        </w:rPr>
        <w:t xml:space="preserve"> include</w:t>
      </w:r>
      <w:r w:rsidR="00627843">
        <w:rPr>
          <w:rFonts w:cs="Times New Roman"/>
        </w:rPr>
        <w:t>:</w:t>
      </w:r>
    </w:p>
    <w:p w14:paraId="662121DC" w14:textId="21303B55" w:rsidR="008907A3" w:rsidRDefault="00627843" w:rsidP="00627843">
      <w:pPr>
        <w:pStyle w:val="ListParagraph"/>
        <w:numPr>
          <w:ilvl w:val="0"/>
          <w:numId w:val="11"/>
        </w:numPr>
        <w:rPr>
          <w:rFonts w:cs="Times New Roman"/>
        </w:rPr>
      </w:pPr>
      <w:r w:rsidRPr="008763A4">
        <w:rPr>
          <w:rFonts w:cs="Times New Roman"/>
          <w:u w:val="single"/>
        </w:rPr>
        <w:t>C</w:t>
      </w:r>
      <w:r w:rsidR="00AA0E95" w:rsidRPr="008763A4">
        <w:rPr>
          <w:rFonts w:cs="Times New Roman"/>
          <w:u w:val="single"/>
        </w:rPr>
        <w:t>ogeneration</w:t>
      </w:r>
      <w:r w:rsidR="006F7408" w:rsidRPr="008763A4">
        <w:rPr>
          <w:rFonts w:cs="Times New Roman"/>
          <w:u w:val="single"/>
        </w:rPr>
        <w:t xml:space="preserve"> or combined heat and power</w:t>
      </w:r>
      <w:r w:rsidR="00AA0E95" w:rsidRPr="008763A4">
        <w:rPr>
          <w:rFonts w:cs="Times New Roman"/>
          <w:u w:val="single"/>
        </w:rPr>
        <w:t xml:space="preserve"> plant</w:t>
      </w:r>
      <w:r w:rsidRPr="008763A4">
        <w:rPr>
          <w:rFonts w:cs="Times New Roman"/>
          <w:u w:val="single"/>
        </w:rPr>
        <w:t>:</w:t>
      </w:r>
      <w:r w:rsidR="006F7408" w:rsidRPr="00627843">
        <w:rPr>
          <w:rFonts w:cs="Times New Roman"/>
        </w:rPr>
        <w:t xml:space="preserve"> In some </w:t>
      </w:r>
      <w:r>
        <w:rPr>
          <w:rFonts w:cs="Times New Roman"/>
        </w:rPr>
        <w:t>geothermal system</w:t>
      </w:r>
      <w:r w:rsidR="006F7408" w:rsidRPr="00627843">
        <w:rPr>
          <w:rFonts w:cs="Times New Roman"/>
        </w:rPr>
        <w:t xml:space="preserve"> variant, they are </w:t>
      </w:r>
      <w:r w:rsidR="00BC6B34" w:rsidRPr="00627843">
        <w:rPr>
          <w:rFonts w:cs="Times New Roman"/>
        </w:rPr>
        <w:t>combined</w:t>
      </w:r>
      <w:r w:rsidR="006F7408" w:rsidRPr="00627843">
        <w:rPr>
          <w:rFonts w:cs="Times New Roman"/>
        </w:rPr>
        <w:t xml:space="preserve"> to form geothermal cogeneration</w:t>
      </w:r>
      <w:r w:rsidR="00BC6B34" w:rsidRPr="00627843">
        <w:rPr>
          <w:rFonts w:cs="Times New Roman"/>
        </w:rPr>
        <w:t xml:space="preserve"> system which can provide electricity as well as district heating services.</w:t>
      </w:r>
    </w:p>
    <w:p w14:paraId="6C9CD1EB" w14:textId="163EF4FD" w:rsidR="001A6953" w:rsidRPr="001A6953" w:rsidRDefault="00627843" w:rsidP="001A6953">
      <w:pPr>
        <w:pStyle w:val="ListParagraph"/>
        <w:numPr>
          <w:ilvl w:val="0"/>
          <w:numId w:val="11"/>
        </w:numPr>
        <w:rPr>
          <w:rFonts w:cs="Times New Roman"/>
        </w:rPr>
      </w:pPr>
      <w:r w:rsidRPr="008763A4">
        <w:rPr>
          <w:rFonts w:cs="Times New Roman"/>
          <w:u w:val="single"/>
        </w:rPr>
        <w:t>Modular geothermal plant</w:t>
      </w:r>
      <w:r w:rsidR="008C74A4">
        <w:rPr>
          <w:rFonts w:cs="Times New Roman"/>
          <w:u w:val="single"/>
        </w:rPr>
        <w:t xml:space="preserve"> or MiniGeo</w:t>
      </w:r>
      <w:r w:rsidRPr="008763A4">
        <w:rPr>
          <w:rFonts w:cs="Times New Roman"/>
          <w:u w:val="single"/>
        </w:rPr>
        <w:t>:</w:t>
      </w:r>
      <w:r>
        <w:rPr>
          <w:rFonts w:cs="Times New Roman"/>
        </w:rPr>
        <w:t xml:space="preserve"> Usually, binary cycle plant </w:t>
      </w:r>
      <w:r w:rsidR="00EB2946">
        <w:rPr>
          <w:rFonts w:cs="Times New Roman"/>
        </w:rPr>
        <w:t>constructed in small units in kilowatt-scale could be used to power mini-</w:t>
      </w:r>
      <w:r w:rsidR="008C74A4">
        <w:rPr>
          <w:rFonts w:cs="Times New Roman"/>
        </w:rPr>
        <w:t>grids or</w:t>
      </w:r>
      <w:r w:rsidR="00EB2946">
        <w:rPr>
          <w:rFonts w:cs="Times New Roman"/>
        </w:rPr>
        <w:t xml:space="preserve"> connected in series to reach megawatt utility-scale.</w:t>
      </w:r>
    </w:p>
    <w:p w14:paraId="66FEF337" w14:textId="096270A2" w:rsidR="000330C6" w:rsidRDefault="551A77D0" w:rsidP="000D1E17">
      <w:pPr>
        <w:pStyle w:val="Heading3"/>
      </w:pPr>
      <w:bookmarkStart w:id="29" w:name="_Toc19137306"/>
      <w:r w:rsidRPr="00E069AC">
        <w:t>Arguments for Adoption</w:t>
      </w:r>
      <w:bookmarkEnd w:id="29"/>
    </w:p>
    <w:p w14:paraId="44D90B2D" w14:textId="5F1A4C95" w:rsidR="00B5371E" w:rsidRDefault="00B5371E" w:rsidP="00B5371E">
      <w:r w:rsidRPr="00524D9E">
        <w:t>Geothermal energy is classiﬁed as a renewable resource</w:t>
      </w:r>
      <w:r>
        <w:t xml:space="preserve"> </w:t>
      </w:r>
      <w:r w:rsidRPr="00524D9E">
        <w:t>because the tapped heat from an active reservoir is continuously restored by natural heat production</w:t>
      </w:r>
      <w:r>
        <w:t xml:space="preserve"> as a result of the constant heat flow from the enormous amount of heat stored within the earth</w:t>
      </w:r>
      <w:r w:rsidR="003478E7">
        <w:t xml:space="preserve">, while the hydrothermal formation is driven by replenishable hydrological cycle such as rain or ocean water seepage through </w:t>
      </w:r>
      <w:r w:rsidR="007E2B40">
        <w:t xml:space="preserve">the </w:t>
      </w:r>
      <w:r w:rsidR="003478E7">
        <w:t>line of fault</w:t>
      </w:r>
      <w:r w:rsidR="007E2B40">
        <w:t xml:space="preserve"> on the earth’s crust</w:t>
      </w:r>
      <w:r w:rsidR="00151238">
        <w:t>.</w:t>
      </w:r>
      <w:r>
        <w:t xml:space="preserve"> Geothermal power is also sustainable in that, the heat removed from the resource is replaced within the same time scale. </w:t>
      </w:r>
      <w:r w:rsidRPr="00DF007A">
        <w:t xml:space="preserve">For a given geothermal power generation system, and mode of production, there exist a certain level of maximum power generation, below which it is possible to obtain a constant level of energy production from the geothermal system over and beyond the economic lifespan of the system (over 100 years) (Axelsson </w:t>
      </w:r>
      <w:r w:rsidRPr="00D118D9">
        <w:rPr>
          <w:i/>
        </w:rPr>
        <w:t>et al</w:t>
      </w:r>
      <w:r w:rsidRPr="00DF007A">
        <w:t>.</w:t>
      </w:r>
      <w:r>
        <w:t>,</w:t>
      </w:r>
      <w:r w:rsidRPr="00DF007A">
        <w:t xml:space="preserve"> 2010).</w:t>
      </w:r>
    </w:p>
    <w:p w14:paraId="68D0C86E" w14:textId="27007CCF" w:rsidR="00D118D9" w:rsidRPr="00D118D9" w:rsidRDefault="00D118D9" w:rsidP="00D118D9">
      <w:r w:rsidRPr="00D118D9">
        <w:t xml:space="preserve">Geothermal technologies are </w:t>
      </w:r>
      <w:r w:rsidR="00013820">
        <w:t xml:space="preserve">considered </w:t>
      </w:r>
      <w:r w:rsidRPr="00D118D9">
        <w:t>relatively mature within the renewable</w:t>
      </w:r>
      <w:r w:rsidR="00013820">
        <w:t xml:space="preserve"> energy</w:t>
      </w:r>
      <w:r w:rsidR="00855D68">
        <w:t xml:space="preserve">; while </w:t>
      </w:r>
      <w:r w:rsidR="00013820">
        <w:t>hav</w:t>
      </w:r>
      <w:r w:rsidR="00855D68">
        <w:t>ing</w:t>
      </w:r>
      <w:r w:rsidRPr="00D118D9">
        <w:t xml:space="preserve"> different cost drivers </w:t>
      </w:r>
      <w:r w:rsidR="00855D68">
        <w:t xml:space="preserve">from </w:t>
      </w:r>
      <w:r w:rsidRPr="00D118D9">
        <w:t xml:space="preserve">wind and solar technologies. </w:t>
      </w:r>
      <w:r w:rsidR="00855D68">
        <w:t>C</w:t>
      </w:r>
      <w:r w:rsidR="00855D68" w:rsidRPr="00D118D9">
        <w:t>ontrasting</w:t>
      </w:r>
      <w:r w:rsidRPr="00D118D9">
        <w:t xml:space="preserve"> </w:t>
      </w:r>
      <w:r w:rsidR="00855D68">
        <w:t xml:space="preserve">to </w:t>
      </w:r>
      <w:r w:rsidRPr="00D118D9">
        <w:t xml:space="preserve">other </w:t>
      </w:r>
      <w:r w:rsidR="00013820">
        <w:t>renewable energy sources</w:t>
      </w:r>
      <w:r w:rsidRPr="00D118D9">
        <w:t xml:space="preserve">, </w:t>
      </w:r>
      <w:r w:rsidR="00013820">
        <w:t xml:space="preserve">the </w:t>
      </w:r>
      <w:r w:rsidR="00855D68">
        <w:t>large amount</w:t>
      </w:r>
      <w:r w:rsidR="00013820">
        <w:t xml:space="preserve"> </w:t>
      </w:r>
      <w:r w:rsidRPr="00D118D9">
        <w:t xml:space="preserve">geothermal plant’s cost occurs prior to confirmation of resource availability during the process of drilling test </w:t>
      </w:r>
      <w:r w:rsidRPr="000D1E17">
        <w:t>wells (WEC, 2013).</w:t>
      </w:r>
    </w:p>
    <w:p w14:paraId="558E92B1" w14:textId="47554D32" w:rsidR="00B5371E" w:rsidRPr="00B5371E" w:rsidRDefault="00D118D9" w:rsidP="00B5371E">
      <w:r>
        <w:t>Also c</w:t>
      </w:r>
      <w:r w:rsidR="00B5371E" w:rsidRPr="00B5371E">
        <w:t xml:space="preserve">ompared to other renewable power sources such as solar and wind, geothermal power is immune from weather effects and seasonal variations. It can, therefore, be used as both a form of baseload power and peaking power. Thus unlike many other renewable sources of energy, the increased deployment of geothermal power does not impose load-balancing requirements on the electricity system. On the other hand, geothermal power could be used to balance out the </w:t>
      </w:r>
      <w:r w:rsidR="00D823C4">
        <w:t xml:space="preserve">effects </w:t>
      </w:r>
      <w:r w:rsidR="00B5371E" w:rsidRPr="00B5371E">
        <w:t xml:space="preserve">of increased deployment of intermittent renewables </w:t>
      </w:r>
      <w:r w:rsidR="00D823C4" w:rsidRPr="00B5371E">
        <w:t>using</w:t>
      </w:r>
      <w:r w:rsidR="00B5371E" w:rsidRPr="00B5371E">
        <w:t xml:space="preserve"> submersible pumps that reduce the amount of fluid extracted from geothermal reservoirs to generate electricity when demand falls.</w:t>
      </w:r>
      <w:r w:rsidR="004223A6">
        <w:t xml:space="preserve"> From the schema in Figure 1.</w:t>
      </w:r>
      <w:r w:rsidR="004E23CB">
        <w:t>3</w:t>
      </w:r>
      <w:r w:rsidR="004223A6">
        <w:t>, it</w:t>
      </w:r>
      <w:r w:rsidR="00571DDD">
        <w:t xml:space="preserve"> is</w:t>
      </w:r>
      <w:r w:rsidR="00987B6E">
        <w:t xml:space="preserve"> likely</w:t>
      </w:r>
      <w:r w:rsidR="00571DDD">
        <w:t xml:space="preserve"> that </w:t>
      </w:r>
      <w:r w:rsidR="00226618">
        <w:t xml:space="preserve">the </w:t>
      </w:r>
      <w:r w:rsidR="00987B6E">
        <w:t>geothermal plants</w:t>
      </w:r>
      <w:r w:rsidR="00571DDD">
        <w:t xml:space="preserve"> </w:t>
      </w:r>
      <w:r w:rsidR="007E2B40">
        <w:t xml:space="preserve">may </w:t>
      </w:r>
      <w:r w:rsidR="00987B6E">
        <w:t xml:space="preserve">be useful </w:t>
      </w:r>
      <w:r w:rsidR="00571DDD">
        <w:t xml:space="preserve">as peaking power plant because the hydrothermal fluid flow </w:t>
      </w:r>
      <w:r w:rsidR="00987B6E">
        <w:t>could be regulated with throttling valves and pumps, thereby</w:t>
      </w:r>
      <w:r w:rsidR="00571DDD">
        <w:t xml:space="preserve"> </w:t>
      </w:r>
      <w:r w:rsidR="00987B6E">
        <w:t xml:space="preserve">enabling the plants to </w:t>
      </w:r>
      <w:r w:rsidR="00571DDD">
        <w:t xml:space="preserve">ramp up and down </w:t>
      </w:r>
      <w:r w:rsidR="00206D3C">
        <w:t>to follow</w:t>
      </w:r>
      <w:r w:rsidR="00987B6E">
        <w:t xml:space="preserve"> </w:t>
      </w:r>
      <w:r w:rsidR="00FB5911">
        <w:t>varyi</w:t>
      </w:r>
      <w:r w:rsidR="00206D3C">
        <w:t>ng load</w:t>
      </w:r>
      <w:r w:rsidR="00987B6E">
        <w:t xml:space="preserve"> conditions</w:t>
      </w:r>
      <w:r w:rsidR="00571DDD">
        <w:t>.</w:t>
      </w:r>
      <w:r w:rsidR="00B5371E" w:rsidRPr="00B5371E">
        <w:t xml:space="preserve"> In addition to providing </w:t>
      </w:r>
      <w:r w:rsidR="003354B7">
        <w:t xml:space="preserve">base load and possibly </w:t>
      </w:r>
      <w:r w:rsidR="00B5371E" w:rsidRPr="00B5371E">
        <w:t xml:space="preserve">peak </w:t>
      </w:r>
      <w:r w:rsidR="003354B7">
        <w:t xml:space="preserve">load, </w:t>
      </w:r>
      <w:r w:rsidR="00B5371E" w:rsidRPr="00B5371E">
        <w:t xml:space="preserve">geothermal </w:t>
      </w:r>
      <w:r w:rsidR="003354B7">
        <w:t>plant</w:t>
      </w:r>
      <w:r w:rsidR="00B5371E" w:rsidRPr="00B5371E">
        <w:t xml:space="preserve"> is also compatible with distributed power generation systems, and can produce both electricity and heat in combined heat and power (CHP) plants.</w:t>
      </w:r>
    </w:p>
    <w:p w14:paraId="0C198FAE" w14:textId="0FDAC8B1" w:rsidR="00C35ADD" w:rsidRPr="00013820" w:rsidRDefault="00B5371E" w:rsidP="00C35ADD">
      <w:pPr>
        <w:rPr>
          <w:color w:val="000000" w:themeColor="text1"/>
        </w:rPr>
      </w:pPr>
      <w:r w:rsidRPr="00B5371E">
        <w:t>The increased use of geothermal power has many environmental and climate benefits. Geothermal power has the smallest surface land footprint per kilowatt compared to other power generation technologies (IPCC</w:t>
      </w:r>
      <w:r>
        <w:t>,</w:t>
      </w:r>
      <w:r w:rsidRPr="00B5371E">
        <w:t xml:space="preserve"> 2011, Tester et al.</w:t>
      </w:r>
      <w:r>
        <w:t>,</w:t>
      </w:r>
      <w:r w:rsidRPr="00B5371E">
        <w:t xml:space="preserve"> 2006). </w:t>
      </w:r>
      <w:r w:rsidRPr="00013820">
        <w:rPr>
          <w:color w:val="000000" w:themeColor="text1"/>
        </w:rPr>
        <w:t xml:space="preserve">Its increased deployment can reduce effects of water and air pollution from the burning of fossil fuels, and eliminate the mining, processing, and transport </w:t>
      </w:r>
      <w:r w:rsidR="00101263" w:rsidRPr="00013820">
        <w:rPr>
          <w:color w:val="000000" w:themeColor="text1"/>
        </w:rPr>
        <w:t>o</w:t>
      </w:r>
      <w:r w:rsidR="00FB7A4A" w:rsidRPr="00013820">
        <w:rPr>
          <w:color w:val="000000" w:themeColor="text1"/>
        </w:rPr>
        <w:t xml:space="preserve">f </w:t>
      </w:r>
      <w:r w:rsidRPr="00013820">
        <w:rPr>
          <w:color w:val="000000" w:themeColor="text1"/>
        </w:rPr>
        <w:t>fossil fuels as inputs for electricity gene</w:t>
      </w:r>
      <w:r w:rsidR="00FB7A4A" w:rsidRPr="00013820">
        <w:rPr>
          <w:color w:val="000000" w:themeColor="text1"/>
        </w:rPr>
        <w:t>ration</w:t>
      </w:r>
      <w:r w:rsidRPr="00013820">
        <w:rPr>
          <w:color w:val="000000" w:themeColor="text1"/>
        </w:rPr>
        <w:t xml:space="preserve">. Geothermal plants do </w:t>
      </w:r>
      <w:r w:rsidR="00101263" w:rsidRPr="00013820">
        <w:rPr>
          <w:color w:val="000000" w:themeColor="text1"/>
        </w:rPr>
        <w:t xml:space="preserve">emit </w:t>
      </w:r>
      <w:r w:rsidR="00FB7A4A" w:rsidRPr="00013820">
        <w:rPr>
          <w:color w:val="000000" w:themeColor="text1"/>
        </w:rPr>
        <w:t>some</w:t>
      </w:r>
      <w:r w:rsidRPr="00013820">
        <w:rPr>
          <w:color w:val="000000" w:themeColor="text1"/>
        </w:rPr>
        <w:t xml:space="preserve"> amounts of CO</w:t>
      </w:r>
      <w:r w:rsidRPr="00013820">
        <w:rPr>
          <w:color w:val="000000" w:themeColor="text1"/>
          <w:vertAlign w:val="subscript"/>
        </w:rPr>
        <w:t>2</w:t>
      </w:r>
      <w:r w:rsidRPr="00013820">
        <w:rPr>
          <w:color w:val="000000" w:themeColor="text1"/>
        </w:rPr>
        <w:t xml:space="preserve"> but from natural fluxes, rather than combustion. </w:t>
      </w:r>
      <w:r w:rsidR="00013820">
        <w:rPr>
          <w:rFonts w:cs="Times New Roman"/>
          <w:color w:val="000000" w:themeColor="text1"/>
        </w:rPr>
        <w:t>D</w:t>
      </w:r>
      <w:r w:rsidR="00DE1E78" w:rsidRPr="00013820">
        <w:rPr>
          <w:rFonts w:cs="Times New Roman"/>
          <w:color w:val="000000" w:themeColor="text1"/>
        </w:rPr>
        <w:t xml:space="preserve">irect </w:t>
      </w:r>
      <w:r w:rsidR="003712DC">
        <w:rPr>
          <w:rFonts w:cs="Times New Roman"/>
          <w:color w:val="000000" w:themeColor="text1"/>
        </w:rPr>
        <w:t xml:space="preserve">carbon dioxide </w:t>
      </w:r>
      <w:r w:rsidR="00DE1E78" w:rsidRPr="00013820">
        <w:rPr>
          <w:rFonts w:cs="Times New Roman"/>
          <w:color w:val="000000" w:themeColor="text1"/>
        </w:rPr>
        <w:t xml:space="preserve">emissions have been </w:t>
      </w:r>
      <w:r w:rsidR="003712DC">
        <w:rPr>
          <w:rFonts w:cs="Times New Roman"/>
          <w:color w:val="000000" w:themeColor="text1"/>
        </w:rPr>
        <w:t xml:space="preserve">report to be </w:t>
      </w:r>
      <w:r w:rsidR="00DE1E78" w:rsidRPr="00013820">
        <w:rPr>
          <w:rFonts w:cs="Times New Roman"/>
          <w:color w:val="000000" w:themeColor="text1"/>
        </w:rPr>
        <w:t>high</w:t>
      </w:r>
      <w:r w:rsidR="003712DC">
        <w:rPr>
          <w:rFonts w:cs="Times New Roman"/>
          <w:color w:val="000000" w:themeColor="text1"/>
        </w:rPr>
        <w:t xml:space="preserve"> ranging </w:t>
      </w:r>
      <w:r w:rsidR="00DE1E78" w:rsidRPr="00013820">
        <w:rPr>
          <w:rFonts w:cs="Times New Roman"/>
          <w:color w:val="000000" w:themeColor="text1"/>
        </w:rPr>
        <w:t>from close to 0 to 740 g CO</w:t>
      </w:r>
      <w:r w:rsidR="00DE1E78" w:rsidRPr="00013820">
        <w:rPr>
          <w:rFonts w:cs="Times New Roman"/>
          <w:color w:val="000000" w:themeColor="text1"/>
          <w:vertAlign w:val="subscript"/>
        </w:rPr>
        <w:t>2</w:t>
      </w:r>
      <w:r w:rsidR="00DE1E78" w:rsidRPr="00013820">
        <w:rPr>
          <w:rFonts w:cs="Times New Roman"/>
          <w:color w:val="000000" w:themeColor="text1"/>
        </w:rPr>
        <w:t xml:space="preserve">/kWhe </w:t>
      </w:r>
      <w:r w:rsidR="003712DC" w:rsidRPr="00013820">
        <w:rPr>
          <w:rFonts w:cs="Times New Roman"/>
          <w:color w:val="000000" w:themeColor="text1"/>
        </w:rPr>
        <w:t>dependent</w:t>
      </w:r>
      <w:r w:rsidR="00DE1E78" w:rsidRPr="00013820">
        <w:rPr>
          <w:rFonts w:cs="Times New Roman"/>
          <w:color w:val="000000" w:themeColor="text1"/>
        </w:rPr>
        <w:t xml:space="preserve"> on technology design and composition of the geothermal fluid in the underground reservoir. Direct CO</w:t>
      </w:r>
      <w:r w:rsidR="00DE1E78" w:rsidRPr="00013820">
        <w:rPr>
          <w:rFonts w:cs="Times New Roman"/>
          <w:color w:val="000000" w:themeColor="text1"/>
          <w:vertAlign w:val="subscript"/>
        </w:rPr>
        <w:t>2</w:t>
      </w:r>
      <w:r w:rsidR="00DE1E78" w:rsidRPr="00013820">
        <w:rPr>
          <w:rFonts w:cs="Times New Roman"/>
          <w:color w:val="000000" w:themeColor="text1"/>
        </w:rPr>
        <w:t xml:space="preserve"> emissions for direct use applications are </w:t>
      </w:r>
      <w:r w:rsidR="003712DC" w:rsidRPr="00013820">
        <w:rPr>
          <w:rFonts w:cs="Times New Roman"/>
          <w:color w:val="000000" w:themeColor="text1"/>
        </w:rPr>
        <w:t>insignificant</w:t>
      </w:r>
      <w:r w:rsidR="00DE1E78" w:rsidRPr="00013820">
        <w:rPr>
          <w:rFonts w:cs="Times New Roman"/>
          <w:color w:val="000000" w:themeColor="text1"/>
        </w:rPr>
        <w:t xml:space="preserve"> and EGS power plants are </w:t>
      </w:r>
      <w:r w:rsidR="003712DC" w:rsidRPr="00013820">
        <w:rPr>
          <w:rFonts w:cs="Times New Roman"/>
          <w:color w:val="000000" w:themeColor="text1"/>
        </w:rPr>
        <w:t>expected</w:t>
      </w:r>
      <w:r w:rsidR="00DE1E78" w:rsidRPr="00013820">
        <w:rPr>
          <w:rFonts w:cs="Times New Roman"/>
          <w:color w:val="000000" w:themeColor="text1"/>
        </w:rPr>
        <w:t xml:space="preserve"> to be </w:t>
      </w:r>
      <w:r w:rsidR="003712DC" w:rsidRPr="00013820">
        <w:rPr>
          <w:rFonts w:cs="Times New Roman"/>
          <w:color w:val="000000" w:themeColor="text1"/>
        </w:rPr>
        <w:t>planned</w:t>
      </w:r>
      <w:r w:rsidR="00DE1E78" w:rsidRPr="00013820">
        <w:rPr>
          <w:rFonts w:cs="Times New Roman"/>
          <w:color w:val="000000" w:themeColor="text1"/>
        </w:rPr>
        <w:t xml:space="preserve"> with zero direct emissions</w:t>
      </w:r>
      <w:r w:rsidR="00013820">
        <w:rPr>
          <w:rFonts w:cs="Times New Roman"/>
          <w:color w:val="000000" w:themeColor="text1"/>
        </w:rPr>
        <w:t xml:space="preserve"> (Goldstein </w:t>
      </w:r>
      <w:r w:rsidR="00013820" w:rsidRPr="003712DC">
        <w:rPr>
          <w:rFonts w:cs="Times New Roman"/>
          <w:i/>
          <w:color w:val="000000" w:themeColor="text1"/>
        </w:rPr>
        <w:t>et al.,</w:t>
      </w:r>
      <w:r w:rsidR="00013820">
        <w:rPr>
          <w:rFonts w:cs="Times New Roman"/>
          <w:color w:val="000000" w:themeColor="text1"/>
        </w:rPr>
        <w:t xml:space="preserve"> 2011)</w:t>
      </w:r>
      <w:r w:rsidR="00DE1E78" w:rsidRPr="00013820">
        <w:rPr>
          <w:rFonts w:cs="Times New Roman"/>
          <w:color w:val="000000" w:themeColor="text1"/>
        </w:rPr>
        <w:t xml:space="preserve">. </w:t>
      </w:r>
      <w:r w:rsidRPr="00013820">
        <w:rPr>
          <w:color w:val="000000" w:themeColor="text1"/>
        </w:rPr>
        <w:t xml:space="preserve">A 2011 comprehensive literature review by the Intergovernmental Panel on Climate Change (IPCC) on geothermal plants concluded that lifecycle </w:t>
      </w:r>
      <w:r w:rsidR="00013820">
        <w:rPr>
          <w:color w:val="000000" w:themeColor="text1"/>
        </w:rPr>
        <w:t>GHG</w:t>
      </w:r>
      <w:r w:rsidRPr="00013820">
        <w:rPr>
          <w:color w:val="000000" w:themeColor="text1"/>
        </w:rPr>
        <w:t xml:space="preserve"> emissions are less than 50 grams of CO</w:t>
      </w:r>
      <w:r w:rsidRPr="00013820">
        <w:rPr>
          <w:color w:val="000000" w:themeColor="text1"/>
          <w:vertAlign w:val="subscript"/>
        </w:rPr>
        <w:t>2</w:t>
      </w:r>
      <w:r w:rsidRPr="00013820">
        <w:rPr>
          <w:color w:val="000000" w:themeColor="text1"/>
        </w:rPr>
        <w:t>-equivalent per kilowatt hour for flash steam plants, and less than 80 gCO</w:t>
      </w:r>
      <w:r w:rsidRPr="00013820">
        <w:rPr>
          <w:color w:val="000000" w:themeColor="text1"/>
          <w:vertAlign w:val="subscript"/>
        </w:rPr>
        <w:t>2</w:t>
      </w:r>
      <w:r w:rsidRPr="00013820">
        <w:rPr>
          <w:color w:val="000000" w:themeColor="text1"/>
        </w:rPr>
        <w:t>-eq/kWh for projected EGS plants (IPCC, 2011). In closed-loop power plants</w:t>
      </w:r>
      <w:r w:rsidR="00FB7A4A" w:rsidRPr="00013820">
        <w:rPr>
          <w:color w:val="000000" w:themeColor="text1"/>
        </w:rPr>
        <w:t xml:space="preserve"> such as binary system</w:t>
      </w:r>
      <w:r w:rsidRPr="00013820">
        <w:rPr>
          <w:color w:val="000000" w:themeColor="text1"/>
        </w:rPr>
        <w:t>, when geothermal fluid is completely re-injected into the ground without loss of vapor or gas to the atmosphere, emissions are negated.</w:t>
      </w:r>
    </w:p>
    <w:p w14:paraId="476A65AA" w14:textId="6D591F0B" w:rsidR="00C35ADD" w:rsidRPr="00C35ADD" w:rsidRDefault="00AA0F57" w:rsidP="00C35ADD">
      <w:pPr>
        <w:rPr>
          <w:rFonts w:cs="Times New Roman"/>
          <w:color w:val="221E1F"/>
        </w:rPr>
      </w:pPr>
      <w:r w:rsidRPr="00013820">
        <w:rPr>
          <w:rFonts w:cs="Times New Roman"/>
          <w:color w:val="000000" w:themeColor="text1"/>
        </w:rPr>
        <w:t xml:space="preserve">In </w:t>
      </w:r>
      <w:r w:rsidR="005A311A" w:rsidRPr="00013820">
        <w:rPr>
          <w:rFonts w:cs="Times New Roman"/>
          <w:color w:val="000000" w:themeColor="text1"/>
        </w:rPr>
        <w:t xml:space="preserve">carbonate-rich reservoirs such as the Mount Amiata in Italy, higher </w:t>
      </w:r>
      <w:r w:rsidR="00C35ADD" w:rsidRPr="00013820">
        <w:rPr>
          <w:rFonts w:cs="Times New Roman"/>
          <w:color w:val="000000" w:themeColor="text1"/>
        </w:rPr>
        <w:t>CO</w:t>
      </w:r>
      <w:r w:rsidR="00C35ADD" w:rsidRPr="00013820">
        <w:rPr>
          <w:rFonts w:cs="Times New Roman"/>
          <w:color w:val="000000" w:themeColor="text1"/>
          <w:vertAlign w:val="subscript"/>
        </w:rPr>
        <w:t>2</w:t>
      </w:r>
      <w:r w:rsidR="005A311A" w:rsidRPr="00013820">
        <w:rPr>
          <w:rFonts w:cs="Times New Roman"/>
          <w:color w:val="000000" w:themeColor="text1"/>
        </w:rPr>
        <w:t xml:space="preserve"> emissions are observed due </w:t>
      </w:r>
      <w:r w:rsidR="00F96A82" w:rsidRPr="00013820">
        <w:rPr>
          <w:rFonts w:cs="Times New Roman"/>
          <w:color w:val="000000" w:themeColor="text1"/>
        </w:rPr>
        <w:t xml:space="preserve">to </w:t>
      </w:r>
      <w:r w:rsidR="005A311A" w:rsidRPr="00013820">
        <w:rPr>
          <w:rFonts w:cs="Times New Roman"/>
          <w:color w:val="000000" w:themeColor="text1"/>
        </w:rPr>
        <w:t>carbonate rocks dissolving in the</w:t>
      </w:r>
      <w:r w:rsidR="00F96A82" w:rsidRPr="00013820">
        <w:rPr>
          <w:rFonts w:cs="Times New Roman"/>
          <w:color w:val="000000" w:themeColor="text1"/>
        </w:rPr>
        <w:t xml:space="preserve"> </w:t>
      </w:r>
      <w:r w:rsidR="005A311A" w:rsidRPr="00013820">
        <w:rPr>
          <w:rFonts w:cs="Times New Roman"/>
          <w:color w:val="000000" w:themeColor="text1"/>
        </w:rPr>
        <w:t>hydrothermal fluid to liberate</w:t>
      </w:r>
      <w:r w:rsidR="0050624E" w:rsidRPr="00013820">
        <w:rPr>
          <w:rFonts w:cs="Times New Roman"/>
          <w:color w:val="000000" w:themeColor="text1"/>
        </w:rPr>
        <w:t xml:space="preserve"> </w:t>
      </w:r>
      <w:r w:rsidR="00C35ADD" w:rsidRPr="00013820">
        <w:rPr>
          <w:rFonts w:cs="Times New Roman"/>
          <w:color w:val="000000" w:themeColor="text1"/>
        </w:rPr>
        <w:t>CO</w:t>
      </w:r>
      <w:r w:rsidR="00C35ADD" w:rsidRPr="00013820">
        <w:rPr>
          <w:rFonts w:cs="Times New Roman"/>
          <w:color w:val="000000" w:themeColor="text1"/>
          <w:vertAlign w:val="subscript"/>
        </w:rPr>
        <w:t xml:space="preserve">2 </w:t>
      </w:r>
      <w:r w:rsidR="005A311A" w:rsidRPr="00013820">
        <w:rPr>
          <w:rFonts w:cs="Times New Roman"/>
          <w:color w:val="000000" w:themeColor="text1"/>
        </w:rPr>
        <w:t>spontaneously</w:t>
      </w:r>
      <w:r w:rsidR="00205560" w:rsidRPr="00C35ADD">
        <w:rPr>
          <w:rFonts w:cs="Times New Roman"/>
          <w:color w:val="221E1F"/>
        </w:rPr>
        <w:t>.</w:t>
      </w:r>
      <w:r w:rsidR="0050624E" w:rsidRPr="00C35ADD">
        <w:rPr>
          <w:rFonts w:cs="Times New Roman"/>
          <w:color w:val="221E1F"/>
        </w:rPr>
        <w:t xml:space="preserve"> This occurs when a high fugacity vapor-</w:t>
      </w:r>
      <w:r w:rsidR="00C35ADD" w:rsidRPr="00C35ADD">
        <w:rPr>
          <w:rFonts w:cs="Times New Roman"/>
          <w:color w:val="221E1F"/>
        </w:rPr>
        <w:t xml:space="preserve"> CO</w:t>
      </w:r>
      <w:r w:rsidR="00C35ADD" w:rsidRPr="00C35ADD">
        <w:rPr>
          <w:rFonts w:cs="Times New Roman"/>
          <w:color w:val="221E1F"/>
          <w:vertAlign w:val="subscript"/>
        </w:rPr>
        <w:t>2</w:t>
      </w:r>
      <w:r w:rsidR="0050624E" w:rsidRPr="00C35ADD">
        <w:rPr>
          <w:rFonts w:cs="Times New Roman"/>
          <w:color w:val="221E1F"/>
        </w:rPr>
        <w:t xml:space="preserve"> mixture is formed due to Poynting effect (i.e. a sudden over-pressure as water vapor mixes with </w:t>
      </w:r>
      <w:r w:rsidR="00C35ADD" w:rsidRPr="00C35ADD">
        <w:rPr>
          <w:rFonts w:cs="Times New Roman"/>
          <w:color w:val="221E1F"/>
        </w:rPr>
        <w:t>CO</w:t>
      </w:r>
      <w:r w:rsidR="00C35ADD" w:rsidRPr="00C35ADD">
        <w:rPr>
          <w:rFonts w:cs="Times New Roman"/>
          <w:color w:val="221E1F"/>
          <w:vertAlign w:val="subscript"/>
        </w:rPr>
        <w:t>2</w:t>
      </w:r>
      <w:r w:rsidR="0050624E" w:rsidRPr="00C35ADD">
        <w:rPr>
          <w:rFonts w:cs="Times New Roman"/>
          <w:color w:val="221E1F"/>
        </w:rPr>
        <w:t>), and will spontaneously escape through the soil</w:t>
      </w:r>
      <w:r w:rsidR="00473E04" w:rsidRPr="00C35ADD">
        <w:rPr>
          <w:rFonts w:cs="Times New Roman"/>
          <w:color w:val="221E1F"/>
        </w:rPr>
        <w:t>,</w:t>
      </w:r>
      <w:r w:rsidR="005A311A" w:rsidRPr="00C35ADD">
        <w:rPr>
          <w:rFonts w:cs="Times New Roman"/>
          <w:color w:val="221E1F"/>
        </w:rPr>
        <w:t xml:space="preserve"> even without the geothermal plant (Pratiwi, 2018).</w:t>
      </w:r>
      <w:r w:rsidR="00F96A82" w:rsidRPr="00C35ADD">
        <w:rPr>
          <w:rFonts w:cs="Times New Roman"/>
          <w:color w:val="221E1F"/>
        </w:rPr>
        <w:t xml:space="preserve"> </w:t>
      </w:r>
      <w:r w:rsidR="0030075F" w:rsidRPr="00C35ADD">
        <w:rPr>
          <w:rFonts w:cs="Times New Roman"/>
          <w:color w:val="221E1F"/>
        </w:rPr>
        <w:t>While</w:t>
      </w:r>
      <w:r w:rsidR="00F96A82" w:rsidRPr="00C35ADD">
        <w:rPr>
          <w:rFonts w:cs="Times New Roman"/>
          <w:color w:val="221E1F"/>
        </w:rPr>
        <w:t xml:space="preserve"> high GHG emissions of about twice the coal-fired plants are possible in the high temperature carbonate-rich reservoirs </w:t>
      </w:r>
      <w:r w:rsidR="0030075F" w:rsidRPr="00C35ADD">
        <w:rPr>
          <w:rFonts w:cs="Times New Roman"/>
          <w:color w:val="221E1F"/>
        </w:rPr>
        <w:t>(ESMAP, 2016), emissions that are attributable to the geothermal plant itself is lower. The CO</w:t>
      </w:r>
      <w:r w:rsidR="0030075F" w:rsidRPr="00C35ADD">
        <w:rPr>
          <w:rFonts w:cs="Times New Roman"/>
          <w:color w:val="221E1F"/>
          <w:vertAlign w:val="subscript"/>
        </w:rPr>
        <w:t>2</w:t>
      </w:r>
      <w:r w:rsidR="0030075F" w:rsidRPr="00C35ADD">
        <w:rPr>
          <w:rFonts w:cs="Times New Roman"/>
          <w:color w:val="221E1F"/>
        </w:rPr>
        <w:t xml:space="preserve"> accompanying the hydrothermal fluid, especially in flash or dry steam system, also poses threat</w:t>
      </w:r>
      <w:r w:rsidR="009018C4" w:rsidRPr="00C35ADD">
        <w:rPr>
          <w:rFonts w:cs="Times New Roman"/>
          <w:color w:val="221E1F"/>
        </w:rPr>
        <w:t>s</w:t>
      </w:r>
      <w:r w:rsidR="0030075F" w:rsidRPr="00C35ADD">
        <w:rPr>
          <w:rFonts w:cs="Times New Roman"/>
          <w:color w:val="221E1F"/>
        </w:rPr>
        <w:t xml:space="preserve"> to the geothermal plant as it is non-condensable. In binary plant,</w:t>
      </w:r>
      <w:r w:rsidR="00E82CC9" w:rsidRPr="00C35ADD">
        <w:rPr>
          <w:rFonts w:cs="Times New Roman"/>
          <w:color w:val="221E1F"/>
        </w:rPr>
        <w:t xml:space="preserve"> however,</w:t>
      </w:r>
      <w:r w:rsidR="0030075F" w:rsidRPr="00C35ADD">
        <w:rPr>
          <w:rFonts w:cs="Times New Roman"/>
          <w:color w:val="221E1F"/>
        </w:rPr>
        <w:t xml:space="preserve"> emissions are much lower during hydrothermal flow</w:t>
      </w:r>
      <w:r w:rsidR="00960C68" w:rsidRPr="00C35ADD">
        <w:rPr>
          <w:rFonts w:cs="Times New Roman"/>
          <w:color w:val="221E1F"/>
        </w:rPr>
        <w:t xml:space="preserve"> because </w:t>
      </w:r>
      <w:r w:rsidR="00473E04" w:rsidRPr="00C35ADD">
        <w:rPr>
          <w:rFonts w:cs="Times New Roman"/>
          <w:color w:val="221E1F"/>
        </w:rPr>
        <w:t>all</w:t>
      </w:r>
      <w:r w:rsidR="00960C68" w:rsidRPr="00C35ADD">
        <w:rPr>
          <w:rFonts w:cs="Times New Roman"/>
          <w:color w:val="221E1F"/>
        </w:rPr>
        <w:t xml:space="preserve"> the fluid </w:t>
      </w:r>
      <w:r w:rsidR="00E82CC9" w:rsidRPr="00C35ADD">
        <w:rPr>
          <w:rFonts w:cs="Times New Roman"/>
          <w:color w:val="221E1F"/>
        </w:rPr>
        <w:t>(</w:t>
      </w:r>
      <w:r w:rsidR="00902078" w:rsidRPr="00C35ADD">
        <w:rPr>
          <w:rFonts w:cs="Times New Roman"/>
          <w:color w:val="221E1F"/>
        </w:rPr>
        <w:t xml:space="preserve">non- </w:t>
      </w:r>
      <w:r w:rsidR="00C35ADD" w:rsidRPr="00C35ADD">
        <w:rPr>
          <w:rFonts w:cs="Times New Roman"/>
          <w:color w:val="221E1F"/>
        </w:rPr>
        <w:t>CO</w:t>
      </w:r>
      <w:r w:rsidR="00C35ADD" w:rsidRPr="00C35ADD">
        <w:rPr>
          <w:rFonts w:cs="Times New Roman"/>
          <w:color w:val="221E1F"/>
          <w:vertAlign w:val="subscript"/>
        </w:rPr>
        <w:t>2</w:t>
      </w:r>
      <w:r w:rsidR="00902078" w:rsidRPr="00C35ADD">
        <w:rPr>
          <w:rFonts w:cs="Times New Roman"/>
          <w:color w:val="221E1F"/>
        </w:rPr>
        <w:t xml:space="preserve"> laden</w:t>
      </w:r>
      <w:r w:rsidR="00E82CC9" w:rsidRPr="00C35ADD">
        <w:rPr>
          <w:rFonts w:cs="Times New Roman"/>
          <w:color w:val="221E1F"/>
        </w:rPr>
        <w:t xml:space="preserve">) </w:t>
      </w:r>
      <w:r w:rsidR="00960C68" w:rsidRPr="00C35ADD">
        <w:rPr>
          <w:rFonts w:cs="Times New Roman"/>
          <w:color w:val="221E1F"/>
        </w:rPr>
        <w:t>is</w:t>
      </w:r>
      <w:r w:rsidR="00E82CC9" w:rsidRPr="00C35ADD">
        <w:rPr>
          <w:rFonts w:cs="Times New Roman"/>
          <w:color w:val="221E1F"/>
        </w:rPr>
        <w:t xml:space="preserve"> stripped of heat</w:t>
      </w:r>
      <w:r w:rsidR="00960C68" w:rsidRPr="00C35ADD">
        <w:rPr>
          <w:rFonts w:cs="Times New Roman"/>
          <w:color w:val="221E1F"/>
        </w:rPr>
        <w:t xml:space="preserve"> </w:t>
      </w:r>
      <w:r w:rsidR="00E82CC9" w:rsidRPr="00C35ADD">
        <w:rPr>
          <w:rFonts w:cs="Times New Roman"/>
          <w:color w:val="221E1F"/>
        </w:rPr>
        <w:t xml:space="preserve">in </w:t>
      </w:r>
      <w:r w:rsidR="0007700B" w:rsidRPr="00C35ADD">
        <w:rPr>
          <w:rFonts w:cs="Times New Roman"/>
          <w:color w:val="221E1F"/>
        </w:rPr>
        <w:t xml:space="preserve">a </w:t>
      </w:r>
      <w:r w:rsidR="00E82CC9" w:rsidRPr="00C35ADD">
        <w:rPr>
          <w:rFonts w:cs="Times New Roman"/>
          <w:color w:val="221E1F"/>
        </w:rPr>
        <w:t xml:space="preserve">heat exchanger </w:t>
      </w:r>
      <w:r w:rsidR="00960C68" w:rsidRPr="00C35ADD">
        <w:rPr>
          <w:rFonts w:cs="Times New Roman"/>
          <w:color w:val="221E1F"/>
        </w:rPr>
        <w:t>and re-injected back into the reservoir</w:t>
      </w:r>
      <w:r w:rsidR="00E82CC9" w:rsidRPr="00C35ADD">
        <w:rPr>
          <w:rFonts w:cs="Times New Roman"/>
          <w:color w:val="221E1F"/>
        </w:rPr>
        <w:t xml:space="preserve"> without coming in</w:t>
      </w:r>
      <w:r w:rsidR="009018C4" w:rsidRPr="00C35ADD">
        <w:rPr>
          <w:rFonts w:cs="Times New Roman"/>
          <w:color w:val="221E1F"/>
        </w:rPr>
        <w:t xml:space="preserve"> </w:t>
      </w:r>
      <w:r w:rsidR="00E82CC9" w:rsidRPr="00C35ADD">
        <w:rPr>
          <w:rFonts w:cs="Times New Roman"/>
          <w:color w:val="221E1F"/>
        </w:rPr>
        <w:t xml:space="preserve">contact with the </w:t>
      </w:r>
      <w:r w:rsidR="009018C4" w:rsidRPr="00C35ADD">
        <w:rPr>
          <w:rFonts w:cs="Times New Roman"/>
          <w:color w:val="221E1F"/>
        </w:rPr>
        <w:t>turbine</w:t>
      </w:r>
      <w:r w:rsidR="004223A6" w:rsidRPr="00C35ADD">
        <w:rPr>
          <w:rFonts w:cs="Times New Roman"/>
          <w:color w:val="221E1F"/>
        </w:rPr>
        <w:t xml:space="preserve"> system</w:t>
      </w:r>
      <w:r w:rsidR="0061349B" w:rsidRPr="00C35ADD">
        <w:rPr>
          <w:rFonts w:cs="Times New Roman"/>
          <w:color w:val="221E1F"/>
        </w:rPr>
        <w:t>.</w:t>
      </w:r>
    </w:p>
    <w:p w14:paraId="631C1215" w14:textId="5D08A9BB" w:rsidR="006D6012" w:rsidRDefault="551A77D0" w:rsidP="00921A82">
      <w:pPr>
        <w:pStyle w:val="Heading3"/>
        <w:numPr>
          <w:ilvl w:val="2"/>
          <w:numId w:val="9"/>
        </w:numPr>
      </w:pPr>
      <w:bookmarkStart w:id="30" w:name="_Toc19137307"/>
      <w:r w:rsidRPr="00E069AC">
        <w:t>Additional Benefits and Burdens</w:t>
      </w:r>
      <w:bookmarkEnd w:id="30"/>
    </w:p>
    <w:p w14:paraId="0E6878D3" w14:textId="79E40CCF" w:rsidR="005D49A8" w:rsidRPr="00C35ADD" w:rsidRDefault="00B5371E" w:rsidP="00C35ADD">
      <w:pPr>
        <w:rPr>
          <w:rFonts w:cs="Times New Roman"/>
        </w:rPr>
      </w:pPr>
      <w:r>
        <w:rPr>
          <w:rFonts w:cs="Times New Roman"/>
        </w:rPr>
        <w:t>One of the main</w:t>
      </w:r>
      <w:r w:rsidRPr="001A766F">
        <w:rPr>
          <w:rFonts w:cs="Times New Roman"/>
        </w:rPr>
        <w:t xml:space="preserve"> barriers to geothermal plant expansion is the large upfront costs: </w:t>
      </w:r>
      <w:r w:rsidRPr="001A766F">
        <w:rPr>
          <w:rFonts w:cs="Times New Roman"/>
          <w:color w:val="221E1F"/>
        </w:rPr>
        <w:t xml:space="preserve">drilling rig rates and associated costs often make up the </w:t>
      </w:r>
      <w:r>
        <w:rPr>
          <w:rFonts w:cs="Times New Roman"/>
          <w:noProof/>
          <w:color w:val="221E1F"/>
        </w:rPr>
        <w:t>main</w:t>
      </w:r>
      <w:r w:rsidRPr="001A766F">
        <w:rPr>
          <w:rFonts w:cs="Times New Roman"/>
          <w:color w:val="221E1F"/>
        </w:rPr>
        <w:t xml:space="preserve"> cost component of geo</w:t>
      </w:r>
      <w:r w:rsidRPr="001A766F">
        <w:rPr>
          <w:rFonts w:cs="Times New Roman"/>
          <w:color w:val="221E1F"/>
        </w:rPr>
        <w:softHyphen/>
        <w:t xml:space="preserve">thermal plants, upwards of 55%, and </w:t>
      </w:r>
      <w:r>
        <w:rPr>
          <w:rFonts w:cs="Times New Roman"/>
          <w:color w:val="221E1F"/>
        </w:rPr>
        <w:t xml:space="preserve">costs </w:t>
      </w:r>
      <w:r w:rsidRPr="001A766F">
        <w:rPr>
          <w:rFonts w:cs="Times New Roman"/>
          <w:color w:val="221E1F"/>
        </w:rPr>
        <w:t xml:space="preserve">can increase substantially with drilling failures and vary with the complexity of the well (BNEF 2013). </w:t>
      </w:r>
      <w:r>
        <w:rPr>
          <w:rFonts w:cs="Times New Roman"/>
          <w:noProof/>
        </w:rPr>
        <w:t>Also</w:t>
      </w:r>
      <w:r w:rsidRPr="001A766F">
        <w:rPr>
          <w:rFonts w:cs="Times New Roman"/>
        </w:rPr>
        <w:t>, project developers have rep</w:t>
      </w:r>
      <w:r>
        <w:rPr>
          <w:rFonts w:cs="Times New Roman"/>
        </w:rPr>
        <w:t>orted difficulties in securing p</w:t>
      </w:r>
      <w:r w:rsidRPr="001A766F">
        <w:rPr>
          <w:rFonts w:cs="Times New Roman"/>
        </w:rPr>
        <w:t>ow</w:t>
      </w:r>
      <w:r>
        <w:rPr>
          <w:rFonts w:cs="Times New Roman"/>
        </w:rPr>
        <w:t>er purchase a</w:t>
      </w:r>
      <w:r w:rsidRPr="001A766F">
        <w:rPr>
          <w:rFonts w:cs="Times New Roman"/>
        </w:rPr>
        <w:t>greements to recoup the development costs. The large upfront costs and uncertainty in locating sufficient geothermal resources</w:t>
      </w:r>
      <w:r>
        <w:rPr>
          <w:rFonts w:cs="Times New Roman"/>
        </w:rPr>
        <w:t xml:space="preserve"> </w:t>
      </w:r>
      <w:r w:rsidRPr="001A766F">
        <w:rPr>
          <w:rFonts w:cs="Times New Roman"/>
        </w:rPr>
        <w:t xml:space="preserve">can make it difficult to attract investors. </w:t>
      </w:r>
      <w:r>
        <w:rPr>
          <w:rFonts w:cs="Times New Roman"/>
        </w:rPr>
        <w:t xml:space="preserve">Concessionary financing and innovations in private investment, coupled with take or pay PPAs </w:t>
      </w:r>
      <w:r w:rsidRPr="001A766F">
        <w:rPr>
          <w:rFonts w:cs="Times New Roman"/>
        </w:rPr>
        <w:t>could</w:t>
      </w:r>
      <w:r>
        <w:rPr>
          <w:rFonts w:cs="Times New Roman"/>
        </w:rPr>
        <w:t xml:space="preserve"> </w:t>
      </w:r>
      <w:r>
        <w:rPr>
          <w:rFonts w:cs="Times New Roman"/>
          <w:noProof/>
        </w:rPr>
        <w:t>significan</w:t>
      </w:r>
      <w:r w:rsidRPr="00DF007A">
        <w:rPr>
          <w:rFonts w:cs="Times New Roman"/>
          <w:noProof/>
        </w:rPr>
        <w:t>tly</w:t>
      </w:r>
      <w:r>
        <w:rPr>
          <w:rFonts w:cs="Times New Roman"/>
        </w:rPr>
        <w:t xml:space="preserve"> </w:t>
      </w:r>
      <w:r w:rsidRPr="001A766F">
        <w:rPr>
          <w:rFonts w:cs="Times New Roman"/>
        </w:rPr>
        <w:t>reduce these risks</w:t>
      </w:r>
      <w:r>
        <w:rPr>
          <w:rFonts w:cs="Times New Roman"/>
        </w:rPr>
        <w:t>.</w:t>
      </w:r>
      <w:r w:rsidR="00010170">
        <w:rPr>
          <w:rFonts w:cs="Times New Roman"/>
        </w:rPr>
        <w:t xml:space="preserve"> Risk guarantees through federal exchequer could also mitigate the project development risks related to market uncertainties, and forex hedging in the event of substantial fluctuation in exchange rate. This is particularly key in regions where the project financing is done in currency other than cost recovery or tariff currency.</w:t>
      </w:r>
      <w:r w:rsidR="00C35ADD">
        <w:rPr>
          <w:rFonts w:cs="Times New Roman"/>
        </w:rPr>
        <w:t xml:space="preserve"> </w:t>
      </w:r>
      <w:r w:rsidR="00695682" w:rsidRPr="009E79B6">
        <w:rPr>
          <w:rFonts w:eastAsia="Times New Roman" w:cs="Times New Roman"/>
          <w:color w:val="000000"/>
        </w:rPr>
        <w:t>Table 1.</w:t>
      </w:r>
      <w:r w:rsidR="00C35ADD">
        <w:rPr>
          <w:rFonts w:eastAsia="Times New Roman" w:cs="Times New Roman"/>
          <w:color w:val="000000"/>
        </w:rPr>
        <w:t>1</w:t>
      </w:r>
      <w:r w:rsidR="00695682" w:rsidRPr="009E79B6">
        <w:rPr>
          <w:rFonts w:eastAsia="Times New Roman" w:cs="Times New Roman"/>
          <w:color w:val="000000"/>
        </w:rPr>
        <w:t xml:space="preserve">. presents </w:t>
      </w:r>
      <w:r w:rsidR="00695682" w:rsidRPr="009E79B6">
        <w:rPr>
          <w:rFonts w:cs="Times New Roman"/>
          <w:color w:val="000000" w:themeColor="text1"/>
        </w:rPr>
        <w:t>a comparison of</w:t>
      </w:r>
      <w:r w:rsidR="000B3EE3" w:rsidRPr="009E79B6">
        <w:rPr>
          <w:rFonts w:cs="Times New Roman"/>
          <w:color w:val="000000" w:themeColor="text1"/>
        </w:rPr>
        <w:t xml:space="preserve"> selected</w:t>
      </w:r>
      <w:r w:rsidR="00695682" w:rsidRPr="009E79B6">
        <w:rPr>
          <w:rFonts w:cs="Times New Roman"/>
          <w:color w:val="000000" w:themeColor="text1"/>
        </w:rPr>
        <w:t xml:space="preserve"> pros and cons of the solution with others in the same sector and with the same energy source.</w:t>
      </w:r>
      <w:bookmarkStart w:id="31" w:name="_Toc524993438"/>
    </w:p>
    <w:p w14:paraId="129A65EA" w14:textId="7839A254" w:rsidR="00F53F75" w:rsidRDefault="00F53F75">
      <w:pPr>
        <w:spacing w:after="160" w:line="259" w:lineRule="auto"/>
        <w:jc w:val="left"/>
        <w:rPr>
          <w:i/>
          <w:iCs/>
          <w:color w:val="1F497D" w:themeColor="text2"/>
          <w:sz w:val="18"/>
          <w:szCs w:val="18"/>
        </w:rPr>
      </w:pPr>
    </w:p>
    <w:p w14:paraId="25D728C6" w14:textId="559D678D" w:rsidR="001C0E4A" w:rsidRPr="00C35ADD" w:rsidRDefault="00695682" w:rsidP="00C35ADD">
      <w:pPr>
        <w:pStyle w:val="Caption"/>
        <w:jc w:val="center"/>
      </w:pPr>
      <w:r w:rsidRPr="00C35ADD">
        <w:t xml:space="preserve">Table </w:t>
      </w:r>
      <w:fldSimple w:instr=" STYLEREF 1 \s ">
        <w:r w:rsidRPr="00C35ADD">
          <w:t>1</w:t>
        </w:r>
      </w:fldSimple>
      <w:r w:rsidRPr="00C35ADD">
        <w:t>.</w:t>
      </w:r>
      <w:r w:rsidR="00A03D82" w:rsidRPr="00C35ADD">
        <w:t>1</w:t>
      </w:r>
      <w:r w:rsidRPr="00C35ADD">
        <w:t xml:space="preserve"> </w:t>
      </w:r>
      <w:r w:rsidR="00327196" w:rsidRPr="00C35ADD">
        <w:t>Comparison of g</w:t>
      </w:r>
      <w:r w:rsidR="00B5371E" w:rsidRPr="00C35ADD">
        <w:t>eothermal</w:t>
      </w:r>
      <w:r w:rsidRPr="00C35ADD">
        <w:t xml:space="preserve"> </w:t>
      </w:r>
      <w:bookmarkEnd w:id="31"/>
      <w:r w:rsidR="000B3EE3" w:rsidRPr="00C35ADD">
        <w:t>to conventional electricity generation technologies</w:t>
      </w:r>
    </w:p>
    <w:tbl>
      <w:tblPr>
        <w:tblStyle w:val="ListTable6Colorfu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249"/>
        <w:gridCol w:w="1739"/>
        <w:gridCol w:w="1505"/>
        <w:gridCol w:w="1367"/>
        <w:gridCol w:w="1294"/>
        <w:gridCol w:w="1196"/>
      </w:tblGrid>
      <w:tr w:rsidR="002E1776" w:rsidRPr="004C1737" w14:paraId="60FEA938" w14:textId="5B6A1A91" w:rsidTr="002E1776">
        <w:trPr>
          <w:cnfStyle w:val="100000000000" w:firstRow="1" w:lastRow="0" w:firstColumn="0" w:lastColumn="0" w:oddVBand="0" w:evenVBand="0" w:oddHBand="0"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785" w:type="dxa"/>
            <w:shd w:val="clear" w:color="auto" w:fill="4F81BD" w:themeFill="accent1"/>
            <w:vAlign w:val="center"/>
            <w:hideMark/>
          </w:tcPr>
          <w:p w14:paraId="4A440AB2" w14:textId="77777777" w:rsidR="002E1776" w:rsidRPr="004C1737" w:rsidRDefault="002E1776" w:rsidP="002E1776">
            <w:pPr>
              <w:spacing w:after="0" w:line="240" w:lineRule="auto"/>
              <w:jc w:val="center"/>
              <w:rPr>
                <w:rFonts w:cs="Times New Roman"/>
                <w:b w:val="0"/>
                <w:color w:val="FFFFFF" w:themeColor="background1"/>
                <w:sz w:val="20"/>
                <w:szCs w:val="20"/>
                <w:lang w:eastAsia="zh-CN"/>
              </w:rPr>
            </w:pPr>
            <w:r w:rsidRPr="004C1737">
              <w:rPr>
                <w:rFonts w:cs="Times New Roman"/>
                <w:b w:val="0"/>
                <w:color w:val="FFFFFF" w:themeColor="background1"/>
                <w:sz w:val="20"/>
                <w:szCs w:val="20"/>
                <w:lang w:eastAsia="zh-CN"/>
              </w:rPr>
              <w:t>Parameter</w:t>
            </w:r>
          </w:p>
        </w:tc>
        <w:tc>
          <w:tcPr>
            <w:tcW w:w="1980" w:type="dxa"/>
            <w:shd w:val="clear" w:color="auto" w:fill="4F81BD" w:themeFill="accent1"/>
            <w:vAlign w:val="center"/>
            <w:hideMark/>
          </w:tcPr>
          <w:p w14:paraId="406F543C" w14:textId="09FF4CBB" w:rsidR="002E1776" w:rsidRPr="002E1776" w:rsidRDefault="002E1776" w:rsidP="002E17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sidRPr="004C1737">
              <w:rPr>
                <w:rFonts w:cs="Times New Roman"/>
                <w:b w:val="0"/>
                <w:color w:val="FFFFFF" w:themeColor="background1"/>
                <w:sz w:val="20"/>
                <w:szCs w:val="20"/>
                <w:lang w:eastAsia="zh-CN"/>
              </w:rPr>
              <w:t>Conventional</w:t>
            </w:r>
          </w:p>
          <w:p w14:paraId="2F5B358B" w14:textId="3FEE9FA5" w:rsidR="002E1776" w:rsidRPr="004C1737" w:rsidRDefault="002E1776" w:rsidP="002E17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sidRPr="004C1737">
              <w:rPr>
                <w:rFonts w:cs="Times New Roman"/>
                <w:b w:val="0"/>
                <w:color w:val="FFFFFF" w:themeColor="background1"/>
                <w:sz w:val="20"/>
                <w:szCs w:val="20"/>
                <w:lang w:eastAsia="zh-CN"/>
              </w:rPr>
              <w:t xml:space="preserve">electricity </w:t>
            </w:r>
            <w:r>
              <w:rPr>
                <w:rFonts w:cs="Times New Roman"/>
                <w:b w:val="0"/>
                <w:color w:val="FFFFFF" w:themeColor="background1"/>
                <w:sz w:val="20"/>
                <w:szCs w:val="20"/>
                <w:lang w:eastAsia="zh-CN"/>
              </w:rPr>
              <w:t>g</w:t>
            </w:r>
            <w:r w:rsidRPr="004C1737">
              <w:rPr>
                <w:rFonts w:cs="Times New Roman"/>
                <w:b w:val="0"/>
                <w:color w:val="FFFFFF" w:themeColor="background1"/>
                <w:sz w:val="20"/>
                <w:szCs w:val="20"/>
                <w:lang w:eastAsia="zh-CN"/>
              </w:rPr>
              <w:t>eneration technologies</w:t>
            </w:r>
          </w:p>
        </w:tc>
        <w:tc>
          <w:tcPr>
            <w:tcW w:w="1620" w:type="dxa"/>
            <w:shd w:val="clear" w:color="auto" w:fill="4F81BD" w:themeFill="accent1"/>
            <w:vAlign w:val="center"/>
          </w:tcPr>
          <w:p w14:paraId="5C805100" w14:textId="222F47A0" w:rsidR="002E1776" w:rsidRPr="002E1776" w:rsidRDefault="002E1776" w:rsidP="002E17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Pr>
                <w:rFonts w:cs="Times New Roman"/>
                <w:b w:val="0"/>
                <w:color w:val="FFFFFF" w:themeColor="background1"/>
                <w:sz w:val="20"/>
                <w:szCs w:val="20"/>
                <w:lang w:eastAsia="zh-CN"/>
              </w:rPr>
              <w:t>Conventional geothermal</w:t>
            </w:r>
          </w:p>
          <w:p w14:paraId="5921D808" w14:textId="44C88AC4" w:rsidR="002E1776" w:rsidRPr="004C1737" w:rsidRDefault="002E1776" w:rsidP="002E17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Pr>
                <w:rFonts w:cs="Times New Roman"/>
                <w:b w:val="0"/>
                <w:color w:val="FFFFFF" w:themeColor="background1"/>
                <w:sz w:val="20"/>
                <w:szCs w:val="20"/>
                <w:lang w:eastAsia="zh-CN"/>
              </w:rPr>
              <w:t>power plant</w:t>
            </w:r>
          </w:p>
        </w:tc>
        <w:tc>
          <w:tcPr>
            <w:tcW w:w="1503" w:type="dxa"/>
            <w:shd w:val="clear" w:color="auto" w:fill="4F81BD" w:themeFill="accent1"/>
          </w:tcPr>
          <w:p w14:paraId="60368FC8" w14:textId="14D10359" w:rsidR="002E1776" w:rsidRDefault="002E1776" w:rsidP="002E17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Pr>
                <w:rFonts w:cs="Times New Roman"/>
                <w:b w:val="0"/>
                <w:color w:val="FFFFFF" w:themeColor="background1"/>
                <w:sz w:val="20"/>
                <w:szCs w:val="20"/>
                <w:lang w:eastAsia="zh-CN"/>
              </w:rPr>
              <w:t>Enhanced geothermal system (EGS)</w:t>
            </w:r>
          </w:p>
        </w:tc>
        <w:tc>
          <w:tcPr>
            <w:tcW w:w="222" w:type="dxa"/>
            <w:shd w:val="clear" w:color="auto" w:fill="4F81BD" w:themeFill="accent1"/>
          </w:tcPr>
          <w:p w14:paraId="37C4F2D6" w14:textId="7AD5852B" w:rsidR="002E1776" w:rsidRDefault="002E1776" w:rsidP="002E17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Pr>
                <w:rFonts w:cs="Times New Roman"/>
                <w:b w:val="0"/>
                <w:color w:val="FFFFFF" w:themeColor="background1"/>
                <w:sz w:val="20"/>
                <w:szCs w:val="20"/>
                <w:lang w:eastAsia="zh-CN"/>
              </w:rPr>
              <w:t xml:space="preserve">Cogeneration or CHP plant </w:t>
            </w:r>
          </w:p>
        </w:tc>
        <w:tc>
          <w:tcPr>
            <w:tcW w:w="1240" w:type="dxa"/>
            <w:shd w:val="clear" w:color="auto" w:fill="4F81BD" w:themeFill="accent1"/>
          </w:tcPr>
          <w:p w14:paraId="22C8056F" w14:textId="081C1100" w:rsidR="002E1776" w:rsidRPr="002E1776" w:rsidRDefault="002E1776" w:rsidP="002E17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Pr>
                <w:rFonts w:cs="Times New Roman"/>
                <w:b w:val="0"/>
                <w:color w:val="FFFFFF" w:themeColor="background1"/>
                <w:sz w:val="20"/>
                <w:szCs w:val="20"/>
                <w:lang w:eastAsia="zh-CN"/>
              </w:rPr>
              <w:t xml:space="preserve">Modular geothermal </w:t>
            </w:r>
          </w:p>
          <w:p w14:paraId="108A14C1" w14:textId="0ADB869E" w:rsidR="002E1776" w:rsidRDefault="002E1776" w:rsidP="002E1776">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imes New Roman"/>
                <w:b w:val="0"/>
                <w:color w:val="FFFFFF" w:themeColor="background1"/>
                <w:sz w:val="20"/>
                <w:szCs w:val="20"/>
                <w:lang w:eastAsia="zh-CN"/>
              </w:rPr>
            </w:pPr>
            <w:r>
              <w:rPr>
                <w:rFonts w:cs="Times New Roman"/>
                <w:b w:val="0"/>
                <w:color w:val="FFFFFF" w:themeColor="background1"/>
                <w:sz w:val="20"/>
                <w:szCs w:val="20"/>
                <w:lang w:eastAsia="zh-CN"/>
              </w:rPr>
              <w:t>power plant</w:t>
            </w:r>
          </w:p>
        </w:tc>
      </w:tr>
      <w:tr w:rsidR="002E1776" w:rsidRPr="004C1737" w14:paraId="0B9A1619" w14:textId="1C4AEF0E" w:rsidTr="002E177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hideMark/>
          </w:tcPr>
          <w:p w14:paraId="24AEC128" w14:textId="77777777" w:rsidR="002E1776" w:rsidRPr="004C1737" w:rsidRDefault="002E1776" w:rsidP="00CB0C88">
            <w:pPr>
              <w:spacing w:after="0" w:line="240" w:lineRule="auto"/>
              <w:rPr>
                <w:rFonts w:eastAsia="Times New Roman" w:cs="Times New Roman"/>
                <w:b w:val="0"/>
                <w:i/>
                <w:sz w:val="20"/>
                <w:szCs w:val="20"/>
                <w:lang w:eastAsia="en-US"/>
              </w:rPr>
            </w:pPr>
            <w:r w:rsidRPr="004C1737">
              <w:rPr>
                <w:rFonts w:eastAsia="Times New Roman" w:cs="Times New Roman"/>
                <w:b w:val="0"/>
                <w:i/>
                <w:sz w:val="20"/>
                <w:szCs w:val="20"/>
                <w:lang w:eastAsia="en-US"/>
              </w:rPr>
              <w:t xml:space="preserve">Land Area Requirement </w:t>
            </w:r>
          </w:p>
        </w:tc>
        <w:tc>
          <w:tcPr>
            <w:tcW w:w="1980" w:type="dxa"/>
            <w:shd w:val="clear" w:color="auto" w:fill="FFFFFF" w:themeFill="background1"/>
            <w:hideMark/>
          </w:tcPr>
          <w:p w14:paraId="5F34E004" w14:textId="28A878FE"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High</w:t>
            </w:r>
          </w:p>
        </w:tc>
        <w:tc>
          <w:tcPr>
            <w:tcW w:w="1620" w:type="dxa"/>
            <w:shd w:val="clear" w:color="auto" w:fill="FFFFFF" w:themeFill="background1"/>
            <w:hideMark/>
          </w:tcPr>
          <w:p w14:paraId="0A82D40C" w14:textId="0BF65A4A"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Much Low</w:t>
            </w:r>
          </w:p>
        </w:tc>
        <w:tc>
          <w:tcPr>
            <w:tcW w:w="1503" w:type="dxa"/>
            <w:shd w:val="clear" w:color="auto" w:fill="FFFFFF" w:themeFill="background1"/>
          </w:tcPr>
          <w:p w14:paraId="5937BFD1" w14:textId="1FCB1FF5" w:rsidR="002E1776" w:rsidRDefault="00903640" w:rsidP="00B3695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222" w:type="dxa"/>
            <w:shd w:val="clear" w:color="auto" w:fill="FFFFFF" w:themeFill="background1"/>
          </w:tcPr>
          <w:p w14:paraId="5F8C35E0" w14:textId="37FD2A3F" w:rsidR="002E1776" w:rsidRDefault="00903640"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1240" w:type="dxa"/>
            <w:shd w:val="clear" w:color="auto" w:fill="FFFFFF" w:themeFill="background1"/>
          </w:tcPr>
          <w:p w14:paraId="01C1B5BF" w14:textId="19A4BA4F"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Lowest</w:t>
            </w:r>
          </w:p>
        </w:tc>
      </w:tr>
      <w:tr w:rsidR="002E1776" w:rsidRPr="004C1737" w14:paraId="2383050E" w14:textId="7F6602B3" w:rsidTr="002E1776">
        <w:trPr>
          <w:trHeight w:val="231"/>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tcPr>
          <w:p w14:paraId="314E659F" w14:textId="77777777" w:rsidR="002E1776" w:rsidRPr="004C1737" w:rsidRDefault="002E1776" w:rsidP="00CB0C88">
            <w:pPr>
              <w:spacing w:after="0" w:line="240" w:lineRule="auto"/>
              <w:rPr>
                <w:rFonts w:eastAsia="Times New Roman" w:cs="Times New Roman"/>
                <w:b w:val="0"/>
                <w:i/>
                <w:sz w:val="20"/>
                <w:szCs w:val="20"/>
                <w:lang w:eastAsia="en-US"/>
              </w:rPr>
            </w:pPr>
            <w:r w:rsidRPr="004C1737">
              <w:rPr>
                <w:rFonts w:eastAsia="Times New Roman" w:cs="Times New Roman"/>
                <w:b w:val="0"/>
                <w:i/>
                <w:sz w:val="20"/>
                <w:szCs w:val="20"/>
                <w:lang w:eastAsia="en-US"/>
              </w:rPr>
              <w:t>Water Requirement</w:t>
            </w:r>
          </w:p>
        </w:tc>
        <w:tc>
          <w:tcPr>
            <w:tcW w:w="1980" w:type="dxa"/>
            <w:shd w:val="clear" w:color="auto" w:fill="FFFFFF" w:themeFill="background1"/>
          </w:tcPr>
          <w:p w14:paraId="279D4281" w14:textId="77777777"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4C1737">
              <w:rPr>
                <w:rFonts w:eastAsia="Times New Roman" w:cs="Times New Roman"/>
                <w:color w:val="000000"/>
                <w:sz w:val="20"/>
                <w:szCs w:val="20"/>
                <w:lang w:eastAsia="en-US"/>
              </w:rPr>
              <w:t>Very High</w:t>
            </w:r>
          </w:p>
        </w:tc>
        <w:tc>
          <w:tcPr>
            <w:tcW w:w="1620" w:type="dxa"/>
            <w:shd w:val="clear" w:color="auto" w:fill="FFFFFF" w:themeFill="background1"/>
          </w:tcPr>
          <w:p w14:paraId="570D1C1D" w14:textId="4A54B0F9"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1503" w:type="dxa"/>
            <w:shd w:val="clear" w:color="auto" w:fill="FFFFFF" w:themeFill="background1"/>
          </w:tcPr>
          <w:p w14:paraId="3D8DF051" w14:textId="0981A989" w:rsidR="002E1776"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High</w:t>
            </w:r>
          </w:p>
        </w:tc>
        <w:tc>
          <w:tcPr>
            <w:tcW w:w="222" w:type="dxa"/>
            <w:shd w:val="clear" w:color="auto" w:fill="FFFFFF" w:themeFill="background1"/>
          </w:tcPr>
          <w:p w14:paraId="728EC5B3" w14:textId="63B243E0" w:rsidR="002E1776"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1240" w:type="dxa"/>
            <w:shd w:val="clear" w:color="auto" w:fill="FFFFFF" w:themeFill="background1"/>
          </w:tcPr>
          <w:p w14:paraId="07829494" w14:textId="20FBAFAA" w:rsidR="002E1776"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Lowest</w:t>
            </w:r>
          </w:p>
        </w:tc>
      </w:tr>
      <w:tr w:rsidR="002E1776" w:rsidRPr="004C1737" w14:paraId="4712EF25" w14:textId="378AAC6F" w:rsidTr="002E177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tcPr>
          <w:p w14:paraId="74659FA8" w14:textId="77777777" w:rsidR="002E1776" w:rsidRPr="004C1737" w:rsidDel="000C0082" w:rsidRDefault="002E1776" w:rsidP="00CB0C88">
            <w:pPr>
              <w:spacing w:after="0" w:line="240" w:lineRule="auto"/>
              <w:rPr>
                <w:rFonts w:eastAsia="Times New Roman" w:cs="Times New Roman"/>
                <w:b w:val="0"/>
                <w:i/>
                <w:sz w:val="20"/>
                <w:szCs w:val="20"/>
                <w:lang w:eastAsia="en-US"/>
              </w:rPr>
            </w:pPr>
            <w:r w:rsidRPr="004C1737">
              <w:rPr>
                <w:rFonts w:eastAsia="Times New Roman" w:cs="Times New Roman"/>
                <w:b w:val="0"/>
                <w:i/>
                <w:sz w:val="20"/>
                <w:szCs w:val="20"/>
                <w:lang w:eastAsia="en-US"/>
              </w:rPr>
              <w:t>Visual Disamenity</w:t>
            </w:r>
          </w:p>
        </w:tc>
        <w:tc>
          <w:tcPr>
            <w:tcW w:w="1980" w:type="dxa"/>
            <w:shd w:val="clear" w:color="auto" w:fill="FFFFFF" w:themeFill="background1"/>
          </w:tcPr>
          <w:p w14:paraId="79AAEB5C" w14:textId="78968016"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Pr="004C1737">
              <w:rPr>
                <w:rFonts w:eastAsia="Times New Roman" w:cs="Times New Roman"/>
                <w:color w:val="000000"/>
                <w:sz w:val="20"/>
                <w:szCs w:val="20"/>
                <w:lang w:eastAsia="en-US"/>
              </w:rPr>
              <w:t>High</w:t>
            </w:r>
          </w:p>
        </w:tc>
        <w:tc>
          <w:tcPr>
            <w:tcW w:w="1620" w:type="dxa"/>
            <w:shd w:val="clear" w:color="auto" w:fill="FFFFFF" w:themeFill="background1"/>
          </w:tcPr>
          <w:p w14:paraId="2D142807" w14:textId="710604C8"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1503" w:type="dxa"/>
            <w:shd w:val="clear" w:color="auto" w:fill="FFFFFF" w:themeFill="background1"/>
          </w:tcPr>
          <w:p w14:paraId="566046A0" w14:textId="55BEC024" w:rsidR="002E1776" w:rsidRDefault="00903640"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222" w:type="dxa"/>
            <w:shd w:val="clear" w:color="auto" w:fill="FFFFFF" w:themeFill="background1"/>
          </w:tcPr>
          <w:p w14:paraId="36ADFA14" w14:textId="55B73446" w:rsidR="002E1776" w:rsidRDefault="00903640"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1240" w:type="dxa"/>
            <w:shd w:val="clear" w:color="auto" w:fill="FFFFFF" w:themeFill="background1"/>
          </w:tcPr>
          <w:p w14:paraId="5E0600C7" w14:textId="6A436607"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Lowest</w:t>
            </w:r>
          </w:p>
        </w:tc>
      </w:tr>
      <w:tr w:rsidR="002E1776" w:rsidRPr="004C1737" w14:paraId="6F9D2D1A" w14:textId="2758C60F" w:rsidTr="002E1776">
        <w:trPr>
          <w:trHeight w:val="231"/>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hideMark/>
          </w:tcPr>
          <w:p w14:paraId="3C6D2E51" w14:textId="77777777" w:rsidR="002E1776" w:rsidRPr="004C1737" w:rsidRDefault="002E1776" w:rsidP="00CB0C88">
            <w:pPr>
              <w:spacing w:after="0" w:line="240" w:lineRule="auto"/>
              <w:rPr>
                <w:rFonts w:eastAsia="Times New Roman" w:cs="Times New Roman"/>
                <w:b w:val="0"/>
                <w:i/>
                <w:sz w:val="20"/>
                <w:szCs w:val="20"/>
                <w:lang w:eastAsia="en-US"/>
              </w:rPr>
            </w:pPr>
            <w:r w:rsidRPr="004C1737">
              <w:rPr>
                <w:rFonts w:eastAsia="Times New Roman" w:cs="Times New Roman"/>
                <w:b w:val="0"/>
                <w:i/>
                <w:sz w:val="20"/>
                <w:szCs w:val="20"/>
                <w:lang w:eastAsia="en-US"/>
              </w:rPr>
              <w:t>GHG Emissions</w:t>
            </w:r>
          </w:p>
        </w:tc>
        <w:tc>
          <w:tcPr>
            <w:tcW w:w="1980" w:type="dxa"/>
            <w:shd w:val="clear" w:color="auto" w:fill="FFFFFF" w:themeFill="background1"/>
            <w:hideMark/>
          </w:tcPr>
          <w:p w14:paraId="4396A507" w14:textId="15A506FC" w:rsidR="002E1776" w:rsidRPr="004C1737" w:rsidRDefault="00AA61A7"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002E1776" w:rsidRPr="004C1737">
              <w:rPr>
                <w:rFonts w:eastAsia="Times New Roman" w:cs="Times New Roman"/>
                <w:color w:val="000000"/>
                <w:sz w:val="20"/>
                <w:szCs w:val="20"/>
                <w:lang w:eastAsia="en-US"/>
              </w:rPr>
              <w:t>High</w:t>
            </w:r>
          </w:p>
        </w:tc>
        <w:tc>
          <w:tcPr>
            <w:tcW w:w="1620" w:type="dxa"/>
            <w:shd w:val="clear" w:color="auto" w:fill="FFFFFF" w:themeFill="background1"/>
            <w:hideMark/>
          </w:tcPr>
          <w:p w14:paraId="0545E1F3" w14:textId="5A880D0C"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4C1737">
              <w:rPr>
                <w:rFonts w:eastAsia="Times New Roman" w:cs="Times New Roman"/>
                <w:color w:val="000000"/>
                <w:sz w:val="20"/>
                <w:szCs w:val="20"/>
                <w:lang w:eastAsia="en-US"/>
              </w:rPr>
              <w:t>Low</w:t>
            </w:r>
            <w:r w:rsidR="00AA61A7">
              <w:rPr>
                <w:rFonts w:eastAsia="Times New Roman" w:cs="Times New Roman"/>
                <w:color w:val="000000"/>
                <w:sz w:val="20"/>
                <w:szCs w:val="20"/>
                <w:lang w:eastAsia="en-US"/>
              </w:rPr>
              <w:t>er</w:t>
            </w:r>
          </w:p>
        </w:tc>
        <w:tc>
          <w:tcPr>
            <w:tcW w:w="1503" w:type="dxa"/>
            <w:shd w:val="clear" w:color="auto" w:fill="FFFFFF" w:themeFill="background1"/>
          </w:tcPr>
          <w:p w14:paraId="1014FC4A" w14:textId="69E838FA" w:rsidR="002E1776" w:rsidRDefault="00AA61A7"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222" w:type="dxa"/>
            <w:shd w:val="clear" w:color="auto" w:fill="FFFFFF" w:themeFill="background1"/>
          </w:tcPr>
          <w:p w14:paraId="2DDB3783" w14:textId="29F30925" w:rsidR="002E1776" w:rsidRDefault="00BB17AC"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1240" w:type="dxa"/>
            <w:shd w:val="clear" w:color="auto" w:fill="FFFFFF" w:themeFill="background1"/>
          </w:tcPr>
          <w:p w14:paraId="13B2F948" w14:textId="4B5F9B72"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Lowest</w:t>
            </w:r>
          </w:p>
        </w:tc>
      </w:tr>
      <w:tr w:rsidR="002E1776" w:rsidRPr="004C1737" w14:paraId="192C9EC4" w14:textId="5411EBBD" w:rsidTr="002E177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hideMark/>
          </w:tcPr>
          <w:p w14:paraId="7BD832BB" w14:textId="77777777" w:rsidR="002E1776" w:rsidRPr="004C1737" w:rsidRDefault="002E1776" w:rsidP="00CB0C88">
            <w:pPr>
              <w:spacing w:after="0" w:line="240" w:lineRule="auto"/>
              <w:jc w:val="left"/>
              <w:rPr>
                <w:rFonts w:eastAsia="Times New Roman" w:cs="Times New Roman"/>
                <w:b w:val="0"/>
                <w:i/>
                <w:sz w:val="20"/>
                <w:szCs w:val="20"/>
                <w:lang w:eastAsia="en-US"/>
              </w:rPr>
            </w:pPr>
            <w:r w:rsidRPr="004C1737">
              <w:rPr>
                <w:rFonts w:eastAsia="Times New Roman" w:cs="Times New Roman"/>
                <w:b w:val="0"/>
                <w:i/>
                <w:sz w:val="20"/>
                <w:szCs w:val="20"/>
                <w:lang w:eastAsia="en-US"/>
              </w:rPr>
              <w:t>Electricity Generation Flexibility</w:t>
            </w:r>
          </w:p>
        </w:tc>
        <w:tc>
          <w:tcPr>
            <w:tcW w:w="1980" w:type="dxa"/>
            <w:shd w:val="clear" w:color="auto" w:fill="FFFFFF" w:themeFill="background1"/>
            <w:hideMark/>
          </w:tcPr>
          <w:p w14:paraId="301F2C8A" w14:textId="0B3A9ABE"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Pr="004C1737">
              <w:rPr>
                <w:rFonts w:eastAsia="Times New Roman" w:cs="Times New Roman"/>
                <w:color w:val="000000"/>
                <w:sz w:val="20"/>
                <w:szCs w:val="20"/>
                <w:lang w:eastAsia="en-US"/>
              </w:rPr>
              <w:t>High</w:t>
            </w:r>
          </w:p>
        </w:tc>
        <w:tc>
          <w:tcPr>
            <w:tcW w:w="1620" w:type="dxa"/>
            <w:shd w:val="clear" w:color="auto" w:fill="FFFFFF" w:themeFill="background1"/>
            <w:hideMark/>
          </w:tcPr>
          <w:p w14:paraId="36FC86AC" w14:textId="6CB7B0D9"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1503" w:type="dxa"/>
            <w:shd w:val="clear" w:color="auto" w:fill="FFFFFF" w:themeFill="background1"/>
          </w:tcPr>
          <w:p w14:paraId="20D0101A" w14:textId="270F8735" w:rsidR="002E1776" w:rsidRDefault="00AA61A7"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222" w:type="dxa"/>
            <w:shd w:val="clear" w:color="auto" w:fill="FFFFFF" w:themeFill="background1"/>
          </w:tcPr>
          <w:p w14:paraId="26AC30C0" w14:textId="23912AD4" w:rsidR="002E1776" w:rsidRDefault="00AA61A7"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1240" w:type="dxa"/>
            <w:shd w:val="clear" w:color="auto" w:fill="FFFFFF" w:themeFill="background1"/>
          </w:tcPr>
          <w:p w14:paraId="4E8D8E6C" w14:textId="300299A1" w:rsidR="002E1776" w:rsidRDefault="00AA61A7" w:rsidP="00B3695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r>
      <w:tr w:rsidR="002E1776" w:rsidRPr="004C1737" w14:paraId="10700BB0" w14:textId="279D9A21" w:rsidTr="002E1776">
        <w:trPr>
          <w:trHeight w:val="385"/>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tcPr>
          <w:p w14:paraId="7B448755" w14:textId="77777777" w:rsidR="002E1776" w:rsidRPr="004C1737" w:rsidRDefault="002E1776" w:rsidP="00CB0C88">
            <w:pPr>
              <w:spacing w:after="0" w:line="240" w:lineRule="auto"/>
              <w:jc w:val="left"/>
              <w:rPr>
                <w:rFonts w:eastAsia="Times New Roman" w:cs="Times New Roman"/>
                <w:b w:val="0"/>
                <w:i/>
                <w:sz w:val="20"/>
                <w:szCs w:val="20"/>
                <w:lang w:eastAsia="en-US"/>
              </w:rPr>
            </w:pPr>
            <w:r w:rsidRPr="004C1737">
              <w:rPr>
                <w:rFonts w:eastAsia="Times New Roman" w:cs="Times New Roman"/>
                <w:b w:val="0"/>
                <w:i/>
                <w:sz w:val="20"/>
                <w:szCs w:val="20"/>
                <w:lang w:eastAsia="en-US"/>
              </w:rPr>
              <w:t>Labor Requirement</w:t>
            </w:r>
          </w:p>
        </w:tc>
        <w:tc>
          <w:tcPr>
            <w:tcW w:w="1980" w:type="dxa"/>
            <w:shd w:val="clear" w:color="auto" w:fill="FFFFFF" w:themeFill="background1"/>
          </w:tcPr>
          <w:p w14:paraId="0F08BEFB" w14:textId="77777777"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4C1737">
              <w:rPr>
                <w:rFonts w:eastAsia="Times New Roman" w:cs="Times New Roman"/>
                <w:color w:val="000000"/>
                <w:sz w:val="20"/>
                <w:szCs w:val="20"/>
                <w:lang w:eastAsia="en-US"/>
              </w:rPr>
              <w:t>Very High</w:t>
            </w:r>
          </w:p>
        </w:tc>
        <w:tc>
          <w:tcPr>
            <w:tcW w:w="1620" w:type="dxa"/>
            <w:shd w:val="clear" w:color="auto" w:fill="FFFFFF" w:themeFill="background1"/>
          </w:tcPr>
          <w:p w14:paraId="5D935F0D" w14:textId="617DFE5E"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4C1737">
              <w:rPr>
                <w:rFonts w:eastAsia="Times New Roman" w:cs="Times New Roman"/>
                <w:color w:val="000000"/>
                <w:sz w:val="20"/>
                <w:szCs w:val="20"/>
                <w:lang w:eastAsia="en-US"/>
              </w:rPr>
              <w:t>High</w:t>
            </w:r>
          </w:p>
        </w:tc>
        <w:tc>
          <w:tcPr>
            <w:tcW w:w="1503" w:type="dxa"/>
            <w:shd w:val="clear" w:color="auto" w:fill="FFFFFF" w:themeFill="background1"/>
          </w:tcPr>
          <w:p w14:paraId="35951BAD" w14:textId="044AB9F8" w:rsidR="002E1776" w:rsidRDefault="00AA61A7"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w:t>
            </w:r>
            <w:r w:rsidR="00CF3E02">
              <w:rPr>
                <w:rFonts w:eastAsia="Times New Roman" w:cs="Times New Roman"/>
                <w:color w:val="000000"/>
                <w:sz w:val="20"/>
                <w:szCs w:val="20"/>
                <w:lang w:eastAsia="en-US"/>
              </w:rPr>
              <w:t>y</w:t>
            </w:r>
            <w:r>
              <w:rPr>
                <w:rFonts w:eastAsia="Times New Roman" w:cs="Times New Roman"/>
                <w:color w:val="000000"/>
                <w:sz w:val="20"/>
                <w:szCs w:val="20"/>
                <w:lang w:eastAsia="en-US"/>
              </w:rPr>
              <w:t xml:space="preserve"> High</w:t>
            </w:r>
          </w:p>
        </w:tc>
        <w:tc>
          <w:tcPr>
            <w:tcW w:w="222" w:type="dxa"/>
            <w:shd w:val="clear" w:color="auto" w:fill="FFFFFF" w:themeFill="background1"/>
          </w:tcPr>
          <w:p w14:paraId="7272918D" w14:textId="7808BF49" w:rsidR="002E1776" w:rsidRDefault="00CF3E02"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1240" w:type="dxa"/>
            <w:shd w:val="clear" w:color="auto" w:fill="FFFFFF" w:themeFill="background1"/>
          </w:tcPr>
          <w:p w14:paraId="642EB61C" w14:textId="36D7089F" w:rsidR="002E1776"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Lowest</w:t>
            </w:r>
          </w:p>
        </w:tc>
      </w:tr>
      <w:tr w:rsidR="002E1776" w:rsidRPr="004C1737" w14:paraId="5EC53298" w14:textId="6F0D2D01" w:rsidTr="002E177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tcPr>
          <w:p w14:paraId="357D26DF" w14:textId="77777777" w:rsidR="002E1776" w:rsidRPr="004C1737" w:rsidRDefault="002E1776" w:rsidP="00CB0C88">
            <w:pPr>
              <w:spacing w:after="0" w:line="240" w:lineRule="auto"/>
              <w:jc w:val="left"/>
              <w:rPr>
                <w:rFonts w:eastAsia="Times New Roman" w:cs="Times New Roman"/>
                <w:b w:val="0"/>
                <w:i/>
                <w:sz w:val="20"/>
                <w:szCs w:val="20"/>
                <w:lang w:eastAsia="en-US"/>
              </w:rPr>
            </w:pPr>
            <w:r w:rsidRPr="004C1737">
              <w:rPr>
                <w:rFonts w:eastAsia="Times New Roman" w:cs="Times New Roman"/>
                <w:b w:val="0"/>
                <w:i/>
                <w:sz w:val="20"/>
                <w:szCs w:val="20"/>
                <w:lang w:eastAsia="en-US"/>
              </w:rPr>
              <w:t>Grid Balancing Requirement</w:t>
            </w:r>
          </w:p>
        </w:tc>
        <w:tc>
          <w:tcPr>
            <w:tcW w:w="1980" w:type="dxa"/>
            <w:shd w:val="clear" w:color="auto" w:fill="FFFFFF" w:themeFill="background1"/>
          </w:tcPr>
          <w:p w14:paraId="1D48FAE0" w14:textId="5FD3139D"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Nil</w:t>
            </w:r>
          </w:p>
        </w:tc>
        <w:tc>
          <w:tcPr>
            <w:tcW w:w="1620" w:type="dxa"/>
            <w:shd w:val="clear" w:color="auto" w:fill="FFFFFF" w:themeFill="background1"/>
          </w:tcPr>
          <w:p w14:paraId="13CD3041" w14:textId="4CC5EAF2"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Nil</w:t>
            </w:r>
          </w:p>
        </w:tc>
        <w:tc>
          <w:tcPr>
            <w:tcW w:w="1503" w:type="dxa"/>
            <w:shd w:val="clear" w:color="auto" w:fill="FFFFFF" w:themeFill="background1"/>
          </w:tcPr>
          <w:p w14:paraId="02F35186" w14:textId="122B2DC0" w:rsidR="002E1776" w:rsidRDefault="00CF3E02"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Nil</w:t>
            </w:r>
          </w:p>
        </w:tc>
        <w:tc>
          <w:tcPr>
            <w:tcW w:w="222" w:type="dxa"/>
            <w:shd w:val="clear" w:color="auto" w:fill="FFFFFF" w:themeFill="background1"/>
          </w:tcPr>
          <w:p w14:paraId="274A5EB2" w14:textId="3C1637A5" w:rsidR="002E1776" w:rsidRDefault="00CF3E02"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Nil</w:t>
            </w:r>
          </w:p>
        </w:tc>
        <w:tc>
          <w:tcPr>
            <w:tcW w:w="1240" w:type="dxa"/>
            <w:shd w:val="clear" w:color="auto" w:fill="FFFFFF" w:themeFill="background1"/>
          </w:tcPr>
          <w:p w14:paraId="67848196" w14:textId="6E7DE417" w:rsidR="002E1776" w:rsidRDefault="00CF3E02"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Nil </w:t>
            </w:r>
          </w:p>
        </w:tc>
      </w:tr>
      <w:tr w:rsidR="002E1776" w:rsidRPr="004C1737" w14:paraId="522160B6" w14:textId="616C4C01" w:rsidTr="002E1776">
        <w:trPr>
          <w:trHeight w:val="343"/>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hideMark/>
          </w:tcPr>
          <w:p w14:paraId="78E180D5" w14:textId="07C756D2" w:rsidR="002E1776" w:rsidRPr="004C1737" w:rsidRDefault="002E1776" w:rsidP="00CB0C88">
            <w:pPr>
              <w:spacing w:after="0" w:line="240" w:lineRule="auto"/>
              <w:jc w:val="left"/>
              <w:rPr>
                <w:rFonts w:eastAsia="Times New Roman" w:cs="Times New Roman"/>
                <w:b w:val="0"/>
                <w:i/>
                <w:sz w:val="20"/>
                <w:szCs w:val="20"/>
                <w:lang w:eastAsia="en-US"/>
              </w:rPr>
            </w:pPr>
            <w:r w:rsidRPr="004C1737">
              <w:rPr>
                <w:rFonts w:eastAsia="Times New Roman" w:cs="Times New Roman"/>
                <w:b w:val="0"/>
                <w:i/>
                <w:sz w:val="20"/>
                <w:szCs w:val="20"/>
                <w:lang w:eastAsia="en-US"/>
              </w:rPr>
              <w:t xml:space="preserve">Operation and Maintenance </w:t>
            </w:r>
          </w:p>
        </w:tc>
        <w:tc>
          <w:tcPr>
            <w:tcW w:w="1980" w:type="dxa"/>
            <w:shd w:val="clear" w:color="auto" w:fill="FFFFFF" w:themeFill="background1"/>
            <w:hideMark/>
          </w:tcPr>
          <w:p w14:paraId="7E185985" w14:textId="77A052DB"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 xml:space="preserve">Very </w:t>
            </w:r>
            <w:r w:rsidRPr="004C1737">
              <w:rPr>
                <w:rFonts w:eastAsia="Times New Roman" w:cs="Times New Roman"/>
                <w:color w:val="000000"/>
                <w:sz w:val="20"/>
                <w:szCs w:val="20"/>
                <w:lang w:eastAsia="en-US"/>
              </w:rPr>
              <w:t>High</w:t>
            </w:r>
          </w:p>
        </w:tc>
        <w:tc>
          <w:tcPr>
            <w:tcW w:w="1620" w:type="dxa"/>
            <w:shd w:val="clear" w:color="auto" w:fill="FFFFFF" w:themeFill="background1"/>
            <w:hideMark/>
          </w:tcPr>
          <w:p w14:paraId="072F441F" w14:textId="77777777"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4C1737">
              <w:rPr>
                <w:rFonts w:eastAsia="Times New Roman" w:cs="Times New Roman"/>
                <w:color w:val="000000"/>
                <w:sz w:val="20"/>
                <w:szCs w:val="20"/>
                <w:lang w:eastAsia="en-US"/>
              </w:rPr>
              <w:t>Low</w:t>
            </w:r>
          </w:p>
        </w:tc>
        <w:tc>
          <w:tcPr>
            <w:tcW w:w="1503" w:type="dxa"/>
            <w:shd w:val="clear" w:color="auto" w:fill="FFFFFF" w:themeFill="background1"/>
          </w:tcPr>
          <w:p w14:paraId="3491C794" w14:textId="13DA1E43" w:rsidR="002E1776" w:rsidRDefault="00CF3E02" w:rsidP="008C266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222" w:type="dxa"/>
            <w:shd w:val="clear" w:color="auto" w:fill="FFFFFF" w:themeFill="background1"/>
          </w:tcPr>
          <w:p w14:paraId="3463F980" w14:textId="50267A0F" w:rsidR="002E1776" w:rsidRDefault="00CF3E02" w:rsidP="008C266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Lower</w:t>
            </w:r>
          </w:p>
        </w:tc>
        <w:tc>
          <w:tcPr>
            <w:tcW w:w="1240" w:type="dxa"/>
            <w:shd w:val="clear" w:color="auto" w:fill="FFFFFF" w:themeFill="background1"/>
          </w:tcPr>
          <w:p w14:paraId="12ACAD84" w14:textId="6B1F8CA8" w:rsidR="002E1776" w:rsidRDefault="002E1776" w:rsidP="008C266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Lowest</w:t>
            </w:r>
          </w:p>
        </w:tc>
      </w:tr>
      <w:tr w:rsidR="002E1776" w:rsidRPr="004C1737" w14:paraId="1EFE6E17" w14:textId="05894AB1" w:rsidTr="002E1776">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hideMark/>
          </w:tcPr>
          <w:p w14:paraId="6587FC6F" w14:textId="77777777" w:rsidR="002E1776" w:rsidRPr="004C1737" w:rsidRDefault="002E1776" w:rsidP="00CB0C88">
            <w:pPr>
              <w:spacing w:after="0" w:line="240" w:lineRule="auto"/>
              <w:rPr>
                <w:rFonts w:eastAsia="Times New Roman" w:cs="Times New Roman"/>
                <w:b w:val="0"/>
                <w:i/>
                <w:sz w:val="20"/>
                <w:szCs w:val="20"/>
                <w:lang w:eastAsia="en-US"/>
              </w:rPr>
            </w:pPr>
            <w:r w:rsidRPr="004C1737">
              <w:rPr>
                <w:rFonts w:eastAsia="Times New Roman" w:cs="Times New Roman"/>
                <w:b w:val="0"/>
                <w:i/>
                <w:sz w:val="20"/>
                <w:szCs w:val="20"/>
                <w:lang w:eastAsia="en-US"/>
              </w:rPr>
              <w:t>System integration cost</w:t>
            </w:r>
          </w:p>
        </w:tc>
        <w:tc>
          <w:tcPr>
            <w:tcW w:w="1980" w:type="dxa"/>
            <w:shd w:val="clear" w:color="auto" w:fill="FFFFFF" w:themeFill="background1"/>
            <w:hideMark/>
          </w:tcPr>
          <w:p w14:paraId="2CEC11C1" w14:textId="77777777"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sidRPr="004C1737">
              <w:rPr>
                <w:rFonts w:eastAsia="Times New Roman" w:cs="Times New Roman"/>
                <w:color w:val="000000"/>
                <w:sz w:val="20"/>
                <w:szCs w:val="20"/>
                <w:lang w:eastAsia="en-US"/>
              </w:rPr>
              <w:t>Medium</w:t>
            </w:r>
          </w:p>
        </w:tc>
        <w:tc>
          <w:tcPr>
            <w:tcW w:w="1620" w:type="dxa"/>
            <w:shd w:val="clear" w:color="auto" w:fill="FFFFFF" w:themeFill="background1"/>
            <w:hideMark/>
          </w:tcPr>
          <w:p w14:paraId="7771F45F" w14:textId="778709AD" w:rsidR="002E1776" w:rsidRPr="004C1737"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1503" w:type="dxa"/>
            <w:shd w:val="clear" w:color="auto" w:fill="FFFFFF" w:themeFill="background1"/>
          </w:tcPr>
          <w:p w14:paraId="0A44CA9A" w14:textId="4EF739CC" w:rsidR="002E1776" w:rsidRDefault="00CF3E02"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High</w:t>
            </w:r>
          </w:p>
        </w:tc>
        <w:tc>
          <w:tcPr>
            <w:tcW w:w="222" w:type="dxa"/>
            <w:shd w:val="clear" w:color="auto" w:fill="FFFFFF" w:themeFill="background1"/>
          </w:tcPr>
          <w:p w14:paraId="6D351BD0" w14:textId="07EDC263" w:rsidR="002E1776" w:rsidRDefault="00CF3E02"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w:t>
            </w:r>
          </w:p>
        </w:tc>
        <w:tc>
          <w:tcPr>
            <w:tcW w:w="1240" w:type="dxa"/>
            <w:shd w:val="clear" w:color="auto" w:fill="FFFFFF" w:themeFill="background1"/>
          </w:tcPr>
          <w:p w14:paraId="7F032271" w14:textId="7A676FB3" w:rsidR="002E1776" w:rsidRDefault="002E1776" w:rsidP="00CB0C8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Lowest</w:t>
            </w:r>
          </w:p>
        </w:tc>
      </w:tr>
      <w:tr w:rsidR="002E1776" w:rsidRPr="004C1737" w14:paraId="18DEAFC6" w14:textId="364D4775" w:rsidTr="002E1776">
        <w:trPr>
          <w:trHeight w:val="231"/>
        </w:trPr>
        <w:tc>
          <w:tcPr>
            <w:cnfStyle w:val="001000000000" w:firstRow="0" w:lastRow="0" w:firstColumn="1" w:lastColumn="0" w:oddVBand="0" w:evenVBand="0" w:oddHBand="0" w:evenHBand="0" w:firstRowFirstColumn="0" w:firstRowLastColumn="0" w:lastRowFirstColumn="0" w:lastRowLastColumn="0"/>
            <w:tcW w:w="2785" w:type="dxa"/>
            <w:shd w:val="clear" w:color="auto" w:fill="FFFFFF" w:themeFill="background1"/>
            <w:hideMark/>
          </w:tcPr>
          <w:p w14:paraId="21D239CE" w14:textId="47A3E6EB" w:rsidR="002E1776" w:rsidRPr="004C1737" w:rsidRDefault="002E1776" w:rsidP="00CB0C88">
            <w:pPr>
              <w:spacing w:after="0" w:line="240" w:lineRule="auto"/>
              <w:rPr>
                <w:rFonts w:eastAsia="Times New Roman" w:cs="Times New Roman"/>
                <w:b w:val="0"/>
                <w:i/>
                <w:sz w:val="20"/>
                <w:szCs w:val="20"/>
                <w:lang w:eastAsia="en-US"/>
              </w:rPr>
            </w:pPr>
            <w:r>
              <w:rPr>
                <w:rFonts w:eastAsia="Times New Roman" w:cs="Times New Roman"/>
                <w:b w:val="0"/>
                <w:i/>
                <w:sz w:val="20"/>
                <w:szCs w:val="20"/>
                <w:lang w:eastAsia="en-US"/>
              </w:rPr>
              <w:t>Deployment Costs</w:t>
            </w:r>
          </w:p>
        </w:tc>
        <w:tc>
          <w:tcPr>
            <w:tcW w:w="1980" w:type="dxa"/>
            <w:shd w:val="clear" w:color="auto" w:fill="FFFFFF" w:themeFill="background1"/>
            <w:hideMark/>
          </w:tcPr>
          <w:p w14:paraId="19005853" w14:textId="77777777"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sidRPr="004C1737">
              <w:rPr>
                <w:rFonts w:eastAsia="Times New Roman" w:cs="Times New Roman"/>
                <w:color w:val="000000"/>
                <w:sz w:val="20"/>
                <w:szCs w:val="20"/>
                <w:lang w:eastAsia="en-US"/>
              </w:rPr>
              <w:t>Medium</w:t>
            </w:r>
          </w:p>
        </w:tc>
        <w:tc>
          <w:tcPr>
            <w:tcW w:w="1620" w:type="dxa"/>
            <w:shd w:val="clear" w:color="auto" w:fill="FFFFFF" w:themeFill="background1"/>
            <w:hideMark/>
          </w:tcPr>
          <w:p w14:paraId="3D491C61" w14:textId="43F3233C" w:rsidR="002E1776" w:rsidRPr="004C1737"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1503" w:type="dxa"/>
            <w:shd w:val="clear" w:color="auto" w:fill="FFFFFF" w:themeFill="background1"/>
          </w:tcPr>
          <w:p w14:paraId="58DE8278" w14:textId="73D644A1" w:rsidR="002E1776" w:rsidRDefault="00CF3E02"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Very High</w:t>
            </w:r>
          </w:p>
        </w:tc>
        <w:tc>
          <w:tcPr>
            <w:tcW w:w="222" w:type="dxa"/>
            <w:shd w:val="clear" w:color="auto" w:fill="FFFFFF" w:themeFill="background1"/>
          </w:tcPr>
          <w:p w14:paraId="1E92A179" w14:textId="38AD7680" w:rsidR="002E1776" w:rsidRDefault="00CF3E02"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High</w:t>
            </w:r>
          </w:p>
        </w:tc>
        <w:tc>
          <w:tcPr>
            <w:tcW w:w="1240" w:type="dxa"/>
            <w:shd w:val="clear" w:color="auto" w:fill="FFFFFF" w:themeFill="background1"/>
          </w:tcPr>
          <w:p w14:paraId="4DBB1777" w14:textId="2978E915" w:rsidR="002E1776" w:rsidRDefault="002E1776" w:rsidP="00CB0C8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eastAsia="en-US"/>
              </w:rPr>
            </w:pPr>
            <w:r>
              <w:rPr>
                <w:rFonts w:eastAsia="Times New Roman" w:cs="Times New Roman"/>
                <w:color w:val="000000"/>
                <w:sz w:val="20"/>
                <w:szCs w:val="20"/>
                <w:lang w:eastAsia="en-US"/>
              </w:rPr>
              <w:t>Lowest</w:t>
            </w:r>
          </w:p>
        </w:tc>
      </w:tr>
    </w:tbl>
    <w:p w14:paraId="355FC6BB" w14:textId="63605F92" w:rsidR="00F52595" w:rsidRPr="00B36958" w:rsidRDefault="00F52595" w:rsidP="00135E31">
      <w:pPr>
        <w:tabs>
          <w:tab w:val="left" w:pos="2880"/>
        </w:tabs>
        <w:rPr>
          <w:rFonts w:asciiTheme="majorHAnsi" w:eastAsiaTheme="majorEastAsia" w:hAnsiTheme="majorHAnsi" w:cstheme="majorBidi"/>
          <w:sz w:val="36"/>
          <w:szCs w:val="36"/>
        </w:rPr>
        <w:sectPr w:rsidR="00F52595" w:rsidRPr="00B36958">
          <w:pgSz w:w="12240" w:h="15840"/>
          <w:pgMar w:top="1440" w:right="1440" w:bottom="1440" w:left="1440" w:header="720" w:footer="720" w:gutter="0"/>
          <w:cols w:space="720"/>
        </w:sectPr>
      </w:pPr>
    </w:p>
    <w:p w14:paraId="756DEC01" w14:textId="7CF8DE97" w:rsidR="00966563" w:rsidRPr="00E069AC" w:rsidRDefault="551A77D0" w:rsidP="00B20FA0">
      <w:pPr>
        <w:pStyle w:val="Heading1"/>
      </w:pPr>
      <w:bookmarkStart w:id="32" w:name="_Toc19137308"/>
      <w:r w:rsidRPr="00E069AC">
        <w:t>Methodology</w:t>
      </w:r>
      <w:bookmarkEnd w:id="32"/>
    </w:p>
    <w:p w14:paraId="567926D6" w14:textId="435F926B" w:rsidR="00BD136D" w:rsidRPr="00E069AC" w:rsidRDefault="551A77D0" w:rsidP="00921A82">
      <w:pPr>
        <w:pStyle w:val="Heading2"/>
        <w:numPr>
          <w:ilvl w:val="1"/>
          <w:numId w:val="5"/>
        </w:numPr>
      </w:pPr>
      <w:bookmarkStart w:id="33" w:name="_Toc19137309"/>
      <w:r w:rsidRPr="00E069AC">
        <w:t>I</w:t>
      </w:r>
      <w:r w:rsidR="00E069AC">
        <w:t>ntroduction</w:t>
      </w:r>
      <w:bookmarkEnd w:id="33"/>
    </w:p>
    <w:p w14:paraId="7837546F" w14:textId="470EC3FF" w:rsidR="00202788" w:rsidRPr="009E79B6" w:rsidRDefault="00202788" w:rsidP="00EB247F">
      <w:pPr>
        <w:rPr>
          <w:rFonts w:cs="Times New Roman"/>
        </w:rPr>
      </w:pPr>
      <w:r w:rsidRPr="00E069AC">
        <w:rPr>
          <w:rFonts w:cs="Times New Roman"/>
        </w:rPr>
        <w:t>Project Drawdown’s models are developed in Microsoft Excel using standard templates that allow easier integration since integration is critical to the bottom-up approach used. The template used for this solution was the Reduction and Replacement Solutions (RRS) which accounts for re</w:t>
      </w:r>
      <w:r w:rsidR="000C3F49" w:rsidRPr="00E069AC">
        <w:rPr>
          <w:rFonts w:cs="Times New Roman"/>
        </w:rPr>
        <w:t>placement of conventional</w:t>
      </w:r>
      <w:r w:rsidRPr="00E069AC">
        <w:rPr>
          <w:rFonts w:cs="Times New Roman"/>
        </w:rPr>
        <w:t xml:space="preserve"> </w:t>
      </w:r>
      <w:r w:rsidR="000C3F49" w:rsidRPr="00E069AC">
        <w:rPr>
          <w:rFonts w:cs="Times New Roman"/>
        </w:rPr>
        <w:t>electricity generation technologies (i.e. coal, oil, natural gas)</w:t>
      </w:r>
      <w:r w:rsidRPr="00E069AC">
        <w:rPr>
          <w:rFonts w:cs="Times New Roman"/>
        </w:rPr>
        <w:t xml:space="preserve"> </w:t>
      </w:r>
      <w:r w:rsidR="000C3F49" w:rsidRPr="00E069AC">
        <w:rPr>
          <w:rFonts w:cs="Times New Roman"/>
        </w:rPr>
        <w:t>and related emissions</w:t>
      </w:r>
      <w:r w:rsidRPr="00E069AC">
        <w:rPr>
          <w:rFonts w:cs="Times New Roman"/>
        </w:rPr>
        <w:t xml:space="preserve"> for a</w:t>
      </w:r>
      <w:r w:rsidR="000C3F49" w:rsidRPr="00E069AC">
        <w:rPr>
          <w:rFonts w:cs="Times New Roman"/>
        </w:rPr>
        <w:t>n</w:t>
      </w:r>
      <w:r w:rsidRPr="00E069AC">
        <w:rPr>
          <w:rFonts w:cs="Times New Roman"/>
        </w:rPr>
        <w:t xml:space="preserve"> </w:t>
      </w:r>
      <w:r w:rsidR="000C3F49" w:rsidRPr="00E069AC">
        <w:rPr>
          <w:rFonts w:cs="Times New Roman"/>
        </w:rPr>
        <w:t xml:space="preserve">alternative </w:t>
      </w:r>
      <w:r w:rsidRPr="00E069AC">
        <w:rPr>
          <w:rFonts w:cs="Times New Roman"/>
        </w:rPr>
        <w:t>solution</w:t>
      </w:r>
      <w:r w:rsidR="005B7A11" w:rsidRPr="00E069AC">
        <w:rPr>
          <w:rFonts w:cs="Times New Roman"/>
        </w:rPr>
        <w:t xml:space="preserve"> (</w:t>
      </w:r>
      <w:r w:rsidR="00AE749D" w:rsidRPr="00E069AC">
        <w:rPr>
          <w:rFonts w:cs="Times New Roman"/>
        </w:rPr>
        <w:t>see the</w:t>
      </w:r>
      <w:r w:rsidR="00395868" w:rsidRPr="00E069AC">
        <w:rPr>
          <w:rFonts w:cs="Times New Roman"/>
        </w:rPr>
        <w:t xml:space="preserve"> </w:t>
      </w:r>
      <w:r w:rsidR="00AE749D" w:rsidRPr="00E069AC">
        <w:rPr>
          <w:rFonts w:cs="Times New Roman"/>
        </w:rPr>
        <w:t>Drawdown RRS Model Framework and Guide for more details</w:t>
      </w:r>
      <w:r w:rsidR="005B7A11" w:rsidRPr="00E069AC">
        <w:rPr>
          <w:rFonts w:cs="Times New Roman"/>
        </w:rPr>
        <w:t>)</w:t>
      </w:r>
      <w:r w:rsidR="000C3F49" w:rsidRPr="00E069AC">
        <w:rPr>
          <w:rFonts w:cs="Times New Roman"/>
        </w:rPr>
        <w:t>.</w:t>
      </w:r>
      <w:r w:rsidRPr="00E069AC">
        <w:rPr>
          <w:rFonts w:cs="Times New Roman"/>
        </w:rPr>
        <w:t xml:space="preserve"> These technologies are assumed to compete in markets to supply the final functional demand which is exogenous to the model, but may be shared across several solution models. The adoption and markets are therefore defined in terms of functional units</w:t>
      </w:r>
      <w:r w:rsidR="000C3F49" w:rsidRPr="00E069AC">
        <w:rPr>
          <w:rFonts w:cs="Times New Roman"/>
        </w:rPr>
        <w:t xml:space="preserve"> (TWh)</w:t>
      </w:r>
      <w:r w:rsidRPr="00E069AC">
        <w:rPr>
          <w:rFonts w:cs="Times New Roman"/>
        </w:rPr>
        <w:t>, and for investment costing, adoptions are also converted to implementation units</w:t>
      </w:r>
      <w:r w:rsidR="000C3F49" w:rsidRPr="00E069AC">
        <w:rPr>
          <w:rFonts w:cs="Times New Roman"/>
        </w:rPr>
        <w:t xml:space="preserve"> (TW)</w:t>
      </w:r>
      <w:r w:rsidRPr="00E069AC">
        <w:rPr>
          <w:rFonts w:cs="Times New Roman"/>
        </w:rPr>
        <w:t>. The adoptions of both conventional and solution were projected for each of several scenarios from 2015 to 2050 and the comparison of these scenarios (for the 2020-2050 segment</w:t>
      </w:r>
      <w:r w:rsidR="000C3F49" w:rsidRPr="00E069AC">
        <w:rPr>
          <w:rFonts w:cs="Times New Roman"/>
        </w:rPr>
        <w:t>) is what constitutes</w:t>
      </w:r>
      <w:r w:rsidRPr="00E069AC">
        <w:rPr>
          <w:rFonts w:cs="Times New Roman"/>
        </w:rPr>
        <w:t xml:space="preserve"> the </w:t>
      </w:r>
      <w:r w:rsidRPr="009E79B6">
        <w:rPr>
          <w:rFonts w:cs="Times New Roman"/>
        </w:rPr>
        <w:t xml:space="preserve">results. </w:t>
      </w:r>
    </w:p>
    <w:p w14:paraId="3F01DEC2" w14:textId="5B47F99C" w:rsidR="002D4B9E" w:rsidRPr="009E79B6" w:rsidRDefault="00202788" w:rsidP="00EB247F">
      <w:pPr>
        <w:rPr>
          <w:rFonts w:cs="Times New Roman"/>
          <w:i/>
          <w:iCs/>
          <w:highlight w:val="yellow"/>
        </w:rPr>
      </w:pPr>
      <w:r w:rsidRPr="009E79B6">
        <w:rPr>
          <w:rFonts w:cs="Times New Roman"/>
        </w:rPr>
        <w:t xml:space="preserve">For this solution, </w:t>
      </w:r>
      <w:r w:rsidRPr="009E79B6">
        <w:rPr>
          <w:rFonts w:cs="Times New Roman"/>
          <w:bCs/>
        </w:rPr>
        <w:t xml:space="preserve">the approach was to analyze </w:t>
      </w:r>
      <w:r w:rsidR="000C3F49" w:rsidRPr="009E79B6">
        <w:rPr>
          <w:rFonts w:cs="Times New Roman"/>
          <w:bCs/>
        </w:rPr>
        <w:t>the</w:t>
      </w:r>
      <w:r w:rsidR="003D452F">
        <w:rPr>
          <w:rFonts w:cs="Times New Roman"/>
          <w:bCs/>
        </w:rPr>
        <w:t xml:space="preserve"> climate and financial</w:t>
      </w:r>
      <w:r w:rsidR="000C3F49" w:rsidRPr="009E79B6">
        <w:rPr>
          <w:rFonts w:cs="Times New Roman"/>
          <w:bCs/>
        </w:rPr>
        <w:t xml:space="preserve"> impacts of increased </w:t>
      </w:r>
      <w:r w:rsidRPr="009E79B6">
        <w:rPr>
          <w:rFonts w:cs="Times New Roman"/>
          <w:bCs/>
        </w:rPr>
        <w:t xml:space="preserve">adoption of </w:t>
      </w:r>
      <w:r w:rsidR="00742E81">
        <w:rPr>
          <w:rFonts w:cs="Times New Roman"/>
        </w:rPr>
        <w:t>geothermal</w:t>
      </w:r>
      <w:r w:rsidR="009E79B6" w:rsidRPr="009E79B6">
        <w:rPr>
          <w:rFonts w:cs="Times New Roman"/>
        </w:rPr>
        <w:t xml:space="preserve"> </w:t>
      </w:r>
      <w:r w:rsidR="000C3F49" w:rsidRPr="009E79B6">
        <w:rPr>
          <w:rFonts w:cs="Times New Roman"/>
        </w:rPr>
        <w:t>systems</w:t>
      </w:r>
      <w:r w:rsidR="00742E81">
        <w:rPr>
          <w:rFonts w:cs="Times New Roman"/>
        </w:rPr>
        <w:t xml:space="preserve"> for electricity generation</w:t>
      </w:r>
      <w:r w:rsidR="008A7F61">
        <w:rPr>
          <w:rFonts w:cs="Times New Roman"/>
        </w:rPr>
        <w:t xml:space="preserve"> across level of agencies</w:t>
      </w:r>
      <w:r w:rsidR="000C3F49" w:rsidRPr="009E79B6">
        <w:rPr>
          <w:rFonts w:cs="Times New Roman"/>
        </w:rPr>
        <w:t xml:space="preserve">. </w:t>
      </w:r>
      <w:r w:rsidR="00683100" w:rsidRPr="009E79B6">
        <w:rPr>
          <w:rFonts w:cs="Times New Roman"/>
        </w:rPr>
        <w:t>The</w:t>
      </w:r>
      <w:r w:rsidR="002D4B9E" w:rsidRPr="009E79B6">
        <w:rPr>
          <w:rFonts w:cs="Times New Roman"/>
        </w:rPr>
        <w:t xml:space="preserve"> model used for this analysis constructs both </w:t>
      </w:r>
      <w:r w:rsidR="00683100" w:rsidRPr="009E79B6">
        <w:rPr>
          <w:rFonts w:cs="Times New Roman"/>
        </w:rPr>
        <w:t>alternative ambitious</w:t>
      </w:r>
      <w:r w:rsidR="002D4B9E" w:rsidRPr="009E79B6">
        <w:rPr>
          <w:rFonts w:cs="Times New Roman"/>
        </w:rPr>
        <w:t xml:space="preserve"> adoption</w:t>
      </w:r>
      <w:r w:rsidR="00683100" w:rsidRPr="009E79B6">
        <w:rPr>
          <w:rFonts w:cs="Times New Roman"/>
        </w:rPr>
        <w:t xml:space="preserve"> pathways </w:t>
      </w:r>
      <w:r w:rsidR="00AE749D" w:rsidRPr="009E79B6">
        <w:rPr>
          <w:rFonts w:cs="Times New Roman"/>
        </w:rPr>
        <w:t>(PD</w:t>
      </w:r>
      <w:r w:rsidR="00A2204D" w:rsidRPr="009E79B6">
        <w:rPr>
          <w:rFonts w:cs="Times New Roman"/>
        </w:rPr>
        <w:t xml:space="preserve"> scenarios)</w:t>
      </w:r>
      <w:r w:rsidR="002D4B9E" w:rsidRPr="009E79B6">
        <w:rPr>
          <w:rFonts w:cs="Times New Roman"/>
        </w:rPr>
        <w:t xml:space="preserve"> and a</w:t>
      </w:r>
      <w:r w:rsidR="002D4B9E" w:rsidRPr="00E069AC">
        <w:rPr>
          <w:rFonts w:cs="Times New Roman"/>
        </w:rPr>
        <w:t xml:space="preserve"> </w:t>
      </w:r>
      <w:r w:rsidR="002D4B9E" w:rsidRPr="009E79B6">
        <w:rPr>
          <w:rFonts w:cs="Times New Roman"/>
        </w:rPr>
        <w:t xml:space="preserve">Reference scenario (REF) for </w:t>
      </w:r>
      <w:r w:rsidR="008A7F61">
        <w:rPr>
          <w:rFonts w:cs="Times New Roman"/>
        </w:rPr>
        <w:t>g</w:t>
      </w:r>
      <w:r w:rsidR="00742E81">
        <w:rPr>
          <w:rFonts w:cs="Times New Roman"/>
        </w:rPr>
        <w:t xml:space="preserve">eothermal </w:t>
      </w:r>
      <w:r w:rsidR="008A7F61">
        <w:rPr>
          <w:rFonts w:cs="Times New Roman"/>
        </w:rPr>
        <w:t>e</w:t>
      </w:r>
      <w:r w:rsidR="00742E81">
        <w:rPr>
          <w:rFonts w:cs="Times New Roman"/>
        </w:rPr>
        <w:t>lectricity</w:t>
      </w:r>
      <w:r w:rsidR="008A7F61">
        <w:rPr>
          <w:rFonts w:cs="Times New Roman"/>
        </w:rPr>
        <w:t xml:space="preserve"> systems</w:t>
      </w:r>
      <w:r w:rsidR="002D4B9E" w:rsidRPr="009E79B6">
        <w:rPr>
          <w:rFonts w:cs="Times New Roman"/>
        </w:rPr>
        <w:t xml:space="preserve">. </w:t>
      </w:r>
      <w:r w:rsidR="00683100" w:rsidRPr="009E79B6">
        <w:rPr>
          <w:rFonts w:cs="Times New Roman"/>
        </w:rPr>
        <w:t>Following project Drawdown methodological assumption</w:t>
      </w:r>
      <w:r w:rsidR="00395868" w:rsidRPr="009E79B6">
        <w:rPr>
          <w:rFonts w:cs="Times New Roman"/>
        </w:rPr>
        <w:t xml:space="preserve"> (</w:t>
      </w:r>
      <w:r w:rsidR="00AE749D" w:rsidRPr="009E79B6">
        <w:rPr>
          <w:rFonts w:cs="Times New Roman"/>
        </w:rPr>
        <w:t xml:space="preserve">further description available on the Drawdown RRS Model Framework and Guide), </w:t>
      </w:r>
      <w:r w:rsidR="00683100" w:rsidRPr="009E79B6">
        <w:rPr>
          <w:rFonts w:cs="Times New Roman"/>
        </w:rPr>
        <w:t xml:space="preserve">in order to grasp the total impact of an increased adoption of the solution during the assessed time frame; the REF scenario assumes future adoption of </w:t>
      </w:r>
      <w:r w:rsidR="00742E81">
        <w:rPr>
          <w:rFonts w:cs="Times New Roman"/>
        </w:rPr>
        <w:t>geothermal</w:t>
      </w:r>
      <w:r w:rsidR="009E79B6" w:rsidRPr="009E79B6">
        <w:rPr>
          <w:rFonts w:cs="Times New Roman"/>
        </w:rPr>
        <w:t xml:space="preserve"> </w:t>
      </w:r>
      <w:r w:rsidR="00683100" w:rsidRPr="009E79B6">
        <w:rPr>
          <w:rFonts w:cs="Times New Roman"/>
        </w:rPr>
        <w:t>remains fixed at the current base-year (i.e. 2014) percentage of T</w:t>
      </w:r>
      <w:r w:rsidR="00A2204D" w:rsidRPr="009E79B6">
        <w:rPr>
          <w:rFonts w:cs="Times New Roman"/>
        </w:rPr>
        <w:t>otal Addressable Market (T</w:t>
      </w:r>
      <w:r w:rsidR="00683100" w:rsidRPr="009E79B6">
        <w:rPr>
          <w:rFonts w:cs="Times New Roman"/>
        </w:rPr>
        <w:t>AM</w:t>
      </w:r>
      <w:r w:rsidR="00A2204D" w:rsidRPr="009E79B6">
        <w:rPr>
          <w:rFonts w:cs="Times New Roman"/>
        </w:rPr>
        <w:t>)</w:t>
      </w:r>
      <w:r w:rsidR="00683100" w:rsidRPr="009E79B6">
        <w:rPr>
          <w:rFonts w:cs="Times New Roman"/>
        </w:rPr>
        <w:t xml:space="preserve">, </w:t>
      </w:r>
      <w:r w:rsidR="00742E81">
        <w:rPr>
          <w:rFonts w:cs="Times New Roman"/>
        </w:rPr>
        <w:t xml:space="preserve">estimated at </w:t>
      </w:r>
      <w:r w:rsidR="00742E81" w:rsidRPr="00E22136">
        <w:t>0.33 percent of generation (i.e. 74,195 terawatt-hours) (IRENA, 2016).</w:t>
      </w:r>
      <w:r w:rsidR="00992B8D" w:rsidRPr="009E79B6">
        <w:rPr>
          <w:rFonts w:cs="Times New Roman"/>
        </w:rPr>
        <w:t xml:space="preserve">The TAM for </w:t>
      </w:r>
      <w:r w:rsidR="00992B8D" w:rsidRPr="009E79B6">
        <w:rPr>
          <w:rFonts w:cs="Times New Roman"/>
          <w:iCs/>
        </w:rPr>
        <w:t>this solution</w:t>
      </w:r>
      <w:r w:rsidR="00992B8D" w:rsidRPr="009E79B6">
        <w:rPr>
          <w:rFonts w:cs="Times New Roman"/>
        </w:rPr>
        <w:t xml:space="preserve"> is based on the common project Drawdown projected global electricity generation in terawatt-hours till 2050</w:t>
      </w:r>
      <w:r w:rsidR="00AE749D" w:rsidRPr="009E79B6">
        <w:rPr>
          <w:rFonts w:cs="Times New Roman"/>
        </w:rPr>
        <w:t xml:space="preserve"> (Section 2.3</w:t>
      </w:r>
      <w:r w:rsidR="00992B8D" w:rsidRPr="009E79B6">
        <w:rPr>
          <w:rFonts w:cs="Times New Roman"/>
        </w:rPr>
        <w:t>.).</w:t>
      </w:r>
    </w:p>
    <w:p w14:paraId="44E67117" w14:textId="43737BED" w:rsidR="00395868" w:rsidRPr="00E069AC" w:rsidRDefault="00395868" w:rsidP="00EB247F">
      <w:pPr>
        <w:rPr>
          <w:rFonts w:cs="Times New Roman"/>
        </w:rPr>
      </w:pPr>
      <w:r w:rsidRPr="00E069AC">
        <w:rPr>
          <w:rFonts w:cs="Times New Roman"/>
        </w:rPr>
        <w:t xml:space="preserve">The developed alternative PDS scenarios, draw on existing adoption scenarios for </w:t>
      </w:r>
      <w:r w:rsidR="008A7F61">
        <w:rPr>
          <w:rFonts w:cs="Times New Roman"/>
        </w:rPr>
        <w:t>g</w:t>
      </w:r>
      <w:r w:rsidR="00742E81">
        <w:rPr>
          <w:rFonts w:cs="Times New Roman"/>
        </w:rPr>
        <w:t>eothermal</w:t>
      </w:r>
      <w:r w:rsidRPr="00E069AC">
        <w:rPr>
          <w:rFonts w:cs="Times New Roman"/>
        </w:rPr>
        <w:t xml:space="preserve"> to model several alternative adoptions. The RRS model contains both financial and climate analyses in order to model the global and regional impacts of adoption in the PDS scenarios compared to the REF scenario. What the model thus prognosticates is the total financial costs and benefits of adoption case</w:t>
      </w:r>
      <w:r w:rsidR="00D2050B" w:rsidRPr="00E069AC">
        <w:rPr>
          <w:rFonts w:cs="Times New Roman"/>
        </w:rPr>
        <w:t>s</w:t>
      </w:r>
      <w:r w:rsidRPr="00E069AC">
        <w:rPr>
          <w:rFonts w:cs="Times New Roman"/>
        </w:rPr>
        <w:t xml:space="preserve"> for </w:t>
      </w:r>
      <w:r w:rsidR="00742E81">
        <w:rPr>
          <w:rFonts w:cs="Times New Roman"/>
        </w:rPr>
        <w:t xml:space="preserve">geothermal </w:t>
      </w:r>
      <w:r w:rsidR="00443FE8">
        <w:rPr>
          <w:rFonts w:cs="Times New Roman"/>
        </w:rPr>
        <w:t>power</w:t>
      </w:r>
      <w:r w:rsidRPr="00E069AC">
        <w:rPr>
          <w:rFonts w:cs="Times New Roman"/>
        </w:rPr>
        <w:t xml:space="preserve">, as well as the contribution this adoption can make to annual and cumulative emissions reduction. </w:t>
      </w:r>
    </w:p>
    <w:p w14:paraId="298F46AB" w14:textId="21172A05" w:rsidR="00F52595" w:rsidRPr="00E069AC" w:rsidRDefault="00E069AC" w:rsidP="00921A82">
      <w:pPr>
        <w:pStyle w:val="Heading2"/>
        <w:numPr>
          <w:ilvl w:val="1"/>
          <w:numId w:val="4"/>
        </w:numPr>
      </w:pPr>
      <w:bookmarkStart w:id="34" w:name="_Toc19137310"/>
      <w:r>
        <w:t>Data Sources</w:t>
      </w:r>
      <w:bookmarkEnd w:id="34"/>
    </w:p>
    <w:p w14:paraId="7E1F86C7" w14:textId="443D2001" w:rsidR="00933FD7" w:rsidRPr="008F4829" w:rsidRDefault="00F66D25" w:rsidP="00EB247F">
      <w:pPr>
        <w:rPr>
          <w:rFonts w:cs="Times New Roman"/>
        </w:rPr>
      </w:pPr>
      <w:r w:rsidRPr="00E069AC">
        <w:rPr>
          <w:rFonts w:cs="Times New Roman"/>
        </w:rPr>
        <w:t>This section presents key data sources utilized in the mode</w:t>
      </w:r>
      <w:r w:rsidR="00D2050B" w:rsidRPr="00E069AC">
        <w:rPr>
          <w:rFonts w:cs="Times New Roman"/>
        </w:rPr>
        <w:t xml:space="preserve"> to evaluate t</w:t>
      </w:r>
      <w:r w:rsidR="00F4258D">
        <w:rPr>
          <w:rFonts w:cs="Times New Roman"/>
        </w:rPr>
        <w:t xml:space="preserve">he adoption of </w:t>
      </w:r>
      <w:r w:rsidR="00742E81">
        <w:rPr>
          <w:rFonts w:cs="Times New Roman"/>
        </w:rPr>
        <w:t xml:space="preserve">Geothermal power </w:t>
      </w:r>
      <w:r w:rsidR="001767E2">
        <w:rPr>
          <w:rFonts w:cs="Times New Roman"/>
        </w:rPr>
        <w:t xml:space="preserve">technologies. </w:t>
      </w:r>
      <w:r w:rsidR="00933FD7" w:rsidRPr="00E069AC">
        <w:rPr>
          <w:rFonts w:cs="Times New Roman"/>
        </w:rPr>
        <w:t>Data inputs for the model come from a variety of sources, primarily from peer-reviewed publications and from in</w:t>
      </w:r>
      <w:r w:rsidR="00DA44EB" w:rsidRPr="00E069AC">
        <w:rPr>
          <w:rFonts w:cs="Times New Roman"/>
        </w:rPr>
        <w:t>stitutional reports. For all variable inputs, it was</w:t>
      </w:r>
      <w:r w:rsidR="00933FD7" w:rsidRPr="00E069AC">
        <w:rPr>
          <w:rFonts w:cs="Times New Roman"/>
        </w:rPr>
        <w:t xml:space="preserve"> </w:t>
      </w:r>
      <w:r w:rsidR="00DA44EB" w:rsidRPr="00E069AC">
        <w:rPr>
          <w:rFonts w:cs="Times New Roman"/>
        </w:rPr>
        <w:t xml:space="preserve">done </w:t>
      </w:r>
      <w:r w:rsidR="00933FD7" w:rsidRPr="00E069AC">
        <w:rPr>
          <w:rFonts w:cs="Times New Roman"/>
        </w:rPr>
        <w:t xml:space="preserve">a variable meta-analysis of existing literature to create low, high, and mean estimates. For each </w:t>
      </w:r>
      <w:r w:rsidRPr="00E069AC">
        <w:rPr>
          <w:rFonts w:cs="Times New Roman"/>
        </w:rPr>
        <w:t>solution variable, it is</w:t>
      </w:r>
      <w:r w:rsidR="00933FD7" w:rsidRPr="00E069AC">
        <w:rPr>
          <w:rFonts w:cs="Times New Roman"/>
        </w:rPr>
        <w:t xml:space="preserve"> conduct</w:t>
      </w:r>
      <w:r w:rsidRPr="00E069AC">
        <w:rPr>
          <w:rFonts w:cs="Times New Roman"/>
        </w:rPr>
        <w:t>ed</w:t>
      </w:r>
      <w:r w:rsidR="00933FD7" w:rsidRPr="00E069AC">
        <w:rPr>
          <w:rFonts w:cs="Times New Roman"/>
        </w:rPr>
        <w:t xml:space="preserve"> a </w:t>
      </w:r>
      <w:r w:rsidR="00933FD7" w:rsidRPr="008F003C">
        <w:rPr>
          <w:rFonts w:cs="Times New Roman"/>
        </w:rPr>
        <w:t xml:space="preserve">sensitivity analysis of, on average, </w:t>
      </w:r>
      <w:r w:rsidRPr="008F003C">
        <w:rPr>
          <w:rFonts w:cs="Times New Roman"/>
        </w:rPr>
        <w:t>t</w:t>
      </w:r>
      <w:r w:rsidR="002C62B6" w:rsidRPr="008F003C">
        <w:rPr>
          <w:rFonts w:cs="Times New Roman"/>
        </w:rPr>
        <w:t>en</w:t>
      </w:r>
      <w:r w:rsidR="00933FD7" w:rsidRPr="008F003C">
        <w:rPr>
          <w:rFonts w:cs="Times New Roman"/>
        </w:rPr>
        <w:t xml:space="preserve"> data points reported in the literature</w:t>
      </w:r>
      <w:r w:rsidRPr="008F003C">
        <w:rPr>
          <w:rFonts w:cs="Times New Roman"/>
        </w:rPr>
        <w:t xml:space="preserve"> and in some cases as many as </w:t>
      </w:r>
      <w:r w:rsidR="00FB55AF" w:rsidRPr="008F003C">
        <w:rPr>
          <w:rFonts w:cs="Times New Roman"/>
        </w:rPr>
        <w:t>21</w:t>
      </w:r>
      <w:r w:rsidR="00933FD7" w:rsidRPr="008F003C">
        <w:rPr>
          <w:rFonts w:cs="Times New Roman"/>
        </w:rPr>
        <w:t xml:space="preserve">. </w:t>
      </w:r>
      <w:r w:rsidR="00DA44EB" w:rsidRPr="008F003C">
        <w:rPr>
          <w:rFonts w:cs="Times New Roman"/>
        </w:rPr>
        <w:t xml:space="preserve">This allows </w:t>
      </w:r>
      <w:r w:rsidR="00933FD7" w:rsidRPr="008F003C">
        <w:rPr>
          <w:rFonts w:cs="Times New Roman"/>
        </w:rPr>
        <w:t>to calculate rob</w:t>
      </w:r>
      <w:r w:rsidR="00DA44EB" w:rsidRPr="008F003C">
        <w:rPr>
          <w:rFonts w:cs="Times New Roman"/>
        </w:rPr>
        <w:t xml:space="preserve">ust and reliable inputs for the </w:t>
      </w:r>
      <w:r w:rsidR="00933FD7" w:rsidRPr="008F003C">
        <w:rPr>
          <w:rFonts w:cs="Times New Roman"/>
        </w:rPr>
        <w:t>financial</w:t>
      </w:r>
      <w:r w:rsidRPr="008F003C">
        <w:rPr>
          <w:rFonts w:cs="Times New Roman"/>
        </w:rPr>
        <w:t>, technological</w:t>
      </w:r>
      <w:r w:rsidR="00933FD7" w:rsidRPr="008F003C">
        <w:rPr>
          <w:rFonts w:cs="Times New Roman"/>
        </w:rPr>
        <w:t xml:space="preserve"> and climate analyses that represent both optimistic and conservative estimates for the future costs and benefits of adopting this </w:t>
      </w:r>
      <w:r w:rsidR="00933FD7" w:rsidRPr="008F4829">
        <w:rPr>
          <w:rFonts w:cs="Times New Roman"/>
        </w:rPr>
        <w:t>solution.</w:t>
      </w:r>
    </w:p>
    <w:p w14:paraId="4D3EA177" w14:textId="6329336C" w:rsidR="004A327B" w:rsidRPr="008F4829" w:rsidRDefault="004A327B" w:rsidP="004A327B">
      <w:r w:rsidRPr="008F4829">
        <w:t xml:space="preserve">For the geothermal electricity global adoption, it were selected six sources with eleven (11) </w:t>
      </w:r>
      <w:r w:rsidR="008F4829" w:rsidRPr="008F4829">
        <w:t xml:space="preserve">possible </w:t>
      </w:r>
      <w:r w:rsidRPr="008F4829">
        <w:t>scenarios including IEA</w:t>
      </w:r>
      <w:r w:rsidR="008F4829" w:rsidRPr="008F4829">
        <w:t xml:space="preserve"> (2018)</w:t>
      </w:r>
      <w:r w:rsidRPr="008F4829">
        <w:t xml:space="preserve"> World Energy Outlook (Current Policy, New Policy, and Sustainable Development scenarios); IEA</w:t>
      </w:r>
      <w:r w:rsidR="008F4829" w:rsidRPr="008F4829">
        <w:t xml:space="preserve"> (2017)</w:t>
      </w:r>
      <w:r w:rsidRPr="008F4829">
        <w:t xml:space="preserve"> Energy Technology Perspectives (Reference Technology, 2 Degrees, and Beyond 2 Degrees scenarios); Grantham/Carbon Tracker </w:t>
      </w:r>
      <w:r w:rsidR="008F4829" w:rsidRPr="008F4829">
        <w:t xml:space="preserve">(2017) </w:t>
      </w:r>
      <w:r w:rsidRPr="008F4829">
        <w:t>Report (moderate fossil fuel intensive or NDC_PV_EV_Medium); IEEJ</w:t>
      </w:r>
      <w:r w:rsidR="008F4829" w:rsidRPr="008F4829">
        <w:t xml:space="preserve"> (2018)</w:t>
      </w:r>
      <w:r w:rsidRPr="008F4829">
        <w:t xml:space="preserve"> Outlook (Reference and Advanced Technology scenarios); and Ecofys</w:t>
      </w:r>
      <w:r w:rsidR="008F4829" w:rsidRPr="008F4829">
        <w:t xml:space="preserve"> (200)</w:t>
      </w:r>
      <w:r w:rsidRPr="008F4829">
        <w:t xml:space="preserve"> 100% Renewable Energy scenario. While these sources present the afore-mentioned scenarios explicitly, some sources in literature present the ‘geothermal+other renewables’ such that it is difficult to isolate.</w:t>
      </w:r>
    </w:p>
    <w:p w14:paraId="470CB312" w14:textId="702A80AC" w:rsidR="004A327B" w:rsidRPr="004A327B" w:rsidRDefault="008F4829" w:rsidP="00EB247F">
      <w:r w:rsidRPr="008F4829">
        <w:t>These</w:t>
      </w:r>
      <w:r w:rsidR="004A327B" w:rsidRPr="008F4829">
        <w:t xml:space="preserve"> scenarios are projections of the role of geothermal energy technologies on the future global electricity generation mix related to different climate mitigation pathways or RES adoption from 2018 to 2060 inclusive. The scenarios are grouped in the </w:t>
      </w:r>
      <w:r w:rsidRPr="008F4829">
        <w:t xml:space="preserve">RRS </w:t>
      </w:r>
      <w:r w:rsidR="004A327B" w:rsidRPr="008F4829">
        <w:t>Drawdown model to be included under Baseline</w:t>
      </w:r>
      <w:r w:rsidRPr="008F4829">
        <w:t>,</w:t>
      </w:r>
      <w:r w:rsidR="004A327B" w:rsidRPr="008F4829">
        <w:t xml:space="preserve"> Conservative and Ambitious climate cases</w:t>
      </w:r>
      <w:r w:rsidRPr="008F4829">
        <w:t xml:space="preserve"> and</w:t>
      </w:r>
      <w:r w:rsidR="004A327B" w:rsidRPr="008F4829">
        <w:t xml:space="preserve"> 100% RES adoption for electricity generation in the power sector. </w:t>
      </w:r>
    </w:p>
    <w:p w14:paraId="26E54CE9" w14:textId="17AF9820" w:rsidR="005A6986" w:rsidRPr="00742E81" w:rsidRDefault="00D118D9" w:rsidP="00EB247F">
      <w:pPr>
        <w:rPr>
          <w:rFonts w:cs="Times New Roman"/>
          <w:highlight w:val="yellow"/>
        </w:rPr>
      </w:pPr>
      <w:r w:rsidRPr="008F003C">
        <w:rPr>
          <w:rFonts w:cs="Times New Roman"/>
        </w:rPr>
        <w:t xml:space="preserve">Since costs can vary widely depending upon plant </w:t>
      </w:r>
      <w:r w:rsidR="008A7F61">
        <w:rPr>
          <w:rFonts w:cs="Times New Roman"/>
        </w:rPr>
        <w:t xml:space="preserve">type </w:t>
      </w:r>
      <w:r w:rsidRPr="008F003C">
        <w:rPr>
          <w:rFonts w:cs="Times New Roman"/>
        </w:rPr>
        <w:t>and region, r</w:t>
      </w:r>
      <w:r w:rsidR="005A6986" w:rsidRPr="008F003C">
        <w:rPr>
          <w:rFonts w:cs="Times New Roman"/>
        </w:rPr>
        <w:t xml:space="preserve">ecent capital cost estimates from several data sources determine the average capital cost of </w:t>
      </w:r>
      <w:r w:rsidRPr="008F003C">
        <w:rPr>
          <w:rFonts w:cs="Times New Roman"/>
        </w:rPr>
        <w:t>geothermal</w:t>
      </w:r>
      <w:r w:rsidR="005A6986" w:rsidRPr="008F003C">
        <w:rPr>
          <w:rFonts w:cs="Times New Roman"/>
        </w:rPr>
        <w:t xml:space="preserve"> installations </w:t>
      </w:r>
      <w:r w:rsidR="005A6986" w:rsidRPr="008F003C">
        <w:rPr>
          <w:rFonts w:cs="Times New Roman"/>
        </w:rPr>
        <w:fldChar w:fldCharType="begin"/>
      </w:r>
      <w:r w:rsidR="005A6986" w:rsidRPr="008F003C">
        <w:rPr>
          <w:rFonts w:cs="Times New Roman"/>
        </w:rPr>
        <w:instrText xml:space="preserve"> ADDIN ZOTERO_ITEM CSL_CITATION {"citationID":"m2RREmfn","properties":{"formattedCitation":"(IEA, 2014; IRENA, 2015; REN21, 2015)","plainCitation":"(IEA, 2014; IRENA, 2015; REN21, 2015)"},"citationItems":[{"id":3993,"uris":["http://zotero.org/groups/277937/items/TG7KD8S5"],"uri":["http://zotero.org/groups/277937/items/TG7KD8S5"],"itemData":{"id":3993,"type":"report","title":"Renewable Power Generation Costs in 2014","author":[{"family":"IRENA","given":""}],"issued":{"date-parts":[["2015",1]]}}},{"id":3992,"uris":["http://zotero.org/groups/277937/items/TMDDCUC9"],"uri":["http://zotero.org/groups/277937/items/TMDDCUC9"],"itemData":{"id":3992,"type":"report","title":"Renewables 2015: Global Status Report","URL":"http://www.ren21.net/status-of-renewables/global-status-report/","author":[{"family":"REN21","given":""}],"issued":{"date-parts":[["2015"]]}}},{"id":3986,"uris":["http://zotero.org/groups/277937/items/KSGIGHEK"],"uri":["http://zotero.org/groups/277937/items/KSGIGHEK"],"itemData":{"id":3986,"type":"report","title":"Technology Roadmap: Solar Photovoltaic Energy","source":"Google Scholar","URL":"http://www.iea.org/publications/freepublications/publication/TechnologyRoadmapSolarPhotovoltaicEnergy_2014edition.pdf","author":[{"family":"IEA","given":""}],"issued":{"date-parts":[["2014"]]},"accessed":{"date-parts":[["2015",7,14]]}}}],"schema":"https://github.com/citation-style-language/schema/raw/master/csl-citation.json"} </w:instrText>
      </w:r>
      <w:r w:rsidR="005A6986" w:rsidRPr="008F003C">
        <w:rPr>
          <w:rFonts w:cs="Times New Roman"/>
        </w:rPr>
        <w:fldChar w:fldCharType="separate"/>
      </w:r>
      <w:r w:rsidR="005A6986" w:rsidRPr="008F003C">
        <w:rPr>
          <w:rFonts w:cs="Times New Roman"/>
        </w:rPr>
        <w:t>(</w:t>
      </w:r>
      <w:r w:rsidR="002C62B6" w:rsidRPr="008F003C">
        <w:rPr>
          <w:rFonts w:cs="Times New Roman"/>
        </w:rPr>
        <w:t xml:space="preserve">e.g. </w:t>
      </w:r>
      <w:r w:rsidR="008F003C" w:rsidRPr="008F003C">
        <w:rPr>
          <w:rFonts w:cs="Times New Roman"/>
        </w:rPr>
        <w:t>WEC</w:t>
      </w:r>
      <w:r w:rsidR="002C62B6" w:rsidRPr="008F003C">
        <w:rPr>
          <w:rFonts w:cs="Times New Roman"/>
        </w:rPr>
        <w:t xml:space="preserve">, </w:t>
      </w:r>
      <w:r w:rsidR="00DA012E" w:rsidRPr="008F003C">
        <w:rPr>
          <w:rFonts w:cs="Times New Roman"/>
        </w:rPr>
        <w:t>201</w:t>
      </w:r>
      <w:r w:rsidR="008F003C" w:rsidRPr="008F003C">
        <w:rPr>
          <w:rFonts w:cs="Times New Roman"/>
        </w:rPr>
        <w:t>3</w:t>
      </w:r>
      <w:r w:rsidR="00DA012E" w:rsidRPr="008F003C">
        <w:rPr>
          <w:rFonts w:cs="Times New Roman"/>
        </w:rPr>
        <w:t xml:space="preserve">; </w:t>
      </w:r>
      <w:r w:rsidR="008F003C" w:rsidRPr="008F003C">
        <w:rPr>
          <w:rFonts w:cs="Times New Roman"/>
        </w:rPr>
        <w:t>JRC</w:t>
      </w:r>
      <w:r w:rsidR="002C62B6" w:rsidRPr="008F003C">
        <w:rPr>
          <w:rFonts w:cs="Times New Roman"/>
        </w:rPr>
        <w:t xml:space="preserve">, </w:t>
      </w:r>
      <w:r w:rsidR="005A6986" w:rsidRPr="008F003C">
        <w:rPr>
          <w:rFonts w:cs="Times New Roman"/>
        </w:rPr>
        <w:t>201</w:t>
      </w:r>
      <w:r w:rsidR="008F003C" w:rsidRPr="008F003C">
        <w:rPr>
          <w:rFonts w:cs="Times New Roman"/>
        </w:rPr>
        <w:t>3</w:t>
      </w:r>
      <w:r w:rsidR="00FE78B3" w:rsidRPr="008F003C">
        <w:rPr>
          <w:rFonts w:cs="Times New Roman"/>
        </w:rPr>
        <w:t>;</w:t>
      </w:r>
      <w:r w:rsidR="00DA012E" w:rsidRPr="008F003C">
        <w:rPr>
          <w:rFonts w:cs="Times New Roman"/>
        </w:rPr>
        <w:t xml:space="preserve"> </w:t>
      </w:r>
      <w:r w:rsidR="008F003C" w:rsidRPr="008F003C">
        <w:rPr>
          <w:rFonts w:cs="Times New Roman"/>
        </w:rPr>
        <w:t>JRC</w:t>
      </w:r>
      <w:r w:rsidR="002C62B6" w:rsidRPr="008F003C">
        <w:rPr>
          <w:rFonts w:cs="Times New Roman"/>
        </w:rPr>
        <w:t xml:space="preserve">, </w:t>
      </w:r>
      <w:r w:rsidR="00DA44EB" w:rsidRPr="008F003C">
        <w:rPr>
          <w:rFonts w:cs="Times New Roman"/>
        </w:rPr>
        <w:t>201</w:t>
      </w:r>
      <w:r w:rsidR="008F003C" w:rsidRPr="008F003C">
        <w:rPr>
          <w:rFonts w:cs="Times New Roman"/>
        </w:rPr>
        <w:t>4</w:t>
      </w:r>
      <w:r w:rsidR="005A6986" w:rsidRPr="008F003C">
        <w:rPr>
          <w:rFonts w:cs="Times New Roman"/>
        </w:rPr>
        <w:t>)</w:t>
      </w:r>
      <w:r w:rsidR="005A6986" w:rsidRPr="008F003C">
        <w:rPr>
          <w:rFonts w:cs="Times New Roman"/>
        </w:rPr>
        <w:fldChar w:fldCharType="end"/>
      </w:r>
      <w:r w:rsidR="005A6986" w:rsidRPr="008F003C">
        <w:rPr>
          <w:rFonts w:cs="Times New Roman"/>
        </w:rPr>
        <w:t xml:space="preserve">. </w:t>
      </w:r>
      <w:r w:rsidR="00DA44EB" w:rsidRPr="008F003C">
        <w:rPr>
          <w:rFonts w:cs="Times New Roman"/>
        </w:rPr>
        <w:t>It is</w:t>
      </w:r>
      <w:r w:rsidR="005A6986" w:rsidRPr="008F003C">
        <w:rPr>
          <w:rFonts w:cs="Times New Roman"/>
        </w:rPr>
        <w:t xml:space="preserve"> acknowledge</w:t>
      </w:r>
      <w:r w:rsidR="00DA44EB" w:rsidRPr="008F003C">
        <w:rPr>
          <w:rFonts w:cs="Times New Roman"/>
        </w:rPr>
        <w:t>d</w:t>
      </w:r>
      <w:r w:rsidR="005A6986" w:rsidRPr="008F003C">
        <w:rPr>
          <w:rFonts w:cs="Times New Roman"/>
        </w:rPr>
        <w:t xml:space="preserve"> that capital costs </w:t>
      </w:r>
      <w:r w:rsidR="00F4258D" w:rsidRPr="008F003C">
        <w:rPr>
          <w:rFonts w:cs="Times New Roman"/>
        </w:rPr>
        <w:t xml:space="preserve">for </w:t>
      </w:r>
      <w:r w:rsidRPr="008F003C">
        <w:rPr>
          <w:rFonts w:cs="Times New Roman"/>
        </w:rPr>
        <w:t>geothermal power</w:t>
      </w:r>
      <w:r w:rsidR="00F4258D" w:rsidRPr="008F003C">
        <w:rPr>
          <w:rFonts w:cs="Times New Roman"/>
        </w:rPr>
        <w:t xml:space="preserve"> </w:t>
      </w:r>
      <w:r w:rsidR="00DA44EB" w:rsidRPr="008F003C">
        <w:rPr>
          <w:rFonts w:cs="Times New Roman"/>
        </w:rPr>
        <w:t xml:space="preserve">systems </w:t>
      </w:r>
      <w:r w:rsidR="005A6986" w:rsidRPr="008F003C">
        <w:rPr>
          <w:rFonts w:cs="Times New Roman"/>
        </w:rPr>
        <w:t>can vary significantly by region</w:t>
      </w:r>
      <w:r w:rsidRPr="008F003C">
        <w:rPr>
          <w:rFonts w:cs="Times New Roman"/>
        </w:rPr>
        <w:t xml:space="preserve"> and plant type</w:t>
      </w:r>
      <w:r w:rsidR="005A6986" w:rsidRPr="008F003C">
        <w:rPr>
          <w:rFonts w:cs="Times New Roman"/>
        </w:rPr>
        <w:t>, but exhaustive regional data w</w:t>
      </w:r>
      <w:r w:rsidRPr="008F003C">
        <w:rPr>
          <w:rFonts w:cs="Times New Roman"/>
        </w:rPr>
        <w:t>as</w:t>
      </w:r>
      <w:r w:rsidR="005A6986" w:rsidRPr="008F003C">
        <w:rPr>
          <w:rFonts w:cs="Times New Roman"/>
        </w:rPr>
        <w:t xml:space="preserve"> not available to calculate an average cost weighted by installation size</w:t>
      </w:r>
      <w:r w:rsidRPr="008F003C">
        <w:rPr>
          <w:rFonts w:cs="Times New Roman"/>
        </w:rPr>
        <w:t>/region</w:t>
      </w:r>
      <w:r w:rsidR="005A6986" w:rsidRPr="00D118D9">
        <w:rPr>
          <w:rFonts w:cs="Times New Roman"/>
        </w:rPr>
        <w:t xml:space="preserve">. </w:t>
      </w:r>
    </w:p>
    <w:p w14:paraId="00141797" w14:textId="627134A1" w:rsidR="00254B2A" w:rsidRPr="00B533CC" w:rsidRDefault="00FD0E76" w:rsidP="00FD0E76">
      <w:pPr>
        <w:rPr>
          <w:rFonts w:eastAsia="Times New Roman"/>
          <w:bCs/>
          <w:color w:val="000000"/>
        </w:rPr>
      </w:pPr>
      <w:r w:rsidRPr="00D118D9">
        <w:rPr>
          <w:rFonts w:cs="Times New Roman"/>
        </w:rPr>
        <w:t xml:space="preserve">Learning rates for </w:t>
      </w:r>
      <w:r w:rsidR="00D118D9" w:rsidRPr="00D118D9">
        <w:rPr>
          <w:rFonts w:cs="Times New Roman"/>
        </w:rPr>
        <w:t xml:space="preserve">geothermal power </w:t>
      </w:r>
      <w:r w:rsidRPr="00D118D9">
        <w:rPr>
          <w:rFonts w:cs="Times New Roman"/>
        </w:rPr>
        <w:t xml:space="preserve">are expected to continue to reduce costs, making the technologies more competitive and </w:t>
      </w:r>
      <w:r w:rsidR="00D118D9">
        <w:rPr>
          <w:rFonts w:cs="Times New Roman"/>
        </w:rPr>
        <w:t xml:space="preserve">cheaper. </w:t>
      </w:r>
      <w:r w:rsidRPr="00D118D9">
        <w:rPr>
          <w:rFonts w:cs="Times New Roman"/>
        </w:rPr>
        <w:t xml:space="preserve">Yet, the opportunities for cost reductions for </w:t>
      </w:r>
      <w:r w:rsidR="00D118D9" w:rsidRPr="00D118D9">
        <w:rPr>
          <w:rFonts w:cs="Times New Roman"/>
        </w:rPr>
        <w:t>more mature</w:t>
      </w:r>
      <w:r w:rsidRPr="00D118D9">
        <w:rPr>
          <w:rFonts w:cs="Times New Roman"/>
        </w:rPr>
        <w:t xml:space="preserve"> plant </w:t>
      </w:r>
      <w:r w:rsidR="00D118D9" w:rsidRPr="00D118D9">
        <w:rPr>
          <w:rFonts w:cs="Times New Roman"/>
        </w:rPr>
        <w:t>types might be low, there is a</w:t>
      </w:r>
      <w:r w:rsidR="008A7F61">
        <w:rPr>
          <w:rFonts w:cs="Times New Roman"/>
        </w:rPr>
        <w:t xml:space="preserve"> good</w:t>
      </w:r>
      <w:r w:rsidR="00D118D9" w:rsidRPr="00D118D9">
        <w:rPr>
          <w:rFonts w:cs="Times New Roman"/>
        </w:rPr>
        <w:t xml:space="preserve"> opportunity for EGS</w:t>
      </w:r>
      <w:r w:rsidRPr="00D118D9">
        <w:rPr>
          <w:rFonts w:cs="Times New Roman"/>
        </w:rPr>
        <w:t xml:space="preserve"> </w:t>
      </w:r>
      <w:r w:rsidR="00D118D9" w:rsidRPr="00D118D9">
        <w:rPr>
          <w:rFonts w:cs="Times New Roman"/>
        </w:rPr>
        <w:t>since they are on an early stage of development and its</w:t>
      </w:r>
      <w:r w:rsidRPr="00D118D9">
        <w:rPr>
          <w:rFonts w:cs="Times New Roman"/>
        </w:rPr>
        <w:t xml:space="preserve"> commercial deployment is in its infancy. </w:t>
      </w:r>
      <w:r w:rsidR="00272ACD">
        <w:rPr>
          <w:rFonts w:eastAsia="Times New Roman"/>
          <w:bCs/>
          <w:color w:val="000000"/>
        </w:rPr>
        <w:t xml:space="preserve">According to Rubin </w:t>
      </w:r>
      <w:r w:rsidR="00272ACD" w:rsidRPr="00272ACD">
        <w:rPr>
          <w:rFonts w:eastAsia="Times New Roman"/>
          <w:bCs/>
          <w:i/>
          <w:color w:val="000000"/>
        </w:rPr>
        <w:t>et al.</w:t>
      </w:r>
      <w:r w:rsidR="00272ACD">
        <w:rPr>
          <w:rFonts w:eastAsia="Times New Roman"/>
          <w:bCs/>
          <w:color w:val="000000"/>
        </w:rPr>
        <w:t xml:space="preserve"> </w:t>
      </w:r>
      <w:r w:rsidR="00272ACD" w:rsidRPr="00524D9E">
        <w:rPr>
          <w:rFonts w:eastAsia="Times New Roman"/>
          <w:bCs/>
          <w:noProof/>
          <w:color w:val="000000"/>
        </w:rPr>
        <w:t>(2015)</w:t>
      </w:r>
      <w:r w:rsidR="00272ACD">
        <w:rPr>
          <w:rFonts w:eastAsia="Times New Roman"/>
          <w:bCs/>
          <w:noProof/>
          <w:color w:val="000000"/>
        </w:rPr>
        <w:t>,</w:t>
      </w:r>
      <w:r w:rsidR="00272ACD">
        <w:rPr>
          <w:rFonts w:eastAsia="Times New Roman"/>
          <w:bCs/>
          <w:color w:val="000000"/>
        </w:rPr>
        <w:t xml:space="preserve"> the cost of geothermal energy is sensitive to site-specific resource temperature, the fluid chemistry, the geothermal fluid flow rate, and the ambient temperature</w:t>
      </w:r>
      <w:r w:rsidR="00254B2A">
        <w:rPr>
          <w:rFonts w:eastAsia="Times New Roman"/>
          <w:bCs/>
          <w:color w:val="000000"/>
        </w:rPr>
        <w:t>. Also, plant selection, and condenser type also affect costs</w:t>
      </w:r>
      <w:r w:rsidR="00272ACD">
        <w:rPr>
          <w:rFonts w:eastAsia="Times New Roman"/>
          <w:bCs/>
          <w:color w:val="000000"/>
        </w:rPr>
        <w:t xml:space="preserve"> – all of which make it quite difficult to </w:t>
      </w:r>
      <w:r w:rsidR="003712DC">
        <w:rPr>
          <w:rFonts w:eastAsia="Times New Roman"/>
          <w:bCs/>
          <w:color w:val="000000"/>
        </w:rPr>
        <w:t>establish</w:t>
      </w:r>
      <w:r w:rsidR="00272ACD">
        <w:rPr>
          <w:rFonts w:eastAsia="Times New Roman"/>
          <w:bCs/>
          <w:color w:val="000000"/>
        </w:rPr>
        <w:t xml:space="preserve"> a </w:t>
      </w:r>
      <w:r w:rsidR="003712DC">
        <w:rPr>
          <w:rFonts w:eastAsia="Times New Roman"/>
          <w:bCs/>
          <w:color w:val="000000"/>
        </w:rPr>
        <w:t>global</w:t>
      </w:r>
      <w:r w:rsidR="00272ACD">
        <w:rPr>
          <w:rFonts w:eastAsia="Times New Roman"/>
          <w:bCs/>
          <w:color w:val="000000"/>
        </w:rPr>
        <w:t xml:space="preserve"> learning rate for geothermal </w:t>
      </w:r>
      <w:r w:rsidR="003712DC">
        <w:rPr>
          <w:rFonts w:eastAsia="Times New Roman"/>
          <w:bCs/>
          <w:color w:val="000000"/>
        </w:rPr>
        <w:t>systems</w:t>
      </w:r>
      <w:r w:rsidR="00272ACD">
        <w:rPr>
          <w:rFonts w:eastAsia="Times New Roman"/>
          <w:bCs/>
          <w:color w:val="000000"/>
        </w:rPr>
        <w:t>. However,</w:t>
      </w:r>
      <w:r w:rsidR="00B21C1F">
        <w:rPr>
          <w:rFonts w:eastAsia="Times New Roman"/>
          <w:bCs/>
          <w:color w:val="000000"/>
        </w:rPr>
        <w:t xml:space="preserve"> using </w:t>
      </w:r>
      <w:r w:rsidR="00272ACD">
        <w:rPr>
          <w:rFonts w:eastAsia="Times New Roman"/>
          <w:bCs/>
          <w:color w:val="000000"/>
        </w:rPr>
        <w:t xml:space="preserve">U.S Energy Information Administration (EIA) on the cumulative net electricity generation from geothermal plants between 1980 to 2005, Rubin </w:t>
      </w:r>
      <w:r w:rsidR="00272ACD" w:rsidRPr="00272ACD">
        <w:rPr>
          <w:rFonts w:eastAsia="Times New Roman"/>
          <w:bCs/>
          <w:i/>
          <w:color w:val="000000"/>
        </w:rPr>
        <w:t>et al.</w:t>
      </w:r>
      <w:r w:rsidR="00272ACD">
        <w:rPr>
          <w:rFonts w:eastAsia="Times New Roman"/>
          <w:bCs/>
          <w:color w:val="000000"/>
        </w:rPr>
        <w:t xml:space="preserve"> (2015) derived an inferred learning rate of approximately 30% </w:t>
      </w:r>
      <w:r w:rsidR="00272ACD" w:rsidRPr="00124924">
        <w:rPr>
          <w:rFonts w:eastAsia="Times New Roman"/>
          <w:bCs/>
          <w:color w:val="000000"/>
        </w:rPr>
        <w:t>based on a one-factor model</w:t>
      </w:r>
      <w:r w:rsidR="00272ACD">
        <w:rPr>
          <w:rFonts w:eastAsia="Times New Roman"/>
          <w:bCs/>
          <w:color w:val="000000"/>
        </w:rPr>
        <w:t>.</w:t>
      </w:r>
      <w:r w:rsidR="00254B2A">
        <w:rPr>
          <w:rFonts w:eastAsia="Times New Roman"/>
          <w:bCs/>
          <w:color w:val="000000"/>
        </w:rPr>
        <w:t xml:space="preserve"> Other sources give estimates of 7 – 8% (</w:t>
      </w:r>
      <w:r w:rsidR="00254B2A" w:rsidRPr="00254B2A">
        <w:rPr>
          <w:rFonts w:eastAsia="Times New Roman"/>
          <w:bCs/>
          <w:color w:val="000000"/>
        </w:rPr>
        <w:t xml:space="preserve">Lukawski </w:t>
      </w:r>
      <w:r w:rsidR="00254B2A" w:rsidRPr="003712DC">
        <w:rPr>
          <w:rFonts w:eastAsia="Times New Roman"/>
          <w:bCs/>
          <w:i/>
          <w:color w:val="000000"/>
        </w:rPr>
        <w:t>et al</w:t>
      </w:r>
      <w:r w:rsidR="003712DC" w:rsidRPr="003712DC">
        <w:rPr>
          <w:rFonts w:eastAsia="Times New Roman"/>
          <w:bCs/>
          <w:i/>
          <w:color w:val="000000"/>
        </w:rPr>
        <w:t>.</w:t>
      </w:r>
      <w:r w:rsidR="00254B2A">
        <w:rPr>
          <w:rFonts w:eastAsia="Times New Roman"/>
          <w:bCs/>
          <w:color w:val="000000"/>
        </w:rPr>
        <w:t xml:space="preserve">, </w:t>
      </w:r>
      <w:r w:rsidR="00254B2A" w:rsidRPr="00254B2A">
        <w:rPr>
          <w:rFonts w:eastAsia="Times New Roman"/>
          <w:bCs/>
          <w:color w:val="000000"/>
        </w:rPr>
        <w:t>2014</w:t>
      </w:r>
      <w:r w:rsidR="00254B2A">
        <w:rPr>
          <w:rFonts w:eastAsia="Times New Roman"/>
          <w:bCs/>
          <w:color w:val="000000"/>
        </w:rPr>
        <w:t xml:space="preserve">; </w:t>
      </w:r>
      <w:r w:rsidR="00254B2A" w:rsidRPr="00254B2A">
        <w:rPr>
          <w:rFonts w:eastAsia="Times New Roman"/>
          <w:bCs/>
          <w:color w:val="000000"/>
        </w:rPr>
        <w:t xml:space="preserve">Karali </w:t>
      </w:r>
      <w:r w:rsidR="00254B2A" w:rsidRPr="003712DC">
        <w:rPr>
          <w:rFonts w:eastAsia="Times New Roman"/>
          <w:bCs/>
          <w:i/>
          <w:color w:val="000000"/>
        </w:rPr>
        <w:t>et al</w:t>
      </w:r>
      <w:r w:rsidR="003712DC" w:rsidRPr="003712DC">
        <w:rPr>
          <w:rFonts w:eastAsia="Times New Roman"/>
          <w:bCs/>
          <w:i/>
          <w:color w:val="000000"/>
        </w:rPr>
        <w:t>.</w:t>
      </w:r>
      <w:r w:rsidR="00254B2A">
        <w:rPr>
          <w:rFonts w:eastAsia="Times New Roman"/>
          <w:bCs/>
          <w:color w:val="000000"/>
        </w:rPr>
        <w:t xml:space="preserve">, </w:t>
      </w:r>
      <w:r w:rsidR="00254B2A" w:rsidRPr="00254B2A">
        <w:rPr>
          <w:rFonts w:eastAsia="Times New Roman"/>
          <w:bCs/>
          <w:color w:val="000000"/>
        </w:rPr>
        <w:t>2015</w:t>
      </w:r>
      <w:r w:rsidR="00254B2A">
        <w:rPr>
          <w:rFonts w:eastAsia="Times New Roman"/>
          <w:bCs/>
          <w:color w:val="000000"/>
        </w:rPr>
        <w:t xml:space="preserve">; </w:t>
      </w:r>
      <w:r w:rsidR="00254B2A" w:rsidRPr="00254B2A">
        <w:rPr>
          <w:rFonts w:eastAsia="Times New Roman"/>
          <w:bCs/>
          <w:color w:val="000000"/>
        </w:rPr>
        <w:t>Hayward and Graham</w:t>
      </w:r>
      <w:r w:rsidR="00254B2A">
        <w:rPr>
          <w:rFonts w:eastAsia="Times New Roman"/>
          <w:bCs/>
          <w:color w:val="000000"/>
        </w:rPr>
        <w:t xml:space="preserve">, </w:t>
      </w:r>
      <w:r w:rsidR="00254B2A" w:rsidRPr="00254B2A">
        <w:rPr>
          <w:rFonts w:eastAsia="Times New Roman"/>
          <w:bCs/>
          <w:color w:val="000000"/>
        </w:rPr>
        <w:t>2013</w:t>
      </w:r>
      <w:r w:rsidR="00254B2A">
        <w:rPr>
          <w:rFonts w:eastAsia="Times New Roman"/>
          <w:bCs/>
          <w:color w:val="000000"/>
        </w:rPr>
        <w:t>).</w:t>
      </w:r>
    </w:p>
    <w:p w14:paraId="15AB7547" w14:textId="703AD495" w:rsidR="005A6986" w:rsidRPr="001829DB" w:rsidRDefault="005A6986" w:rsidP="00EB247F">
      <w:pPr>
        <w:rPr>
          <w:rFonts w:cs="Times New Roman"/>
          <w:highlight w:val="yellow"/>
        </w:rPr>
      </w:pPr>
      <w:r w:rsidRPr="00D118D9">
        <w:rPr>
          <w:rFonts w:cs="Times New Roman"/>
        </w:rPr>
        <w:t xml:space="preserve">Cost </w:t>
      </w:r>
      <w:r w:rsidRPr="008F003C">
        <w:rPr>
          <w:rFonts w:cs="Times New Roman"/>
        </w:rPr>
        <w:t xml:space="preserve">estimates for fixed </w:t>
      </w:r>
      <w:r w:rsidR="002C62B6" w:rsidRPr="008F003C">
        <w:rPr>
          <w:rFonts w:cs="Times New Roman"/>
        </w:rPr>
        <w:t xml:space="preserve">and variable </w:t>
      </w:r>
      <w:r w:rsidRPr="008F003C">
        <w:rPr>
          <w:rFonts w:cs="Times New Roman"/>
        </w:rPr>
        <w:t>operation and maintenance (O</w:t>
      </w:r>
      <w:r w:rsidR="00C441E7">
        <w:rPr>
          <w:rFonts w:cs="Times New Roman"/>
        </w:rPr>
        <w:t>&amp;</w:t>
      </w:r>
      <w:r w:rsidRPr="008F003C">
        <w:rPr>
          <w:rFonts w:cs="Times New Roman"/>
        </w:rPr>
        <w:t xml:space="preserve">M) of </w:t>
      </w:r>
      <w:r w:rsidR="00D118D9" w:rsidRPr="008F003C">
        <w:rPr>
          <w:rFonts w:cs="Times New Roman"/>
        </w:rPr>
        <w:t xml:space="preserve">geothermal power </w:t>
      </w:r>
      <w:r w:rsidR="00D118D9" w:rsidRPr="008F003C">
        <w:t xml:space="preserve">are reliably low for geothermal </w:t>
      </w:r>
      <w:r w:rsidR="00D118D9" w:rsidRPr="008F003C">
        <w:rPr>
          <w:noProof/>
        </w:rPr>
        <w:t>plants</w:t>
      </w:r>
      <w:r w:rsidR="00D118D9" w:rsidRPr="008F003C">
        <w:t xml:space="preserve"> because they require little maintenance and no additional fuel, data was collected from </w:t>
      </w:r>
      <w:r w:rsidR="00DA44EB" w:rsidRPr="008F003C">
        <w:rPr>
          <w:rFonts w:cs="Times New Roman"/>
        </w:rPr>
        <w:t xml:space="preserve">e.g. </w:t>
      </w:r>
      <w:r w:rsidR="008F003C" w:rsidRPr="008F003C">
        <w:rPr>
          <w:rFonts w:cs="Times New Roman"/>
        </w:rPr>
        <w:t>JRC</w:t>
      </w:r>
      <w:r w:rsidR="002C62B6" w:rsidRPr="008F003C">
        <w:rPr>
          <w:rFonts w:cs="Times New Roman"/>
        </w:rPr>
        <w:t>,</w:t>
      </w:r>
      <w:r w:rsidRPr="008F003C">
        <w:rPr>
          <w:rFonts w:cs="Times New Roman"/>
        </w:rPr>
        <w:t xml:space="preserve"> 201</w:t>
      </w:r>
      <w:r w:rsidR="008F003C" w:rsidRPr="008F003C">
        <w:rPr>
          <w:rFonts w:cs="Times New Roman"/>
        </w:rPr>
        <w:t>3</w:t>
      </w:r>
      <w:r w:rsidR="00767F96" w:rsidRPr="008F003C">
        <w:rPr>
          <w:rFonts w:cs="Times New Roman"/>
        </w:rPr>
        <w:t xml:space="preserve">; </w:t>
      </w:r>
      <w:r w:rsidR="008F003C" w:rsidRPr="008F003C">
        <w:rPr>
          <w:rFonts w:cs="Times New Roman"/>
        </w:rPr>
        <w:t>JRC</w:t>
      </w:r>
      <w:r w:rsidR="002C62B6" w:rsidRPr="008F003C">
        <w:rPr>
          <w:rFonts w:cs="Times New Roman"/>
        </w:rPr>
        <w:t>, 201</w:t>
      </w:r>
      <w:r w:rsidR="008F003C" w:rsidRPr="008F003C">
        <w:rPr>
          <w:rFonts w:cs="Times New Roman"/>
        </w:rPr>
        <w:t>4</w:t>
      </w:r>
      <w:r w:rsidR="002C62B6" w:rsidRPr="008F003C">
        <w:rPr>
          <w:rFonts w:cs="Times New Roman"/>
        </w:rPr>
        <w:t xml:space="preserve">; </w:t>
      </w:r>
      <w:r w:rsidR="00767F96" w:rsidRPr="008F003C">
        <w:rPr>
          <w:rFonts w:cs="Times New Roman"/>
        </w:rPr>
        <w:t>Lazard</w:t>
      </w:r>
      <w:r w:rsidR="002C62B6" w:rsidRPr="008F003C">
        <w:rPr>
          <w:rFonts w:cs="Times New Roman"/>
        </w:rPr>
        <w:t>,</w:t>
      </w:r>
      <w:r w:rsidRPr="008F003C">
        <w:rPr>
          <w:rFonts w:cs="Times New Roman"/>
        </w:rPr>
        <w:t xml:space="preserve"> 2016</w:t>
      </w:r>
      <w:r w:rsidR="002C62B6" w:rsidRPr="008F003C">
        <w:rPr>
          <w:rFonts w:cs="Times New Roman"/>
        </w:rPr>
        <w:t>.</w:t>
      </w:r>
      <w:r w:rsidRPr="008F003C">
        <w:rPr>
          <w:rFonts w:cs="Times New Roman"/>
        </w:rPr>
        <w:t xml:space="preserve"> </w:t>
      </w:r>
      <w:r w:rsidR="002C62B6" w:rsidRPr="008F003C">
        <w:rPr>
          <w:rFonts w:cs="Times New Roman"/>
        </w:rPr>
        <w:t>T</w:t>
      </w:r>
      <w:r w:rsidRPr="008F003C">
        <w:rPr>
          <w:rFonts w:cs="Times New Roman"/>
        </w:rPr>
        <w:t xml:space="preserve">hese estimates were used to calculate total operating costs of </w:t>
      </w:r>
      <w:r w:rsidR="00D118D9" w:rsidRPr="008F003C">
        <w:rPr>
          <w:rFonts w:cs="Times New Roman"/>
        </w:rPr>
        <w:t>geothermal power</w:t>
      </w:r>
      <w:r w:rsidRPr="008F003C">
        <w:rPr>
          <w:rFonts w:cs="Times New Roman"/>
        </w:rPr>
        <w:t xml:space="preserve"> adoption, which, combined with capital costs for installation, represent the total financial costs of adopting </w:t>
      </w:r>
      <w:r w:rsidR="00FD0E76" w:rsidRPr="008F003C">
        <w:rPr>
          <w:rFonts w:cs="Times New Roman"/>
        </w:rPr>
        <w:t xml:space="preserve">this solution </w:t>
      </w:r>
      <w:r w:rsidRPr="008F003C">
        <w:rPr>
          <w:rFonts w:cs="Times New Roman"/>
        </w:rPr>
        <w:t xml:space="preserve">in the </w:t>
      </w:r>
      <w:r w:rsidR="00DA44EB" w:rsidRPr="008F003C">
        <w:rPr>
          <w:rFonts w:cs="Times New Roman"/>
        </w:rPr>
        <w:t>PD</w:t>
      </w:r>
      <w:r w:rsidRPr="008F003C">
        <w:rPr>
          <w:rFonts w:cs="Times New Roman"/>
        </w:rPr>
        <w:t xml:space="preserve"> scenario</w:t>
      </w:r>
      <w:r w:rsidR="00FD0E76" w:rsidRPr="008F003C">
        <w:rPr>
          <w:rFonts w:cs="Times New Roman"/>
        </w:rPr>
        <w:t>s</w:t>
      </w:r>
      <w:r w:rsidRPr="008F003C">
        <w:rPr>
          <w:rFonts w:cs="Times New Roman"/>
        </w:rPr>
        <w:t>. Fixed operation and maintenance costs for both renewable and conventional generation technologies can include expenses such as day-to-day preventative and corrective maintenance</w:t>
      </w:r>
      <w:r w:rsidRPr="00D118D9">
        <w:rPr>
          <w:rFonts w:cs="Times New Roman"/>
        </w:rPr>
        <w:t xml:space="preserve">, labor costs, asset and site management, and maintaining health and safety, among others (Lo, 2014). </w:t>
      </w:r>
      <w:r w:rsidR="006B267A" w:rsidRPr="00D118D9">
        <w:rPr>
          <w:rFonts w:cs="Times New Roman"/>
        </w:rPr>
        <w:t>Average fuel price</w:t>
      </w:r>
      <w:r w:rsidR="00936B09" w:rsidRPr="00D118D9">
        <w:rPr>
          <w:rFonts w:cs="Times New Roman"/>
        </w:rPr>
        <w:t xml:space="preserve"> was calculated considering average prices for both coal, oil and natural gas from 2005-</w:t>
      </w:r>
      <w:r w:rsidR="007546C9" w:rsidRPr="00D118D9">
        <w:rPr>
          <w:rFonts w:cs="Times New Roman"/>
        </w:rPr>
        <w:t>2014 usi</w:t>
      </w:r>
      <w:r w:rsidR="00936B09" w:rsidRPr="00D118D9">
        <w:rPr>
          <w:rFonts w:cs="Times New Roman"/>
        </w:rPr>
        <w:t>ng IEA</w:t>
      </w:r>
      <w:r w:rsidR="00395868" w:rsidRPr="00D118D9">
        <w:rPr>
          <w:rFonts w:cs="Times New Roman"/>
        </w:rPr>
        <w:t xml:space="preserve"> data</w:t>
      </w:r>
      <w:r w:rsidR="00AE749D" w:rsidRPr="00D118D9">
        <w:rPr>
          <w:rFonts w:cs="Times New Roman"/>
        </w:rPr>
        <w:t xml:space="preserve"> (IEA, 2016a)</w:t>
      </w:r>
      <w:r w:rsidR="00395868" w:rsidRPr="00D118D9">
        <w:rPr>
          <w:rFonts w:cs="Times New Roman"/>
        </w:rPr>
        <w:t>.</w:t>
      </w:r>
    </w:p>
    <w:p w14:paraId="5E302B57" w14:textId="0B175592" w:rsidR="00D118D9" w:rsidRPr="00C005BE" w:rsidRDefault="00D118D9" w:rsidP="00D118D9">
      <w:r>
        <w:t xml:space="preserve">The average lifetime of a geothermal plant is around 35 years (GEA 2014). </w:t>
      </w:r>
      <w:r w:rsidRPr="00DF007A">
        <w:rPr>
          <w:noProof/>
        </w:rPr>
        <w:t>However</w:t>
      </w:r>
      <w:r>
        <w:rPr>
          <w:noProof/>
        </w:rPr>
        <w:t>,</w:t>
      </w:r>
      <w:r>
        <w:t xml:space="preserve"> the capacity factor of the plant decreases over time, from a high of over 90% for young plants to around 70% for more mature </w:t>
      </w:r>
      <w:r w:rsidRPr="00C005BE">
        <w:t>plants, leading the IPCC to estimate a global average of 80% by 2020 (IPCC 2011).</w:t>
      </w:r>
    </w:p>
    <w:p w14:paraId="51473506" w14:textId="7B3FA26A" w:rsidR="005A6986" w:rsidRPr="00FD0E76" w:rsidRDefault="005A6986" w:rsidP="00EB247F">
      <w:pPr>
        <w:rPr>
          <w:rFonts w:cs="Times New Roman"/>
        </w:rPr>
      </w:pPr>
      <w:r w:rsidRPr="00C005BE">
        <w:rPr>
          <w:rFonts w:cs="Times New Roman"/>
        </w:rPr>
        <w:t xml:space="preserve">In order to compare capital and OM costs of </w:t>
      </w:r>
      <w:r w:rsidR="00C005BE" w:rsidRPr="00C005BE">
        <w:rPr>
          <w:rFonts w:cs="Times New Roman"/>
        </w:rPr>
        <w:t>geothermal power</w:t>
      </w:r>
      <w:r w:rsidR="00FD0E76" w:rsidRPr="00C005BE">
        <w:rPr>
          <w:rFonts w:cs="Times New Roman"/>
        </w:rPr>
        <w:t xml:space="preserve"> systems</w:t>
      </w:r>
      <w:r w:rsidRPr="00C005BE">
        <w:rPr>
          <w:rFonts w:cs="Times New Roman"/>
        </w:rPr>
        <w:t xml:space="preserve"> </w:t>
      </w:r>
      <w:r w:rsidR="00B54259" w:rsidRPr="00C005BE">
        <w:rPr>
          <w:rFonts w:cs="Times New Roman"/>
        </w:rPr>
        <w:t>adoption</w:t>
      </w:r>
      <w:r w:rsidRPr="00C005BE">
        <w:rPr>
          <w:rFonts w:cs="Times New Roman"/>
        </w:rPr>
        <w:t xml:space="preserve"> in the </w:t>
      </w:r>
      <w:r w:rsidR="00767F96" w:rsidRPr="00C005BE">
        <w:rPr>
          <w:rFonts w:cs="Times New Roman"/>
        </w:rPr>
        <w:t>PD</w:t>
      </w:r>
      <w:r w:rsidRPr="00C005BE">
        <w:rPr>
          <w:rFonts w:cs="Times New Roman"/>
        </w:rPr>
        <w:t xml:space="preserve"> scenario</w:t>
      </w:r>
      <w:r w:rsidR="00767F96" w:rsidRPr="00C005BE">
        <w:rPr>
          <w:rFonts w:cs="Times New Roman"/>
        </w:rPr>
        <w:t>s</w:t>
      </w:r>
      <w:r w:rsidRPr="00C005BE">
        <w:rPr>
          <w:rFonts w:cs="Times New Roman"/>
        </w:rPr>
        <w:t xml:space="preserve"> to that of conventional generation technologies, </w:t>
      </w:r>
      <w:r w:rsidR="00DE33AF" w:rsidRPr="00C005BE">
        <w:rPr>
          <w:rFonts w:cs="Times New Roman"/>
        </w:rPr>
        <w:t>it was</w:t>
      </w:r>
      <w:r w:rsidRPr="00C005BE">
        <w:rPr>
          <w:rFonts w:cs="Times New Roman"/>
        </w:rPr>
        <w:t xml:space="preserve"> obtained cost data for fossil fuel-based electricity generating sources from the IPCC 5</w:t>
      </w:r>
      <w:r w:rsidRPr="00C005BE">
        <w:rPr>
          <w:rFonts w:cs="Times New Roman"/>
          <w:vertAlign w:val="superscript"/>
        </w:rPr>
        <w:t>th</w:t>
      </w:r>
      <w:r w:rsidRPr="00C005BE">
        <w:rPr>
          <w:rFonts w:cs="Times New Roman"/>
        </w:rPr>
        <w:t xml:space="preserve"> Assessment Report </w:t>
      </w:r>
      <w:r w:rsidRPr="00C005BE">
        <w:rPr>
          <w:rFonts w:cs="Times New Roman"/>
        </w:rPr>
        <w:fldChar w:fldCharType="begin"/>
      </w:r>
      <w:r w:rsidRPr="00C005BE">
        <w:rPr>
          <w:rFonts w:cs="Times New Roman"/>
        </w:rPr>
        <w:instrText xml:space="preserve"> ADDIN ZOTERO_ITEM CSL_CITATION {"citationID":"110snmc2fa","properties":{"formattedCitation":"(IPCC, 2014)","plainCitation":"(IPCC, 2014)"},"citationItems":[{"id":483,"uris":["http://zotero.org/groups/277937/items/CRJBFNR9"],"uri":["http://zotero.org/groups/277937/items/CRJBFNR9"],"itemData":{"id":483,"type":"report","title":"Mitigation of Climate Change: Technology - specific cost and performance parameters","URL":"report.mitigation2014.org/report/ipcc_wg3_ar5_annex-iii.pdf","author":[{"family":"IPCC","given":""}],"issued":{"date-parts":[["2014"]]}}}],"schema":"https://github.com/citation-style-language/schema/raw/master/csl-citation.json"} </w:instrText>
      </w:r>
      <w:r w:rsidRPr="00C005BE">
        <w:rPr>
          <w:rFonts w:cs="Times New Roman"/>
        </w:rPr>
        <w:fldChar w:fldCharType="separate"/>
      </w:r>
      <w:r w:rsidRPr="00C005BE">
        <w:rPr>
          <w:rFonts w:cs="Times New Roman"/>
        </w:rPr>
        <w:t>(IPCC, 2014)</w:t>
      </w:r>
      <w:r w:rsidRPr="00C005BE">
        <w:rPr>
          <w:rFonts w:cs="Times New Roman"/>
        </w:rPr>
        <w:fldChar w:fldCharType="end"/>
      </w:r>
      <w:r w:rsidR="00767F96" w:rsidRPr="00C005BE">
        <w:rPr>
          <w:rFonts w:cs="Times New Roman"/>
        </w:rPr>
        <w:t xml:space="preserve"> which conducted its own sensitivity analysis of a number of sources from the literature</w:t>
      </w:r>
      <w:r w:rsidR="00767F96" w:rsidRPr="00C005BE">
        <w:rPr>
          <w:rStyle w:val="FootnoteReference"/>
          <w:rFonts w:cs="Times New Roman"/>
          <w:bCs/>
        </w:rPr>
        <w:footnoteReference w:id="1"/>
      </w:r>
      <w:r w:rsidR="00767F96" w:rsidRPr="00C005BE">
        <w:rPr>
          <w:rFonts w:cs="Times New Roman"/>
        </w:rPr>
        <w:t>, and other sources such as OECD (2015), Lazard (2016).</w:t>
      </w:r>
      <w:r w:rsidRPr="00C005BE">
        <w:rPr>
          <w:rFonts w:cs="Times New Roman"/>
        </w:rPr>
        <w:t xml:space="preserve"> </w:t>
      </w:r>
      <w:r w:rsidR="00767F96" w:rsidRPr="00C005BE">
        <w:rPr>
          <w:rFonts w:cs="Times New Roman"/>
        </w:rPr>
        <w:t xml:space="preserve">In all </w:t>
      </w:r>
      <w:r w:rsidRPr="00C005BE">
        <w:rPr>
          <w:rFonts w:cs="Times New Roman"/>
        </w:rPr>
        <w:t>variables for conventi</w:t>
      </w:r>
      <w:r w:rsidR="00767F96" w:rsidRPr="00C005BE">
        <w:rPr>
          <w:rFonts w:cs="Times New Roman"/>
        </w:rPr>
        <w:t>onal electricity generation sources, data for</w:t>
      </w:r>
      <w:r w:rsidRPr="00C005BE">
        <w:rPr>
          <w:rFonts w:cs="Times New Roman"/>
        </w:rPr>
        <w:t xml:space="preserve"> coal</w:t>
      </w:r>
      <w:r w:rsidR="00767F96" w:rsidRPr="00C005BE">
        <w:rPr>
          <w:rFonts w:cs="Times New Roman"/>
        </w:rPr>
        <w:t>, oil</w:t>
      </w:r>
      <w:r w:rsidRPr="00C005BE">
        <w:rPr>
          <w:rFonts w:cs="Times New Roman"/>
        </w:rPr>
        <w:t xml:space="preserve"> and natural gas (primarily pulverized coal and combined cycle gas turbine technologies) </w:t>
      </w:r>
      <w:r w:rsidR="006B267A" w:rsidRPr="00C005BE">
        <w:rPr>
          <w:rFonts w:cs="Times New Roman"/>
        </w:rPr>
        <w:t xml:space="preserve">were included and </w:t>
      </w:r>
      <w:r w:rsidRPr="00C005BE">
        <w:rPr>
          <w:rFonts w:cs="Times New Roman"/>
        </w:rPr>
        <w:t>a</w:t>
      </w:r>
      <w:r w:rsidR="006B267A" w:rsidRPr="00C005BE">
        <w:rPr>
          <w:rFonts w:cs="Times New Roman"/>
        </w:rPr>
        <w:t xml:space="preserve"> weighted average. </w:t>
      </w:r>
      <w:r w:rsidRPr="00C005BE">
        <w:rPr>
          <w:rFonts w:cs="Times New Roman"/>
        </w:rPr>
        <w:t xml:space="preserve">The weights are based on the percentage, for each </w:t>
      </w:r>
      <w:r w:rsidR="006B267A" w:rsidRPr="00C005BE">
        <w:rPr>
          <w:rFonts w:cs="Times New Roman"/>
        </w:rPr>
        <w:t>fuel on the</w:t>
      </w:r>
      <w:r w:rsidRPr="00C005BE">
        <w:rPr>
          <w:rFonts w:cs="Times New Roman"/>
        </w:rPr>
        <w:t xml:space="preserve"> total global </w:t>
      </w:r>
      <w:r w:rsidR="006B267A" w:rsidRPr="00C005BE">
        <w:rPr>
          <w:rFonts w:cs="Times New Roman"/>
        </w:rPr>
        <w:t xml:space="preserve">electricity </w:t>
      </w:r>
      <w:r w:rsidRPr="00C005BE">
        <w:rPr>
          <w:rFonts w:cs="Times New Roman"/>
        </w:rPr>
        <w:t xml:space="preserve">generation </w:t>
      </w:r>
      <w:r w:rsidR="006B267A" w:rsidRPr="00C005BE">
        <w:rPr>
          <w:rFonts w:cs="Times New Roman"/>
        </w:rPr>
        <w:t>for 2014 (World Bank, 2015).</w:t>
      </w:r>
    </w:p>
    <w:p w14:paraId="6B7E417B" w14:textId="16803469" w:rsidR="005A6986" w:rsidRPr="008F003C" w:rsidRDefault="00FD0E76" w:rsidP="00EB247F">
      <w:pPr>
        <w:rPr>
          <w:rFonts w:cs="Times New Roman"/>
        </w:rPr>
      </w:pPr>
      <w:r>
        <w:rPr>
          <w:rFonts w:cs="Times New Roman"/>
        </w:rPr>
        <w:t>T</w:t>
      </w:r>
      <w:r w:rsidR="005A6986" w:rsidRPr="00FD0E76">
        <w:rPr>
          <w:rFonts w:cs="Times New Roman"/>
        </w:rPr>
        <w:t xml:space="preserve">o calculate the total </w:t>
      </w:r>
      <w:r w:rsidR="00936B09" w:rsidRPr="00FD0E76">
        <w:rPr>
          <w:rFonts w:cs="Times New Roman"/>
        </w:rPr>
        <w:t>impacts and</w:t>
      </w:r>
      <w:r w:rsidR="005A6986" w:rsidRPr="00FD0E76">
        <w:rPr>
          <w:rFonts w:cs="Times New Roman"/>
        </w:rPr>
        <w:t xml:space="preserve"> benefits of </w:t>
      </w:r>
      <w:r w:rsidR="006B267A" w:rsidRPr="00FD0E76">
        <w:rPr>
          <w:rFonts w:cs="Times New Roman"/>
        </w:rPr>
        <w:t xml:space="preserve">increased solution </w:t>
      </w:r>
      <w:r w:rsidR="005A6986" w:rsidRPr="00FD0E76">
        <w:rPr>
          <w:rFonts w:cs="Times New Roman"/>
        </w:rPr>
        <w:t>adoption</w:t>
      </w:r>
      <w:r w:rsidR="006B267A" w:rsidRPr="00FD0E76">
        <w:rPr>
          <w:rFonts w:cs="Times New Roman"/>
        </w:rPr>
        <w:t xml:space="preserve"> (on PDS scenarios)</w:t>
      </w:r>
      <w:r w:rsidR="005A6986" w:rsidRPr="00FD0E76">
        <w:rPr>
          <w:rFonts w:cs="Times New Roman"/>
        </w:rPr>
        <w:t xml:space="preserve">, </w:t>
      </w:r>
      <w:r w:rsidR="006B267A" w:rsidRPr="00FD0E76">
        <w:rPr>
          <w:rFonts w:cs="Times New Roman"/>
        </w:rPr>
        <w:t xml:space="preserve">technical </w:t>
      </w:r>
      <w:r w:rsidR="005A6986" w:rsidRPr="00FD0E76">
        <w:rPr>
          <w:rFonts w:cs="Times New Roman"/>
        </w:rPr>
        <w:t xml:space="preserve">data </w:t>
      </w:r>
      <w:r w:rsidR="006B267A" w:rsidRPr="00FD0E76">
        <w:rPr>
          <w:rFonts w:cs="Times New Roman"/>
        </w:rPr>
        <w:t>was also integrated</w:t>
      </w:r>
      <w:r w:rsidR="005A6986" w:rsidRPr="00FD0E76">
        <w:rPr>
          <w:rFonts w:cs="Times New Roman"/>
        </w:rPr>
        <w:t xml:space="preserve">, including average annual use, </w:t>
      </w:r>
      <w:r w:rsidR="00936B09" w:rsidRPr="00FD0E76">
        <w:rPr>
          <w:rFonts w:cs="Times New Roman"/>
        </w:rPr>
        <w:t xml:space="preserve">plants lifetime, </w:t>
      </w:r>
      <w:r w:rsidR="005A6986" w:rsidRPr="00FD0E76">
        <w:rPr>
          <w:rFonts w:cs="Times New Roman"/>
        </w:rPr>
        <w:t xml:space="preserve">and average </w:t>
      </w:r>
      <w:r w:rsidR="00936B09" w:rsidRPr="00FD0E76">
        <w:rPr>
          <w:rFonts w:cs="Times New Roman"/>
        </w:rPr>
        <w:t>efficiencies</w:t>
      </w:r>
      <w:r w:rsidR="005A6986" w:rsidRPr="00FD0E76">
        <w:rPr>
          <w:rFonts w:cs="Times New Roman"/>
        </w:rPr>
        <w:t xml:space="preserve">. All three of these are key to determining the variable OM costs and the total fuel costs for conventional generation </w:t>
      </w:r>
      <w:r w:rsidR="005A6986" w:rsidRPr="008F003C">
        <w:rPr>
          <w:rFonts w:cs="Times New Roman"/>
        </w:rPr>
        <w:t xml:space="preserve">sources, as these costs are determined by the average number of hours the power plant is generating electricity, as well as the average price of fuel inputs and the average efficiency rate. </w:t>
      </w:r>
      <w:r w:rsidR="00936B09" w:rsidRPr="008F003C">
        <w:rPr>
          <w:rFonts w:cs="Times New Roman"/>
        </w:rPr>
        <w:t>Average plants efficiency is calculated from several global sources (IPCC, 2014; IEA, 2010), as well as from the U.S. EIA (2015).</w:t>
      </w:r>
    </w:p>
    <w:p w14:paraId="38C72F56" w14:textId="5CF4C7DA" w:rsidR="005A6986" w:rsidRPr="008F003C" w:rsidRDefault="005A6986" w:rsidP="00EB247F">
      <w:pPr>
        <w:rPr>
          <w:rFonts w:cs="Times New Roman"/>
        </w:rPr>
      </w:pPr>
      <w:r w:rsidRPr="008F003C">
        <w:rPr>
          <w:rFonts w:cs="Times New Roman"/>
        </w:rPr>
        <w:t xml:space="preserve">Though the average annual use of conventional generating technologies is </w:t>
      </w:r>
      <w:r w:rsidR="008F003C" w:rsidRPr="008F003C">
        <w:rPr>
          <w:rFonts w:cs="Times New Roman"/>
        </w:rPr>
        <w:t>lower</w:t>
      </w:r>
      <w:r w:rsidRPr="008F003C">
        <w:rPr>
          <w:rFonts w:cs="Times New Roman"/>
        </w:rPr>
        <w:t xml:space="preserve"> than that of </w:t>
      </w:r>
      <w:r w:rsidR="008F003C" w:rsidRPr="008F003C">
        <w:rPr>
          <w:rFonts w:cs="Times New Roman"/>
        </w:rPr>
        <w:t>geothermal power systems</w:t>
      </w:r>
      <w:r w:rsidRPr="008F003C">
        <w:rPr>
          <w:rFonts w:cs="Times New Roman"/>
        </w:rPr>
        <w:t>, the range of capacity factors for different conventional generating sources can still vary based on type of technology and location. For</w:t>
      </w:r>
      <w:r w:rsidR="00DE33AF" w:rsidRPr="008F003C">
        <w:rPr>
          <w:rFonts w:cs="Times New Roman"/>
        </w:rPr>
        <w:t xml:space="preserve"> this reason,</w:t>
      </w:r>
      <w:r w:rsidRPr="008F003C">
        <w:rPr>
          <w:rFonts w:cs="Times New Roman"/>
        </w:rPr>
        <w:t xml:space="preserve"> data</w:t>
      </w:r>
      <w:r w:rsidR="00DE33AF" w:rsidRPr="008F003C">
        <w:rPr>
          <w:rFonts w:cs="Times New Roman"/>
        </w:rPr>
        <w:t xml:space="preserve"> was collected</w:t>
      </w:r>
      <w:r w:rsidRPr="008F003C">
        <w:rPr>
          <w:rFonts w:cs="Times New Roman"/>
        </w:rPr>
        <w:t xml:space="preserve"> from a range of different sources (</w:t>
      </w:r>
      <w:r w:rsidR="008F003C" w:rsidRPr="008F003C">
        <w:rPr>
          <w:rFonts w:cs="Times New Roman"/>
        </w:rPr>
        <w:t>JRC, 2013</w:t>
      </w:r>
      <w:r w:rsidRPr="008F003C">
        <w:rPr>
          <w:rFonts w:cs="Times New Roman"/>
        </w:rPr>
        <w:t xml:space="preserve">; </w:t>
      </w:r>
      <w:r w:rsidR="008F003C" w:rsidRPr="008F003C">
        <w:rPr>
          <w:rFonts w:cs="Times New Roman"/>
        </w:rPr>
        <w:t>NTEL, 2013</w:t>
      </w:r>
      <w:r w:rsidRPr="008F003C">
        <w:rPr>
          <w:rFonts w:cs="Times New Roman"/>
        </w:rPr>
        <w:t xml:space="preserve">; </w:t>
      </w:r>
      <w:r w:rsidR="008F003C" w:rsidRPr="008F003C">
        <w:rPr>
          <w:rFonts w:cs="Times New Roman"/>
        </w:rPr>
        <w:t>JRC, 2014</w:t>
      </w:r>
      <w:r w:rsidR="008A6035">
        <w:rPr>
          <w:rFonts w:cs="Times New Roman"/>
        </w:rPr>
        <w:t>, IRENA, 2018</w:t>
      </w:r>
      <w:r w:rsidRPr="008F003C">
        <w:rPr>
          <w:rFonts w:cs="Times New Roman"/>
        </w:rPr>
        <w:t xml:space="preserve">) that represent most of the regions contained in </w:t>
      </w:r>
      <w:r w:rsidR="00DE33AF" w:rsidRPr="008F003C">
        <w:rPr>
          <w:rFonts w:cs="Times New Roman"/>
        </w:rPr>
        <w:t>this analysis.</w:t>
      </w:r>
    </w:p>
    <w:p w14:paraId="486B653B" w14:textId="3ED56C4E" w:rsidR="00B533CC" w:rsidRPr="00B533CC" w:rsidRDefault="002D5C14" w:rsidP="00B533CC">
      <w:pPr>
        <w:rPr>
          <w:rFonts w:cs="Times New Roman"/>
        </w:rPr>
      </w:pPr>
      <w:r w:rsidRPr="00B533CC">
        <w:rPr>
          <w:rFonts w:cs="Times New Roman"/>
        </w:rPr>
        <w:t xml:space="preserve">The model’s analysis of the climate impacts of adoption are primarily derived from the direct emissions factor associated with the replacement of conventional generating technologies with </w:t>
      </w:r>
      <w:r w:rsidR="001829DB" w:rsidRPr="00B533CC">
        <w:rPr>
          <w:rFonts w:cs="Times New Roman"/>
        </w:rPr>
        <w:t>geothermal power</w:t>
      </w:r>
      <w:r w:rsidR="00FD0E76" w:rsidRPr="00B533CC">
        <w:rPr>
          <w:rFonts w:cs="Times New Roman"/>
        </w:rPr>
        <w:t xml:space="preserve"> plants</w:t>
      </w:r>
      <w:r w:rsidRPr="00B533CC">
        <w:rPr>
          <w:rFonts w:cs="Times New Roman"/>
        </w:rPr>
        <w:t xml:space="preserve">. This methodology is explained in greater detail </w:t>
      </w:r>
      <w:r w:rsidR="00936B09" w:rsidRPr="00B533CC">
        <w:rPr>
          <w:rFonts w:cs="Times New Roman"/>
        </w:rPr>
        <w:t>in</w:t>
      </w:r>
      <w:r w:rsidR="004B4939" w:rsidRPr="00B533CC">
        <w:rPr>
          <w:rFonts w:cs="Times New Roman"/>
        </w:rPr>
        <w:t xml:space="preserve"> Drawdown RRS model framework and guidelines. </w:t>
      </w:r>
      <w:r w:rsidR="00E33850" w:rsidRPr="00B533CC">
        <w:rPr>
          <w:rFonts w:cs="Times New Roman"/>
        </w:rPr>
        <w:t>To</w:t>
      </w:r>
      <w:r w:rsidRPr="00B533CC">
        <w:rPr>
          <w:rFonts w:cs="Times New Roman"/>
        </w:rPr>
        <w:t xml:space="preserve"> account for indirect emissions from </w:t>
      </w:r>
      <w:r w:rsidR="007546C9" w:rsidRPr="00B533CC">
        <w:rPr>
          <w:rFonts w:cs="Times New Roman"/>
        </w:rPr>
        <w:t>conventional</w:t>
      </w:r>
      <w:r w:rsidR="00592C39" w:rsidRPr="00B533CC">
        <w:rPr>
          <w:rFonts w:cs="Times New Roman"/>
        </w:rPr>
        <w:t xml:space="preserve"> </w:t>
      </w:r>
      <w:r w:rsidR="007546C9" w:rsidRPr="00B533CC">
        <w:rPr>
          <w:rFonts w:cs="Times New Roman"/>
        </w:rPr>
        <w:t>technologies</w:t>
      </w:r>
      <w:r w:rsidR="00592C39" w:rsidRPr="00B533CC">
        <w:rPr>
          <w:rFonts w:cs="Times New Roman"/>
        </w:rPr>
        <w:t xml:space="preserve"> and </w:t>
      </w:r>
      <w:r w:rsidR="001829DB" w:rsidRPr="00B533CC">
        <w:rPr>
          <w:rFonts w:cs="Times New Roman"/>
        </w:rPr>
        <w:t>geothermal</w:t>
      </w:r>
      <w:r w:rsidR="00FD0E76" w:rsidRPr="00B533CC">
        <w:rPr>
          <w:rFonts w:cs="Times New Roman"/>
        </w:rPr>
        <w:t xml:space="preserve"> systems</w:t>
      </w:r>
      <w:r w:rsidRPr="00B533CC">
        <w:rPr>
          <w:rFonts w:cs="Times New Roman"/>
        </w:rPr>
        <w:t xml:space="preserve">—primarily those lifecycle emissions associated </w:t>
      </w:r>
      <w:r w:rsidR="003712DC">
        <w:rPr>
          <w:rFonts w:cs="Times New Roman"/>
        </w:rPr>
        <w:t xml:space="preserve">it is also considered: a) </w:t>
      </w:r>
      <w:r w:rsidR="001829DB" w:rsidRPr="00B533CC">
        <w:rPr>
          <w:rFonts w:cs="Times New Roman"/>
        </w:rPr>
        <w:t xml:space="preserve">the construction of the power plant and surface installations, </w:t>
      </w:r>
      <w:r w:rsidR="003712DC">
        <w:rPr>
          <w:rFonts w:cs="Times New Roman"/>
        </w:rPr>
        <w:t xml:space="preserve">b) </w:t>
      </w:r>
      <w:r w:rsidR="001829DB" w:rsidRPr="00B533CC">
        <w:rPr>
          <w:rFonts w:cs="Times New Roman"/>
        </w:rPr>
        <w:t xml:space="preserve">drilling and completion of wells, the production of the materials needed for these installations, and </w:t>
      </w:r>
      <w:r w:rsidR="003712DC">
        <w:rPr>
          <w:rFonts w:cs="Times New Roman"/>
        </w:rPr>
        <w:t xml:space="preserve"> c) </w:t>
      </w:r>
      <w:r w:rsidR="001829DB" w:rsidRPr="00B533CC">
        <w:rPr>
          <w:rFonts w:cs="Times New Roman"/>
        </w:rPr>
        <w:t xml:space="preserve">eventual decommissioning of the facilities, normalized over the lifetime of the </w:t>
      </w:r>
      <w:r w:rsidR="003712DC">
        <w:rPr>
          <w:rFonts w:cs="Times New Roman"/>
        </w:rPr>
        <w:t>powerplant</w:t>
      </w:r>
      <w:r w:rsidR="001829DB" w:rsidRPr="00B533CC">
        <w:rPr>
          <w:rFonts w:cs="Times New Roman"/>
        </w:rPr>
        <w:t xml:space="preserve"> cycle emissions. The fuel cycle emissions refer, in the case of geothermal projects, to the release of geothermal GHGs during the energy conversion process</w:t>
      </w:r>
      <w:r w:rsidR="008F003C" w:rsidRPr="00B533CC">
        <w:rPr>
          <w:rFonts w:cs="Times New Roman"/>
        </w:rPr>
        <w:t xml:space="preserve">. </w:t>
      </w:r>
      <w:r w:rsidR="00272ACD" w:rsidRPr="00B533CC">
        <w:rPr>
          <w:rFonts w:cs="Times New Roman"/>
        </w:rPr>
        <w:t>F</w:t>
      </w:r>
      <w:r w:rsidR="001829DB" w:rsidRPr="00B533CC">
        <w:rPr>
          <w:rFonts w:cs="Times New Roman"/>
        </w:rPr>
        <w:t>ugitive emissions are expected to go down: the majority of new geothermal plants, including EGS plants, are designed as closed-loop systems and are supposed to have near zero direct emissions during operation</w:t>
      </w:r>
      <w:r w:rsidR="009B72E7">
        <w:rPr>
          <w:rFonts w:cs="Times New Roman"/>
        </w:rPr>
        <w:t xml:space="preserve"> </w:t>
      </w:r>
      <w:r w:rsidR="003712DC">
        <w:rPr>
          <w:rFonts w:cs="Times New Roman"/>
        </w:rPr>
        <w:t>(</w:t>
      </w:r>
      <w:r w:rsidR="009B72E7" w:rsidRPr="00B36958">
        <w:rPr>
          <w:rFonts w:cs="Times New Roman"/>
          <w:color w:val="000000" w:themeColor="text1"/>
        </w:rPr>
        <w:t>Fridriksson</w:t>
      </w:r>
      <w:r w:rsidR="009B72E7">
        <w:rPr>
          <w:rFonts w:cs="Times New Roman"/>
          <w:color w:val="000000" w:themeColor="text1"/>
        </w:rPr>
        <w:t xml:space="preserve"> et </w:t>
      </w:r>
      <w:r w:rsidR="009B72E7" w:rsidRPr="003712DC">
        <w:rPr>
          <w:rFonts w:cs="Times New Roman"/>
          <w:i/>
          <w:color w:val="000000" w:themeColor="text1"/>
        </w:rPr>
        <w:t>al.,</w:t>
      </w:r>
      <w:r w:rsidR="009B72E7">
        <w:rPr>
          <w:rFonts w:cs="Times New Roman"/>
          <w:color w:val="000000" w:themeColor="text1"/>
        </w:rPr>
        <w:t xml:space="preserve"> 2016)</w:t>
      </w:r>
      <w:r w:rsidR="009B72E7" w:rsidRPr="00B533CC">
        <w:rPr>
          <w:rFonts w:cs="Times New Roman"/>
        </w:rPr>
        <w:t>.</w:t>
      </w:r>
    </w:p>
    <w:p w14:paraId="3F6B79A0" w14:textId="3618F511" w:rsidR="00DF4904" w:rsidRPr="00E069AC" w:rsidRDefault="00E069AC" w:rsidP="00921A82">
      <w:pPr>
        <w:pStyle w:val="Heading2"/>
        <w:numPr>
          <w:ilvl w:val="1"/>
          <w:numId w:val="4"/>
        </w:numPr>
      </w:pPr>
      <w:bookmarkStart w:id="35" w:name="_Toc19137311"/>
      <w:r>
        <w:t>Total Addressable Market</w:t>
      </w:r>
      <w:bookmarkEnd w:id="35"/>
    </w:p>
    <w:p w14:paraId="79FF7102" w14:textId="77777777" w:rsidR="001264F7" w:rsidRPr="006205EB" w:rsidRDefault="001264F7" w:rsidP="001264F7">
      <w:pPr>
        <w:rPr>
          <w:rFonts w:cs="Times New Roman"/>
        </w:rPr>
      </w:pPr>
      <w:r>
        <w:rPr>
          <w:rFonts w:cs="Times New Roman"/>
        </w:rPr>
        <w:t xml:space="preserve">Solutions assessed in the </w:t>
      </w:r>
      <w:r w:rsidRPr="00E069AC">
        <w:rPr>
          <w:rFonts w:cs="Times New Roman"/>
        </w:rPr>
        <w:t xml:space="preserve">Electricity Generation Sector share a common market </w:t>
      </w:r>
      <w:r w:rsidRPr="00A66C20">
        <w:rPr>
          <w:rFonts w:cs="Times New Roman"/>
        </w:rPr>
        <w:t>for future adoption</w:t>
      </w:r>
      <w:r>
        <w:rPr>
          <w:rFonts w:cs="Times New Roman"/>
        </w:rPr>
        <w:t xml:space="preserve"> defined by the total terawatt-hours (TWh) of generation demanded from 2015-2060. This shared total addressable market (TAM) is used to bound this sector technologies rollout over time</w:t>
      </w:r>
      <w:r w:rsidRPr="00A66C20">
        <w:rPr>
          <w:rFonts w:cs="Times New Roman"/>
        </w:rPr>
        <w:t xml:space="preserve">. The </w:t>
      </w:r>
      <w:r>
        <w:rPr>
          <w:rFonts w:cs="Times New Roman"/>
        </w:rPr>
        <w:t xml:space="preserve">TAM is determined based on the assessment of </w:t>
      </w:r>
      <w:r w:rsidRPr="00A66C20">
        <w:rPr>
          <w:rFonts w:cs="Times New Roman"/>
        </w:rPr>
        <w:t xml:space="preserve"> </w:t>
      </w:r>
      <w:r>
        <w:rPr>
          <w:rFonts w:cs="Times New Roman"/>
        </w:rPr>
        <w:t>estimations</w:t>
      </w:r>
      <w:r w:rsidRPr="00A66C20">
        <w:rPr>
          <w:rFonts w:cs="Times New Roman"/>
        </w:rPr>
        <w:t xml:space="preserve"> </w:t>
      </w:r>
      <w:r>
        <w:rPr>
          <w:rFonts w:cs="Times New Roman"/>
        </w:rPr>
        <w:t xml:space="preserve">of current and future </w:t>
      </w:r>
      <w:r w:rsidRPr="00A66C20">
        <w:rPr>
          <w:rFonts w:cs="Times New Roman"/>
        </w:rPr>
        <w:t xml:space="preserve">electricity generation </w:t>
      </w:r>
      <w:r w:rsidRPr="006205EB">
        <w:rPr>
          <w:rFonts w:cs="Times New Roman"/>
        </w:rPr>
        <w:t>from a combination of models and scenarios from different sources</w:t>
      </w:r>
      <w:r>
        <w:rPr>
          <w:rFonts w:cs="Times New Roman"/>
        </w:rPr>
        <w:t>,</w:t>
      </w:r>
      <w:r w:rsidRPr="006205EB">
        <w:rPr>
          <w:rFonts w:cs="Times New Roman"/>
        </w:rPr>
        <w:t xml:space="preserve"> </w:t>
      </w:r>
      <w:r>
        <w:rPr>
          <w:rFonts w:cs="Times New Roman"/>
        </w:rPr>
        <w:t xml:space="preserve">including </w:t>
      </w:r>
      <w:r w:rsidRPr="006205EB">
        <w:rPr>
          <w:rFonts w:cs="Times New Roman"/>
        </w:rPr>
        <w:t xml:space="preserve">Greenpeace (2015); International Energy Agency (IEA) - Energy Technology Perspectives (IEA, 2017); IEA World Energy Outlook (WEO) (IEA, 2018); Equinor (2018); Ecofys (2018); The Institute of Energy Economics Japan (IEEJ) Outlook 2019 (2018) and Ram et al. (2019). See Project Drawdown report - Assessing the Total Addressable Market and Major Assumptions for more details on </w:t>
      </w:r>
      <w:r>
        <w:rPr>
          <w:rFonts w:cs="Times New Roman"/>
        </w:rPr>
        <w:t>the methodology used to develop the electricity TAM</w:t>
      </w:r>
      <w:r w:rsidRPr="006205EB">
        <w:rPr>
          <w:rFonts w:cs="Times New Roman"/>
        </w:rPr>
        <w:t xml:space="preserve">. The updated 2019 </w:t>
      </w:r>
      <w:r>
        <w:rPr>
          <w:rFonts w:cs="Times New Roman"/>
        </w:rPr>
        <w:t>study</w:t>
      </w:r>
      <w:r w:rsidRPr="006205EB">
        <w:rPr>
          <w:rFonts w:cs="Times New Roman"/>
        </w:rPr>
        <w:t xml:space="preserve"> follows the same methodological approach </w:t>
      </w:r>
      <w:r>
        <w:rPr>
          <w:rFonts w:cs="Times New Roman"/>
        </w:rPr>
        <w:t>with the inclusion of</w:t>
      </w:r>
      <w:r w:rsidRPr="006205EB">
        <w:rPr>
          <w:rFonts w:cs="Times New Roman"/>
        </w:rPr>
        <w:t xml:space="preserve"> new</w:t>
      </w:r>
      <w:r>
        <w:rPr>
          <w:rFonts w:cs="Times New Roman"/>
        </w:rPr>
        <w:t>er</w:t>
      </w:r>
      <w:r w:rsidRPr="006205EB">
        <w:rPr>
          <w:rFonts w:cs="Times New Roman"/>
        </w:rPr>
        <w:t xml:space="preserve"> sources.</w:t>
      </w:r>
    </w:p>
    <w:p w14:paraId="579F4A91" w14:textId="77777777" w:rsidR="001264F7" w:rsidRDefault="001264F7" w:rsidP="001264F7">
      <w:pPr>
        <w:rPr>
          <w:rFonts w:cs="Times New Roman"/>
        </w:rPr>
      </w:pPr>
      <w:r>
        <w:rPr>
          <w:rFonts w:cs="Times New Roman"/>
        </w:rPr>
        <w:t>Four</w:t>
      </w:r>
      <w:r w:rsidRPr="006205EB">
        <w:rPr>
          <w:rFonts w:cs="Times New Roman"/>
        </w:rPr>
        <w:t xml:space="preserve"> prognostications of the </w:t>
      </w:r>
      <w:r>
        <w:rPr>
          <w:rFonts w:cs="Times New Roman"/>
        </w:rPr>
        <w:t>TAM</w:t>
      </w:r>
      <w:r w:rsidRPr="006205EB">
        <w:rPr>
          <w:rFonts w:cs="Times New Roman"/>
        </w:rPr>
        <w:t xml:space="preserve"> </w:t>
      </w:r>
      <w:r>
        <w:rPr>
          <w:rFonts w:cs="Times New Roman"/>
        </w:rPr>
        <w:t xml:space="preserve">for this assessment were derived </w:t>
      </w:r>
      <w:r w:rsidRPr="00A66C20">
        <w:rPr>
          <w:rFonts w:cs="Times New Roman"/>
        </w:rPr>
        <w:t>by</w:t>
      </w:r>
      <w:r>
        <w:rPr>
          <w:rFonts w:cs="Times New Roman"/>
        </w:rPr>
        <w:t xml:space="preserve"> using </w:t>
      </w:r>
      <w:r w:rsidRPr="00A66C20">
        <w:rPr>
          <w:rFonts w:cs="Times New Roman"/>
        </w:rPr>
        <w:t xml:space="preserve">comparable scenarios from each </w:t>
      </w:r>
      <w:r>
        <w:rPr>
          <w:rFonts w:cs="Times New Roman"/>
        </w:rPr>
        <w:t xml:space="preserve">of the </w:t>
      </w:r>
      <w:r w:rsidRPr="00A66C20">
        <w:rPr>
          <w:rFonts w:cs="Times New Roman"/>
        </w:rPr>
        <w:t>a</w:t>
      </w:r>
      <w:r>
        <w:rPr>
          <w:rFonts w:cs="Times New Roman"/>
        </w:rPr>
        <w:t xml:space="preserve">bove-mentioned </w:t>
      </w:r>
      <w:r w:rsidRPr="00A66C20">
        <w:rPr>
          <w:rFonts w:cs="Times New Roman"/>
        </w:rPr>
        <w:t>source</w:t>
      </w:r>
      <w:r>
        <w:rPr>
          <w:rFonts w:cs="Times New Roman"/>
        </w:rPr>
        <w:t>s which were categorized</w:t>
      </w:r>
      <w:r w:rsidRPr="00A66C20">
        <w:rPr>
          <w:rFonts w:cs="Times New Roman"/>
        </w:rPr>
        <w:t xml:space="preserve"> </w:t>
      </w:r>
      <w:r>
        <w:rPr>
          <w:rFonts w:cs="Times New Roman"/>
        </w:rPr>
        <w:t>by</w:t>
      </w:r>
      <w:r w:rsidRPr="00A66C20">
        <w:rPr>
          <w:rFonts w:cs="Times New Roman"/>
        </w:rPr>
        <w:t xml:space="preserve"> expect</w:t>
      </w:r>
      <w:r>
        <w:rPr>
          <w:rFonts w:cs="Times New Roman"/>
        </w:rPr>
        <w:t xml:space="preserve">ed </w:t>
      </w:r>
      <w:r w:rsidRPr="00A66C20">
        <w:rPr>
          <w:rFonts w:cs="Times New Roman"/>
        </w:rPr>
        <w:t>climate mitigation</w:t>
      </w:r>
      <w:r>
        <w:rPr>
          <w:rFonts w:cs="Times New Roman"/>
        </w:rPr>
        <w:t xml:space="preserve"> scenarios</w:t>
      </w:r>
      <w:r w:rsidRPr="00A66C20">
        <w:rPr>
          <w:rFonts w:cs="Times New Roman"/>
        </w:rPr>
        <w:t xml:space="preserve"> (</w:t>
      </w:r>
      <w:r>
        <w:rPr>
          <w:rFonts w:cs="Times New Roman"/>
        </w:rPr>
        <w:t xml:space="preserve">i.e. </w:t>
      </w:r>
      <w:r w:rsidRPr="00DA0DA4">
        <w:rPr>
          <w:rFonts w:cs="Times New Roman"/>
        </w:rPr>
        <w:t xml:space="preserve">Ambitious, Conservative, and Baseline) and </w:t>
      </w:r>
      <w:r>
        <w:rPr>
          <w:rFonts w:cs="Times New Roman"/>
        </w:rPr>
        <w:t xml:space="preserve">the scale of </w:t>
      </w:r>
      <w:r w:rsidRPr="00DA0DA4">
        <w:rPr>
          <w:rFonts w:cs="Times New Roman"/>
        </w:rPr>
        <w:t xml:space="preserve">deployment of renewable energy sources (RES) (i.e. 100% RES </w:t>
      </w:r>
      <w:r>
        <w:rPr>
          <w:rFonts w:cs="Times New Roman"/>
        </w:rPr>
        <w:t>scenarios</w:t>
      </w:r>
      <w:r w:rsidRPr="00DA0DA4">
        <w:rPr>
          <w:rFonts w:cs="Times New Roman"/>
        </w:rPr>
        <w:t xml:space="preserve">). The sources used mostly provide results at a decadal level, which were interpolated to provide annual values for Project Drawdown calculations. </w:t>
      </w:r>
    </w:p>
    <w:p w14:paraId="14FC8BCC" w14:textId="77777777" w:rsidR="001264F7" w:rsidRPr="00DA0DA4" w:rsidRDefault="001264F7" w:rsidP="001264F7">
      <w:pPr>
        <w:rPr>
          <w:rFonts w:cs="Times New Roman"/>
        </w:rPr>
      </w:pPr>
      <w:r w:rsidRPr="00DA0DA4">
        <w:rPr>
          <w:rFonts w:cs="Times New Roman"/>
        </w:rPr>
        <w:t xml:space="preserve">The </w:t>
      </w:r>
      <w:r w:rsidRPr="00DA0DA4">
        <w:rPr>
          <w:rFonts w:cs="Times New Roman"/>
          <w:u w:val="single"/>
        </w:rPr>
        <w:t>Ambitious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w:t>
      </w:r>
      <w:r w:rsidRPr="00DA0DA4">
        <w:rPr>
          <w:rFonts w:cs="Times New Roman"/>
        </w:rPr>
        <w:t xml:space="preserve"> is </w:t>
      </w:r>
      <w:r>
        <w:rPr>
          <w:rFonts w:cs="Times New Roman"/>
        </w:rPr>
        <w:t>constructed</w:t>
      </w:r>
      <w:r w:rsidRPr="00DA0DA4">
        <w:rPr>
          <w:rFonts w:cs="Times New Roman"/>
        </w:rPr>
        <w:t xml:space="preserve"> from the average of yearly values of </w:t>
      </w:r>
      <w:r>
        <w:rPr>
          <w:rFonts w:cs="Times New Roman"/>
        </w:rPr>
        <w:t>four</w:t>
      </w:r>
      <w:r w:rsidRPr="00DA0DA4">
        <w:rPr>
          <w:rFonts w:cs="Times New Roman"/>
        </w:rPr>
        <w:t xml:space="preserve"> scenarios: </w:t>
      </w:r>
      <w:r>
        <w:rPr>
          <w:rFonts w:cs="Times New Roman"/>
        </w:rPr>
        <w:t xml:space="preserve">the </w:t>
      </w:r>
      <w:r w:rsidRPr="00DA0DA4">
        <w:rPr>
          <w:rFonts w:cs="Times New Roman"/>
        </w:rPr>
        <w:t xml:space="preserve">IEA </w:t>
      </w:r>
      <w:r>
        <w:rPr>
          <w:rFonts w:cs="Times New Roman"/>
        </w:rPr>
        <w:t xml:space="preserve">(2017) </w:t>
      </w:r>
      <w:r w:rsidRPr="00DA0DA4">
        <w:rPr>
          <w:rFonts w:cs="Times New Roman"/>
        </w:rPr>
        <w:t>2D Scenario</w:t>
      </w:r>
      <w:r>
        <w:rPr>
          <w:rFonts w:cs="Times New Roman"/>
        </w:rPr>
        <w:t xml:space="preserve">, </w:t>
      </w:r>
      <w:r w:rsidRPr="00DA0DA4">
        <w:rPr>
          <w:rFonts w:cs="Times New Roman"/>
        </w:rPr>
        <w:t>the IEA</w:t>
      </w:r>
      <w:r>
        <w:rPr>
          <w:rFonts w:cs="Times New Roman"/>
        </w:rPr>
        <w:t xml:space="preserve"> (2017) </w:t>
      </w:r>
      <w:r w:rsidRPr="00DA0DA4">
        <w:rPr>
          <w:rFonts w:cs="Times New Roman"/>
        </w:rPr>
        <w:t>B2D scenario, Renewal Scenario from Equinor (2018)</w:t>
      </w:r>
      <w:r>
        <w:rPr>
          <w:rFonts w:cs="Times New Roman"/>
        </w:rPr>
        <w:t>,</w:t>
      </w:r>
      <w:r w:rsidRPr="00DA0DA4">
        <w:rPr>
          <w:rFonts w:cs="Times New Roman"/>
        </w:rPr>
        <w:t xml:space="preserve"> and IEA (2018) WEO SD scenario. The </w:t>
      </w:r>
      <w:r w:rsidRPr="00DA0DA4">
        <w:rPr>
          <w:rFonts w:cs="Times New Roman"/>
          <w:u w:val="single"/>
        </w:rPr>
        <w:t>Conservative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w:t>
      </w:r>
      <w:r>
        <w:rPr>
          <w:rFonts w:cs="Times New Roman"/>
          <w:u w:val="single"/>
        </w:rPr>
        <w:t>Sc</w:t>
      </w:r>
      <w:r w:rsidRPr="00DA0DA4">
        <w:rPr>
          <w:rFonts w:cs="Times New Roman"/>
          <w:u w:val="single"/>
        </w:rPr>
        <w:t>enario</w:t>
      </w:r>
      <w:r w:rsidRPr="00DA0DA4">
        <w:rPr>
          <w:rFonts w:cs="Times New Roman"/>
        </w:rPr>
        <w:t xml:space="preserve"> follows the average yearly values of the IEA (2018) WEO New Policy scenario (NPS); Reform Scenario from Equinor. (2018), IEEJ Outlook </w:t>
      </w:r>
      <w:r>
        <w:rPr>
          <w:rFonts w:cs="Times New Roman"/>
        </w:rPr>
        <w:t>(2018</w:t>
      </w:r>
      <w:r w:rsidRPr="00DA0DA4">
        <w:rPr>
          <w:rFonts w:cs="Times New Roman"/>
        </w:rPr>
        <w:t>) Advanced Tech scenario</w:t>
      </w:r>
      <w:r>
        <w:rPr>
          <w:rFonts w:cs="Times New Roman"/>
        </w:rPr>
        <w:t>,</w:t>
      </w:r>
      <w:r w:rsidRPr="00DA0DA4">
        <w:rPr>
          <w:rFonts w:cs="Times New Roman"/>
        </w:rPr>
        <w:t xml:space="preserve"> and IRENA (201</w:t>
      </w:r>
      <w:r>
        <w:rPr>
          <w:rFonts w:cs="Times New Roman"/>
        </w:rPr>
        <w:t>9b</w:t>
      </w:r>
      <w:r w:rsidRPr="00DA0DA4">
        <w:rPr>
          <w:rFonts w:cs="Times New Roman"/>
        </w:rPr>
        <w:t>) Roadmap 2050 REmap case.</w:t>
      </w:r>
      <w:r>
        <w:rPr>
          <w:rFonts w:cs="Times New Roman"/>
        </w:rPr>
        <w:t xml:space="preserve"> </w:t>
      </w:r>
      <w:r w:rsidRPr="00DA0DA4">
        <w:rPr>
          <w:rFonts w:cs="Times New Roman"/>
        </w:rPr>
        <w:t xml:space="preserve">The </w:t>
      </w:r>
      <w:r w:rsidRPr="00DA0DA4">
        <w:rPr>
          <w:rFonts w:cs="Times New Roman"/>
          <w:u w:val="single"/>
        </w:rPr>
        <w:t>Baseline 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TAM Scenario </w:t>
      </w:r>
      <w:r w:rsidRPr="00DA0DA4">
        <w:rPr>
          <w:rFonts w:cs="Times New Roman"/>
        </w:rPr>
        <w:t>is built by the average of the Equinor (2018) Rivalry Scenario, IEEJ</w:t>
      </w:r>
      <w:r>
        <w:rPr>
          <w:rFonts w:cs="Times New Roman"/>
        </w:rPr>
        <w:t xml:space="preserve"> Outlook (2018</w:t>
      </w:r>
      <w:r w:rsidRPr="00DA0DA4">
        <w:rPr>
          <w:rFonts w:cs="Times New Roman"/>
        </w:rPr>
        <w:t xml:space="preserve">) Reference Scenario, IEA (2017) Reference Case and IEA (2018) WEO Current polices Scenario (CPS). </w:t>
      </w:r>
      <w:r>
        <w:rPr>
          <w:rFonts w:cs="Times New Roman"/>
        </w:rPr>
        <w:t xml:space="preserve">These three </w:t>
      </w:r>
      <w:r w:rsidRPr="00DA0DA4">
        <w:rPr>
          <w:rFonts w:cs="Times New Roman"/>
          <w:u w:val="single"/>
        </w:rPr>
        <w:t>P</w:t>
      </w:r>
      <w:r>
        <w:rPr>
          <w:rFonts w:cs="Times New Roman"/>
          <w:u w:val="single"/>
        </w:rPr>
        <w:t xml:space="preserve">roject </w:t>
      </w:r>
      <w:r w:rsidRPr="00DA0DA4">
        <w:rPr>
          <w:rFonts w:cs="Times New Roman"/>
          <w:u w:val="single"/>
        </w:rPr>
        <w:t>D</w:t>
      </w:r>
      <w:r>
        <w:rPr>
          <w:rFonts w:cs="Times New Roman"/>
          <w:u w:val="single"/>
        </w:rPr>
        <w:t>rawdown</w:t>
      </w:r>
      <w:r w:rsidRPr="00DA0DA4">
        <w:rPr>
          <w:rFonts w:cs="Times New Roman"/>
          <w:u w:val="single"/>
        </w:rPr>
        <w:t xml:space="preserve"> </w:t>
      </w:r>
      <w:r>
        <w:rPr>
          <w:rFonts w:cs="Times New Roman"/>
        </w:rPr>
        <w:t>TAM scenarios show an estimated range of electricity generation from 45,286TWh to 49,706TWh by 2050. Baseline TAM is used for PD Plausible scenario assessment.</w:t>
      </w:r>
    </w:p>
    <w:p w14:paraId="3C9D4F7E" w14:textId="6EC99864" w:rsidR="001264F7" w:rsidRPr="001264F7" w:rsidRDefault="001264F7" w:rsidP="001264F7">
      <w:pPr>
        <w:rPr>
          <w:rFonts w:cs="Times New Roman"/>
        </w:rPr>
      </w:pPr>
      <w:r>
        <w:rPr>
          <w:rFonts w:cs="Times New Roman"/>
        </w:rPr>
        <w:t>An</w:t>
      </w:r>
      <w:r w:rsidRPr="00DA0DA4">
        <w:rPr>
          <w:rFonts w:cs="Times New Roman"/>
        </w:rPr>
        <w:t xml:space="preserve"> ambitious TAM scenario </w:t>
      </w:r>
      <w:r>
        <w:rPr>
          <w:rFonts w:cs="Times New Roman"/>
        </w:rPr>
        <w:t>for a</w:t>
      </w:r>
      <w:r w:rsidRPr="00DA0DA4">
        <w:rPr>
          <w:rFonts w:cs="Times New Roman"/>
        </w:rPr>
        <w:t xml:space="preserve"> 100% RES by 2050</w:t>
      </w:r>
      <w:r>
        <w:rPr>
          <w:rFonts w:cs="Times New Roman"/>
        </w:rPr>
        <w:t>, which is</w:t>
      </w:r>
      <w:r w:rsidRPr="00DA0DA4">
        <w:rPr>
          <w:rFonts w:cs="Times New Roman"/>
        </w:rPr>
        <w:t xml:space="preserve"> aligned to project Drawdown Optimum and Drawdown scenarios</w:t>
      </w:r>
      <w:r>
        <w:rPr>
          <w:rFonts w:cs="Times New Roman"/>
        </w:rPr>
        <w:t>, utilizes</w:t>
      </w:r>
      <w:r w:rsidRPr="00DA0DA4">
        <w:rPr>
          <w:rFonts w:cs="Times New Roman"/>
        </w:rPr>
        <w:t xml:space="preserve"> the Greenpeace (2015) Advanced [R]evolution Scenario, Ram et al (2019) analysis and Ecofys (2018) 1.5ºC degree scenario were considered. </w:t>
      </w:r>
      <w:r>
        <w:rPr>
          <w:rFonts w:cs="Times New Roman"/>
        </w:rPr>
        <w:t>The estimated electricity generation for this TAM reaches 70,942 TWh</w:t>
      </w:r>
      <w:r w:rsidRPr="002831BC">
        <w:rPr>
          <w:rFonts w:cs="Times New Roman"/>
        </w:rPr>
        <w:t xml:space="preserve"> </w:t>
      </w:r>
      <w:r>
        <w:rPr>
          <w:rFonts w:cs="Times New Roman"/>
        </w:rPr>
        <w:t>by 2050.</w:t>
      </w:r>
    </w:p>
    <w:p w14:paraId="4303D5C0" w14:textId="0C82C025" w:rsidR="00B144E5" w:rsidRPr="00E069AC" w:rsidRDefault="00E069AC" w:rsidP="00921A82">
      <w:pPr>
        <w:pStyle w:val="Heading2"/>
        <w:numPr>
          <w:ilvl w:val="1"/>
          <w:numId w:val="4"/>
        </w:numPr>
      </w:pPr>
      <w:bookmarkStart w:id="36" w:name="_Toc19137312"/>
      <w:r>
        <w:t>Adoption Scenarios</w:t>
      </w:r>
      <w:bookmarkEnd w:id="36"/>
    </w:p>
    <w:p w14:paraId="04C20E8D" w14:textId="4EF9C16C" w:rsidR="000875B5" w:rsidRPr="00E069AC" w:rsidRDefault="00D2050B" w:rsidP="004B4939">
      <w:pPr>
        <w:autoSpaceDE w:val="0"/>
        <w:autoSpaceDN w:val="0"/>
        <w:adjustRightInd w:val="0"/>
        <w:spacing w:after="0"/>
        <w:rPr>
          <w:rFonts w:cs="Times New Roman"/>
        </w:rPr>
      </w:pPr>
      <w:bookmarkStart w:id="37" w:name="_Hlk525033174"/>
      <w:r w:rsidRPr="00FD0E76">
        <w:rPr>
          <w:rFonts w:cs="Times New Roman"/>
        </w:rPr>
        <w:t>Two different types of adoption scenarios were developed: a Reference (REF) Case which was considered the baseline, where not much changes in the world, and a set of Project Drawdown Scenarios (PDS) with varying levels of ambitious adoption of the solution. Published results show the comparison of one PDS to the REF, and therefore focus on the change to the world relative to a baseline.</w:t>
      </w:r>
      <w:bookmarkEnd w:id="37"/>
    </w:p>
    <w:p w14:paraId="5BB095A5" w14:textId="77777777" w:rsidR="000875B5" w:rsidRPr="009E79B6" w:rsidRDefault="000875B5" w:rsidP="005D49A8">
      <w:pPr>
        <w:pStyle w:val="Heading3"/>
      </w:pPr>
      <w:bookmarkStart w:id="38" w:name="_Toc19137313"/>
      <w:r w:rsidRPr="009E79B6">
        <w:t>Reference Case / Current Adoption</w:t>
      </w:r>
      <w:bookmarkEnd w:id="38"/>
    </w:p>
    <w:p w14:paraId="2069C724" w14:textId="5592F2CF" w:rsidR="000875B5" w:rsidRPr="00E069AC" w:rsidRDefault="008E6B1D" w:rsidP="00EB247F">
      <w:pPr>
        <w:rPr>
          <w:rFonts w:cs="Times New Roman"/>
        </w:rPr>
      </w:pPr>
      <w:r w:rsidRPr="009E79B6">
        <w:rPr>
          <w:rFonts w:cs="Times New Roman"/>
        </w:rPr>
        <w:t xml:space="preserve">For the </w:t>
      </w:r>
      <w:r w:rsidRPr="009E79B6">
        <w:rPr>
          <w:rFonts w:cs="Times New Roman"/>
          <w:bCs/>
        </w:rPr>
        <w:t xml:space="preserve">Reference (REF), </w:t>
      </w:r>
      <w:r w:rsidRPr="009E79B6">
        <w:rPr>
          <w:rFonts w:cs="Times New Roman"/>
        </w:rPr>
        <w:t>adoption is fixed at the current adoption</w:t>
      </w:r>
      <w:r w:rsidRPr="009E79B6">
        <w:rPr>
          <w:rStyle w:val="FootnoteReference"/>
          <w:rFonts w:cs="Times New Roman"/>
        </w:rPr>
        <w:footnoteReference w:id="2"/>
      </w:r>
      <w:r w:rsidRPr="009E79B6">
        <w:rPr>
          <w:rFonts w:cs="Times New Roman"/>
        </w:rPr>
        <w:t xml:space="preserve"> (in percent) of the market. That is, the current percent</w:t>
      </w:r>
      <w:r w:rsidR="00F4258D" w:rsidRPr="009E79B6">
        <w:rPr>
          <w:rFonts w:cs="Times New Roman"/>
        </w:rPr>
        <w:t>age</w:t>
      </w:r>
      <w:r w:rsidRPr="009E79B6">
        <w:rPr>
          <w:rFonts w:cs="Times New Roman"/>
        </w:rPr>
        <w:t xml:space="preserve"> of total electricity generation (TWh) provided by </w:t>
      </w:r>
      <w:r w:rsidR="00945DEE">
        <w:rPr>
          <w:rFonts w:cs="Times New Roman"/>
        </w:rPr>
        <w:t>Geothermal power</w:t>
      </w:r>
      <w:r w:rsidR="009E79B6" w:rsidRPr="009E79B6">
        <w:rPr>
          <w:rFonts w:cs="Times New Roman"/>
        </w:rPr>
        <w:t xml:space="preserve"> systems</w:t>
      </w:r>
      <w:r w:rsidRPr="009E79B6">
        <w:rPr>
          <w:rFonts w:cs="Times New Roman"/>
        </w:rPr>
        <w:t xml:space="preserve"> constant throughout the study period to 2050. As the market grows, the total number of </w:t>
      </w:r>
      <w:r w:rsidR="00945DEE">
        <w:rPr>
          <w:rFonts w:cs="Times New Roman"/>
        </w:rPr>
        <w:t>geothermal</w:t>
      </w:r>
      <w:r w:rsidRPr="009E79B6">
        <w:rPr>
          <w:rFonts w:cs="Times New Roman"/>
        </w:rPr>
        <w:t xml:space="preserve"> plants </w:t>
      </w:r>
      <w:r w:rsidR="00945DEE">
        <w:rPr>
          <w:rFonts w:cs="Times New Roman"/>
        </w:rPr>
        <w:t xml:space="preserve">for electricity generation </w:t>
      </w:r>
      <w:r w:rsidRPr="009E79B6">
        <w:rPr>
          <w:rFonts w:cs="Times New Roman"/>
        </w:rPr>
        <w:t>adopted grows equally to maintain the percent adoption at its starting value in 201</w:t>
      </w:r>
      <w:r w:rsidR="001264F7">
        <w:rPr>
          <w:rFonts w:cs="Times New Roman"/>
        </w:rPr>
        <w:t>8</w:t>
      </w:r>
      <w:r w:rsidRPr="009E79B6">
        <w:rPr>
          <w:rFonts w:cs="Times New Roman"/>
        </w:rPr>
        <w:t>. It is acknowledged that this, in reality, may not be a “business as usual” considering changes taking place worldwide, but it allows measurement of the impact of recent and even more aggressive policies on greenhouse gas emissions.</w:t>
      </w:r>
      <w:r w:rsidRPr="00E069AC">
        <w:rPr>
          <w:rFonts w:cs="Times New Roman"/>
        </w:rPr>
        <w:t xml:space="preserve"> </w:t>
      </w:r>
    </w:p>
    <w:p w14:paraId="2FE0BC9D" w14:textId="10096525" w:rsidR="000875B5" w:rsidRPr="00E069AC" w:rsidRDefault="00D2050B" w:rsidP="005D49A8">
      <w:pPr>
        <w:pStyle w:val="Heading3"/>
      </w:pPr>
      <w:bookmarkStart w:id="39" w:name="_Toc19137314"/>
      <w:r w:rsidRPr="00E069AC">
        <w:t>Project Drawdown</w:t>
      </w:r>
      <w:r w:rsidR="000875B5" w:rsidRPr="00E069AC">
        <w:t xml:space="preserve"> Scenarios</w:t>
      </w:r>
      <w:bookmarkEnd w:id="39"/>
    </w:p>
    <w:p w14:paraId="006DA369" w14:textId="218DD299" w:rsidR="005A6986" w:rsidRPr="00E069AC" w:rsidRDefault="000875B5" w:rsidP="004B4939">
      <w:pPr>
        <w:rPr>
          <w:rFonts w:cs="Times New Roman"/>
        </w:rPr>
      </w:pPr>
      <w:r w:rsidRPr="00E069AC">
        <w:rPr>
          <w:rFonts w:cs="Times New Roman"/>
        </w:rPr>
        <w:t>Three Project Dr</w:t>
      </w:r>
      <w:r w:rsidR="005A6986" w:rsidRPr="00E069AC">
        <w:rPr>
          <w:rFonts w:cs="Times New Roman"/>
        </w:rPr>
        <w:t xml:space="preserve">awdown </w:t>
      </w:r>
      <w:r w:rsidR="007546C9" w:rsidRPr="00E069AC">
        <w:rPr>
          <w:rFonts w:cs="Times New Roman"/>
        </w:rPr>
        <w:t xml:space="preserve">scenarios (PDS) </w:t>
      </w:r>
      <w:r w:rsidR="005A6986" w:rsidRPr="00E069AC">
        <w:rPr>
          <w:rFonts w:cs="Times New Roman"/>
        </w:rPr>
        <w:t>were developed for each solution, to compare the impact of an increase</w:t>
      </w:r>
      <w:r w:rsidR="00AC493E" w:rsidRPr="00E069AC">
        <w:rPr>
          <w:rFonts w:cs="Times New Roman"/>
        </w:rPr>
        <w:t>d</w:t>
      </w:r>
      <w:r w:rsidR="005A6986" w:rsidRPr="00E069AC">
        <w:rPr>
          <w:rFonts w:cs="Times New Roman"/>
        </w:rPr>
        <w:t xml:space="preserve"> adoption of the solution to a reference case scenario</w:t>
      </w:r>
      <w:r w:rsidR="008E6B1D" w:rsidRPr="00E069AC">
        <w:rPr>
          <w:rFonts w:cs="Times New Roman"/>
        </w:rPr>
        <w:t>, being:</w:t>
      </w:r>
    </w:p>
    <w:p w14:paraId="7481C662" w14:textId="77777777" w:rsidR="00AC493E" w:rsidRPr="00E069AC" w:rsidRDefault="00AC493E" w:rsidP="004B4939">
      <w:pPr>
        <w:pStyle w:val="Heading4"/>
      </w:pPr>
      <w:bookmarkStart w:id="40" w:name="_Toc507486009"/>
      <w:r w:rsidRPr="00E069AC">
        <w:t>Plausible Scenario</w:t>
      </w:r>
      <w:bookmarkEnd w:id="40"/>
    </w:p>
    <w:p w14:paraId="528FE884" w14:textId="37FB3EE4" w:rsidR="00785354" w:rsidRDefault="00785354" w:rsidP="00785354">
      <w:bookmarkStart w:id="41" w:name="_Toc507486010"/>
      <w:r w:rsidRPr="00014DE8">
        <w:t xml:space="preserve">This scenario </w:t>
      </w:r>
      <w:r w:rsidRPr="00AD641D">
        <w:t>represents an incremental and plausible growth of re</w:t>
      </w:r>
      <w:r>
        <w:t>newable energy solutions using medium to</w:t>
      </w:r>
      <w:r w:rsidRPr="00AD641D">
        <w:t xml:space="preserve"> high growth</w:t>
      </w:r>
      <w:r>
        <w:t xml:space="preserve"> trajectories</w:t>
      </w:r>
      <w:r w:rsidRPr="00AD641D">
        <w:t xml:space="preserve"> to 2050</w:t>
      </w:r>
      <w:r>
        <w:t xml:space="preserve"> depending on the current maturity levels of the technology</w:t>
      </w:r>
      <w:r w:rsidRPr="00AD641D">
        <w:t xml:space="preserve">, </w:t>
      </w:r>
      <w:r>
        <w:t xml:space="preserve">and </w:t>
      </w:r>
      <w:r w:rsidRPr="00AD641D">
        <w:t xml:space="preserve">bounded by existing ambitious projections </w:t>
      </w:r>
      <w:r w:rsidRPr="00A142FC">
        <w:t xml:space="preserve">from other global energy systems models. For </w:t>
      </w:r>
      <w:r>
        <w:t>geothermal systems</w:t>
      </w:r>
      <w:r w:rsidRPr="00A142FC">
        <w:t xml:space="preserve">, this scenario is based on the evaluation of yearly averages of </w:t>
      </w:r>
      <w:r>
        <w:t xml:space="preserve">four </w:t>
      </w:r>
      <w:r w:rsidRPr="00A142FC">
        <w:t>optimistic scenarios: IEA (2017) Energy Technology Perspectives 2DS and B2DS scenarios; IEA (2018) World Energy Outlook SDS;</w:t>
      </w:r>
      <w:r>
        <w:t xml:space="preserve"> and Grantham Institute and Carbon Tracker (2017) NDC policy levels and original technology costs scenario</w:t>
      </w:r>
      <w:r w:rsidRPr="00A142FC">
        <w:t xml:space="preserve"> using a </w:t>
      </w:r>
      <w:r>
        <w:t>medium</w:t>
      </w:r>
      <w:r w:rsidRPr="00A142FC">
        <w:t xml:space="preserve"> growth trajectory.</w:t>
      </w:r>
    </w:p>
    <w:p w14:paraId="0A63923E" w14:textId="77777777" w:rsidR="00AC493E" w:rsidRPr="00E069AC" w:rsidRDefault="00AC493E" w:rsidP="004B4939">
      <w:pPr>
        <w:pStyle w:val="Heading4"/>
      </w:pPr>
      <w:r w:rsidRPr="00E069AC">
        <w:t>Drawdown Scenario</w:t>
      </w:r>
      <w:bookmarkEnd w:id="41"/>
    </w:p>
    <w:p w14:paraId="070CAC78" w14:textId="2856D864" w:rsidR="00785354" w:rsidRDefault="00170AB7" w:rsidP="00785354">
      <w:bookmarkStart w:id="42" w:name="_Toc507486011"/>
      <w:r w:rsidRPr="00014DE8">
        <w:rPr>
          <w:rFonts w:cs="Times New Roman"/>
        </w:rPr>
        <w:t xml:space="preserve">This scenario is optimized to reach drawdown by 2050 using more ambitious projections from existing </w:t>
      </w:r>
      <w:r w:rsidRPr="00304335">
        <w:rPr>
          <w:rFonts w:cs="Times New Roman"/>
        </w:rPr>
        <w:t xml:space="preserve">sources. The scenario projects a 100% adoption of </w:t>
      </w:r>
      <w:r>
        <w:rPr>
          <w:rFonts w:cs="Times New Roman"/>
        </w:rPr>
        <w:t xml:space="preserve">non-fossil fuel-based technologies in 2050; mainly RES but also </w:t>
      </w:r>
      <w:r w:rsidRPr="00A540CE">
        <w:rPr>
          <w:rFonts w:cs="Times New Roman"/>
        </w:rPr>
        <w:t>includes several technologies that are considered transitional solutions (as nuclear energy) (See section 6).</w:t>
      </w:r>
      <w:r>
        <w:rPr>
          <w:rFonts w:cs="Times New Roman"/>
        </w:rPr>
        <w:t xml:space="preserve"> </w:t>
      </w:r>
      <w:r w:rsidR="00785354" w:rsidRPr="00A142FC">
        <w:t xml:space="preserve">For </w:t>
      </w:r>
      <w:r w:rsidR="00785354">
        <w:t>geothermal systems</w:t>
      </w:r>
      <w:r w:rsidR="00785354" w:rsidRPr="00A142FC">
        <w:t xml:space="preserve">, this scenario is </w:t>
      </w:r>
      <w:r w:rsidR="00785354">
        <w:t>based on the same sources of the Plausible scenario, with</w:t>
      </w:r>
      <w:r w:rsidR="00785354" w:rsidRPr="00A142FC">
        <w:t xml:space="preserve"> the evaluation of yearly averages of </w:t>
      </w:r>
      <w:r w:rsidR="00785354">
        <w:t xml:space="preserve">four </w:t>
      </w:r>
      <w:r w:rsidR="00785354" w:rsidRPr="00A142FC">
        <w:t>optimistic scenarios: IEA (2017) Energy Technology Perspectives 2DS and B2DS scenarios; IEA (2018) World Energy Outlook SDS;</w:t>
      </w:r>
      <w:r w:rsidR="00785354">
        <w:t xml:space="preserve"> and Grantham Institute and Carbon Tracker (2017) NDC policy levels and original technology costs scenario, though</w:t>
      </w:r>
      <w:r w:rsidR="00785354" w:rsidRPr="00A142FC">
        <w:t xml:space="preserve"> using a </w:t>
      </w:r>
      <w:r w:rsidR="00785354">
        <w:t>high</w:t>
      </w:r>
      <w:r w:rsidR="00785354" w:rsidRPr="00A142FC">
        <w:t xml:space="preserve"> growth trajectory.</w:t>
      </w:r>
    </w:p>
    <w:p w14:paraId="7A77F5DD" w14:textId="77777777" w:rsidR="00AC493E" w:rsidRPr="00E069AC" w:rsidRDefault="00AC493E" w:rsidP="004B4939">
      <w:pPr>
        <w:pStyle w:val="Heading4"/>
      </w:pPr>
      <w:r w:rsidRPr="00E069AC">
        <w:t>Optimum Scenario</w:t>
      </w:r>
      <w:bookmarkEnd w:id="42"/>
    </w:p>
    <w:p w14:paraId="2301AFC1" w14:textId="3A0FCA09" w:rsidR="00785354" w:rsidRDefault="00785354" w:rsidP="00785354">
      <w:r w:rsidRPr="00280BF9">
        <w:t xml:space="preserve">This scenario represents the most optimistic case, in which clean, renewable energy solutions such as wind, solar, and other renewable energy sources capture 100% of electricity generation by 2050, with both fossil fuels and transitional solutions fully phasing out by 2050. </w:t>
      </w:r>
      <w:r>
        <w:t>T</w:t>
      </w:r>
      <w:r w:rsidRPr="00280BF9">
        <w:t xml:space="preserve">his scenario for </w:t>
      </w:r>
      <w:r>
        <w:t xml:space="preserve">geothermal </w:t>
      </w:r>
      <w:r w:rsidR="00F54BF1">
        <w:t>s</w:t>
      </w:r>
      <w:r>
        <w:t xml:space="preserve">ystems </w:t>
      </w:r>
      <w:r w:rsidRPr="00280BF9">
        <w:t xml:space="preserve">is based on </w:t>
      </w:r>
      <w:r w:rsidRPr="00280BF9">
        <w:rPr>
          <w:rFonts w:cs="Times New Roman"/>
        </w:rPr>
        <w:t>the yearly average values of three 100% RES scenarios of electricity generation by 2050, being Greenpeace (2015) Advanced Energy [R]evolution Scenario; Ram et al. (2019) scenario and Ecofys (2018) 1.5ºC scenario.</w:t>
      </w:r>
    </w:p>
    <w:p w14:paraId="4C24E6F4" w14:textId="3BEA350B" w:rsidR="00FB3AB3" w:rsidRPr="00E069AC" w:rsidRDefault="00E069AC" w:rsidP="00921A82">
      <w:pPr>
        <w:pStyle w:val="Heading2"/>
        <w:numPr>
          <w:ilvl w:val="1"/>
          <w:numId w:val="4"/>
        </w:numPr>
      </w:pPr>
      <w:bookmarkStart w:id="43" w:name="_Toc19137315"/>
      <w:r>
        <w:t>Inputs</w:t>
      </w:r>
      <w:bookmarkEnd w:id="43"/>
    </w:p>
    <w:p w14:paraId="3EBCEF57" w14:textId="78F71A19" w:rsidR="00FB3AB3" w:rsidRPr="00E069AC" w:rsidRDefault="00E069AC" w:rsidP="005D49A8">
      <w:pPr>
        <w:pStyle w:val="Heading3"/>
      </w:pPr>
      <w:bookmarkStart w:id="44" w:name="_Toc19137316"/>
      <w:r>
        <w:t>Climate Inputs</w:t>
      </w:r>
      <w:bookmarkEnd w:id="44"/>
    </w:p>
    <w:p w14:paraId="722886CD" w14:textId="4AB35B22" w:rsidR="00FB3AB3" w:rsidRPr="00B54259" w:rsidRDefault="00FB3AB3" w:rsidP="00EB247F">
      <w:pPr>
        <w:rPr>
          <w:rFonts w:cs="Times New Roman"/>
        </w:rPr>
      </w:pPr>
      <w:r w:rsidRPr="00E069AC">
        <w:rPr>
          <w:rFonts w:cs="Times New Roman"/>
        </w:rPr>
        <w:t>In order to calc</w:t>
      </w:r>
      <w:r w:rsidR="00AC493E" w:rsidRPr="00E069AC">
        <w:rPr>
          <w:rFonts w:cs="Times New Roman"/>
        </w:rPr>
        <w:t>ulate the climate impacts of the project Drawdown</w:t>
      </w:r>
      <w:r w:rsidRPr="00E069AC">
        <w:rPr>
          <w:rFonts w:cs="Times New Roman"/>
        </w:rPr>
        <w:t xml:space="preserve"> scenario</w:t>
      </w:r>
      <w:r w:rsidR="008E6B1D" w:rsidRPr="00E069AC">
        <w:rPr>
          <w:rFonts w:cs="Times New Roman"/>
        </w:rPr>
        <w:t>s</w:t>
      </w:r>
      <w:r w:rsidRPr="00E069AC">
        <w:rPr>
          <w:rFonts w:cs="Times New Roman"/>
        </w:rPr>
        <w:t>, in terms of maximum annual emissions reduction, total emissions re</w:t>
      </w:r>
      <w:r w:rsidR="00AC493E" w:rsidRPr="00E069AC">
        <w:rPr>
          <w:rFonts w:cs="Times New Roman"/>
        </w:rPr>
        <w:t xml:space="preserve">duction, and PPM equivalent, it was </w:t>
      </w:r>
      <w:r w:rsidRPr="00E069AC">
        <w:rPr>
          <w:rFonts w:cs="Times New Roman"/>
        </w:rPr>
        <w:t>estimate</w:t>
      </w:r>
      <w:r w:rsidR="00AC493E" w:rsidRPr="00E069AC">
        <w:rPr>
          <w:rFonts w:cs="Times New Roman"/>
        </w:rPr>
        <w:t>d</w:t>
      </w:r>
      <w:r w:rsidRPr="00E069AC">
        <w:rPr>
          <w:rFonts w:cs="Times New Roman"/>
        </w:rPr>
        <w:t xml:space="preserve"> </w:t>
      </w:r>
      <w:r w:rsidR="00272ACD">
        <w:rPr>
          <w:rFonts w:cs="Times New Roman"/>
        </w:rPr>
        <w:t>geothermal</w:t>
      </w:r>
      <w:r w:rsidR="002415D6">
        <w:rPr>
          <w:rFonts w:cs="Times New Roman"/>
        </w:rPr>
        <w:t xml:space="preserve"> electricity</w:t>
      </w:r>
      <w:r w:rsidRPr="00E069AC">
        <w:rPr>
          <w:rFonts w:cs="Times New Roman"/>
        </w:rPr>
        <w:t xml:space="preserve"> generation globally and regionally from 2020-2050 and then calculate</w:t>
      </w:r>
      <w:r w:rsidR="00AC493E" w:rsidRPr="00E069AC">
        <w:rPr>
          <w:rFonts w:cs="Times New Roman"/>
        </w:rPr>
        <w:t>d</w:t>
      </w:r>
      <w:r w:rsidRPr="00E069AC">
        <w:rPr>
          <w:rFonts w:cs="Times New Roman"/>
        </w:rPr>
        <w:t xml:space="preserve"> the emissions reductions due to the replacement of conventional electricity generation sources with </w:t>
      </w:r>
      <w:r w:rsidR="008E6B1D" w:rsidRPr="00E069AC">
        <w:rPr>
          <w:rFonts w:cs="Times New Roman"/>
        </w:rPr>
        <w:t xml:space="preserve">the solution. The detailed methodology of </w:t>
      </w:r>
      <w:r w:rsidR="008E6B1D" w:rsidRPr="00B54259">
        <w:rPr>
          <w:rFonts w:cs="Times New Roman"/>
        </w:rPr>
        <w:t>these calculations is available at</w:t>
      </w:r>
      <w:r w:rsidR="00AC493E" w:rsidRPr="00B54259">
        <w:rPr>
          <w:rFonts w:cs="Times New Roman"/>
        </w:rPr>
        <w:t xml:space="preserve"> the </w:t>
      </w:r>
      <w:r w:rsidR="004B4939" w:rsidRPr="00B54259">
        <w:rPr>
          <w:rFonts w:cs="Times New Roman"/>
        </w:rPr>
        <w:t xml:space="preserve">Project Drawdown </w:t>
      </w:r>
      <w:r w:rsidR="00AC493E" w:rsidRPr="00B54259">
        <w:rPr>
          <w:rFonts w:cs="Times New Roman"/>
        </w:rPr>
        <w:t xml:space="preserve">Integration </w:t>
      </w:r>
      <w:r w:rsidR="004B4939" w:rsidRPr="00B54259">
        <w:rPr>
          <w:rFonts w:cs="Times New Roman"/>
        </w:rPr>
        <w:t xml:space="preserve">Methodology </w:t>
      </w:r>
      <w:r w:rsidR="00AC493E" w:rsidRPr="00B54259">
        <w:rPr>
          <w:rFonts w:cs="Times New Roman"/>
        </w:rPr>
        <w:t>report.</w:t>
      </w:r>
      <w:r w:rsidR="008E6B1D" w:rsidRPr="00B54259">
        <w:rPr>
          <w:rFonts w:cs="Times New Roman"/>
        </w:rPr>
        <w:t xml:space="preserve"> </w:t>
      </w:r>
    </w:p>
    <w:p w14:paraId="0428D169" w14:textId="7CFC8783" w:rsidR="0079350D" w:rsidRPr="00B54259" w:rsidRDefault="00951B63" w:rsidP="0079350D">
      <w:pPr>
        <w:rPr>
          <w:rFonts w:cs="Times New Roman"/>
        </w:rPr>
      </w:pPr>
      <w:r w:rsidRPr="00B54259">
        <w:rPr>
          <w:rFonts w:cs="Times New Roman"/>
          <w:bCs/>
        </w:rPr>
        <w:t xml:space="preserve">Project Drawdown modeling considers the analysis of </w:t>
      </w:r>
      <w:r w:rsidR="00272ACD">
        <w:rPr>
          <w:rFonts w:cs="Times New Roman"/>
          <w:bCs/>
        </w:rPr>
        <w:t xml:space="preserve">direct and </w:t>
      </w:r>
      <w:r w:rsidRPr="00B54259">
        <w:rPr>
          <w:rFonts w:cs="Times New Roman"/>
          <w:bCs/>
        </w:rPr>
        <w:t>indirect emissions</w:t>
      </w:r>
      <w:r w:rsidR="00216B08" w:rsidRPr="00B54259">
        <w:rPr>
          <w:rFonts w:cs="Times New Roman"/>
          <w:bCs/>
        </w:rPr>
        <w:t xml:space="preserve"> related to the</w:t>
      </w:r>
      <w:r w:rsidRPr="00B54259">
        <w:rPr>
          <w:rFonts w:cs="Times New Roman"/>
          <w:bCs/>
        </w:rPr>
        <w:t xml:space="preserve"> </w:t>
      </w:r>
      <w:r w:rsidR="00FB3AB3" w:rsidRPr="00B54259">
        <w:rPr>
          <w:rFonts w:cs="Times New Roman"/>
          <w:bCs/>
        </w:rPr>
        <w:t xml:space="preserve">different factors that contribute to a LCA for </w:t>
      </w:r>
      <w:r w:rsidR="00272ACD">
        <w:rPr>
          <w:rFonts w:cs="Times New Roman"/>
          <w:bCs/>
        </w:rPr>
        <w:t>geothermal</w:t>
      </w:r>
      <w:r w:rsidR="00FD0E76" w:rsidRPr="00B54259">
        <w:rPr>
          <w:rFonts w:cs="Times New Roman"/>
          <w:bCs/>
        </w:rPr>
        <w:t xml:space="preserve"> systems</w:t>
      </w:r>
      <w:r w:rsidR="00FB3AB3" w:rsidRPr="00B54259">
        <w:rPr>
          <w:rFonts w:cs="Times New Roman"/>
          <w:bCs/>
        </w:rPr>
        <w:t xml:space="preserve">. In modeling the lifecycle emissions of </w:t>
      </w:r>
      <w:r w:rsidR="00272ACD">
        <w:rPr>
          <w:rFonts w:cs="Times New Roman"/>
          <w:bCs/>
        </w:rPr>
        <w:t>geothermal</w:t>
      </w:r>
      <w:r w:rsidR="00FD0E76" w:rsidRPr="00B54259">
        <w:rPr>
          <w:rFonts w:cs="Times New Roman"/>
          <w:bCs/>
        </w:rPr>
        <w:t xml:space="preserve"> </w:t>
      </w:r>
      <w:r w:rsidR="00FB3AB3" w:rsidRPr="00B54259">
        <w:rPr>
          <w:rFonts w:cs="Times New Roman"/>
          <w:bCs/>
        </w:rPr>
        <w:t xml:space="preserve">adoption in </w:t>
      </w:r>
      <w:r w:rsidR="00216B08" w:rsidRPr="00B54259">
        <w:rPr>
          <w:rFonts w:cs="Times New Roman"/>
          <w:bCs/>
        </w:rPr>
        <w:t>the</w:t>
      </w:r>
      <w:r w:rsidR="00FB3AB3" w:rsidRPr="00B54259">
        <w:rPr>
          <w:rFonts w:cs="Times New Roman"/>
          <w:bCs/>
        </w:rPr>
        <w:t xml:space="preserve"> scenario</w:t>
      </w:r>
      <w:r w:rsidR="00216B08" w:rsidRPr="00B54259">
        <w:rPr>
          <w:rFonts w:cs="Times New Roman"/>
          <w:bCs/>
        </w:rPr>
        <w:t>s, it is used</w:t>
      </w:r>
      <w:r w:rsidR="00FB3AB3" w:rsidRPr="00B54259">
        <w:rPr>
          <w:rFonts w:cs="Times New Roman"/>
          <w:bCs/>
        </w:rPr>
        <w:t xml:space="preserve"> a fixed value (</w:t>
      </w:r>
      <w:r w:rsidR="00FB3AB3" w:rsidRPr="00B54259">
        <w:rPr>
          <w:rFonts w:cs="Times New Roman"/>
        </w:rPr>
        <w:t>t CO</w:t>
      </w:r>
      <w:r w:rsidR="00FB3AB3" w:rsidRPr="00B54259">
        <w:rPr>
          <w:rFonts w:cs="Times New Roman"/>
          <w:vertAlign w:val="subscript"/>
        </w:rPr>
        <w:t>2</w:t>
      </w:r>
      <w:r w:rsidR="00FB3AB3" w:rsidRPr="00B54259">
        <w:rPr>
          <w:rFonts w:cs="Times New Roman"/>
        </w:rPr>
        <w:t xml:space="preserve">-eq per TWh) </w:t>
      </w:r>
      <w:r w:rsidR="002054FC" w:rsidRPr="00B54259">
        <w:rPr>
          <w:rFonts w:cs="Times New Roman"/>
        </w:rPr>
        <w:t>considering</w:t>
      </w:r>
      <w:r w:rsidR="0045676A" w:rsidRPr="00B54259">
        <w:rPr>
          <w:rFonts w:cs="Times New Roman"/>
        </w:rPr>
        <w:t xml:space="preserve"> information from several technologies </w:t>
      </w:r>
      <w:r w:rsidR="00FB3AB3" w:rsidRPr="00B54259">
        <w:rPr>
          <w:rFonts w:cs="Times New Roman"/>
        </w:rPr>
        <w:t xml:space="preserve">rather than a decreasing one due to the difficulty of projecting future grid-tied emissions on a regional basis. </w:t>
      </w:r>
      <w:r w:rsidR="00DE33AF" w:rsidRPr="00B54259">
        <w:rPr>
          <w:rFonts w:cs="Times New Roman"/>
        </w:rPr>
        <w:t>The</w:t>
      </w:r>
      <w:r w:rsidR="00FB3AB3" w:rsidRPr="00B54259">
        <w:rPr>
          <w:rFonts w:cs="Times New Roman"/>
        </w:rPr>
        <w:t xml:space="preserve"> climate results will thus be more conservative than would be the case if </w:t>
      </w:r>
      <w:r w:rsidR="00DE33AF" w:rsidRPr="00B54259">
        <w:rPr>
          <w:rFonts w:cs="Times New Roman"/>
        </w:rPr>
        <w:t>it was</w:t>
      </w:r>
      <w:r w:rsidR="00FB3AB3" w:rsidRPr="00B54259">
        <w:rPr>
          <w:rFonts w:cs="Times New Roman"/>
        </w:rPr>
        <w:t xml:space="preserve"> assumed a decreasing average lifecycle emissions value for </w:t>
      </w:r>
      <w:r w:rsidR="00272ACD">
        <w:rPr>
          <w:rFonts w:cs="Times New Roman"/>
        </w:rPr>
        <w:t>geothermal</w:t>
      </w:r>
      <w:r w:rsidR="00B54259" w:rsidRPr="00B54259">
        <w:rPr>
          <w:rFonts w:cs="Times New Roman"/>
        </w:rPr>
        <w:t xml:space="preserve"> systems.</w:t>
      </w:r>
      <w:r w:rsidR="0045676A" w:rsidRPr="00B54259">
        <w:rPr>
          <w:rFonts w:cs="Times New Roman"/>
        </w:rPr>
        <w:t xml:space="preserve"> </w:t>
      </w:r>
    </w:p>
    <w:p w14:paraId="3BEF0FBE" w14:textId="3E4CB46D" w:rsidR="00DA012E" w:rsidRPr="00DA012E" w:rsidRDefault="0079350D" w:rsidP="00DA012E">
      <w:pPr>
        <w:rPr>
          <w:rFonts w:cs="Times New Roman"/>
        </w:rPr>
      </w:pPr>
      <w:r w:rsidRPr="00B54259">
        <w:rPr>
          <w:rFonts w:cs="Times New Roman"/>
        </w:rPr>
        <w:t xml:space="preserve">The values </w:t>
      </w:r>
      <w:r w:rsidRPr="008F003C">
        <w:rPr>
          <w:rFonts w:cs="Times New Roman"/>
        </w:rPr>
        <w:t xml:space="preserve">collected in the RRS model show lifecycle GHG emissions for a range of different </w:t>
      </w:r>
      <w:r w:rsidR="00272ACD" w:rsidRPr="008F003C">
        <w:rPr>
          <w:rFonts w:cs="Times New Roman"/>
        </w:rPr>
        <w:t>geothermal</w:t>
      </w:r>
      <w:r w:rsidR="00B54259" w:rsidRPr="008F003C">
        <w:rPr>
          <w:rFonts w:cs="Times New Roman"/>
        </w:rPr>
        <w:t xml:space="preserve"> </w:t>
      </w:r>
      <w:r w:rsidRPr="008F003C">
        <w:rPr>
          <w:rFonts w:cs="Times New Roman"/>
        </w:rPr>
        <w:t>technologies across different regions and system sizes</w:t>
      </w:r>
      <w:r w:rsidR="00B54259" w:rsidRPr="008F003C">
        <w:rPr>
          <w:rFonts w:cs="Times New Roman"/>
        </w:rPr>
        <w:t>.</w:t>
      </w:r>
      <w:r w:rsidRPr="008F003C">
        <w:rPr>
          <w:rFonts w:cs="Times New Roman"/>
        </w:rPr>
        <w:t xml:space="preserve"> </w:t>
      </w:r>
      <w:r w:rsidR="00B54259" w:rsidRPr="008F003C">
        <w:rPr>
          <w:rFonts w:cs="Times New Roman"/>
        </w:rPr>
        <w:t xml:space="preserve">The analysis draws from </w:t>
      </w:r>
      <w:r w:rsidR="00B54259" w:rsidRPr="008F003C">
        <w:rPr>
          <w:rFonts w:eastAsia="Times New Roman"/>
        </w:rPr>
        <w:t xml:space="preserve">recent published GHG emission estimates for </w:t>
      </w:r>
      <w:r w:rsidR="00272ACD" w:rsidRPr="008F003C">
        <w:rPr>
          <w:rFonts w:eastAsia="Times New Roman"/>
        </w:rPr>
        <w:t>geothermal</w:t>
      </w:r>
      <w:r w:rsidR="00B54259" w:rsidRPr="008F003C">
        <w:rPr>
          <w:rFonts w:eastAsia="Times New Roman"/>
        </w:rPr>
        <w:t xml:space="preserve"> that have ranged from </w:t>
      </w:r>
      <w:r w:rsidR="008F4829">
        <w:rPr>
          <w:rFonts w:eastAsia="Times New Roman"/>
        </w:rPr>
        <w:t>4</w:t>
      </w:r>
      <w:r w:rsidR="00B54259" w:rsidRPr="008F003C">
        <w:rPr>
          <w:rFonts w:eastAsia="Times New Roman"/>
        </w:rPr>
        <w:t xml:space="preserve"> to </w:t>
      </w:r>
      <w:r w:rsidR="008F4829">
        <w:rPr>
          <w:rFonts w:eastAsia="Times New Roman"/>
        </w:rPr>
        <w:t>1,800</w:t>
      </w:r>
      <w:r w:rsidR="00B54259" w:rsidRPr="008F003C">
        <w:rPr>
          <w:rFonts w:eastAsia="Times New Roman"/>
        </w:rPr>
        <w:t xml:space="preserve"> g CO</w:t>
      </w:r>
      <w:r w:rsidR="00B54259" w:rsidRPr="008F003C">
        <w:rPr>
          <w:rFonts w:eastAsia="Times New Roman"/>
          <w:vertAlign w:val="subscript"/>
        </w:rPr>
        <w:t>2</w:t>
      </w:r>
      <w:r w:rsidR="00B54259" w:rsidRPr="008F003C">
        <w:rPr>
          <w:rFonts w:eastAsia="Times New Roman"/>
        </w:rPr>
        <w:t>eq/kWh over their lifetime (</w:t>
      </w:r>
      <w:r w:rsidR="00B54259" w:rsidRPr="008F003C">
        <w:rPr>
          <w:rFonts w:eastAsia="Times New Roman"/>
          <w:i/>
        </w:rPr>
        <w:t xml:space="preserve">e.g. </w:t>
      </w:r>
      <w:r w:rsidR="00B54259" w:rsidRPr="008F003C">
        <w:rPr>
          <w:rFonts w:eastAsia="Times New Roman"/>
        </w:rPr>
        <w:t xml:space="preserve">Masanet et </w:t>
      </w:r>
      <w:r w:rsidR="00B54259" w:rsidRPr="008F003C">
        <w:rPr>
          <w:rFonts w:eastAsia="Times New Roman"/>
          <w:i/>
        </w:rPr>
        <w:t>al</w:t>
      </w:r>
      <w:r w:rsidR="00B54259" w:rsidRPr="008F003C">
        <w:rPr>
          <w:rFonts w:eastAsia="Times New Roman"/>
        </w:rPr>
        <w:t>., 2013</w:t>
      </w:r>
      <w:r w:rsidR="008F003C" w:rsidRPr="008F003C">
        <w:rPr>
          <w:rFonts w:eastAsia="Times New Roman"/>
        </w:rPr>
        <w:t>; NTEL, 2013; IPCC, 2014</w:t>
      </w:r>
      <w:r w:rsidR="008F4829">
        <w:rPr>
          <w:rFonts w:eastAsia="Times New Roman"/>
        </w:rPr>
        <w:t xml:space="preserve">; </w:t>
      </w:r>
      <w:r w:rsidR="008F4829" w:rsidRPr="008F4829">
        <w:rPr>
          <w:rFonts w:eastAsia="Times New Roman"/>
        </w:rPr>
        <w:t>Aksoy et al</w:t>
      </w:r>
      <w:r w:rsidR="008F4829">
        <w:rPr>
          <w:rFonts w:eastAsia="Times New Roman"/>
        </w:rPr>
        <w:t xml:space="preserve">., </w:t>
      </w:r>
      <w:r w:rsidR="008F4829" w:rsidRPr="008F4829">
        <w:rPr>
          <w:rFonts w:eastAsia="Times New Roman"/>
        </w:rPr>
        <w:t>2015</w:t>
      </w:r>
      <w:r w:rsidR="008F4829">
        <w:rPr>
          <w:rFonts w:eastAsia="Times New Roman"/>
        </w:rPr>
        <w:t xml:space="preserve">; </w:t>
      </w:r>
      <w:r w:rsidR="008F4829" w:rsidRPr="008F4829">
        <w:rPr>
          <w:rFonts w:eastAsia="Times New Roman"/>
        </w:rPr>
        <w:t>Mac Kinnon et al</w:t>
      </w:r>
      <w:r w:rsidR="008F4829">
        <w:rPr>
          <w:rFonts w:eastAsia="Times New Roman"/>
        </w:rPr>
        <w:t>., 2018</w:t>
      </w:r>
      <w:r w:rsidR="00B54259" w:rsidRPr="008F003C">
        <w:rPr>
          <w:rFonts w:eastAsia="Times New Roman"/>
        </w:rPr>
        <w:t xml:space="preserve">). The wide span in results for </w:t>
      </w:r>
      <w:r w:rsidR="00272ACD" w:rsidRPr="008F003C">
        <w:rPr>
          <w:rFonts w:eastAsia="Times New Roman"/>
        </w:rPr>
        <w:t>geothermal systems</w:t>
      </w:r>
      <w:r w:rsidR="00B54259" w:rsidRPr="008F003C">
        <w:rPr>
          <w:rFonts w:eastAsia="Times New Roman"/>
        </w:rPr>
        <w:t xml:space="preserve"> reflects different assumptions around capacity factor</w:t>
      </w:r>
      <w:r w:rsidR="00B54259" w:rsidRPr="00B54259">
        <w:rPr>
          <w:rFonts w:eastAsia="Times New Roman"/>
        </w:rPr>
        <w:t xml:space="preserve">, conversion efficiency, operating lifetime and quality of </w:t>
      </w:r>
      <w:r w:rsidR="00272ACD">
        <w:rPr>
          <w:rFonts w:eastAsia="Times New Roman"/>
        </w:rPr>
        <w:t xml:space="preserve">geothermal </w:t>
      </w:r>
      <w:r w:rsidR="00B54259" w:rsidRPr="00B54259">
        <w:rPr>
          <w:rFonts w:eastAsia="Times New Roman"/>
        </w:rPr>
        <w:t xml:space="preserve">resource. </w:t>
      </w:r>
      <w:r w:rsidR="002054FC" w:rsidRPr="00B54259">
        <w:rPr>
          <w:rFonts w:cs="Times New Roman"/>
        </w:rPr>
        <w:t xml:space="preserve">Table 2.1 presents the boundaries of the data </w:t>
      </w:r>
      <w:r w:rsidR="009C0F77" w:rsidRPr="00B54259">
        <w:rPr>
          <w:rFonts w:cs="Times New Roman"/>
        </w:rPr>
        <w:t>boundaries</w:t>
      </w:r>
      <w:r w:rsidR="002054FC" w:rsidRPr="00B54259">
        <w:rPr>
          <w:rFonts w:cs="Times New Roman"/>
        </w:rPr>
        <w:t xml:space="preserve"> on the model </w:t>
      </w:r>
      <w:r w:rsidR="009C0F77" w:rsidRPr="00B54259">
        <w:rPr>
          <w:rFonts w:cs="Times New Roman"/>
        </w:rPr>
        <w:t xml:space="preserve">and </w:t>
      </w:r>
      <w:r w:rsidR="00DA012E" w:rsidRPr="00B54259">
        <w:rPr>
          <w:rFonts w:cs="Times New Roman"/>
        </w:rPr>
        <w:t>the selected model input.</w:t>
      </w:r>
    </w:p>
    <w:p w14:paraId="67ED68E5" w14:textId="61B64B19" w:rsidR="0021082B" w:rsidRPr="00E069AC" w:rsidRDefault="004F5425" w:rsidP="00EB247F">
      <w:pPr>
        <w:pStyle w:val="Caption"/>
        <w:jc w:val="center"/>
        <w:rPr>
          <w:b/>
          <w:bCs/>
          <w:color w:val="000000" w:themeColor="text1"/>
          <w:sz w:val="20"/>
          <w:szCs w:val="20"/>
          <w:lang w:eastAsia="zh-CN"/>
        </w:rPr>
      </w:pPr>
      <w:bookmarkStart w:id="45" w:name="_Toc44542632"/>
      <w:r w:rsidRPr="00E069AC">
        <w:t xml:space="preserve">Table </w:t>
      </w:r>
      <w:r w:rsidR="00842B09">
        <w:rPr>
          <w:noProof/>
        </w:rPr>
        <w:fldChar w:fldCharType="begin"/>
      </w:r>
      <w:r w:rsidR="00842B09">
        <w:rPr>
          <w:noProof/>
        </w:rPr>
        <w:instrText xml:space="preserve"> STYLEREF 1 \s </w:instrText>
      </w:r>
      <w:r w:rsidR="00842B09">
        <w:rPr>
          <w:noProof/>
        </w:rPr>
        <w:fldChar w:fldCharType="separate"/>
      </w:r>
      <w:r w:rsidR="00B54259">
        <w:rPr>
          <w:noProof/>
        </w:rPr>
        <w:t>2</w:t>
      </w:r>
      <w:r w:rsidR="00842B09">
        <w:rPr>
          <w:noProof/>
        </w:rPr>
        <w:fldChar w:fldCharType="end"/>
      </w:r>
      <w:r w:rsidR="00492F5E" w:rsidRPr="00E069AC">
        <w:t>.</w:t>
      </w:r>
      <w:r w:rsidR="00842B09">
        <w:rPr>
          <w:noProof/>
        </w:rPr>
        <w:fldChar w:fldCharType="begin"/>
      </w:r>
      <w:r w:rsidR="00842B09">
        <w:rPr>
          <w:noProof/>
        </w:rPr>
        <w:instrText xml:space="preserve"> SEQ Table \* ARABIC \s 1 </w:instrText>
      </w:r>
      <w:r w:rsidR="00842B09">
        <w:rPr>
          <w:noProof/>
        </w:rPr>
        <w:fldChar w:fldCharType="separate"/>
      </w:r>
      <w:r w:rsidR="00B54259">
        <w:rPr>
          <w:noProof/>
        </w:rPr>
        <w:t>1</w:t>
      </w:r>
      <w:r w:rsidR="00842B09">
        <w:rPr>
          <w:noProof/>
        </w:rPr>
        <w:fldChar w:fldCharType="end"/>
      </w:r>
      <w:r w:rsidRPr="00E069AC">
        <w:t xml:space="preserve"> Climate Inputs</w:t>
      </w:r>
      <w:bookmarkEnd w:id="45"/>
    </w:p>
    <w:tbl>
      <w:tblPr>
        <w:tblStyle w:val="TableGrid"/>
        <w:tblW w:w="9350" w:type="dxa"/>
        <w:tblLook w:val="04A0" w:firstRow="1" w:lastRow="0" w:firstColumn="1" w:lastColumn="0" w:noHBand="0" w:noVBand="1"/>
      </w:tblPr>
      <w:tblGrid>
        <w:gridCol w:w="2076"/>
        <w:gridCol w:w="1427"/>
        <w:gridCol w:w="1712"/>
        <w:gridCol w:w="1241"/>
        <w:gridCol w:w="1366"/>
        <w:gridCol w:w="1528"/>
      </w:tblGrid>
      <w:tr w:rsidR="003922A1" w:rsidRPr="00E069AC" w14:paraId="077EA588" w14:textId="77777777" w:rsidTr="00B533CC">
        <w:trPr>
          <w:trHeight w:val="393"/>
        </w:trPr>
        <w:tc>
          <w:tcPr>
            <w:tcW w:w="2076" w:type="dxa"/>
            <w:shd w:val="clear" w:color="auto" w:fill="4F81BD" w:themeFill="accent1"/>
            <w:vAlign w:val="center"/>
          </w:tcPr>
          <w:p w14:paraId="19DDFB6D" w14:textId="77777777" w:rsidR="003922A1" w:rsidRPr="00E069AC" w:rsidRDefault="003922A1" w:rsidP="003922A1">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Units</w:t>
            </w:r>
          </w:p>
        </w:tc>
        <w:tc>
          <w:tcPr>
            <w:tcW w:w="1712" w:type="dxa"/>
            <w:shd w:val="clear" w:color="auto" w:fill="4F81BD" w:themeFill="accent1"/>
            <w:vAlign w:val="center"/>
          </w:tcPr>
          <w:p w14:paraId="74033D17" w14:textId="4591C5D0"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Project Drawdown Data Set Range</w:t>
            </w:r>
          </w:p>
        </w:tc>
        <w:tc>
          <w:tcPr>
            <w:tcW w:w="1241" w:type="dxa"/>
            <w:shd w:val="clear" w:color="auto" w:fill="4F81BD" w:themeFill="accent1"/>
            <w:vAlign w:val="center"/>
          </w:tcPr>
          <w:p w14:paraId="5E5C518A" w14:textId="65C370A6"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Data Points (#)</w:t>
            </w:r>
          </w:p>
        </w:tc>
        <w:tc>
          <w:tcPr>
            <w:tcW w:w="1528" w:type="dxa"/>
            <w:shd w:val="clear" w:color="auto" w:fill="4F81BD" w:themeFill="accent1"/>
            <w:vAlign w:val="center"/>
          </w:tcPr>
          <w:p w14:paraId="20C382D3" w14:textId="577A2C8A" w:rsidR="003922A1" w:rsidRPr="00E069AC" w:rsidRDefault="003922A1" w:rsidP="003922A1">
            <w:pPr>
              <w:spacing w:after="180"/>
              <w:jc w:val="center"/>
              <w:rPr>
                <w:b/>
                <w:bCs/>
                <w:color w:val="FFFFFF" w:themeColor="background1"/>
                <w:sz w:val="20"/>
                <w:szCs w:val="20"/>
              </w:rPr>
            </w:pPr>
            <w:r w:rsidRPr="00E069AC">
              <w:rPr>
                <w:b/>
                <w:bCs/>
                <w:color w:val="FFFFFF" w:themeColor="background1"/>
                <w:sz w:val="20"/>
                <w:szCs w:val="20"/>
              </w:rPr>
              <w:t>Sources (#)</w:t>
            </w:r>
          </w:p>
        </w:tc>
      </w:tr>
      <w:tr w:rsidR="00A26505" w:rsidRPr="00E069AC" w14:paraId="5939261B" w14:textId="77777777" w:rsidTr="00B533CC">
        <w:trPr>
          <w:trHeight w:val="508"/>
        </w:trPr>
        <w:tc>
          <w:tcPr>
            <w:tcW w:w="2076" w:type="dxa"/>
            <w:vAlign w:val="center"/>
          </w:tcPr>
          <w:p w14:paraId="1C191CDA" w14:textId="40D6384E" w:rsidR="00A26505" w:rsidRPr="00E069AC" w:rsidRDefault="00A26505" w:rsidP="00A26505">
            <w:pPr>
              <w:spacing w:after="180"/>
              <w:jc w:val="center"/>
              <w:rPr>
                <w:color w:val="000000" w:themeColor="text1"/>
                <w:sz w:val="20"/>
                <w:szCs w:val="20"/>
              </w:rPr>
            </w:pPr>
            <w:r w:rsidRPr="00E069AC">
              <w:rPr>
                <w:color w:val="000000" w:themeColor="text1"/>
                <w:sz w:val="20"/>
                <w:szCs w:val="20"/>
              </w:rPr>
              <w:t>Indirect CO</w:t>
            </w:r>
            <w:r w:rsidRPr="00E069AC">
              <w:rPr>
                <w:color w:val="000000" w:themeColor="text1"/>
                <w:sz w:val="20"/>
                <w:szCs w:val="20"/>
                <w:vertAlign w:val="subscript"/>
              </w:rPr>
              <w:t xml:space="preserve">2 </w:t>
            </w:r>
            <w:r w:rsidRPr="00E069AC">
              <w:rPr>
                <w:color w:val="000000" w:themeColor="text1"/>
                <w:sz w:val="20"/>
                <w:szCs w:val="20"/>
              </w:rPr>
              <w:t>Emissions (Solution)</w:t>
            </w:r>
          </w:p>
        </w:tc>
        <w:tc>
          <w:tcPr>
            <w:tcW w:w="1427" w:type="dxa"/>
            <w:shd w:val="clear" w:color="auto" w:fill="auto"/>
            <w:vAlign w:val="center"/>
          </w:tcPr>
          <w:p w14:paraId="0A7486C7" w14:textId="58D93F1D" w:rsidR="00A26505" w:rsidRPr="008F003C" w:rsidRDefault="00752C71" w:rsidP="00A26505">
            <w:pPr>
              <w:spacing w:after="180"/>
              <w:jc w:val="center"/>
              <w:rPr>
                <w:i/>
                <w:sz w:val="20"/>
                <w:szCs w:val="20"/>
              </w:rPr>
            </w:pPr>
            <w:r w:rsidRPr="008F003C">
              <w:rPr>
                <w:i/>
                <w:sz w:val="20"/>
                <w:szCs w:val="20"/>
              </w:rPr>
              <w:t>t CO</w:t>
            </w:r>
            <w:r w:rsidRPr="008F003C">
              <w:rPr>
                <w:i/>
                <w:sz w:val="20"/>
                <w:szCs w:val="20"/>
                <w:vertAlign w:val="subscript"/>
              </w:rPr>
              <w:t>2</w:t>
            </w:r>
            <w:r w:rsidRPr="008F003C">
              <w:rPr>
                <w:i/>
                <w:sz w:val="20"/>
                <w:szCs w:val="20"/>
              </w:rPr>
              <w:t>-eq/TWh</w:t>
            </w:r>
          </w:p>
        </w:tc>
        <w:tc>
          <w:tcPr>
            <w:tcW w:w="1712" w:type="dxa"/>
            <w:vAlign w:val="center"/>
          </w:tcPr>
          <w:p w14:paraId="336340E2" w14:textId="59740806" w:rsidR="00A26505" w:rsidRPr="00B533CC" w:rsidRDefault="00076FE1" w:rsidP="00A26505">
            <w:pPr>
              <w:spacing w:after="180"/>
              <w:jc w:val="center"/>
              <w:rPr>
                <w:rFonts w:eastAsia="Helvetica,Times New Roman" w:cstheme="minorHAnsi"/>
                <w:color w:val="000000" w:themeColor="text1"/>
                <w:sz w:val="20"/>
                <w:szCs w:val="20"/>
                <w:highlight w:val="lightGray"/>
              </w:rPr>
            </w:pPr>
            <w:r w:rsidRPr="00076FE1">
              <w:rPr>
                <w:rFonts w:eastAsia="Helvetica,Times New Roman" w:cstheme="minorHAnsi"/>
                <w:color w:val="000000" w:themeColor="text1"/>
                <w:sz w:val="20"/>
                <w:szCs w:val="20"/>
              </w:rPr>
              <w:t>0</w:t>
            </w:r>
            <w:r w:rsidR="00B36958" w:rsidRPr="00076FE1">
              <w:rPr>
                <w:rFonts w:eastAsia="Helvetica,Times New Roman" w:cstheme="minorHAnsi"/>
                <w:color w:val="000000" w:themeColor="text1"/>
                <w:sz w:val="20"/>
                <w:szCs w:val="20"/>
                <w:vertAlign w:val="superscript"/>
              </w:rPr>
              <w:t>3</w:t>
            </w:r>
            <w:r w:rsidR="00752C71" w:rsidRPr="00076FE1">
              <w:rPr>
                <w:rFonts w:eastAsia="Helvetica,Times New Roman" w:cstheme="minorHAnsi"/>
                <w:color w:val="000000" w:themeColor="text1"/>
                <w:sz w:val="20"/>
                <w:szCs w:val="20"/>
              </w:rPr>
              <w:t xml:space="preserve"> – </w:t>
            </w:r>
            <w:r w:rsidRPr="00076FE1">
              <w:rPr>
                <w:rFonts w:eastAsia="Helvetica,Times New Roman" w:cstheme="minorHAnsi"/>
                <w:color w:val="000000" w:themeColor="text1"/>
                <w:sz w:val="20"/>
                <w:szCs w:val="20"/>
              </w:rPr>
              <w:t>298,25</w:t>
            </w:r>
          </w:p>
        </w:tc>
        <w:tc>
          <w:tcPr>
            <w:tcW w:w="1241" w:type="dxa"/>
            <w:vAlign w:val="center"/>
          </w:tcPr>
          <w:p w14:paraId="01BCE79C" w14:textId="7449114C" w:rsidR="00A26505" w:rsidRPr="00B533CC" w:rsidRDefault="00076FE1" w:rsidP="00A26505">
            <w:pPr>
              <w:spacing w:after="180"/>
              <w:jc w:val="center"/>
              <w:rPr>
                <w:rFonts w:eastAsia="Helvetica,Times New Roman" w:cstheme="minorHAnsi"/>
                <w:color w:val="000000" w:themeColor="text1"/>
                <w:sz w:val="20"/>
                <w:szCs w:val="20"/>
                <w:highlight w:val="lightGray"/>
              </w:rPr>
            </w:pPr>
            <w:r w:rsidRPr="00076FE1">
              <w:rPr>
                <w:rFonts w:eastAsia="Helvetica,Times New Roman" w:cstheme="minorHAnsi"/>
                <w:color w:val="000000" w:themeColor="text1"/>
                <w:sz w:val="20"/>
                <w:szCs w:val="20"/>
              </w:rPr>
              <w:t>102,998</w:t>
            </w:r>
          </w:p>
        </w:tc>
        <w:tc>
          <w:tcPr>
            <w:tcW w:w="1366" w:type="dxa"/>
            <w:shd w:val="clear" w:color="auto" w:fill="auto"/>
            <w:vAlign w:val="center"/>
          </w:tcPr>
          <w:p w14:paraId="470E066A" w14:textId="0DE5A50F" w:rsidR="00A26505" w:rsidRPr="00B533CC" w:rsidRDefault="008F4829" w:rsidP="00A26505">
            <w:pPr>
              <w:spacing w:after="180"/>
              <w:jc w:val="center"/>
              <w:rPr>
                <w:rFonts w:eastAsia="Helvetica,Times New Roman" w:cstheme="minorHAnsi"/>
                <w:color w:val="000000" w:themeColor="text1"/>
                <w:sz w:val="20"/>
                <w:szCs w:val="20"/>
                <w:highlight w:val="lightGray"/>
              </w:rPr>
            </w:pPr>
            <w:r w:rsidRPr="008F4829">
              <w:rPr>
                <w:rFonts w:eastAsia="Helvetica,Times New Roman" w:cstheme="minorHAnsi"/>
                <w:color w:val="000000" w:themeColor="text1"/>
                <w:sz w:val="20"/>
                <w:szCs w:val="20"/>
              </w:rPr>
              <w:t>46</w:t>
            </w:r>
          </w:p>
        </w:tc>
        <w:tc>
          <w:tcPr>
            <w:tcW w:w="1528" w:type="dxa"/>
            <w:vAlign w:val="center"/>
          </w:tcPr>
          <w:p w14:paraId="0018F9F0" w14:textId="4D3B01FE" w:rsidR="00A26505" w:rsidRPr="00B533CC" w:rsidRDefault="00752C71" w:rsidP="00A26505">
            <w:pPr>
              <w:spacing w:after="180"/>
              <w:jc w:val="center"/>
              <w:rPr>
                <w:rFonts w:eastAsia="Helvetica,Times New Roman" w:cstheme="minorHAnsi"/>
                <w:color w:val="000000" w:themeColor="text1"/>
                <w:sz w:val="20"/>
                <w:szCs w:val="20"/>
                <w:highlight w:val="lightGray"/>
              </w:rPr>
            </w:pPr>
            <w:r w:rsidRPr="00076FE1">
              <w:rPr>
                <w:rFonts w:eastAsia="Helvetica,Times New Roman" w:cstheme="minorHAnsi"/>
                <w:color w:val="000000" w:themeColor="text1"/>
                <w:sz w:val="20"/>
                <w:szCs w:val="20"/>
              </w:rPr>
              <w:t>1</w:t>
            </w:r>
            <w:r w:rsidR="00076FE1" w:rsidRPr="00076FE1">
              <w:rPr>
                <w:rFonts w:eastAsia="Helvetica,Times New Roman" w:cstheme="minorHAnsi"/>
                <w:color w:val="000000" w:themeColor="text1"/>
                <w:sz w:val="20"/>
                <w:szCs w:val="20"/>
              </w:rPr>
              <w:t>3</w:t>
            </w:r>
          </w:p>
        </w:tc>
      </w:tr>
    </w:tbl>
    <w:p w14:paraId="035BBD8F" w14:textId="77777777" w:rsidR="00A04734" w:rsidRPr="009A4D96" w:rsidRDefault="00A04734" w:rsidP="00A04734">
      <w:pPr>
        <w:rPr>
          <w:sz w:val="20"/>
        </w:rPr>
      </w:pPr>
      <w:r w:rsidRPr="009A4D96">
        <w:rPr>
          <w:sz w:val="20"/>
        </w:rPr>
        <w:t>Note: Project Drawdown data set range is defined by the low and high boundaries which are respectively 1 standard deviation below and above the mean of the collected data points</w:t>
      </w:r>
      <w:r w:rsidRPr="009A4D96">
        <w:rPr>
          <w:rStyle w:val="FootnoteReference"/>
          <w:sz w:val="20"/>
        </w:rPr>
        <w:footnoteReference w:id="3"/>
      </w:r>
      <w:r w:rsidRPr="009A4D96">
        <w:rPr>
          <w:sz w:val="20"/>
        </w:rPr>
        <w:t>.</w:t>
      </w:r>
    </w:p>
    <w:p w14:paraId="24C491B8" w14:textId="3A77925F" w:rsidR="00F52595" w:rsidRPr="00E069AC" w:rsidRDefault="00E069AC" w:rsidP="005D49A8">
      <w:pPr>
        <w:pStyle w:val="Heading3"/>
      </w:pPr>
      <w:bookmarkStart w:id="46" w:name="_Toc19137317"/>
      <w:r>
        <w:t>Financial Inputs</w:t>
      </w:r>
      <w:bookmarkEnd w:id="46"/>
    </w:p>
    <w:p w14:paraId="127B738F" w14:textId="2A98647B" w:rsidR="00DA06FE" w:rsidRPr="00E13C85" w:rsidRDefault="00DA06FE" w:rsidP="00EB247F">
      <w:r w:rsidRPr="00E069AC">
        <w:t>RRS</w:t>
      </w:r>
      <w:r w:rsidR="00E2663F" w:rsidRPr="00E069AC">
        <w:t xml:space="preserve"> model con</w:t>
      </w:r>
      <w:r w:rsidR="00E2663F" w:rsidRPr="00272ACD">
        <w:t>structs</w:t>
      </w:r>
      <w:r w:rsidR="00E439FB" w:rsidRPr="00272ACD">
        <w:t xml:space="preserve"> PDS adoption scenario</w:t>
      </w:r>
      <w:r w:rsidR="00E2663F" w:rsidRPr="00272ACD">
        <w:t>s</w:t>
      </w:r>
      <w:r w:rsidR="00E439FB" w:rsidRPr="00272ACD">
        <w:t xml:space="preserve"> for </w:t>
      </w:r>
      <w:r w:rsidR="00272ACD" w:rsidRPr="00272ACD">
        <w:t>geothermal</w:t>
      </w:r>
      <w:r w:rsidR="00721C7F" w:rsidRPr="00272ACD">
        <w:t xml:space="preserve"> electricity</w:t>
      </w:r>
      <w:r w:rsidR="00E439FB" w:rsidRPr="00272ACD">
        <w:t xml:space="preserve"> generation globally and regionally for each year until 2050. </w:t>
      </w:r>
      <w:r w:rsidR="00E2663F" w:rsidRPr="00272ACD">
        <w:t xml:space="preserve">It is </w:t>
      </w:r>
      <w:r w:rsidR="00E439FB" w:rsidRPr="00272ACD">
        <w:t>model</w:t>
      </w:r>
      <w:r w:rsidR="00E2663F" w:rsidRPr="00272ACD">
        <w:t>led</w:t>
      </w:r>
      <w:r w:rsidR="00E439FB" w:rsidRPr="00272ACD">
        <w:t xml:space="preserve"> both the capital costs and the fixed and variable OM costs associated with </w:t>
      </w:r>
      <w:r w:rsidRPr="00272ACD">
        <w:t xml:space="preserve">the </w:t>
      </w:r>
      <w:r w:rsidR="00E2663F" w:rsidRPr="00272ACD">
        <w:t xml:space="preserve">alternative </w:t>
      </w:r>
      <w:r w:rsidR="00E439FB" w:rsidRPr="00272ACD">
        <w:t>scenarios compared to those of the REF scenario.</w:t>
      </w:r>
      <w:r w:rsidR="00721C7F" w:rsidRPr="00272ACD">
        <w:t xml:space="preserve"> </w:t>
      </w:r>
      <w:r w:rsidR="00F4258D" w:rsidRPr="00272ACD">
        <w:t>A d</w:t>
      </w:r>
      <w:r w:rsidRPr="00272ACD">
        <w:t xml:space="preserve">etailed description of the methodology </w:t>
      </w:r>
      <w:r w:rsidRPr="00E13C85">
        <w:t>used is available in</w:t>
      </w:r>
      <w:r w:rsidR="00E2663F" w:rsidRPr="00E13C85">
        <w:t xml:space="preserve"> the </w:t>
      </w:r>
      <w:r w:rsidR="00D25FC7" w:rsidRPr="00E13C85">
        <w:t>Drawdown RRS Model Framework and Guide.</w:t>
      </w:r>
    </w:p>
    <w:p w14:paraId="07645E05" w14:textId="0DA62F3D" w:rsidR="00B54259" w:rsidRPr="008F003C" w:rsidRDefault="00DA06FE" w:rsidP="00B54259">
      <w:pPr>
        <w:rPr>
          <w:rFonts w:cs="Times New Roman"/>
          <w:bCs/>
        </w:rPr>
      </w:pPr>
      <w:r w:rsidRPr="00E13C85">
        <w:rPr>
          <w:bCs/>
        </w:rPr>
        <w:t>The financial calculations exa</w:t>
      </w:r>
      <w:r w:rsidR="002054FC" w:rsidRPr="00E13C85">
        <w:rPr>
          <w:bCs/>
        </w:rPr>
        <w:t>mine the first cost in US$ per k</w:t>
      </w:r>
      <w:r w:rsidRPr="00E13C85">
        <w:rPr>
          <w:bCs/>
        </w:rPr>
        <w:t xml:space="preserve">W and the operating cost in US$ </w:t>
      </w:r>
      <w:r w:rsidR="002054FC" w:rsidRPr="00E13C85">
        <w:rPr>
          <w:bCs/>
        </w:rPr>
        <w:t>per kW (fixed costs) and US</w:t>
      </w:r>
      <w:r w:rsidR="002054FC" w:rsidRPr="00076FE1">
        <w:rPr>
          <w:bCs/>
        </w:rPr>
        <w:t>$ per kWh (variable costs)</w:t>
      </w:r>
      <w:r w:rsidRPr="00076FE1">
        <w:rPr>
          <w:bCs/>
        </w:rPr>
        <w:t>. For this, many inputs estimating annual</w:t>
      </w:r>
      <w:r w:rsidR="002054FC" w:rsidRPr="00076FE1">
        <w:rPr>
          <w:bCs/>
        </w:rPr>
        <w:t xml:space="preserve"> output and lifetime output per </w:t>
      </w:r>
      <w:r w:rsidR="00272ACD" w:rsidRPr="00076FE1">
        <w:rPr>
          <w:bCs/>
        </w:rPr>
        <w:t>geothermal</w:t>
      </w:r>
      <w:r w:rsidR="002054FC" w:rsidRPr="00076FE1">
        <w:rPr>
          <w:bCs/>
        </w:rPr>
        <w:t xml:space="preserve"> electricity generation</w:t>
      </w:r>
      <w:r w:rsidRPr="00076FE1">
        <w:rPr>
          <w:bCs/>
        </w:rPr>
        <w:t>, along with first costs (</w:t>
      </w:r>
      <w:r w:rsidR="002054FC" w:rsidRPr="00076FE1">
        <w:rPr>
          <w:bCs/>
        </w:rPr>
        <w:t>per</w:t>
      </w:r>
      <w:r w:rsidRPr="00076FE1">
        <w:rPr>
          <w:bCs/>
        </w:rPr>
        <w:t xml:space="preserve"> functional unit), were calculated</w:t>
      </w:r>
      <w:r w:rsidR="002054FC" w:rsidRPr="00076FE1">
        <w:rPr>
          <w:bCs/>
        </w:rPr>
        <w:t xml:space="preserve">. </w:t>
      </w:r>
      <w:r w:rsidRPr="00076FE1">
        <w:rPr>
          <w:bCs/>
        </w:rPr>
        <w:t xml:space="preserve">A lifetime capacity of </w:t>
      </w:r>
      <w:r w:rsidR="00076FE1" w:rsidRPr="00076FE1">
        <w:rPr>
          <w:bCs/>
        </w:rPr>
        <w:t>229,893</w:t>
      </w:r>
      <w:r w:rsidR="002054FC" w:rsidRPr="00076FE1">
        <w:rPr>
          <w:bCs/>
        </w:rPr>
        <w:t xml:space="preserve"> hours (around </w:t>
      </w:r>
      <w:r w:rsidR="00076FE1" w:rsidRPr="00076FE1">
        <w:rPr>
          <w:bCs/>
        </w:rPr>
        <w:t>31</w:t>
      </w:r>
      <w:r w:rsidRPr="00076FE1">
        <w:rPr>
          <w:bCs/>
        </w:rPr>
        <w:t xml:space="preserve"> years) was </w:t>
      </w:r>
      <w:r w:rsidR="00272ACD" w:rsidRPr="00076FE1">
        <w:rPr>
          <w:bCs/>
        </w:rPr>
        <w:t>considered</w:t>
      </w:r>
      <w:r w:rsidRPr="00076FE1">
        <w:rPr>
          <w:bCs/>
        </w:rPr>
        <w:t xml:space="preserve"> depending on the average </w:t>
      </w:r>
      <w:r w:rsidR="002054FC" w:rsidRPr="00076FE1">
        <w:rPr>
          <w:bCs/>
        </w:rPr>
        <w:t>powerplant annual use</w:t>
      </w:r>
      <w:r w:rsidRPr="00076FE1">
        <w:rPr>
          <w:bCs/>
        </w:rPr>
        <w:t xml:space="preserve">. </w:t>
      </w:r>
    </w:p>
    <w:p w14:paraId="0D0A4F8C" w14:textId="64A2E51D" w:rsidR="00290D71" w:rsidRPr="00076FE1" w:rsidRDefault="00290D71" w:rsidP="00EB247F">
      <w:pPr>
        <w:rPr>
          <w:rFonts w:cs="Times New Roman"/>
          <w:bCs/>
        </w:rPr>
      </w:pPr>
      <w:r w:rsidRPr="00B54259">
        <w:rPr>
          <w:rFonts w:cs="Times New Roman"/>
          <w:bCs/>
        </w:rPr>
        <w:t>For the solution (</w:t>
      </w:r>
      <w:r w:rsidR="00B54259" w:rsidRPr="00B54259">
        <w:rPr>
          <w:rFonts w:cs="Times New Roman"/>
          <w:bCs/>
        </w:rPr>
        <w:t xml:space="preserve">i.e. </w:t>
      </w:r>
      <w:r w:rsidR="00272ACD">
        <w:rPr>
          <w:rFonts w:cs="Times New Roman"/>
          <w:bCs/>
        </w:rPr>
        <w:t>geothermal power</w:t>
      </w:r>
      <w:r w:rsidR="000C64DC">
        <w:rPr>
          <w:rFonts w:cs="Times New Roman"/>
          <w:bCs/>
        </w:rPr>
        <w:t xml:space="preserve"> plant</w:t>
      </w:r>
      <w:r w:rsidRPr="00B54259">
        <w:rPr>
          <w:rFonts w:cs="Times New Roman"/>
          <w:bCs/>
        </w:rPr>
        <w:t>), the conventional current mix of fossil fuel electricity generation technologies (coal, gas</w:t>
      </w:r>
      <w:r w:rsidR="00F4258D" w:rsidRPr="00B54259">
        <w:rPr>
          <w:rFonts w:cs="Times New Roman"/>
          <w:bCs/>
        </w:rPr>
        <w:t>,</w:t>
      </w:r>
      <w:r w:rsidRPr="00B54259">
        <w:rPr>
          <w:rFonts w:cs="Times New Roman"/>
          <w:bCs/>
        </w:rPr>
        <w:t xml:space="preserve"> and oil) replaced were identified. Costs and operation for both </w:t>
      </w:r>
      <w:r w:rsidRPr="00076FE1">
        <w:rPr>
          <w:rFonts w:cs="Times New Roman"/>
          <w:bCs/>
        </w:rPr>
        <w:t>generation technologies (solution and conventional) were considered to obtain the differential result</w:t>
      </w:r>
      <w:r w:rsidR="00E978D4" w:rsidRPr="00076FE1">
        <w:rPr>
          <w:rFonts w:cs="Times New Roman"/>
          <w:bCs/>
        </w:rPr>
        <w:t>.</w:t>
      </w:r>
    </w:p>
    <w:p w14:paraId="2526AD37" w14:textId="77777777" w:rsidR="00AC4490" w:rsidRPr="00076FE1" w:rsidRDefault="00AC4490" w:rsidP="00AC4490">
      <w:r w:rsidRPr="00076FE1">
        <w:t>Fuel prices for conventional technologies are derived from IEA (2019) data, averaging 2007-2018 historical registries for oil, coal and natural gas used for electricity generation and calculated through a weighted average by fuel from the current electricity generation mix.</w:t>
      </w:r>
    </w:p>
    <w:p w14:paraId="588133B2" w14:textId="0B24DE4B" w:rsidR="00B86FD0" w:rsidRDefault="00721C7F" w:rsidP="00B533CC">
      <w:r w:rsidRPr="00076FE1">
        <w:rPr>
          <w:rFonts w:cs="Times New Roman"/>
        </w:rPr>
        <w:t xml:space="preserve">A mean value of the data set range collected is assumed for installation costs of </w:t>
      </w:r>
      <w:r w:rsidR="00272ACD" w:rsidRPr="00076FE1">
        <w:rPr>
          <w:rFonts w:cs="Times New Roman"/>
        </w:rPr>
        <w:t>geothermal</w:t>
      </w:r>
      <w:r w:rsidRPr="00076FE1">
        <w:rPr>
          <w:rFonts w:cs="Times New Roman"/>
        </w:rPr>
        <w:t xml:space="preserve"> systems </w:t>
      </w:r>
      <w:r w:rsidR="00290D71" w:rsidRPr="00076FE1">
        <w:rPr>
          <w:rFonts w:cs="Times New Roman"/>
        </w:rPr>
        <w:t>which results in a total first cost of US$</w:t>
      </w:r>
      <w:r w:rsidR="00076FE1" w:rsidRPr="00076FE1">
        <w:rPr>
          <w:rFonts w:cs="Times New Roman"/>
        </w:rPr>
        <w:t>4</w:t>
      </w:r>
      <w:r w:rsidRPr="00076FE1">
        <w:rPr>
          <w:rFonts w:cs="Times New Roman"/>
        </w:rPr>
        <w:t>,</w:t>
      </w:r>
      <w:r w:rsidR="00076FE1" w:rsidRPr="00076FE1">
        <w:rPr>
          <w:rFonts w:cs="Times New Roman"/>
        </w:rPr>
        <w:t>491</w:t>
      </w:r>
      <w:r w:rsidR="00290D71" w:rsidRPr="00076FE1">
        <w:rPr>
          <w:rFonts w:cs="Times New Roman"/>
        </w:rPr>
        <w:t xml:space="preserve"> per kilowatt</w:t>
      </w:r>
      <w:r w:rsidR="00290D71" w:rsidRPr="00076FE1">
        <w:rPr>
          <w:rStyle w:val="FootnoteReference"/>
          <w:rFonts w:cs="Times New Roman"/>
        </w:rPr>
        <w:footnoteReference w:id="4"/>
      </w:r>
      <w:r w:rsidR="00290D71" w:rsidRPr="00076FE1">
        <w:rPr>
          <w:rFonts w:cs="Times New Roman"/>
        </w:rPr>
        <w:t>. </w:t>
      </w:r>
      <w:r w:rsidR="00076FE1" w:rsidRPr="00076FE1">
        <w:rPr>
          <w:rFonts w:cs="Times New Roman"/>
        </w:rPr>
        <w:t xml:space="preserve">Estimates in the literature presented for the learning rate of geothermal systems vary (1% to 20% have been presented (e.g. Hayward and Graham, 2013; Lukawski et al., 2014; Karali et al., 2015). </w:t>
      </w:r>
      <w:r w:rsidR="00290D71" w:rsidRPr="00076FE1">
        <w:rPr>
          <w:rFonts w:cs="Times New Roman"/>
        </w:rPr>
        <w:t xml:space="preserve">A </w:t>
      </w:r>
      <w:r w:rsidRPr="00076FE1">
        <w:rPr>
          <w:rFonts w:cs="Times New Roman"/>
        </w:rPr>
        <w:t>first cost</w:t>
      </w:r>
      <w:r w:rsidR="00290D71" w:rsidRPr="00076FE1">
        <w:rPr>
          <w:rFonts w:cs="Times New Roman"/>
        </w:rPr>
        <w:t xml:space="preserve"> learning rate of </w:t>
      </w:r>
      <w:r w:rsidRPr="00076FE1">
        <w:rPr>
          <w:rFonts w:cs="Times New Roman"/>
        </w:rPr>
        <w:t>1</w:t>
      </w:r>
      <w:r w:rsidR="00076FE1" w:rsidRPr="00076FE1">
        <w:rPr>
          <w:rFonts w:cs="Times New Roman"/>
        </w:rPr>
        <w:t>0</w:t>
      </w:r>
      <w:r w:rsidRPr="00076FE1">
        <w:rPr>
          <w:rFonts w:cs="Times New Roman"/>
        </w:rPr>
        <w:t>.</w:t>
      </w:r>
      <w:r w:rsidR="00E13C85" w:rsidRPr="00076FE1">
        <w:rPr>
          <w:rFonts w:cs="Times New Roman"/>
        </w:rPr>
        <w:t>0</w:t>
      </w:r>
      <w:r w:rsidR="00290D71" w:rsidRPr="00076FE1">
        <w:rPr>
          <w:rFonts w:cs="Times New Roman"/>
        </w:rPr>
        <w:t xml:space="preserve"> percent was </w:t>
      </w:r>
      <w:r w:rsidRPr="00076FE1">
        <w:rPr>
          <w:rFonts w:cs="Times New Roman"/>
        </w:rPr>
        <w:t>considered</w:t>
      </w:r>
      <w:r w:rsidR="00290D71" w:rsidRPr="00076FE1">
        <w:t xml:space="preserve">; </w:t>
      </w:r>
      <w:r w:rsidRPr="00076FE1">
        <w:t xml:space="preserve">and </w:t>
      </w:r>
      <w:r w:rsidR="00290D71" w:rsidRPr="00076FE1">
        <w:t>this has the effect of reducing the installation cost to US$</w:t>
      </w:r>
      <w:r w:rsidR="00076FE1" w:rsidRPr="00076FE1">
        <w:t xml:space="preserve">3,056 </w:t>
      </w:r>
      <w:r w:rsidR="00290D71" w:rsidRPr="00076FE1">
        <w:t>per kilowatt in 2030 and to US$</w:t>
      </w:r>
      <w:r w:rsidR="00076FE1" w:rsidRPr="00076FE1">
        <w:t>2,475</w:t>
      </w:r>
      <w:r w:rsidR="00290D71" w:rsidRPr="00076FE1">
        <w:t xml:space="preserve"> in 2050, compared to US$</w:t>
      </w:r>
      <w:r w:rsidR="00076FE1" w:rsidRPr="00076FE1">
        <w:t>1,786</w:t>
      </w:r>
      <w:r w:rsidR="00290D71" w:rsidRPr="00076FE1">
        <w:t xml:space="preserve"> </w:t>
      </w:r>
      <w:r w:rsidRPr="00076FE1">
        <w:t xml:space="preserve">(in 2014) </w:t>
      </w:r>
      <w:r w:rsidR="00290D71" w:rsidRPr="00076FE1">
        <w:t>per kilowatt for the conventional technologies (i.e. coal, natural gas, and oil power plants)</w:t>
      </w:r>
      <w:r w:rsidR="00B96AE0" w:rsidRPr="00076FE1">
        <w:t>. Additionally</w:t>
      </w:r>
      <w:r w:rsidR="00F4258D" w:rsidRPr="00076FE1">
        <w:t>,</w:t>
      </w:r>
      <w:r w:rsidR="00B96AE0" w:rsidRPr="00076FE1">
        <w:t xml:space="preserve"> a</w:t>
      </w:r>
      <w:r w:rsidR="00B96AE0" w:rsidRPr="00076FE1">
        <w:rPr>
          <w:bCs/>
        </w:rPr>
        <w:t xml:space="preserve"> </w:t>
      </w:r>
      <w:r w:rsidR="00076FE1" w:rsidRPr="00076FE1">
        <w:rPr>
          <w:bCs/>
        </w:rPr>
        <w:t xml:space="preserve">net present value </w:t>
      </w:r>
      <w:r w:rsidR="00B96AE0" w:rsidRPr="00076FE1">
        <w:rPr>
          <w:bCs/>
        </w:rPr>
        <w:t>discount rate is fixed at 9.</w:t>
      </w:r>
      <w:r w:rsidR="00076FE1" w:rsidRPr="00076FE1">
        <w:rPr>
          <w:bCs/>
        </w:rPr>
        <w:t>68</w:t>
      </w:r>
      <w:r w:rsidR="00B96AE0" w:rsidRPr="00076FE1">
        <w:rPr>
          <w:bCs/>
        </w:rPr>
        <w:t xml:space="preserve"> percent appropriate for utility-scale projects and use across all Drawdown electricity generation solutions with this level of agency</w:t>
      </w:r>
      <w:r w:rsidR="00910DE0" w:rsidRPr="00076FE1">
        <w:t xml:space="preserve">. </w:t>
      </w:r>
      <w:r w:rsidR="00AC4490" w:rsidRPr="00076FE1">
        <w:t>The discount rate used herein was benchmarked to the Power generation technologies of the PRIMES model used in the impact assessment of the EU 2030 targets, that considers 9% (EC, 2014).</w:t>
      </w:r>
      <w:r w:rsidR="00076FE1" w:rsidRPr="00076FE1">
        <w:t xml:space="preserve"> </w:t>
      </w:r>
      <w:r w:rsidRPr="00076FE1">
        <w:t>Tables 2.2. and 2.3 depict the dataset ranges and the model inputs for the conventional and solution</w:t>
      </w:r>
      <w:r w:rsidRPr="00721C7F">
        <w:t xml:space="preserve"> technologies.</w:t>
      </w:r>
    </w:p>
    <w:p w14:paraId="7E47D0DE" w14:textId="77777777" w:rsidR="00F54BF1" w:rsidRDefault="00F54BF1">
      <w:pPr>
        <w:spacing w:after="160" w:line="259" w:lineRule="auto"/>
        <w:jc w:val="left"/>
        <w:rPr>
          <w:i/>
          <w:iCs/>
          <w:color w:val="1F497D" w:themeColor="text2"/>
          <w:sz w:val="18"/>
          <w:szCs w:val="18"/>
        </w:rPr>
      </w:pPr>
      <w:r>
        <w:br w:type="page"/>
      </w:r>
    </w:p>
    <w:p w14:paraId="1521B01D" w14:textId="0AC68E25" w:rsidR="00D25FC7" w:rsidRPr="00E069AC" w:rsidRDefault="00D25FC7" w:rsidP="00D25FC7">
      <w:pPr>
        <w:pStyle w:val="Caption"/>
        <w:jc w:val="center"/>
        <w:rPr>
          <w:rFonts w:asciiTheme="majorHAnsi" w:eastAsiaTheme="majorEastAsia" w:hAnsiTheme="majorHAnsi" w:cstheme="majorBidi"/>
          <w:b/>
          <w:bCs/>
          <w:color w:val="000000" w:themeColor="text1"/>
          <w:sz w:val="23"/>
          <w:szCs w:val="23"/>
          <w:lang w:eastAsia="zh-CN"/>
        </w:rPr>
      </w:pPr>
      <w:bookmarkStart w:id="47" w:name="_Toc44542633"/>
      <w:r w:rsidRPr="00E069AC">
        <w:t xml:space="preserve">Table </w:t>
      </w:r>
      <w:fldSimple w:instr=" STYLEREF 1 \s ">
        <w:r w:rsidRPr="00E069AC">
          <w:t>2</w:t>
        </w:r>
      </w:fldSimple>
      <w:r w:rsidRPr="00E069AC">
        <w:t>.</w:t>
      </w:r>
      <w:fldSimple w:instr=" SEQ Table \* ARABIC \s 1 ">
        <w:r w:rsidRPr="00E069AC">
          <w:t>2</w:t>
        </w:r>
      </w:fldSimple>
      <w:r w:rsidRPr="00E069AC">
        <w:t xml:space="preserve"> Financial Inputs </w:t>
      </w:r>
      <w:r w:rsidR="009C0F77" w:rsidRPr="00E069AC">
        <w:t xml:space="preserve">for </w:t>
      </w:r>
      <w:r w:rsidRPr="00E069AC">
        <w:t>Conventional Technologies</w:t>
      </w:r>
      <w:bookmarkEnd w:id="47"/>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E069AC" w14:paraId="5EBC0DC9" w14:textId="77777777" w:rsidTr="00E978D4">
        <w:trPr>
          <w:trHeight w:val="1154"/>
          <w:jc w:val="center"/>
        </w:trPr>
        <w:tc>
          <w:tcPr>
            <w:tcW w:w="1221" w:type="pct"/>
            <w:shd w:val="clear" w:color="auto" w:fill="4F81BD" w:themeFill="accent1"/>
            <w:vAlign w:val="center"/>
          </w:tcPr>
          <w:p w14:paraId="74E672A4" w14:textId="77777777" w:rsidR="00910DE0" w:rsidRPr="00E069AC" w:rsidRDefault="00910DE0" w:rsidP="009A4D96">
            <w:pPr>
              <w:spacing w:after="180" w:line="240" w:lineRule="auto"/>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E069AC" w:rsidRDefault="00910DE0" w:rsidP="009A4D96">
            <w:pPr>
              <w:spacing w:after="180" w:line="240" w:lineRule="auto"/>
              <w:jc w:val="center"/>
              <w:rPr>
                <w:b/>
                <w:bCs/>
                <w:sz w:val="20"/>
                <w:szCs w:val="20"/>
              </w:rPr>
            </w:pPr>
            <w:r w:rsidRPr="00E069AC">
              <w:rPr>
                <w:b/>
                <w:bCs/>
                <w:color w:val="FFFFFF" w:themeColor="background1"/>
                <w:sz w:val="20"/>
                <w:szCs w:val="20"/>
              </w:rPr>
              <w:t>Units</w:t>
            </w:r>
          </w:p>
        </w:tc>
        <w:tc>
          <w:tcPr>
            <w:tcW w:w="861" w:type="pct"/>
            <w:shd w:val="clear" w:color="auto" w:fill="4F81BD" w:themeFill="accent1"/>
            <w:vAlign w:val="center"/>
          </w:tcPr>
          <w:p w14:paraId="0418DADA" w14:textId="42CB0C28"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9" w:type="pct"/>
            <w:shd w:val="clear" w:color="auto" w:fill="4F81BD" w:themeFill="accent1"/>
            <w:vAlign w:val="center"/>
          </w:tcPr>
          <w:p w14:paraId="213A903C" w14:textId="77777777"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AC4490" w:rsidRPr="00E069AC" w14:paraId="224D399B" w14:textId="77777777" w:rsidTr="00E978D4">
        <w:trPr>
          <w:trHeight w:val="149"/>
          <w:jc w:val="center"/>
        </w:trPr>
        <w:tc>
          <w:tcPr>
            <w:tcW w:w="1221" w:type="pct"/>
            <w:vAlign w:val="center"/>
          </w:tcPr>
          <w:p w14:paraId="400D3B56" w14:textId="6C3C1C84" w:rsidR="00AC4490" w:rsidRPr="00E069AC" w:rsidRDefault="00AC4490" w:rsidP="00AC4490">
            <w:pPr>
              <w:spacing w:after="180" w:line="240" w:lineRule="auto"/>
              <w:jc w:val="center"/>
              <w:rPr>
                <w:color w:val="000000" w:themeColor="text1"/>
                <w:sz w:val="20"/>
                <w:szCs w:val="20"/>
              </w:rPr>
            </w:pPr>
            <w:r w:rsidRPr="00593535">
              <w:rPr>
                <w:color w:val="000000" w:themeColor="text1"/>
                <w:sz w:val="20"/>
                <w:szCs w:val="20"/>
              </w:rPr>
              <w:t>First costs (Conventional)</w:t>
            </w:r>
          </w:p>
        </w:tc>
        <w:tc>
          <w:tcPr>
            <w:tcW w:w="861" w:type="pct"/>
            <w:vAlign w:val="center"/>
          </w:tcPr>
          <w:p w14:paraId="56AA3572" w14:textId="241D2F37" w:rsidR="00AC4490" w:rsidRPr="00E069AC" w:rsidRDefault="00AC4490" w:rsidP="00AC4490">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5AD14322" w14:textId="066FFEEB" w:rsidR="00AC4490" w:rsidRPr="00E069AC" w:rsidRDefault="00AC4490" w:rsidP="00AC449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470.5</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3,101</w:t>
            </w:r>
          </w:p>
        </w:tc>
        <w:tc>
          <w:tcPr>
            <w:tcW w:w="861" w:type="pct"/>
            <w:vAlign w:val="center"/>
          </w:tcPr>
          <w:p w14:paraId="6782A95B" w14:textId="5891B1D0" w:rsidR="00AC4490" w:rsidRPr="00E069AC" w:rsidRDefault="00AC4490" w:rsidP="00AC449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1,786</w:t>
            </w:r>
          </w:p>
        </w:tc>
        <w:tc>
          <w:tcPr>
            <w:tcW w:w="617" w:type="pct"/>
            <w:vAlign w:val="center"/>
          </w:tcPr>
          <w:p w14:paraId="1AA7E7F8" w14:textId="2AC3D848"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4</w:t>
            </w:r>
          </w:p>
        </w:tc>
        <w:tc>
          <w:tcPr>
            <w:tcW w:w="579" w:type="pct"/>
            <w:vAlign w:val="center"/>
          </w:tcPr>
          <w:p w14:paraId="367ADBC1" w14:textId="46E75AEE" w:rsidR="00AC4490" w:rsidRPr="00E069AC" w:rsidRDefault="00AC4490" w:rsidP="00AC449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r w:rsidR="00AC4490" w:rsidRPr="00E069AC" w14:paraId="29BBD18C" w14:textId="77777777" w:rsidTr="00E978D4">
        <w:trPr>
          <w:trHeight w:val="583"/>
          <w:jc w:val="center"/>
        </w:trPr>
        <w:tc>
          <w:tcPr>
            <w:tcW w:w="1221" w:type="pct"/>
            <w:vAlign w:val="center"/>
          </w:tcPr>
          <w:p w14:paraId="696E0629" w14:textId="4E6239E7" w:rsidR="00AC4490" w:rsidRPr="00E069AC" w:rsidRDefault="00AC4490" w:rsidP="00AC4490">
            <w:pPr>
              <w:spacing w:after="180" w:line="240" w:lineRule="auto"/>
              <w:jc w:val="center"/>
              <w:rPr>
                <w:color w:val="000000" w:themeColor="text1"/>
                <w:sz w:val="20"/>
                <w:szCs w:val="20"/>
              </w:rPr>
            </w:pPr>
            <w:r w:rsidRPr="00593535">
              <w:rPr>
                <w:color w:val="000000" w:themeColor="text1"/>
                <w:sz w:val="20"/>
                <w:szCs w:val="20"/>
              </w:rPr>
              <w:t>Fixed Operation and Maintenance Costs (Conventional)</w:t>
            </w:r>
          </w:p>
        </w:tc>
        <w:tc>
          <w:tcPr>
            <w:tcW w:w="861" w:type="pct"/>
            <w:vAlign w:val="center"/>
          </w:tcPr>
          <w:p w14:paraId="3CEF4190" w14:textId="1E70D2B3" w:rsidR="00AC4490" w:rsidRPr="00E069AC" w:rsidRDefault="00AC4490" w:rsidP="00AC4490">
            <w:pPr>
              <w:spacing w:after="180" w:line="240" w:lineRule="auto"/>
              <w:jc w:val="center"/>
              <w:rPr>
                <w:rFonts w:eastAsia="Helvetica,Times New Roman" w:cstheme="minorHAnsi"/>
                <w:sz w:val="20"/>
                <w:szCs w:val="20"/>
              </w:rPr>
            </w:pPr>
            <w:r w:rsidRPr="00593535">
              <w:rPr>
                <w:bCs/>
                <w:i/>
                <w:sz w:val="20"/>
                <w:szCs w:val="20"/>
              </w:rPr>
              <w:t>US$2014/kW</w:t>
            </w:r>
          </w:p>
        </w:tc>
        <w:tc>
          <w:tcPr>
            <w:tcW w:w="861" w:type="pct"/>
            <w:vAlign w:val="center"/>
          </w:tcPr>
          <w:p w14:paraId="41B31604" w14:textId="3AB0407A" w:rsidR="00AC4490" w:rsidRPr="00E069AC" w:rsidRDefault="00AC4490" w:rsidP="00AC449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44</w:t>
            </w:r>
            <w:r w:rsidRPr="00593535">
              <w:rPr>
                <w:rFonts w:eastAsia="Helvetica,Times New Roman" w:cstheme="minorHAnsi"/>
                <w:color w:val="000000" w:themeColor="text1"/>
                <w:sz w:val="20"/>
                <w:szCs w:val="20"/>
              </w:rPr>
              <w:t xml:space="preserve"> – 6</w:t>
            </w:r>
            <w:r>
              <w:rPr>
                <w:rFonts w:eastAsia="Helvetica,Times New Roman" w:cstheme="minorHAnsi"/>
                <w:color w:val="000000" w:themeColor="text1"/>
                <w:sz w:val="20"/>
                <w:szCs w:val="20"/>
              </w:rPr>
              <w:t>5</w:t>
            </w:r>
            <w:r w:rsidRPr="00593535">
              <w:rPr>
                <w:rFonts w:eastAsia="Helvetica,Times New Roman" w:cstheme="minorHAnsi"/>
                <w:color w:val="000000" w:themeColor="text1"/>
                <w:sz w:val="20"/>
                <w:szCs w:val="20"/>
              </w:rPr>
              <w:t>.</w:t>
            </w:r>
            <w:r>
              <w:rPr>
                <w:rFonts w:eastAsia="Helvetica,Times New Roman" w:cstheme="minorHAnsi"/>
                <w:color w:val="000000" w:themeColor="text1"/>
                <w:sz w:val="20"/>
                <w:szCs w:val="20"/>
              </w:rPr>
              <w:t>86</w:t>
            </w:r>
          </w:p>
        </w:tc>
        <w:tc>
          <w:tcPr>
            <w:tcW w:w="861" w:type="pct"/>
            <w:vAlign w:val="center"/>
          </w:tcPr>
          <w:p w14:paraId="259F13A5" w14:textId="088F0AE1"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32.95</w:t>
            </w:r>
          </w:p>
        </w:tc>
        <w:tc>
          <w:tcPr>
            <w:tcW w:w="617" w:type="pct"/>
            <w:vAlign w:val="center"/>
          </w:tcPr>
          <w:p w14:paraId="62C158C3" w14:textId="2905F753"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r>
              <w:rPr>
                <w:rFonts w:eastAsia="Helvetica,Times New Roman" w:cstheme="minorHAnsi"/>
                <w:color w:val="000000" w:themeColor="text1"/>
                <w:sz w:val="20"/>
                <w:szCs w:val="20"/>
              </w:rPr>
              <w:t>8</w:t>
            </w:r>
          </w:p>
        </w:tc>
        <w:tc>
          <w:tcPr>
            <w:tcW w:w="579" w:type="pct"/>
            <w:vAlign w:val="center"/>
          </w:tcPr>
          <w:p w14:paraId="2E77170B" w14:textId="17EC70D9"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4</w:t>
            </w:r>
          </w:p>
        </w:tc>
      </w:tr>
      <w:tr w:rsidR="00AC4490" w:rsidRPr="00E069AC" w14:paraId="789E9F95" w14:textId="77777777" w:rsidTr="00E978D4">
        <w:trPr>
          <w:trHeight w:val="149"/>
          <w:jc w:val="center"/>
        </w:trPr>
        <w:tc>
          <w:tcPr>
            <w:tcW w:w="1221" w:type="pct"/>
            <w:vAlign w:val="center"/>
          </w:tcPr>
          <w:p w14:paraId="564B7DFA" w14:textId="1A129A63" w:rsidR="00AC4490" w:rsidRPr="00E069AC" w:rsidRDefault="00AC4490" w:rsidP="00AC4490">
            <w:pPr>
              <w:spacing w:after="180" w:line="240" w:lineRule="auto"/>
              <w:jc w:val="center"/>
              <w:rPr>
                <w:color w:val="000000" w:themeColor="text1"/>
                <w:sz w:val="20"/>
                <w:szCs w:val="20"/>
              </w:rPr>
            </w:pPr>
            <w:r w:rsidRPr="00593535">
              <w:rPr>
                <w:color w:val="000000" w:themeColor="text1"/>
                <w:sz w:val="20"/>
                <w:szCs w:val="20"/>
              </w:rPr>
              <w:t>Variable Operation and Maintenance Costs (Conventional)</w:t>
            </w:r>
          </w:p>
        </w:tc>
        <w:tc>
          <w:tcPr>
            <w:tcW w:w="861" w:type="pct"/>
            <w:vAlign w:val="center"/>
          </w:tcPr>
          <w:p w14:paraId="292CCBF2" w14:textId="28EEBF9D" w:rsidR="00AC4490" w:rsidRPr="00E069AC" w:rsidRDefault="00AC4490" w:rsidP="00AC4490">
            <w:pPr>
              <w:spacing w:after="180" w:line="240" w:lineRule="auto"/>
              <w:jc w:val="center"/>
              <w:rPr>
                <w:rFonts w:eastAsia="Helvetica,Times New Roman" w:cstheme="minorHAnsi"/>
                <w:sz w:val="20"/>
                <w:szCs w:val="20"/>
              </w:rPr>
            </w:pPr>
            <w:r w:rsidRPr="00593535">
              <w:rPr>
                <w:bCs/>
                <w:i/>
                <w:sz w:val="20"/>
                <w:szCs w:val="20"/>
              </w:rPr>
              <w:t>US$2014/kWh</w:t>
            </w:r>
          </w:p>
        </w:tc>
        <w:tc>
          <w:tcPr>
            <w:tcW w:w="861" w:type="pct"/>
            <w:vAlign w:val="center"/>
          </w:tcPr>
          <w:p w14:paraId="3698BA83" w14:textId="4544783C"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0.0014 – 0.0079</w:t>
            </w:r>
          </w:p>
        </w:tc>
        <w:tc>
          <w:tcPr>
            <w:tcW w:w="861" w:type="pct"/>
            <w:vAlign w:val="center"/>
          </w:tcPr>
          <w:p w14:paraId="2C205561" w14:textId="2A2171D1"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0.00</w:t>
            </w:r>
            <w:r>
              <w:rPr>
                <w:rFonts w:eastAsia="Helvetica,Times New Roman" w:cstheme="minorHAnsi"/>
                <w:color w:val="000000" w:themeColor="text1"/>
                <w:sz w:val="20"/>
                <w:szCs w:val="20"/>
              </w:rPr>
              <w:t>4</w:t>
            </w:r>
            <w:r w:rsidRPr="00593535">
              <w:rPr>
                <w:rFonts w:eastAsia="Helvetica,Times New Roman" w:cstheme="minorHAnsi"/>
                <w:color w:val="000000" w:themeColor="text1"/>
                <w:sz w:val="20"/>
                <w:szCs w:val="20"/>
              </w:rPr>
              <w:t>8</w:t>
            </w:r>
          </w:p>
        </w:tc>
        <w:tc>
          <w:tcPr>
            <w:tcW w:w="617" w:type="pct"/>
            <w:vAlign w:val="center"/>
          </w:tcPr>
          <w:p w14:paraId="6F7826B4" w14:textId="188C33D0"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w:t>
            </w:r>
            <w:r>
              <w:rPr>
                <w:rFonts w:eastAsia="Helvetica,Times New Roman" w:cstheme="minorHAnsi"/>
                <w:color w:val="000000" w:themeColor="text1"/>
                <w:sz w:val="20"/>
                <w:szCs w:val="20"/>
              </w:rPr>
              <w:t>2</w:t>
            </w:r>
          </w:p>
        </w:tc>
        <w:tc>
          <w:tcPr>
            <w:tcW w:w="579" w:type="pct"/>
            <w:vAlign w:val="center"/>
          </w:tcPr>
          <w:p w14:paraId="6F71B7A1" w14:textId="5593741C" w:rsidR="00AC4490" w:rsidRPr="00E069AC" w:rsidRDefault="00AC4490" w:rsidP="00AC449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r w:rsidR="00AC4490" w:rsidRPr="00E069AC" w14:paraId="4CC8EC27" w14:textId="77777777" w:rsidTr="00E978D4">
        <w:trPr>
          <w:trHeight w:val="149"/>
          <w:jc w:val="center"/>
        </w:trPr>
        <w:tc>
          <w:tcPr>
            <w:tcW w:w="1221" w:type="pct"/>
            <w:vAlign w:val="center"/>
          </w:tcPr>
          <w:p w14:paraId="45834DD9" w14:textId="1211AD86" w:rsidR="00AC4490" w:rsidRPr="00E069AC" w:rsidRDefault="00AC4490" w:rsidP="00AC4490">
            <w:pPr>
              <w:spacing w:after="180" w:line="240" w:lineRule="auto"/>
              <w:jc w:val="center"/>
              <w:rPr>
                <w:color w:val="000000" w:themeColor="text1"/>
                <w:sz w:val="20"/>
                <w:szCs w:val="20"/>
              </w:rPr>
            </w:pPr>
            <w:r w:rsidRPr="00593535">
              <w:rPr>
                <w:color w:val="000000" w:themeColor="text1"/>
                <w:sz w:val="20"/>
                <w:szCs w:val="20"/>
              </w:rPr>
              <w:t>Fuel Price (Conventional)</w:t>
            </w:r>
          </w:p>
        </w:tc>
        <w:tc>
          <w:tcPr>
            <w:tcW w:w="861" w:type="pct"/>
            <w:vAlign w:val="center"/>
          </w:tcPr>
          <w:p w14:paraId="594E5CB1" w14:textId="231D0F04" w:rsidR="00AC4490" w:rsidRPr="00E069AC" w:rsidRDefault="00AC4490" w:rsidP="00AC4490">
            <w:pPr>
              <w:spacing w:after="180" w:line="240" w:lineRule="auto"/>
              <w:jc w:val="center"/>
              <w:rPr>
                <w:rFonts w:eastAsia="Helvetica,Times New Roman" w:cstheme="minorHAnsi"/>
                <w:b/>
                <w:sz w:val="20"/>
                <w:szCs w:val="20"/>
              </w:rPr>
            </w:pPr>
            <w:r w:rsidRPr="00593535">
              <w:rPr>
                <w:bCs/>
                <w:i/>
                <w:sz w:val="20"/>
                <w:szCs w:val="20"/>
              </w:rPr>
              <w:t>US$2014/kWh</w:t>
            </w:r>
          </w:p>
        </w:tc>
        <w:tc>
          <w:tcPr>
            <w:tcW w:w="861" w:type="pct"/>
            <w:shd w:val="clear" w:color="auto" w:fill="F2F2F2" w:themeFill="background1" w:themeFillShade="F2"/>
            <w:vAlign w:val="center"/>
          </w:tcPr>
          <w:p w14:paraId="2E46CA7E" w14:textId="77777777" w:rsidR="00AC4490" w:rsidRPr="00E069AC" w:rsidRDefault="00AC4490" w:rsidP="00AC4490">
            <w:pPr>
              <w:spacing w:after="180" w:line="240" w:lineRule="auto"/>
              <w:jc w:val="center"/>
              <w:rPr>
                <w:rFonts w:eastAsia="Helvetica,Times New Roman" w:cstheme="minorHAnsi"/>
                <w:b/>
                <w:color w:val="000000" w:themeColor="text1"/>
                <w:sz w:val="20"/>
                <w:szCs w:val="20"/>
              </w:rPr>
            </w:pPr>
          </w:p>
        </w:tc>
        <w:tc>
          <w:tcPr>
            <w:tcW w:w="861" w:type="pct"/>
            <w:vAlign w:val="center"/>
          </w:tcPr>
          <w:p w14:paraId="78F04F8B" w14:textId="22053E8B" w:rsidR="00AC4490" w:rsidRPr="00E069AC" w:rsidRDefault="00AC4490" w:rsidP="00AC4490">
            <w:pPr>
              <w:spacing w:after="180" w:line="240" w:lineRule="auto"/>
              <w:jc w:val="center"/>
              <w:rPr>
                <w:rFonts w:eastAsia="Helvetica,Times New Roman" w:cstheme="minorHAnsi"/>
                <w:b/>
                <w:color w:val="000000" w:themeColor="text1"/>
                <w:sz w:val="20"/>
                <w:szCs w:val="20"/>
              </w:rPr>
            </w:pPr>
            <w:r w:rsidRPr="00593535">
              <w:rPr>
                <w:rFonts w:eastAsia="Helvetica,Times New Roman" w:cstheme="minorHAnsi"/>
                <w:color w:val="000000" w:themeColor="text1"/>
                <w:sz w:val="20"/>
                <w:szCs w:val="20"/>
              </w:rPr>
              <w:t>0.0</w:t>
            </w:r>
            <w:r>
              <w:rPr>
                <w:rFonts w:eastAsia="Helvetica,Times New Roman" w:cstheme="minorHAnsi"/>
                <w:color w:val="000000" w:themeColor="text1"/>
                <w:sz w:val="20"/>
                <w:szCs w:val="20"/>
              </w:rPr>
              <w:t>492</w:t>
            </w:r>
          </w:p>
        </w:tc>
        <w:tc>
          <w:tcPr>
            <w:tcW w:w="617" w:type="pct"/>
            <w:shd w:val="clear" w:color="auto" w:fill="auto"/>
            <w:vAlign w:val="center"/>
          </w:tcPr>
          <w:p w14:paraId="362873EB" w14:textId="3E3D3130" w:rsidR="00AC4490" w:rsidRPr="00E069AC" w:rsidRDefault="00AC4490" w:rsidP="00AC4490">
            <w:pPr>
              <w:spacing w:after="180" w:line="240" w:lineRule="auto"/>
              <w:jc w:val="center"/>
              <w:rPr>
                <w:rFonts w:eastAsia="Helvetica,Times New Roman" w:cstheme="minorHAnsi"/>
                <w:color w:val="000000" w:themeColor="text1"/>
                <w:sz w:val="20"/>
                <w:szCs w:val="20"/>
              </w:rPr>
            </w:pPr>
          </w:p>
        </w:tc>
        <w:tc>
          <w:tcPr>
            <w:tcW w:w="579" w:type="pct"/>
            <w:shd w:val="clear" w:color="auto" w:fill="auto"/>
            <w:vAlign w:val="center"/>
          </w:tcPr>
          <w:p w14:paraId="48F3D1EA" w14:textId="0622C2FE"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1</w:t>
            </w:r>
          </w:p>
        </w:tc>
      </w:tr>
      <w:tr w:rsidR="00AC4490" w:rsidRPr="00E069AC" w14:paraId="3AAC1C5A" w14:textId="77777777" w:rsidTr="00E978D4">
        <w:trPr>
          <w:trHeight w:val="149"/>
          <w:jc w:val="center"/>
        </w:trPr>
        <w:tc>
          <w:tcPr>
            <w:tcW w:w="1221" w:type="pct"/>
            <w:vAlign w:val="center"/>
          </w:tcPr>
          <w:p w14:paraId="3A181F58" w14:textId="3FB74D69" w:rsidR="00AC4490" w:rsidRPr="00E069AC" w:rsidRDefault="00AC4490" w:rsidP="00AC4490">
            <w:pPr>
              <w:spacing w:after="180" w:line="240" w:lineRule="auto"/>
              <w:jc w:val="center"/>
              <w:rPr>
                <w:color w:val="000000" w:themeColor="text1"/>
                <w:sz w:val="20"/>
                <w:szCs w:val="20"/>
              </w:rPr>
            </w:pPr>
            <w:r w:rsidRPr="00593535">
              <w:rPr>
                <w:color w:val="000000" w:themeColor="text1"/>
                <w:sz w:val="20"/>
                <w:szCs w:val="20"/>
              </w:rPr>
              <w:t>Learning Rate Factor (Conventional)</w:t>
            </w:r>
          </w:p>
        </w:tc>
        <w:tc>
          <w:tcPr>
            <w:tcW w:w="861" w:type="pct"/>
            <w:vAlign w:val="center"/>
          </w:tcPr>
          <w:p w14:paraId="4A773F2C" w14:textId="019C5E08"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w:t>
            </w:r>
          </w:p>
        </w:tc>
        <w:tc>
          <w:tcPr>
            <w:tcW w:w="861" w:type="pct"/>
            <w:shd w:val="clear" w:color="auto" w:fill="F2F2F2" w:themeFill="background1" w:themeFillShade="F2"/>
            <w:vAlign w:val="center"/>
          </w:tcPr>
          <w:p w14:paraId="5BBF4A68" w14:textId="77777777" w:rsidR="00AC4490" w:rsidRPr="00E069AC" w:rsidRDefault="00AC4490" w:rsidP="00AC4490">
            <w:pPr>
              <w:spacing w:after="180" w:line="240" w:lineRule="auto"/>
              <w:jc w:val="center"/>
              <w:rPr>
                <w:rFonts w:eastAsia="Helvetica,Times New Roman" w:cstheme="minorHAnsi"/>
                <w:color w:val="000000" w:themeColor="text1"/>
                <w:sz w:val="20"/>
                <w:szCs w:val="20"/>
              </w:rPr>
            </w:pPr>
          </w:p>
        </w:tc>
        <w:tc>
          <w:tcPr>
            <w:tcW w:w="861" w:type="pct"/>
            <w:vAlign w:val="center"/>
          </w:tcPr>
          <w:p w14:paraId="28DF6EBE" w14:textId="56A5DB34"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2.00%</w:t>
            </w:r>
          </w:p>
        </w:tc>
        <w:tc>
          <w:tcPr>
            <w:tcW w:w="617" w:type="pct"/>
            <w:shd w:val="clear" w:color="auto" w:fill="F2F2F2" w:themeFill="background1" w:themeFillShade="F2"/>
            <w:vAlign w:val="center"/>
          </w:tcPr>
          <w:p w14:paraId="1EA82F8A" w14:textId="355F2F74" w:rsidR="00AC4490" w:rsidRPr="00E069AC" w:rsidRDefault="00AC4490" w:rsidP="00AC4490">
            <w:pPr>
              <w:spacing w:after="180" w:line="240" w:lineRule="auto"/>
              <w:jc w:val="center"/>
              <w:rPr>
                <w:rFonts w:eastAsia="Helvetica,Times New Roman" w:cstheme="minorHAnsi"/>
                <w:color w:val="000000" w:themeColor="text1"/>
                <w:sz w:val="20"/>
                <w:szCs w:val="20"/>
              </w:rPr>
            </w:pPr>
          </w:p>
        </w:tc>
        <w:tc>
          <w:tcPr>
            <w:tcW w:w="579" w:type="pct"/>
            <w:shd w:val="clear" w:color="auto" w:fill="F2F2F2" w:themeFill="background1" w:themeFillShade="F2"/>
            <w:vAlign w:val="center"/>
          </w:tcPr>
          <w:p w14:paraId="353483AC" w14:textId="1FAC57D3" w:rsidR="00AC4490" w:rsidRPr="00E069AC" w:rsidRDefault="00AC4490" w:rsidP="00AC4490">
            <w:pPr>
              <w:spacing w:after="180" w:line="240" w:lineRule="auto"/>
              <w:jc w:val="center"/>
              <w:rPr>
                <w:rFonts w:eastAsia="Helvetica,Times New Roman" w:cstheme="minorHAnsi"/>
                <w:color w:val="000000" w:themeColor="text1"/>
                <w:sz w:val="20"/>
                <w:szCs w:val="20"/>
              </w:rPr>
            </w:pPr>
          </w:p>
        </w:tc>
      </w:tr>
    </w:tbl>
    <w:p w14:paraId="01839654" w14:textId="77777777" w:rsidR="00752C71" w:rsidRPr="00E069AC" w:rsidRDefault="00752C71" w:rsidP="00EB247F">
      <w:pPr>
        <w:rPr>
          <w:bCs/>
          <w:sz w:val="21"/>
          <w:szCs w:val="21"/>
        </w:rPr>
      </w:pPr>
    </w:p>
    <w:p w14:paraId="2A309D69" w14:textId="694A4D33" w:rsidR="0021082B" w:rsidRPr="00E069AC" w:rsidRDefault="00274B56" w:rsidP="00EB247F">
      <w:pPr>
        <w:pStyle w:val="Caption"/>
        <w:jc w:val="center"/>
        <w:rPr>
          <w:rFonts w:asciiTheme="majorHAnsi" w:eastAsiaTheme="majorEastAsia" w:hAnsiTheme="majorHAnsi" w:cstheme="majorBidi"/>
          <w:b/>
          <w:bCs/>
          <w:color w:val="000000" w:themeColor="text1"/>
          <w:sz w:val="23"/>
          <w:szCs w:val="23"/>
          <w:lang w:eastAsia="zh-CN"/>
        </w:rPr>
      </w:pPr>
      <w:bookmarkStart w:id="48" w:name="_Toc44542634"/>
      <w:r w:rsidRPr="00E069AC">
        <w:t xml:space="preserve">Table </w:t>
      </w:r>
      <w:fldSimple w:instr=" STYLEREF 1 \s ">
        <w:r w:rsidR="00492F5E" w:rsidRPr="00E069AC">
          <w:t>2</w:t>
        </w:r>
      </w:fldSimple>
      <w:r w:rsidR="00492F5E" w:rsidRPr="00E069AC">
        <w:t>.</w:t>
      </w:r>
      <w:r w:rsidR="00F4258D">
        <w:rPr>
          <w:noProof/>
        </w:rPr>
        <w:fldChar w:fldCharType="begin"/>
      </w:r>
      <w:r w:rsidR="00F4258D">
        <w:rPr>
          <w:noProof/>
        </w:rPr>
        <w:instrText xml:space="preserve"> SEQ Table \* ARABIC \s 1 </w:instrText>
      </w:r>
      <w:r w:rsidR="00F4258D">
        <w:rPr>
          <w:noProof/>
        </w:rPr>
        <w:fldChar w:fldCharType="separate"/>
      </w:r>
      <w:r w:rsidR="00D25FC7" w:rsidRPr="00E069AC">
        <w:rPr>
          <w:noProof/>
        </w:rPr>
        <w:t>3</w:t>
      </w:r>
      <w:r w:rsidR="00F4258D">
        <w:rPr>
          <w:noProof/>
        </w:rPr>
        <w:fldChar w:fldCharType="end"/>
      </w:r>
      <w:r w:rsidRPr="00E069AC">
        <w:t xml:space="preserve"> Financial Inputs</w:t>
      </w:r>
      <w:r w:rsidR="00D25FC7" w:rsidRPr="00E069AC">
        <w:t xml:space="preserve"> </w:t>
      </w:r>
      <w:r w:rsidR="009C0F77" w:rsidRPr="00E069AC">
        <w:t xml:space="preserve">for </w:t>
      </w:r>
      <w:r w:rsidR="00D25FC7" w:rsidRPr="00E069AC">
        <w:t>Solution</w:t>
      </w:r>
      <w:bookmarkEnd w:id="48"/>
    </w:p>
    <w:tbl>
      <w:tblPr>
        <w:tblStyle w:val="TableGrid"/>
        <w:tblW w:w="5062" w:type="pct"/>
        <w:jc w:val="center"/>
        <w:tblLook w:val="04A0" w:firstRow="1" w:lastRow="0" w:firstColumn="1" w:lastColumn="0" w:noHBand="0" w:noVBand="1"/>
      </w:tblPr>
      <w:tblGrid>
        <w:gridCol w:w="2310"/>
        <w:gridCol w:w="1632"/>
        <w:gridCol w:w="1865"/>
        <w:gridCol w:w="1397"/>
        <w:gridCol w:w="1168"/>
        <w:gridCol w:w="1094"/>
      </w:tblGrid>
      <w:tr w:rsidR="00910DE0" w:rsidRPr="00E069AC" w14:paraId="7E18B658" w14:textId="77777777" w:rsidTr="005C77F5">
        <w:trPr>
          <w:trHeight w:val="1163"/>
          <w:jc w:val="center"/>
        </w:trPr>
        <w:tc>
          <w:tcPr>
            <w:tcW w:w="1220" w:type="pct"/>
            <w:shd w:val="clear" w:color="auto" w:fill="4F81BD" w:themeFill="accent1"/>
            <w:vAlign w:val="center"/>
          </w:tcPr>
          <w:p w14:paraId="26137DA0" w14:textId="77777777" w:rsidR="00910DE0" w:rsidRPr="00E069AC" w:rsidRDefault="00910DE0" w:rsidP="009A4D96">
            <w:pPr>
              <w:spacing w:after="180" w:line="240" w:lineRule="auto"/>
              <w:jc w:val="center"/>
              <w:rPr>
                <w:rFonts w:eastAsia="Helvetica,Times New Roman" w:cstheme="minorHAnsi"/>
                <w:b/>
                <w:color w:val="000000" w:themeColor="text1"/>
                <w:sz w:val="20"/>
                <w:szCs w:val="20"/>
              </w:rPr>
            </w:pPr>
          </w:p>
        </w:tc>
        <w:tc>
          <w:tcPr>
            <w:tcW w:w="862" w:type="pct"/>
            <w:shd w:val="clear" w:color="auto" w:fill="4F81BD" w:themeFill="accent1"/>
            <w:vAlign w:val="center"/>
          </w:tcPr>
          <w:p w14:paraId="2DBDF8CC" w14:textId="268B6116" w:rsidR="00910DE0" w:rsidRPr="00E069AC" w:rsidRDefault="00910DE0" w:rsidP="009A4D96">
            <w:pPr>
              <w:spacing w:after="180" w:line="240" w:lineRule="auto"/>
              <w:jc w:val="center"/>
              <w:rPr>
                <w:b/>
                <w:bCs/>
                <w:sz w:val="20"/>
                <w:szCs w:val="20"/>
              </w:rPr>
            </w:pPr>
            <w:r w:rsidRPr="00E069AC">
              <w:rPr>
                <w:b/>
                <w:bCs/>
                <w:color w:val="FFFFFF" w:themeColor="background1"/>
                <w:sz w:val="20"/>
                <w:szCs w:val="20"/>
              </w:rPr>
              <w:t>Units</w:t>
            </w:r>
          </w:p>
        </w:tc>
        <w:tc>
          <w:tcPr>
            <w:tcW w:w="985" w:type="pct"/>
            <w:shd w:val="clear" w:color="auto" w:fill="4F81BD" w:themeFill="accent1"/>
            <w:vAlign w:val="center"/>
          </w:tcPr>
          <w:p w14:paraId="75A978E1" w14:textId="1BF0E92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738" w:type="pct"/>
            <w:shd w:val="clear" w:color="auto" w:fill="4F81BD" w:themeFill="accent1"/>
            <w:vAlign w:val="center"/>
          </w:tcPr>
          <w:p w14:paraId="018F52B8" w14:textId="1833173C"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617" w:type="pct"/>
            <w:shd w:val="clear" w:color="auto" w:fill="4F81BD" w:themeFill="accent1"/>
            <w:vAlign w:val="center"/>
          </w:tcPr>
          <w:p w14:paraId="7264FD6F" w14:textId="3A2AE4FA"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578" w:type="pct"/>
            <w:shd w:val="clear" w:color="auto" w:fill="4F81BD" w:themeFill="accent1"/>
            <w:vAlign w:val="center"/>
          </w:tcPr>
          <w:p w14:paraId="275B8C0E" w14:textId="1A9F0AE3" w:rsidR="00910DE0" w:rsidRPr="00E069AC" w:rsidRDefault="00910DE0"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752C71" w:rsidRPr="00E069AC" w14:paraId="05F8A2E3" w14:textId="77777777" w:rsidTr="005C77F5">
        <w:trPr>
          <w:trHeight w:val="392"/>
          <w:jc w:val="center"/>
        </w:trPr>
        <w:tc>
          <w:tcPr>
            <w:tcW w:w="1220" w:type="pct"/>
            <w:vAlign w:val="center"/>
          </w:tcPr>
          <w:p w14:paraId="7A56F7C9" w14:textId="0BD3BD6C" w:rsidR="00752C71" w:rsidRPr="00E069AC" w:rsidRDefault="00752C71" w:rsidP="00752C71">
            <w:pPr>
              <w:spacing w:after="180" w:line="240" w:lineRule="auto"/>
              <w:jc w:val="center"/>
              <w:rPr>
                <w:color w:val="000000" w:themeColor="text1"/>
                <w:sz w:val="20"/>
                <w:szCs w:val="20"/>
              </w:rPr>
            </w:pPr>
            <w:r w:rsidRPr="00E069AC">
              <w:rPr>
                <w:color w:val="000000" w:themeColor="text1"/>
                <w:sz w:val="20"/>
                <w:szCs w:val="20"/>
              </w:rPr>
              <w:t>First costs (Solution)</w:t>
            </w:r>
          </w:p>
        </w:tc>
        <w:tc>
          <w:tcPr>
            <w:tcW w:w="862" w:type="pct"/>
            <w:vAlign w:val="center"/>
          </w:tcPr>
          <w:p w14:paraId="756CCAA2" w14:textId="551699A5" w:rsidR="00752C71" w:rsidRPr="00E069AC" w:rsidRDefault="00752C71" w:rsidP="00752C71">
            <w:pPr>
              <w:spacing w:after="180" w:line="240" w:lineRule="auto"/>
              <w:jc w:val="center"/>
              <w:rPr>
                <w:bCs/>
                <w:i/>
                <w:sz w:val="20"/>
                <w:szCs w:val="20"/>
              </w:rPr>
            </w:pPr>
            <w:r w:rsidRPr="00E069AC">
              <w:rPr>
                <w:bCs/>
                <w:i/>
                <w:sz w:val="20"/>
                <w:szCs w:val="20"/>
              </w:rPr>
              <w:t>US$2014/kW</w:t>
            </w:r>
          </w:p>
        </w:tc>
        <w:tc>
          <w:tcPr>
            <w:tcW w:w="985" w:type="pct"/>
            <w:vAlign w:val="center"/>
          </w:tcPr>
          <w:p w14:paraId="69A6A95A" w14:textId="6B8AE857" w:rsidR="00752C71" w:rsidRPr="00E54FE0" w:rsidRDefault="00CE56ED" w:rsidP="00752C71">
            <w:pPr>
              <w:spacing w:after="180" w:line="240" w:lineRule="auto"/>
              <w:jc w:val="center"/>
              <w:rPr>
                <w:rFonts w:eastAsia="Helvetica,Times New Roman" w:cstheme="minorHAnsi"/>
                <w:color w:val="000000" w:themeColor="text1"/>
                <w:sz w:val="20"/>
                <w:szCs w:val="20"/>
                <w:highlight w:val="lightGray"/>
              </w:rPr>
            </w:pPr>
            <w:r w:rsidRPr="00CE56ED">
              <w:rPr>
                <w:rFonts w:eastAsia="Helvetica,Times New Roman" w:cstheme="minorHAnsi"/>
                <w:color w:val="000000" w:themeColor="text1"/>
                <w:sz w:val="20"/>
                <w:szCs w:val="20"/>
              </w:rPr>
              <w:t>2,914</w:t>
            </w:r>
            <w:r w:rsidR="00C66E46" w:rsidRPr="00CE56ED">
              <w:rPr>
                <w:rFonts w:eastAsia="Helvetica,Times New Roman" w:cstheme="minorHAnsi"/>
                <w:color w:val="000000" w:themeColor="text1"/>
                <w:sz w:val="20"/>
                <w:szCs w:val="20"/>
              </w:rPr>
              <w:t xml:space="preserve"> – </w:t>
            </w:r>
            <w:r w:rsidRPr="00CE56ED">
              <w:rPr>
                <w:rFonts w:eastAsia="Helvetica,Times New Roman" w:cstheme="minorHAnsi"/>
                <w:color w:val="000000" w:themeColor="text1"/>
                <w:sz w:val="20"/>
                <w:szCs w:val="20"/>
              </w:rPr>
              <w:t>6,068</w:t>
            </w:r>
          </w:p>
        </w:tc>
        <w:tc>
          <w:tcPr>
            <w:tcW w:w="738" w:type="pct"/>
            <w:vAlign w:val="center"/>
          </w:tcPr>
          <w:p w14:paraId="39BBCF51" w14:textId="19738CA2" w:rsidR="00752C71" w:rsidRPr="00E54FE0" w:rsidRDefault="00752C71" w:rsidP="00752C71">
            <w:pPr>
              <w:spacing w:after="180" w:line="240" w:lineRule="auto"/>
              <w:jc w:val="center"/>
              <w:rPr>
                <w:rFonts w:eastAsia="Helvetica,Times New Roman" w:cstheme="minorHAnsi"/>
                <w:color w:val="000000" w:themeColor="text1"/>
                <w:sz w:val="20"/>
                <w:szCs w:val="20"/>
                <w:highlight w:val="lightGray"/>
              </w:rPr>
            </w:pPr>
            <w:r w:rsidRPr="00CE56ED">
              <w:rPr>
                <w:rFonts w:eastAsia="Helvetica,Times New Roman" w:cstheme="minorHAnsi"/>
                <w:color w:val="000000" w:themeColor="text1"/>
                <w:sz w:val="20"/>
                <w:szCs w:val="20"/>
              </w:rPr>
              <w:t>4,</w:t>
            </w:r>
            <w:r w:rsidR="00CE56ED" w:rsidRPr="00CE56ED">
              <w:rPr>
                <w:rFonts w:eastAsia="Helvetica,Times New Roman" w:cstheme="minorHAnsi"/>
                <w:color w:val="000000" w:themeColor="text1"/>
                <w:sz w:val="20"/>
                <w:szCs w:val="20"/>
              </w:rPr>
              <w:t>491</w:t>
            </w:r>
          </w:p>
        </w:tc>
        <w:tc>
          <w:tcPr>
            <w:tcW w:w="617" w:type="pct"/>
            <w:vAlign w:val="center"/>
          </w:tcPr>
          <w:p w14:paraId="750D264C" w14:textId="28B84620" w:rsidR="00752C71" w:rsidRPr="00CE56ED" w:rsidRDefault="00CE56ED"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40</w:t>
            </w:r>
          </w:p>
        </w:tc>
        <w:tc>
          <w:tcPr>
            <w:tcW w:w="578" w:type="pct"/>
            <w:vAlign w:val="center"/>
          </w:tcPr>
          <w:p w14:paraId="14832394" w14:textId="48BF6350" w:rsidR="00752C71" w:rsidRPr="00CE56ED" w:rsidRDefault="00752C71"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1</w:t>
            </w:r>
            <w:r w:rsidR="00CE56ED" w:rsidRPr="00CE56ED">
              <w:rPr>
                <w:rFonts w:eastAsia="Helvetica,Times New Roman" w:cstheme="minorHAnsi"/>
                <w:color w:val="000000" w:themeColor="text1"/>
                <w:sz w:val="20"/>
                <w:szCs w:val="20"/>
              </w:rPr>
              <w:t>2</w:t>
            </w:r>
          </w:p>
        </w:tc>
      </w:tr>
      <w:tr w:rsidR="00752C71" w:rsidRPr="00E069AC" w14:paraId="3B780094" w14:textId="77777777" w:rsidTr="005C77F5">
        <w:trPr>
          <w:trHeight w:val="906"/>
          <w:jc w:val="center"/>
        </w:trPr>
        <w:tc>
          <w:tcPr>
            <w:tcW w:w="1220" w:type="pct"/>
            <w:vAlign w:val="center"/>
          </w:tcPr>
          <w:p w14:paraId="3E01B793" w14:textId="3788930A" w:rsidR="00752C71" w:rsidRPr="00E069AC" w:rsidRDefault="00752C71" w:rsidP="00752C71">
            <w:pPr>
              <w:spacing w:after="180" w:line="240" w:lineRule="auto"/>
              <w:jc w:val="center"/>
              <w:rPr>
                <w:color w:val="000000" w:themeColor="text1"/>
                <w:sz w:val="20"/>
                <w:szCs w:val="20"/>
              </w:rPr>
            </w:pPr>
            <w:r w:rsidRPr="00E069AC">
              <w:rPr>
                <w:color w:val="000000" w:themeColor="text1"/>
                <w:sz w:val="20"/>
                <w:szCs w:val="20"/>
              </w:rPr>
              <w:t>Fixed Operation and Maintenance Costs (Solution)</w:t>
            </w:r>
          </w:p>
        </w:tc>
        <w:tc>
          <w:tcPr>
            <w:tcW w:w="862" w:type="pct"/>
            <w:vAlign w:val="center"/>
          </w:tcPr>
          <w:p w14:paraId="62EC4AB5" w14:textId="0D7DA520" w:rsidR="00752C71" w:rsidRPr="00E069AC" w:rsidRDefault="00752C71" w:rsidP="00752C71">
            <w:pPr>
              <w:spacing w:after="180" w:line="240" w:lineRule="auto"/>
              <w:jc w:val="center"/>
              <w:rPr>
                <w:bCs/>
                <w:i/>
                <w:sz w:val="20"/>
                <w:szCs w:val="20"/>
              </w:rPr>
            </w:pPr>
            <w:r w:rsidRPr="00E069AC">
              <w:rPr>
                <w:bCs/>
                <w:i/>
                <w:sz w:val="20"/>
                <w:szCs w:val="20"/>
              </w:rPr>
              <w:t>US$2014/kW</w:t>
            </w:r>
          </w:p>
        </w:tc>
        <w:tc>
          <w:tcPr>
            <w:tcW w:w="985" w:type="pct"/>
            <w:vAlign w:val="center"/>
          </w:tcPr>
          <w:p w14:paraId="1DFAFD77" w14:textId="2B4A67A6" w:rsidR="00752C71" w:rsidRPr="00E54FE0" w:rsidRDefault="00CE56ED" w:rsidP="00752C71">
            <w:pPr>
              <w:spacing w:after="180" w:line="240" w:lineRule="auto"/>
              <w:jc w:val="center"/>
              <w:rPr>
                <w:rFonts w:eastAsia="Helvetica,Times New Roman" w:cstheme="minorHAnsi"/>
                <w:color w:val="000000" w:themeColor="text1"/>
                <w:sz w:val="20"/>
                <w:szCs w:val="20"/>
                <w:highlight w:val="lightGray"/>
              </w:rPr>
            </w:pPr>
            <w:r w:rsidRPr="00CE56ED">
              <w:rPr>
                <w:rFonts w:eastAsia="Helvetica,Times New Roman" w:cstheme="minorHAnsi"/>
                <w:color w:val="000000" w:themeColor="text1"/>
                <w:sz w:val="20"/>
                <w:szCs w:val="20"/>
              </w:rPr>
              <w:t>16.03</w:t>
            </w:r>
            <w:r w:rsidR="00451EB8" w:rsidRPr="00CE56ED">
              <w:rPr>
                <w:rFonts w:eastAsia="Helvetica,Times New Roman" w:cstheme="minorHAnsi"/>
                <w:color w:val="000000" w:themeColor="text1"/>
                <w:sz w:val="20"/>
                <w:szCs w:val="20"/>
              </w:rPr>
              <w:t xml:space="preserve"> – </w:t>
            </w:r>
            <w:r w:rsidRPr="00CE56ED">
              <w:rPr>
                <w:rFonts w:eastAsia="Helvetica,Times New Roman" w:cstheme="minorHAnsi"/>
                <w:color w:val="000000" w:themeColor="text1"/>
                <w:sz w:val="20"/>
                <w:szCs w:val="20"/>
              </w:rPr>
              <w:t>292.62</w:t>
            </w:r>
          </w:p>
        </w:tc>
        <w:tc>
          <w:tcPr>
            <w:tcW w:w="738" w:type="pct"/>
            <w:vAlign w:val="center"/>
          </w:tcPr>
          <w:p w14:paraId="40DA6D70" w14:textId="1A0794FA" w:rsidR="00752C71" w:rsidRPr="00E54FE0" w:rsidRDefault="00CE56ED" w:rsidP="00752C71">
            <w:pPr>
              <w:spacing w:after="180" w:line="240" w:lineRule="auto"/>
              <w:jc w:val="center"/>
              <w:rPr>
                <w:rFonts w:eastAsia="Helvetica,Times New Roman" w:cstheme="minorHAnsi"/>
                <w:color w:val="000000" w:themeColor="text1"/>
                <w:sz w:val="20"/>
                <w:szCs w:val="20"/>
                <w:highlight w:val="lightGray"/>
              </w:rPr>
            </w:pPr>
            <w:r w:rsidRPr="00CE56ED">
              <w:rPr>
                <w:rFonts w:eastAsia="Helvetica,Times New Roman" w:cstheme="minorHAnsi"/>
                <w:color w:val="000000" w:themeColor="text1"/>
                <w:sz w:val="20"/>
                <w:szCs w:val="20"/>
              </w:rPr>
              <w:t>154.33</w:t>
            </w:r>
          </w:p>
        </w:tc>
        <w:tc>
          <w:tcPr>
            <w:tcW w:w="617" w:type="pct"/>
            <w:vAlign w:val="center"/>
          </w:tcPr>
          <w:p w14:paraId="16A525CD" w14:textId="634CE69A" w:rsidR="00752C71" w:rsidRPr="00CE56ED" w:rsidRDefault="00451EB8"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2</w:t>
            </w:r>
            <w:r w:rsidR="00CE56ED" w:rsidRPr="00CE56ED">
              <w:rPr>
                <w:rFonts w:eastAsia="Helvetica,Times New Roman" w:cstheme="minorHAnsi"/>
                <w:color w:val="000000" w:themeColor="text1"/>
                <w:sz w:val="20"/>
                <w:szCs w:val="20"/>
              </w:rPr>
              <w:t>1</w:t>
            </w:r>
          </w:p>
        </w:tc>
        <w:tc>
          <w:tcPr>
            <w:tcW w:w="578" w:type="pct"/>
            <w:vAlign w:val="center"/>
          </w:tcPr>
          <w:p w14:paraId="58A7E138" w14:textId="29180032" w:rsidR="00752C71" w:rsidRPr="00CE56ED" w:rsidRDefault="00CE56ED"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8</w:t>
            </w:r>
          </w:p>
        </w:tc>
      </w:tr>
      <w:tr w:rsidR="00752C71" w:rsidRPr="00E069AC" w14:paraId="29A71850" w14:textId="77777777" w:rsidTr="00721C7F">
        <w:trPr>
          <w:trHeight w:val="634"/>
          <w:jc w:val="center"/>
        </w:trPr>
        <w:tc>
          <w:tcPr>
            <w:tcW w:w="1220" w:type="pct"/>
            <w:vAlign w:val="center"/>
          </w:tcPr>
          <w:p w14:paraId="7C33EBB9" w14:textId="5F6B7D42" w:rsidR="00752C71" w:rsidRDefault="00752C71" w:rsidP="00752C71">
            <w:pPr>
              <w:spacing w:after="180" w:line="240" w:lineRule="auto"/>
              <w:jc w:val="center"/>
              <w:rPr>
                <w:color w:val="000000" w:themeColor="text1"/>
                <w:sz w:val="20"/>
                <w:szCs w:val="20"/>
              </w:rPr>
            </w:pPr>
            <w:r>
              <w:rPr>
                <w:color w:val="000000" w:themeColor="text1"/>
                <w:sz w:val="20"/>
                <w:szCs w:val="20"/>
              </w:rPr>
              <w:t>Variable</w:t>
            </w:r>
            <w:r w:rsidRPr="00E069AC">
              <w:rPr>
                <w:color w:val="000000" w:themeColor="text1"/>
                <w:sz w:val="20"/>
                <w:szCs w:val="20"/>
              </w:rPr>
              <w:t xml:space="preserve"> Operation and Maintenance Costs (Solution)</w:t>
            </w:r>
          </w:p>
        </w:tc>
        <w:tc>
          <w:tcPr>
            <w:tcW w:w="862" w:type="pct"/>
            <w:vAlign w:val="center"/>
          </w:tcPr>
          <w:p w14:paraId="6EE7066D" w14:textId="39B1472F" w:rsidR="00752C71" w:rsidRPr="00CE56ED" w:rsidRDefault="00752C71" w:rsidP="00752C71">
            <w:pPr>
              <w:spacing w:after="180" w:line="240" w:lineRule="auto"/>
              <w:jc w:val="center"/>
              <w:rPr>
                <w:bCs/>
                <w:i/>
                <w:sz w:val="20"/>
                <w:szCs w:val="20"/>
              </w:rPr>
            </w:pPr>
            <w:r w:rsidRPr="00CE56ED">
              <w:rPr>
                <w:bCs/>
                <w:i/>
                <w:sz w:val="20"/>
                <w:szCs w:val="20"/>
              </w:rPr>
              <w:t>US$2014/kWh</w:t>
            </w:r>
          </w:p>
        </w:tc>
        <w:tc>
          <w:tcPr>
            <w:tcW w:w="985" w:type="pct"/>
            <w:shd w:val="clear" w:color="auto" w:fill="auto"/>
            <w:vAlign w:val="center"/>
          </w:tcPr>
          <w:p w14:paraId="2FEE64EE" w14:textId="0D0DF75A" w:rsidR="00752C71" w:rsidRPr="00CE56ED" w:rsidRDefault="00C66E46"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0.0</w:t>
            </w:r>
            <w:r w:rsidR="00CE56ED" w:rsidRPr="00CE56ED">
              <w:rPr>
                <w:rFonts w:eastAsia="Helvetica,Times New Roman" w:cstheme="minorHAnsi"/>
                <w:color w:val="000000" w:themeColor="text1"/>
                <w:sz w:val="20"/>
                <w:szCs w:val="20"/>
              </w:rPr>
              <w:t>02</w:t>
            </w:r>
            <w:r w:rsidRPr="00CE56ED">
              <w:rPr>
                <w:rFonts w:eastAsia="Helvetica,Times New Roman" w:cstheme="minorHAnsi"/>
                <w:color w:val="000000" w:themeColor="text1"/>
                <w:sz w:val="20"/>
                <w:szCs w:val="20"/>
              </w:rPr>
              <w:t xml:space="preserve"> – 0.03</w:t>
            </w:r>
            <w:r w:rsidR="00CE56ED" w:rsidRPr="00CE56ED">
              <w:rPr>
                <w:rFonts w:eastAsia="Helvetica,Times New Roman" w:cstheme="minorHAnsi"/>
                <w:color w:val="000000" w:themeColor="text1"/>
                <w:sz w:val="20"/>
                <w:szCs w:val="20"/>
              </w:rPr>
              <w:t>2</w:t>
            </w:r>
          </w:p>
        </w:tc>
        <w:tc>
          <w:tcPr>
            <w:tcW w:w="738" w:type="pct"/>
            <w:vAlign w:val="center"/>
          </w:tcPr>
          <w:p w14:paraId="67A2D680" w14:textId="252D64B3" w:rsidR="00752C71" w:rsidRPr="00E54FE0" w:rsidRDefault="00C66E46" w:rsidP="00752C71">
            <w:pPr>
              <w:spacing w:line="240" w:lineRule="auto"/>
              <w:jc w:val="center"/>
              <w:rPr>
                <w:bCs/>
                <w:sz w:val="20"/>
                <w:szCs w:val="20"/>
                <w:highlight w:val="lightGray"/>
              </w:rPr>
            </w:pPr>
            <w:r w:rsidRPr="00CE56ED">
              <w:rPr>
                <w:bCs/>
                <w:sz w:val="20"/>
                <w:szCs w:val="20"/>
              </w:rPr>
              <w:t>0.0</w:t>
            </w:r>
            <w:r w:rsidR="00CE56ED" w:rsidRPr="00CE56ED">
              <w:rPr>
                <w:bCs/>
                <w:sz w:val="20"/>
                <w:szCs w:val="20"/>
              </w:rPr>
              <w:t>17</w:t>
            </w:r>
          </w:p>
        </w:tc>
        <w:tc>
          <w:tcPr>
            <w:tcW w:w="617" w:type="pct"/>
            <w:vAlign w:val="center"/>
          </w:tcPr>
          <w:p w14:paraId="6D0BD6BF" w14:textId="53FE8373" w:rsidR="00752C71" w:rsidRPr="00CE56ED" w:rsidRDefault="00C66E46"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2</w:t>
            </w:r>
            <w:r w:rsidR="00CE56ED" w:rsidRPr="00CE56ED">
              <w:rPr>
                <w:rFonts w:eastAsia="Helvetica,Times New Roman" w:cstheme="minorHAnsi"/>
                <w:color w:val="000000" w:themeColor="text1"/>
                <w:sz w:val="20"/>
                <w:szCs w:val="20"/>
              </w:rPr>
              <w:t>2</w:t>
            </w:r>
          </w:p>
        </w:tc>
        <w:tc>
          <w:tcPr>
            <w:tcW w:w="578" w:type="pct"/>
            <w:vAlign w:val="center"/>
          </w:tcPr>
          <w:p w14:paraId="7A3A4CF4" w14:textId="21B71AC7" w:rsidR="00752C71" w:rsidRPr="00CE56ED" w:rsidRDefault="00C66E46"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9</w:t>
            </w:r>
          </w:p>
        </w:tc>
      </w:tr>
      <w:tr w:rsidR="00752C71" w:rsidRPr="00E069AC" w14:paraId="43A0AFE2" w14:textId="77777777" w:rsidTr="00E13C85">
        <w:trPr>
          <w:trHeight w:val="634"/>
          <w:jc w:val="center"/>
        </w:trPr>
        <w:tc>
          <w:tcPr>
            <w:tcW w:w="1220" w:type="pct"/>
            <w:vAlign w:val="center"/>
          </w:tcPr>
          <w:p w14:paraId="03CB2E5A" w14:textId="4A94D7FF" w:rsidR="00752C71" w:rsidRPr="00E069AC" w:rsidRDefault="00752C71" w:rsidP="00752C71">
            <w:pPr>
              <w:spacing w:after="180" w:line="240" w:lineRule="auto"/>
              <w:jc w:val="center"/>
              <w:rPr>
                <w:color w:val="000000" w:themeColor="text1"/>
                <w:sz w:val="20"/>
                <w:szCs w:val="20"/>
              </w:rPr>
            </w:pPr>
            <w:r w:rsidRPr="00E069AC">
              <w:rPr>
                <w:color w:val="000000" w:themeColor="text1"/>
                <w:sz w:val="20"/>
                <w:szCs w:val="20"/>
              </w:rPr>
              <w:t>Learning Rate Factor (Solution)</w:t>
            </w:r>
          </w:p>
        </w:tc>
        <w:tc>
          <w:tcPr>
            <w:tcW w:w="862" w:type="pct"/>
            <w:vAlign w:val="center"/>
          </w:tcPr>
          <w:p w14:paraId="24BDF097" w14:textId="4B2F1C6A" w:rsidR="00752C71" w:rsidRPr="00CE56ED" w:rsidRDefault="00752C71" w:rsidP="00752C71">
            <w:pPr>
              <w:spacing w:after="180" w:line="240" w:lineRule="auto"/>
              <w:jc w:val="center"/>
              <w:rPr>
                <w:rStyle w:val="CommentReference"/>
                <w:sz w:val="20"/>
                <w:szCs w:val="20"/>
              </w:rPr>
            </w:pPr>
            <w:r w:rsidRPr="00CE56ED">
              <w:rPr>
                <w:rStyle w:val="CommentReference"/>
                <w:sz w:val="20"/>
                <w:szCs w:val="20"/>
              </w:rPr>
              <w:t>%</w:t>
            </w:r>
          </w:p>
        </w:tc>
        <w:tc>
          <w:tcPr>
            <w:tcW w:w="985" w:type="pct"/>
            <w:shd w:val="clear" w:color="auto" w:fill="auto"/>
            <w:vAlign w:val="center"/>
          </w:tcPr>
          <w:p w14:paraId="25C385AF" w14:textId="7A925C75" w:rsidR="00752C71" w:rsidRPr="00CE56ED" w:rsidRDefault="00451EB8"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3.8 – 16.2%</w:t>
            </w:r>
          </w:p>
        </w:tc>
        <w:tc>
          <w:tcPr>
            <w:tcW w:w="738" w:type="pct"/>
            <w:vAlign w:val="center"/>
          </w:tcPr>
          <w:p w14:paraId="58EC4039" w14:textId="6A978094" w:rsidR="00752C71" w:rsidRPr="00CE56ED" w:rsidRDefault="00451EB8" w:rsidP="00752C71">
            <w:pPr>
              <w:spacing w:line="240" w:lineRule="auto"/>
              <w:jc w:val="center"/>
              <w:rPr>
                <w:bCs/>
                <w:sz w:val="20"/>
                <w:szCs w:val="20"/>
              </w:rPr>
            </w:pPr>
            <w:r w:rsidRPr="00CE56ED">
              <w:rPr>
                <w:bCs/>
                <w:sz w:val="20"/>
                <w:szCs w:val="20"/>
              </w:rPr>
              <w:t>10%</w:t>
            </w:r>
          </w:p>
        </w:tc>
        <w:tc>
          <w:tcPr>
            <w:tcW w:w="617" w:type="pct"/>
            <w:vAlign w:val="center"/>
          </w:tcPr>
          <w:p w14:paraId="7A68A6A4" w14:textId="6A296009" w:rsidR="00752C71" w:rsidRPr="00CE56ED" w:rsidRDefault="00CE56ED"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7</w:t>
            </w:r>
          </w:p>
        </w:tc>
        <w:tc>
          <w:tcPr>
            <w:tcW w:w="578" w:type="pct"/>
            <w:vAlign w:val="center"/>
          </w:tcPr>
          <w:p w14:paraId="1BCDDCEA" w14:textId="0C2AC7BB" w:rsidR="00752C71" w:rsidRPr="00CE56ED" w:rsidRDefault="00451EB8" w:rsidP="00752C71">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3</w:t>
            </w:r>
          </w:p>
        </w:tc>
      </w:tr>
    </w:tbl>
    <w:p w14:paraId="44758595" w14:textId="77777777" w:rsidR="00B86FD0" w:rsidRPr="00E069AC" w:rsidRDefault="00B86FD0" w:rsidP="00EB247F"/>
    <w:p w14:paraId="56F5BC32" w14:textId="146E1F0E" w:rsidR="001D17E8" w:rsidRPr="00E069AC" w:rsidRDefault="00E069AC" w:rsidP="00EB247F">
      <w:pPr>
        <w:pStyle w:val="Heading3"/>
      </w:pPr>
      <w:bookmarkStart w:id="49" w:name="_Toc19137318"/>
      <w:r>
        <w:t>Technical Inputs</w:t>
      </w:r>
      <w:bookmarkEnd w:id="49"/>
    </w:p>
    <w:p w14:paraId="3CE5966B" w14:textId="0BE51C2F" w:rsidR="000875B5" w:rsidRPr="00E069AC" w:rsidRDefault="000875B5" w:rsidP="00EB247F">
      <w:pPr>
        <w:pStyle w:val="Caption"/>
        <w:jc w:val="center"/>
        <w:rPr>
          <w:rFonts w:asciiTheme="majorHAnsi" w:eastAsiaTheme="majorEastAsia" w:hAnsiTheme="majorHAnsi" w:cstheme="majorBidi"/>
          <w:b/>
          <w:bCs/>
          <w:color w:val="000000" w:themeColor="text1"/>
          <w:sz w:val="23"/>
          <w:szCs w:val="23"/>
          <w:lang w:eastAsia="zh-CN"/>
        </w:rPr>
      </w:pPr>
      <w:bookmarkStart w:id="50" w:name="_Toc44542635"/>
      <w:r w:rsidRPr="00E069AC">
        <w:t xml:space="preserve">Table </w:t>
      </w:r>
      <w:fldSimple w:instr=" STYLEREF 1 \s ">
        <w:r w:rsidRPr="00E069AC">
          <w:t>2</w:t>
        </w:r>
      </w:fldSimple>
      <w:r w:rsidRPr="00E069AC">
        <w:t>.</w:t>
      </w:r>
      <w:r w:rsidR="00D158BC" w:rsidRPr="00E069AC">
        <w:rPr>
          <w:noProof/>
        </w:rPr>
        <w:fldChar w:fldCharType="begin"/>
      </w:r>
      <w:r w:rsidR="00D158BC" w:rsidRPr="00E069AC">
        <w:rPr>
          <w:noProof/>
        </w:rPr>
        <w:instrText xml:space="preserve"> SEQ Table \* ARABIC \s 1 </w:instrText>
      </w:r>
      <w:r w:rsidR="00D158BC" w:rsidRPr="00E069AC">
        <w:rPr>
          <w:noProof/>
        </w:rPr>
        <w:fldChar w:fldCharType="separate"/>
      </w:r>
      <w:r w:rsidR="00E978D4" w:rsidRPr="00E069AC">
        <w:rPr>
          <w:noProof/>
        </w:rPr>
        <w:t>4</w:t>
      </w:r>
      <w:r w:rsidR="00D158BC" w:rsidRPr="00E069AC">
        <w:rPr>
          <w:noProof/>
        </w:rPr>
        <w:fldChar w:fldCharType="end"/>
      </w:r>
      <w:r w:rsidRPr="00E069AC">
        <w:t xml:space="preserve"> Technical  Inputs</w:t>
      </w:r>
      <w:r w:rsidR="00E978D4" w:rsidRPr="00E069AC">
        <w:t xml:space="preserve"> Conventional Technologies</w:t>
      </w:r>
      <w:bookmarkEnd w:id="50"/>
    </w:p>
    <w:tbl>
      <w:tblPr>
        <w:tblStyle w:val="TableGrid"/>
        <w:tblW w:w="9561" w:type="dxa"/>
        <w:jc w:val="center"/>
        <w:tblLook w:val="04A0" w:firstRow="1" w:lastRow="0" w:firstColumn="1" w:lastColumn="0" w:noHBand="0" w:noVBand="1"/>
      </w:tblPr>
      <w:tblGrid>
        <w:gridCol w:w="1992"/>
        <w:gridCol w:w="1311"/>
        <w:gridCol w:w="1795"/>
        <w:gridCol w:w="1590"/>
        <w:gridCol w:w="1493"/>
        <w:gridCol w:w="1380"/>
      </w:tblGrid>
      <w:tr w:rsidR="00E978D4" w:rsidRPr="00E069AC" w14:paraId="6018AB22" w14:textId="77777777" w:rsidTr="005C77F5">
        <w:trPr>
          <w:trHeight w:val="868"/>
          <w:jc w:val="center"/>
        </w:trPr>
        <w:tc>
          <w:tcPr>
            <w:tcW w:w="1992" w:type="dxa"/>
            <w:shd w:val="clear" w:color="auto" w:fill="4F81BD" w:themeFill="accent1"/>
            <w:vAlign w:val="center"/>
          </w:tcPr>
          <w:p w14:paraId="4EC8594B" w14:textId="77777777" w:rsidR="00E978D4" w:rsidRPr="00E069AC" w:rsidRDefault="00E978D4" w:rsidP="009A4D96">
            <w:pPr>
              <w:spacing w:after="180" w:line="240" w:lineRule="auto"/>
              <w:jc w:val="center"/>
              <w:rPr>
                <w:rFonts w:eastAsia="Helvetica,Times New Roman" w:cstheme="minorHAnsi"/>
                <w:b/>
                <w:color w:val="FFFFFF" w:themeColor="background1"/>
                <w:sz w:val="20"/>
                <w:szCs w:val="20"/>
              </w:rPr>
            </w:pPr>
          </w:p>
        </w:tc>
        <w:tc>
          <w:tcPr>
            <w:tcW w:w="1311" w:type="dxa"/>
            <w:shd w:val="clear" w:color="auto" w:fill="4F81BD" w:themeFill="accent1"/>
            <w:vAlign w:val="center"/>
          </w:tcPr>
          <w:p w14:paraId="2319849B" w14:textId="56E33788"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Units</w:t>
            </w:r>
          </w:p>
        </w:tc>
        <w:tc>
          <w:tcPr>
            <w:tcW w:w="1795" w:type="dxa"/>
            <w:shd w:val="clear" w:color="auto" w:fill="4F81BD" w:themeFill="accent1"/>
            <w:vAlign w:val="center"/>
          </w:tcPr>
          <w:p w14:paraId="311DE699" w14:textId="661DD11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1590" w:type="dxa"/>
            <w:shd w:val="clear" w:color="auto" w:fill="4F81BD" w:themeFill="accent1"/>
            <w:vAlign w:val="center"/>
          </w:tcPr>
          <w:p w14:paraId="63244B3B" w14:textId="3199A5F9"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1493" w:type="dxa"/>
            <w:shd w:val="clear" w:color="auto" w:fill="4F81BD" w:themeFill="accent1"/>
            <w:vAlign w:val="center"/>
          </w:tcPr>
          <w:p w14:paraId="0266F380" w14:textId="6CDC42DD"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1380" w:type="dxa"/>
            <w:shd w:val="clear" w:color="auto" w:fill="4F81BD" w:themeFill="accent1"/>
            <w:vAlign w:val="center"/>
          </w:tcPr>
          <w:p w14:paraId="4298198A" w14:textId="22583AB3"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AC4490" w:rsidRPr="00E069AC" w14:paraId="63867CFF" w14:textId="77777777" w:rsidTr="005C77F5">
        <w:trPr>
          <w:trHeight w:val="642"/>
          <w:jc w:val="center"/>
        </w:trPr>
        <w:tc>
          <w:tcPr>
            <w:tcW w:w="1992" w:type="dxa"/>
            <w:vAlign w:val="center"/>
          </w:tcPr>
          <w:p w14:paraId="5BEA9C34" w14:textId="108460E7" w:rsidR="00AC4490" w:rsidRPr="00E069AC" w:rsidRDefault="00AC4490" w:rsidP="00AC4490">
            <w:pPr>
              <w:spacing w:line="240" w:lineRule="auto"/>
              <w:jc w:val="center"/>
              <w:rPr>
                <w:color w:val="000000" w:themeColor="text1"/>
                <w:sz w:val="20"/>
                <w:szCs w:val="20"/>
              </w:rPr>
            </w:pPr>
            <w:r w:rsidRPr="00593535">
              <w:rPr>
                <w:bCs/>
                <w:sz w:val="20"/>
                <w:szCs w:val="20"/>
              </w:rPr>
              <w:t>Lifetime Capacity (Conventional)</w:t>
            </w:r>
          </w:p>
        </w:tc>
        <w:tc>
          <w:tcPr>
            <w:tcW w:w="1311" w:type="dxa"/>
            <w:vAlign w:val="center"/>
          </w:tcPr>
          <w:p w14:paraId="78FC6EF1" w14:textId="62808E70"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4812F414" w14:textId="0E73F0AC" w:rsidR="00AC4490" w:rsidRPr="00E069AC" w:rsidRDefault="00AC4490" w:rsidP="00AC4490">
            <w:pPr>
              <w:spacing w:after="180" w:line="240" w:lineRule="auto"/>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121,807</w:t>
            </w:r>
            <w:r w:rsidRPr="00593535">
              <w:rPr>
                <w:rFonts w:eastAsia="Helvetica,Times New Roman" w:cstheme="minorHAnsi"/>
                <w:color w:val="000000" w:themeColor="text1"/>
                <w:sz w:val="20"/>
                <w:szCs w:val="20"/>
              </w:rPr>
              <w:t xml:space="preserve"> – </w:t>
            </w:r>
            <w:r>
              <w:rPr>
                <w:rFonts w:eastAsia="Helvetica,Times New Roman" w:cstheme="minorHAnsi"/>
                <w:color w:val="000000" w:themeColor="text1"/>
                <w:sz w:val="20"/>
                <w:szCs w:val="20"/>
              </w:rPr>
              <w:t>222,351</w:t>
            </w:r>
          </w:p>
        </w:tc>
        <w:tc>
          <w:tcPr>
            <w:tcW w:w="1590" w:type="dxa"/>
            <w:vAlign w:val="center"/>
          </w:tcPr>
          <w:p w14:paraId="1A2A7431" w14:textId="314D3D8A"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172,079</w:t>
            </w:r>
          </w:p>
        </w:tc>
        <w:tc>
          <w:tcPr>
            <w:tcW w:w="1493" w:type="dxa"/>
            <w:vAlign w:val="center"/>
          </w:tcPr>
          <w:p w14:paraId="69B835DE" w14:textId="2B0D40B0"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12</w:t>
            </w:r>
          </w:p>
        </w:tc>
        <w:tc>
          <w:tcPr>
            <w:tcW w:w="1380" w:type="dxa"/>
            <w:vAlign w:val="center"/>
          </w:tcPr>
          <w:p w14:paraId="5AF77D15" w14:textId="1E992F36"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6</w:t>
            </w:r>
          </w:p>
        </w:tc>
      </w:tr>
      <w:tr w:rsidR="00AC4490" w:rsidRPr="00E069AC" w14:paraId="1D67C409" w14:textId="77777777" w:rsidTr="005C77F5">
        <w:trPr>
          <w:trHeight w:val="642"/>
          <w:jc w:val="center"/>
        </w:trPr>
        <w:tc>
          <w:tcPr>
            <w:tcW w:w="1992" w:type="dxa"/>
            <w:vAlign w:val="center"/>
          </w:tcPr>
          <w:p w14:paraId="5ADDAC7F" w14:textId="3965319D" w:rsidR="00AC4490" w:rsidRPr="00E069AC" w:rsidRDefault="00AC4490" w:rsidP="00AC4490">
            <w:pPr>
              <w:spacing w:line="240" w:lineRule="auto"/>
              <w:jc w:val="center"/>
              <w:rPr>
                <w:color w:val="000000" w:themeColor="text1"/>
                <w:sz w:val="20"/>
                <w:szCs w:val="20"/>
              </w:rPr>
            </w:pPr>
            <w:r w:rsidRPr="00593535">
              <w:rPr>
                <w:bCs/>
                <w:sz w:val="20"/>
                <w:szCs w:val="20"/>
              </w:rPr>
              <w:t>Average Annual Use (Conventional)</w:t>
            </w:r>
          </w:p>
        </w:tc>
        <w:tc>
          <w:tcPr>
            <w:tcW w:w="1311" w:type="dxa"/>
            <w:vAlign w:val="center"/>
          </w:tcPr>
          <w:p w14:paraId="3731A45E" w14:textId="2EF2E254"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bCs/>
                <w:i/>
                <w:color w:val="000000" w:themeColor="text1"/>
                <w:sz w:val="20"/>
                <w:szCs w:val="20"/>
              </w:rPr>
              <w:t>hours</w:t>
            </w:r>
          </w:p>
        </w:tc>
        <w:tc>
          <w:tcPr>
            <w:tcW w:w="1795" w:type="dxa"/>
            <w:vAlign w:val="center"/>
          </w:tcPr>
          <w:p w14:paraId="08234FBE" w14:textId="044F24B4"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593535">
              <w:rPr>
                <w:rFonts w:eastAsia="Helvetica,Times New Roman" w:cstheme="minorHAnsi"/>
                <w:color w:val="000000" w:themeColor="text1"/>
                <w:sz w:val="20"/>
                <w:szCs w:val="20"/>
              </w:rPr>
              <w:t>3,33</w:t>
            </w:r>
            <w:r>
              <w:rPr>
                <w:rFonts w:eastAsia="Helvetica,Times New Roman" w:cstheme="minorHAnsi"/>
                <w:color w:val="000000" w:themeColor="text1"/>
                <w:sz w:val="20"/>
                <w:szCs w:val="20"/>
              </w:rPr>
              <w:t>7</w:t>
            </w:r>
            <w:r w:rsidRPr="00593535">
              <w:rPr>
                <w:rFonts w:eastAsia="Helvetica,Times New Roman" w:cstheme="minorHAnsi"/>
                <w:color w:val="000000" w:themeColor="text1"/>
                <w:sz w:val="20"/>
                <w:szCs w:val="20"/>
              </w:rPr>
              <w:t>– 6,</w:t>
            </w:r>
            <w:r>
              <w:rPr>
                <w:rFonts w:eastAsia="Helvetica,Times New Roman" w:cstheme="minorHAnsi"/>
                <w:color w:val="000000" w:themeColor="text1"/>
                <w:sz w:val="20"/>
                <w:szCs w:val="20"/>
              </w:rPr>
              <w:t>587</w:t>
            </w:r>
          </w:p>
        </w:tc>
        <w:tc>
          <w:tcPr>
            <w:tcW w:w="1590" w:type="dxa"/>
            <w:vAlign w:val="center"/>
          </w:tcPr>
          <w:p w14:paraId="4DB6DDA0" w14:textId="057B317C" w:rsidR="00AC4490" w:rsidRPr="00E069AC" w:rsidRDefault="00AC4490" w:rsidP="00AC4490">
            <w:pPr>
              <w:spacing w:line="240" w:lineRule="auto"/>
              <w:jc w:val="center"/>
              <w:rPr>
                <w:bCs/>
                <w:sz w:val="20"/>
                <w:szCs w:val="20"/>
              </w:rPr>
            </w:pPr>
            <w:r w:rsidRPr="00372A3C">
              <w:rPr>
                <w:bCs/>
                <w:sz w:val="20"/>
                <w:szCs w:val="20"/>
              </w:rPr>
              <w:t>4,962</w:t>
            </w:r>
          </w:p>
        </w:tc>
        <w:tc>
          <w:tcPr>
            <w:tcW w:w="1493" w:type="dxa"/>
            <w:vAlign w:val="center"/>
          </w:tcPr>
          <w:p w14:paraId="7B612667" w14:textId="6779A55A"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23</w:t>
            </w:r>
          </w:p>
        </w:tc>
        <w:tc>
          <w:tcPr>
            <w:tcW w:w="1380" w:type="dxa"/>
            <w:vAlign w:val="center"/>
          </w:tcPr>
          <w:p w14:paraId="590B311B" w14:textId="0A05A82E" w:rsidR="00AC4490" w:rsidRPr="00E069AC" w:rsidRDefault="00AC4490" w:rsidP="00AC4490">
            <w:pPr>
              <w:spacing w:after="180" w:line="240" w:lineRule="auto"/>
              <w:jc w:val="center"/>
              <w:rPr>
                <w:rFonts w:eastAsia="Helvetica,Times New Roman" w:cstheme="minorHAnsi"/>
                <w:color w:val="000000" w:themeColor="text1"/>
                <w:sz w:val="20"/>
                <w:szCs w:val="20"/>
              </w:rPr>
            </w:pPr>
            <w:r w:rsidRPr="00372A3C">
              <w:rPr>
                <w:rFonts w:eastAsia="Helvetica,Times New Roman" w:cstheme="minorHAnsi"/>
                <w:color w:val="000000" w:themeColor="text1"/>
                <w:sz w:val="20"/>
                <w:szCs w:val="20"/>
              </w:rPr>
              <w:t>4</w:t>
            </w:r>
          </w:p>
        </w:tc>
      </w:tr>
    </w:tbl>
    <w:p w14:paraId="4F84B42B" w14:textId="77777777" w:rsidR="001E6747" w:rsidRDefault="001E6747" w:rsidP="00B36958">
      <w:pPr>
        <w:pStyle w:val="Caption"/>
      </w:pPr>
    </w:p>
    <w:p w14:paraId="71759B8A" w14:textId="42CD0D51" w:rsidR="00E978D4" w:rsidRPr="00E069AC" w:rsidRDefault="00E978D4" w:rsidP="00E978D4">
      <w:pPr>
        <w:pStyle w:val="Caption"/>
        <w:jc w:val="center"/>
        <w:rPr>
          <w:rFonts w:asciiTheme="majorHAnsi" w:eastAsiaTheme="majorEastAsia" w:hAnsiTheme="majorHAnsi" w:cstheme="majorBidi"/>
          <w:b/>
          <w:bCs/>
          <w:color w:val="000000" w:themeColor="text1"/>
          <w:sz w:val="23"/>
          <w:szCs w:val="23"/>
          <w:lang w:eastAsia="zh-CN"/>
        </w:rPr>
      </w:pPr>
      <w:bookmarkStart w:id="51" w:name="_Toc44542636"/>
      <w:r w:rsidRPr="00E069AC">
        <w:t xml:space="preserve">Table </w:t>
      </w:r>
      <w:fldSimple w:instr=" STYLEREF 1 \s ">
        <w:r w:rsidRPr="00E069AC">
          <w:t>2</w:t>
        </w:r>
      </w:fldSimple>
      <w:r w:rsidRPr="00E069AC">
        <w:t>.</w:t>
      </w:r>
      <w:r w:rsidRPr="00E069AC">
        <w:rPr>
          <w:noProof/>
        </w:rPr>
        <w:fldChar w:fldCharType="begin"/>
      </w:r>
      <w:r w:rsidRPr="00E069AC">
        <w:rPr>
          <w:noProof/>
        </w:rPr>
        <w:instrText xml:space="preserve"> SEQ Table \* ARABIC \s 1 </w:instrText>
      </w:r>
      <w:r w:rsidRPr="00E069AC">
        <w:rPr>
          <w:noProof/>
        </w:rPr>
        <w:fldChar w:fldCharType="separate"/>
      </w:r>
      <w:r w:rsidRPr="00E069AC">
        <w:rPr>
          <w:noProof/>
        </w:rPr>
        <w:t>5</w:t>
      </w:r>
      <w:r w:rsidRPr="00E069AC">
        <w:rPr>
          <w:noProof/>
        </w:rPr>
        <w:fldChar w:fldCharType="end"/>
      </w:r>
      <w:r w:rsidRPr="00E069AC">
        <w:t xml:space="preserve"> Technical Inputs Solution</w:t>
      </w:r>
      <w:bookmarkEnd w:id="51"/>
    </w:p>
    <w:tbl>
      <w:tblPr>
        <w:tblStyle w:val="TableGrid"/>
        <w:tblW w:w="9600" w:type="dxa"/>
        <w:jc w:val="center"/>
        <w:tblLook w:val="04A0" w:firstRow="1" w:lastRow="0" w:firstColumn="1" w:lastColumn="0" w:noHBand="0" w:noVBand="1"/>
      </w:tblPr>
      <w:tblGrid>
        <w:gridCol w:w="2000"/>
        <w:gridCol w:w="1316"/>
        <w:gridCol w:w="1782"/>
        <w:gridCol w:w="1617"/>
        <w:gridCol w:w="1499"/>
        <w:gridCol w:w="1386"/>
      </w:tblGrid>
      <w:tr w:rsidR="00E978D4" w:rsidRPr="00E069AC" w14:paraId="13C00DA5" w14:textId="77777777" w:rsidTr="00E13C85">
        <w:trPr>
          <w:trHeight w:val="591"/>
          <w:jc w:val="center"/>
        </w:trPr>
        <w:tc>
          <w:tcPr>
            <w:tcW w:w="2000" w:type="dxa"/>
            <w:shd w:val="clear" w:color="auto" w:fill="4F81BD" w:themeFill="accent1"/>
            <w:vAlign w:val="center"/>
          </w:tcPr>
          <w:p w14:paraId="348EFAF2" w14:textId="77777777" w:rsidR="00E978D4" w:rsidRPr="00E069AC" w:rsidRDefault="00E978D4" w:rsidP="009A4D96">
            <w:pPr>
              <w:spacing w:after="180" w:line="240" w:lineRule="auto"/>
              <w:jc w:val="center"/>
              <w:rPr>
                <w:rFonts w:eastAsia="Helvetica,Times New Roman" w:cstheme="minorHAnsi"/>
                <w:b/>
                <w:color w:val="FFFFFF" w:themeColor="background1"/>
                <w:sz w:val="20"/>
                <w:szCs w:val="20"/>
              </w:rPr>
            </w:pPr>
          </w:p>
        </w:tc>
        <w:tc>
          <w:tcPr>
            <w:tcW w:w="1316" w:type="dxa"/>
            <w:shd w:val="clear" w:color="auto" w:fill="4F81BD" w:themeFill="accent1"/>
            <w:vAlign w:val="center"/>
          </w:tcPr>
          <w:p w14:paraId="6C3DD347"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Units</w:t>
            </w:r>
          </w:p>
        </w:tc>
        <w:tc>
          <w:tcPr>
            <w:tcW w:w="1782" w:type="dxa"/>
            <w:shd w:val="clear" w:color="auto" w:fill="4F81BD" w:themeFill="accent1"/>
            <w:vAlign w:val="center"/>
          </w:tcPr>
          <w:p w14:paraId="1ADF41EE"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Project Drawdown Data Set Range</w:t>
            </w:r>
          </w:p>
        </w:tc>
        <w:tc>
          <w:tcPr>
            <w:tcW w:w="1617" w:type="dxa"/>
            <w:shd w:val="clear" w:color="auto" w:fill="4F81BD" w:themeFill="accent1"/>
            <w:vAlign w:val="center"/>
          </w:tcPr>
          <w:p w14:paraId="01F11A1C"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Model Input</w:t>
            </w:r>
          </w:p>
        </w:tc>
        <w:tc>
          <w:tcPr>
            <w:tcW w:w="1499" w:type="dxa"/>
            <w:shd w:val="clear" w:color="auto" w:fill="4F81BD" w:themeFill="accent1"/>
            <w:vAlign w:val="center"/>
          </w:tcPr>
          <w:p w14:paraId="19836510"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Data Points (#)</w:t>
            </w:r>
          </w:p>
        </w:tc>
        <w:tc>
          <w:tcPr>
            <w:tcW w:w="1386" w:type="dxa"/>
            <w:shd w:val="clear" w:color="auto" w:fill="4F81BD" w:themeFill="accent1"/>
            <w:vAlign w:val="center"/>
          </w:tcPr>
          <w:p w14:paraId="60C8D5D4" w14:textId="77777777" w:rsidR="00E978D4" w:rsidRPr="00E069AC" w:rsidRDefault="00E978D4" w:rsidP="009A4D96">
            <w:pPr>
              <w:spacing w:after="180" w:line="240" w:lineRule="auto"/>
              <w:jc w:val="center"/>
              <w:rPr>
                <w:b/>
                <w:bCs/>
                <w:color w:val="FFFFFF" w:themeColor="background1"/>
                <w:sz w:val="20"/>
                <w:szCs w:val="20"/>
              </w:rPr>
            </w:pPr>
            <w:r w:rsidRPr="00E069AC">
              <w:rPr>
                <w:b/>
                <w:bCs/>
                <w:color w:val="FFFFFF" w:themeColor="background1"/>
                <w:sz w:val="20"/>
                <w:szCs w:val="20"/>
              </w:rPr>
              <w:t>Sources (#)</w:t>
            </w:r>
          </w:p>
        </w:tc>
      </w:tr>
      <w:tr w:rsidR="00451EB8" w:rsidRPr="00E069AC" w14:paraId="016B836A" w14:textId="77777777" w:rsidTr="00E13C85">
        <w:trPr>
          <w:trHeight w:val="437"/>
          <w:jc w:val="center"/>
        </w:trPr>
        <w:tc>
          <w:tcPr>
            <w:tcW w:w="2000" w:type="dxa"/>
            <w:vAlign w:val="center"/>
          </w:tcPr>
          <w:p w14:paraId="09F57733" w14:textId="395B2B85" w:rsidR="00451EB8" w:rsidRPr="00E069AC" w:rsidRDefault="00451EB8" w:rsidP="00451EB8">
            <w:pPr>
              <w:spacing w:line="240" w:lineRule="auto"/>
              <w:jc w:val="center"/>
              <w:rPr>
                <w:bCs/>
                <w:sz w:val="20"/>
                <w:szCs w:val="20"/>
              </w:rPr>
            </w:pPr>
            <w:r w:rsidRPr="00E069AC">
              <w:rPr>
                <w:bCs/>
                <w:sz w:val="20"/>
                <w:szCs w:val="20"/>
              </w:rPr>
              <w:t>Lifetime Capacity (Solution)</w:t>
            </w:r>
          </w:p>
        </w:tc>
        <w:tc>
          <w:tcPr>
            <w:tcW w:w="1316" w:type="dxa"/>
            <w:vAlign w:val="center"/>
          </w:tcPr>
          <w:p w14:paraId="28EA8A9D" w14:textId="79A16175" w:rsidR="00451EB8" w:rsidRPr="00CE56ED" w:rsidRDefault="00451EB8" w:rsidP="00451EB8">
            <w:pPr>
              <w:spacing w:after="180" w:line="240" w:lineRule="auto"/>
              <w:jc w:val="center"/>
              <w:rPr>
                <w:bCs/>
                <w:i/>
                <w:color w:val="000000" w:themeColor="text1"/>
                <w:sz w:val="20"/>
                <w:szCs w:val="20"/>
              </w:rPr>
            </w:pPr>
            <w:r w:rsidRPr="00CE56ED">
              <w:rPr>
                <w:bCs/>
                <w:i/>
                <w:color w:val="000000" w:themeColor="text1"/>
                <w:sz w:val="20"/>
                <w:szCs w:val="20"/>
              </w:rPr>
              <w:t>hours</w:t>
            </w:r>
          </w:p>
        </w:tc>
        <w:tc>
          <w:tcPr>
            <w:tcW w:w="1782" w:type="dxa"/>
            <w:vAlign w:val="center"/>
          </w:tcPr>
          <w:p w14:paraId="48D46D85" w14:textId="77809794" w:rsidR="00451EB8" w:rsidRPr="00CE56ED" w:rsidRDefault="00451EB8" w:rsidP="00451EB8">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17</w:t>
            </w:r>
            <w:r w:rsidR="00CE56ED" w:rsidRPr="00CE56ED">
              <w:rPr>
                <w:rFonts w:eastAsia="Helvetica,Times New Roman" w:cstheme="minorHAnsi"/>
                <w:color w:val="000000" w:themeColor="text1"/>
                <w:sz w:val="20"/>
                <w:szCs w:val="20"/>
              </w:rPr>
              <w:t>9</w:t>
            </w:r>
            <w:r w:rsidRPr="00CE56ED">
              <w:rPr>
                <w:rFonts w:eastAsia="Helvetica,Times New Roman" w:cstheme="minorHAnsi"/>
                <w:color w:val="000000" w:themeColor="text1"/>
                <w:sz w:val="20"/>
                <w:szCs w:val="20"/>
              </w:rPr>
              <w:t>,</w:t>
            </w:r>
            <w:r w:rsidR="00CE56ED" w:rsidRPr="00CE56ED">
              <w:rPr>
                <w:rFonts w:eastAsia="Helvetica,Times New Roman" w:cstheme="minorHAnsi"/>
                <w:color w:val="000000" w:themeColor="text1"/>
                <w:sz w:val="20"/>
                <w:szCs w:val="20"/>
              </w:rPr>
              <w:t>479</w:t>
            </w:r>
            <w:r w:rsidRPr="00CE56ED">
              <w:rPr>
                <w:rFonts w:eastAsia="Helvetica,Times New Roman" w:cstheme="minorHAnsi"/>
                <w:color w:val="000000" w:themeColor="text1"/>
                <w:sz w:val="20"/>
                <w:szCs w:val="20"/>
              </w:rPr>
              <w:t xml:space="preserve"> – </w:t>
            </w:r>
            <w:r w:rsidR="00CE56ED" w:rsidRPr="00CE56ED">
              <w:rPr>
                <w:rFonts w:eastAsia="Helvetica,Times New Roman" w:cstheme="minorHAnsi"/>
                <w:color w:val="000000" w:themeColor="text1"/>
                <w:sz w:val="20"/>
                <w:szCs w:val="20"/>
              </w:rPr>
              <w:t>280,315</w:t>
            </w:r>
          </w:p>
        </w:tc>
        <w:tc>
          <w:tcPr>
            <w:tcW w:w="1617" w:type="dxa"/>
            <w:vAlign w:val="center"/>
          </w:tcPr>
          <w:p w14:paraId="187A61E8" w14:textId="7D2D278F" w:rsidR="00451EB8" w:rsidRPr="00CE56ED" w:rsidRDefault="00451EB8" w:rsidP="00451EB8">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22</w:t>
            </w:r>
            <w:r w:rsidR="00CE56ED" w:rsidRPr="00CE56ED">
              <w:rPr>
                <w:rFonts w:eastAsia="Helvetica,Times New Roman" w:cstheme="minorHAnsi"/>
                <w:color w:val="000000" w:themeColor="text1"/>
                <w:sz w:val="20"/>
                <w:szCs w:val="20"/>
              </w:rPr>
              <w:t>9</w:t>
            </w:r>
            <w:r w:rsidRPr="00CE56ED">
              <w:rPr>
                <w:rFonts w:eastAsia="Helvetica,Times New Roman" w:cstheme="minorHAnsi"/>
                <w:color w:val="000000" w:themeColor="text1"/>
                <w:sz w:val="20"/>
                <w:szCs w:val="20"/>
              </w:rPr>
              <w:t>,</w:t>
            </w:r>
            <w:r w:rsidR="00CE56ED" w:rsidRPr="00CE56ED">
              <w:rPr>
                <w:rFonts w:eastAsia="Helvetica,Times New Roman" w:cstheme="minorHAnsi"/>
                <w:color w:val="000000" w:themeColor="text1"/>
                <w:sz w:val="20"/>
                <w:szCs w:val="20"/>
              </w:rPr>
              <w:t>893</w:t>
            </w:r>
          </w:p>
        </w:tc>
        <w:tc>
          <w:tcPr>
            <w:tcW w:w="1499" w:type="dxa"/>
            <w:vAlign w:val="center"/>
          </w:tcPr>
          <w:p w14:paraId="2A0ACBE9" w14:textId="17BEEBDA" w:rsidR="00451EB8" w:rsidRPr="00CE56ED" w:rsidRDefault="00CE56ED" w:rsidP="00451EB8">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20</w:t>
            </w:r>
          </w:p>
        </w:tc>
        <w:tc>
          <w:tcPr>
            <w:tcW w:w="1386" w:type="dxa"/>
            <w:vAlign w:val="center"/>
          </w:tcPr>
          <w:p w14:paraId="7B3D802F" w14:textId="26C42116" w:rsidR="00451EB8" w:rsidRPr="00CE56ED" w:rsidRDefault="00451EB8" w:rsidP="00451EB8">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1</w:t>
            </w:r>
            <w:r w:rsidR="00CE56ED" w:rsidRPr="00CE56ED">
              <w:rPr>
                <w:rFonts w:eastAsia="Helvetica,Times New Roman" w:cstheme="minorHAnsi"/>
                <w:color w:val="000000" w:themeColor="text1"/>
                <w:sz w:val="20"/>
                <w:szCs w:val="20"/>
              </w:rPr>
              <w:t>4</w:t>
            </w:r>
          </w:p>
        </w:tc>
      </w:tr>
      <w:tr w:rsidR="00451EB8" w:rsidRPr="00E069AC" w14:paraId="3184D8B0" w14:textId="77777777" w:rsidTr="00E13C85">
        <w:trPr>
          <w:trHeight w:val="307"/>
          <w:jc w:val="center"/>
        </w:trPr>
        <w:tc>
          <w:tcPr>
            <w:tcW w:w="2000" w:type="dxa"/>
            <w:vAlign w:val="center"/>
          </w:tcPr>
          <w:p w14:paraId="155CB210" w14:textId="06312096" w:rsidR="00451EB8" w:rsidRPr="00E069AC" w:rsidRDefault="00451EB8" w:rsidP="00451EB8">
            <w:pPr>
              <w:spacing w:line="240" w:lineRule="auto"/>
              <w:jc w:val="center"/>
              <w:rPr>
                <w:bCs/>
                <w:sz w:val="20"/>
                <w:szCs w:val="20"/>
              </w:rPr>
            </w:pPr>
            <w:r w:rsidRPr="00E069AC">
              <w:rPr>
                <w:bCs/>
                <w:sz w:val="20"/>
                <w:szCs w:val="20"/>
              </w:rPr>
              <w:t>Average Annual Use (Solution)</w:t>
            </w:r>
          </w:p>
        </w:tc>
        <w:tc>
          <w:tcPr>
            <w:tcW w:w="1316" w:type="dxa"/>
            <w:vAlign w:val="center"/>
          </w:tcPr>
          <w:p w14:paraId="2027BE58" w14:textId="25BBC594" w:rsidR="00451EB8" w:rsidRPr="00DA4099" w:rsidRDefault="00451EB8" w:rsidP="00451EB8">
            <w:pPr>
              <w:spacing w:after="180" w:line="240" w:lineRule="auto"/>
              <w:jc w:val="center"/>
              <w:rPr>
                <w:bCs/>
                <w:i/>
                <w:color w:val="000000" w:themeColor="text1"/>
                <w:sz w:val="20"/>
                <w:szCs w:val="20"/>
              </w:rPr>
            </w:pPr>
            <w:r w:rsidRPr="00DA4099">
              <w:rPr>
                <w:bCs/>
                <w:i/>
                <w:color w:val="000000" w:themeColor="text1"/>
                <w:sz w:val="20"/>
                <w:szCs w:val="20"/>
              </w:rPr>
              <w:t>hours</w:t>
            </w:r>
          </w:p>
        </w:tc>
        <w:tc>
          <w:tcPr>
            <w:tcW w:w="1782" w:type="dxa"/>
            <w:vAlign w:val="center"/>
          </w:tcPr>
          <w:p w14:paraId="2FBE0817" w14:textId="4890D001" w:rsidR="00451EB8" w:rsidRPr="00DA4099" w:rsidRDefault="001E6747" w:rsidP="00451EB8">
            <w:pPr>
              <w:spacing w:after="180" w:line="240" w:lineRule="auto"/>
              <w:jc w:val="center"/>
              <w:rPr>
                <w:rFonts w:eastAsia="Helvetica,Times New Roman" w:cstheme="minorHAnsi"/>
                <w:color w:val="000000" w:themeColor="text1"/>
                <w:sz w:val="20"/>
                <w:szCs w:val="20"/>
              </w:rPr>
            </w:pPr>
            <w:r w:rsidRPr="00DA4099">
              <w:rPr>
                <w:rFonts w:eastAsia="Helvetica,Times New Roman" w:cstheme="minorHAnsi"/>
                <w:color w:val="000000" w:themeColor="text1"/>
                <w:sz w:val="20"/>
                <w:szCs w:val="20"/>
              </w:rPr>
              <w:t>6,857 – 8,218</w:t>
            </w:r>
          </w:p>
        </w:tc>
        <w:tc>
          <w:tcPr>
            <w:tcW w:w="1617" w:type="dxa"/>
            <w:vAlign w:val="center"/>
          </w:tcPr>
          <w:p w14:paraId="28493732" w14:textId="6D8A680C" w:rsidR="00451EB8" w:rsidRPr="00DA4099" w:rsidRDefault="001E6747" w:rsidP="00451EB8">
            <w:pPr>
              <w:spacing w:after="180" w:line="240" w:lineRule="auto"/>
              <w:jc w:val="center"/>
              <w:rPr>
                <w:rFonts w:eastAsia="Helvetica,Times New Roman" w:cstheme="minorHAnsi"/>
                <w:color w:val="000000" w:themeColor="text1"/>
                <w:sz w:val="20"/>
                <w:szCs w:val="20"/>
              </w:rPr>
            </w:pPr>
            <w:r w:rsidRPr="00DA4099">
              <w:rPr>
                <w:rFonts w:eastAsia="Helvetica,Times New Roman" w:cstheme="minorHAnsi"/>
                <w:color w:val="000000" w:themeColor="text1"/>
                <w:sz w:val="20"/>
                <w:szCs w:val="20"/>
              </w:rPr>
              <w:t>7,537</w:t>
            </w:r>
          </w:p>
        </w:tc>
        <w:tc>
          <w:tcPr>
            <w:tcW w:w="1499" w:type="dxa"/>
            <w:vAlign w:val="center"/>
          </w:tcPr>
          <w:p w14:paraId="1BD72EAA" w14:textId="72D46BED" w:rsidR="00451EB8" w:rsidRPr="00CE56ED" w:rsidRDefault="00CE56ED" w:rsidP="00451EB8">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20</w:t>
            </w:r>
          </w:p>
        </w:tc>
        <w:tc>
          <w:tcPr>
            <w:tcW w:w="1386" w:type="dxa"/>
            <w:vAlign w:val="center"/>
          </w:tcPr>
          <w:p w14:paraId="2925FDC3" w14:textId="5AC0AF3B" w:rsidR="00451EB8" w:rsidRPr="00CE56ED" w:rsidRDefault="00CE56ED" w:rsidP="00451EB8">
            <w:pPr>
              <w:spacing w:after="180" w:line="240" w:lineRule="auto"/>
              <w:jc w:val="center"/>
              <w:rPr>
                <w:rFonts w:eastAsia="Helvetica,Times New Roman" w:cstheme="minorHAnsi"/>
                <w:color w:val="000000" w:themeColor="text1"/>
                <w:sz w:val="20"/>
                <w:szCs w:val="20"/>
              </w:rPr>
            </w:pPr>
            <w:r w:rsidRPr="00CE56ED">
              <w:rPr>
                <w:rFonts w:eastAsia="Helvetica,Times New Roman" w:cstheme="minorHAnsi"/>
                <w:color w:val="000000" w:themeColor="text1"/>
                <w:sz w:val="20"/>
                <w:szCs w:val="20"/>
              </w:rPr>
              <w:t>10</w:t>
            </w:r>
          </w:p>
        </w:tc>
      </w:tr>
    </w:tbl>
    <w:p w14:paraId="3F927A96" w14:textId="77777777" w:rsidR="00E978D4" w:rsidRPr="00E069AC" w:rsidRDefault="00E978D4" w:rsidP="00EB247F">
      <w:pPr>
        <w:spacing w:after="0"/>
        <w:rPr>
          <w:bCs/>
        </w:rPr>
      </w:pPr>
    </w:p>
    <w:p w14:paraId="4E32D218" w14:textId="050DAA88" w:rsidR="00B144E5" w:rsidRPr="00E069AC" w:rsidRDefault="00E069AC" w:rsidP="00921A82">
      <w:pPr>
        <w:pStyle w:val="Heading2"/>
        <w:numPr>
          <w:ilvl w:val="1"/>
          <w:numId w:val="4"/>
        </w:numPr>
      </w:pPr>
      <w:bookmarkStart w:id="52" w:name="_Toc19137319"/>
      <w:r>
        <w:t>Assumptions</w:t>
      </w:r>
      <w:bookmarkEnd w:id="52"/>
    </w:p>
    <w:p w14:paraId="1C71D5EB" w14:textId="7AA3B241" w:rsidR="00E33621" w:rsidRPr="00E069AC" w:rsidRDefault="00E33621" w:rsidP="00EB247F">
      <w:pPr>
        <w:spacing w:after="240"/>
        <w:rPr>
          <w:rFonts w:cs="Times New Roman"/>
        </w:rPr>
      </w:pPr>
      <w:r w:rsidRPr="00E069AC">
        <w:t xml:space="preserve">Six overarching assumptions have been made for Project Drawdown models to enable the development and integration of individual model solutions. These are that infrastructure required for solution is available and in-place, policies required are already in-place, no carbon price is modeled, all costs accrue at the level of agency modeled, improvements in technology are not modeled, </w:t>
      </w:r>
      <w:r w:rsidRPr="00B86FD0">
        <w:rPr>
          <w:color w:val="000000" w:themeColor="text1"/>
        </w:rPr>
        <w:t xml:space="preserve">and that first costs may change according to learning. Full details of core assumptions and methodology will be available at </w:t>
      </w:r>
      <w:hyperlink r:id="rId21" w:history="1">
        <w:r w:rsidRPr="00B86FD0">
          <w:rPr>
            <w:rStyle w:val="Hyperlink"/>
            <w:color w:val="000000" w:themeColor="text1"/>
          </w:rPr>
          <w:t>www.drawdown.org</w:t>
        </w:r>
      </w:hyperlink>
      <w:r w:rsidRPr="00B86FD0">
        <w:rPr>
          <w:color w:val="000000" w:themeColor="text1"/>
        </w:rPr>
        <w:t xml:space="preserve">. Beyond these core assumptions, there are other important assumptions made for the modeling of this specific solution. These are detailed </w:t>
      </w:r>
      <w:r w:rsidRPr="00B86FD0">
        <w:rPr>
          <w:rFonts w:cs="Times New Roman"/>
          <w:color w:val="000000" w:themeColor="text1"/>
        </w:rPr>
        <w:t>below.</w:t>
      </w:r>
    </w:p>
    <w:p w14:paraId="3FB46CA1" w14:textId="28949D4C" w:rsidR="000C0FD7" w:rsidRPr="008710A2" w:rsidRDefault="000C0FD7" w:rsidP="00CB0C88">
      <w:pPr>
        <w:pStyle w:val="ListParagraph"/>
        <w:numPr>
          <w:ilvl w:val="0"/>
          <w:numId w:val="2"/>
        </w:numPr>
        <w:ind w:left="360"/>
        <w:rPr>
          <w:rFonts w:cs="Times New Roman"/>
          <w:bCs/>
          <w:color w:val="000000" w:themeColor="text1"/>
        </w:rPr>
      </w:pPr>
      <w:r w:rsidRPr="000C0FD7">
        <w:rPr>
          <w:rFonts w:eastAsia="Times New Roman"/>
        </w:rPr>
        <w:t xml:space="preserve"> </w:t>
      </w:r>
      <w:r w:rsidRPr="000C0FD7">
        <w:rPr>
          <w:bCs/>
          <w:color w:val="000000" w:themeColor="text1"/>
        </w:rPr>
        <w:t xml:space="preserve">The adoption data from the different sources are usually given on interval of 5 to 10 years. To </w:t>
      </w:r>
      <w:r w:rsidRPr="008710A2">
        <w:rPr>
          <w:bCs/>
          <w:color w:val="000000" w:themeColor="text1"/>
        </w:rPr>
        <w:t>achieve data completeness for the years within the gap, data interpolation was performed using the best fit model amongst 1</w:t>
      </w:r>
      <w:r w:rsidRPr="00B533CC">
        <w:rPr>
          <w:bCs/>
          <w:color w:val="000000" w:themeColor="text1"/>
          <w:vertAlign w:val="superscript"/>
        </w:rPr>
        <w:t>st</w:t>
      </w:r>
      <w:r w:rsidRPr="000C0FD7">
        <w:rPr>
          <w:bCs/>
          <w:color w:val="000000" w:themeColor="text1"/>
        </w:rPr>
        <w:t>, 2</w:t>
      </w:r>
      <w:r w:rsidRPr="00B533CC">
        <w:rPr>
          <w:bCs/>
          <w:color w:val="000000" w:themeColor="text1"/>
          <w:vertAlign w:val="superscript"/>
        </w:rPr>
        <w:t>nd</w:t>
      </w:r>
      <w:r w:rsidRPr="000C0FD7">
        <w:rPr>
          <w:bCs/>
          <w:color w:val="000000" w:themeColor="text1"/>
        </w:rPr>
        <w:t>, and 3</w:t>
      </w:r>
      <w:r w:rsidRPr="00B533CC">
        <w:rPr>
          <w:bCs/>
          <w:color w:val="000000" w:themeColor="text1"/>
          <w:vertAlign w:val="superscript"/>
        </w:rPr>
        <w:t>rd</w:t>
      </w:r>
      <w:r w:rsidRPr="000C0FD7">
        <w:rPr>
          <w:bCs/>
          <w:color w:val="000000" w:themeColor="text1"/>
        </w:rPr>
        <w:t xml:space="preserve"> polynomials.</w:t>
      </w:r>
      <w:r>
        <w:rPr>
          <w:bCs/>
          <w:color w:val="000000" w:themeColor="text1"/>
        </w:rPr>
        <w:t xml:space="preserve"> In cases where there are spikes, stepwise interpolation with one or more of the</w:t>
      </w:r>
      <w:r w:rsidR="009717D9">
        <w:rPr>
          <w:bCs/>
          <w:color w:val="000000" w:themeColor="text1"/>
        </w:rPr>
        <w:t xml:space="preserve"> outlier datapoint(s) removed </w:t>
      </w:r>
      <w:r>
        <w:rPr>
          <w:bCs/>
          <w:color w:val="000000" w:themeColor="text1"/>
        </w:rPr>
        <w:t>are performed to smooth out the trend, and complete the data for the missing years.</w:t>
      </w:r>
    </w:p>
    <w:p w14:paraId="5F77948B" w14:textId="55218EE5" w:rsidR="00DA4099" w:rsidRDefault="008710A2" w:rsidP="00DA4099">
      <w:pPr>
        <w:pStyle w:val="ListParagraph"/>
        <w:numPr>
          <w:ilvl w:val="0"/>
          <w:numId w:val="2"/>
        </w:numPr>
        <w:ind w:left="360"/>
        <w:rPr>
          <w:rFonts w:cs="Times New Roman"/>
          <w:bCs/>
          <w:color w:val="000000" w:themeColor="text1"/>
        </w:rPr>
      </w:pPr>
      <w:r>
        <w:rPr>
          <w:rFonts w:cs="Times New Roman"/>
          <w:bCs/>
          <w:color w:val="000000" w:themeColor="text1"/>
        </w:rPr>
        <w:t>Most of the scenario sources adopted for this work made assumptions around demographic drivers such as population growth, economic drivers such as GDP, policy drivers such as past policy trends,</w:t>
      </w:r>
      <w:r w:rsidR="00F23178">
        <w:rPr>
          <w:rFonts w:cs="Times New Roman"/>
          <w:bCs/>
          <w:color w:val="000000" w:themeColor="text1"/>
        </w:rPr>
        <w:t xml:space="preserve"> </w:t>
      </w:r>
      <w:r>
        <w:rPr>
          <w:rFonts w:cs="Times New Roman"/>
          <w:bCs/>
          <w:color w:val="000000" w:themeColor="text1"/>
        </w:rPr>
        <w:t xml:space="preserve">and </w:t>
      </w:r>
      <w:r w:rsidR="00F23178">
        <w:rPr>
          <w:rFonts w:cs="Times New Roman"/>
          <w:bCs/>
          <w:color w:val="000000" w:themeColor="text1"/>
        </w:rPr>
        <w:t xml:space="preserve">the recent </w:t>
      </w:r>
      <w:r>
        <w:rPr>
          <w:rFonts w:cs="Times New Roman"/>
          <w:bCs/>
          <w:color w:val="000000" w:themeColor="text1"/>
        </w:rPr>
        <w:t xml:space="preserve">Paris </w:t>
      </w:r>
      <w:r w:rsidR="00F23178">
        <w:rPr>
          <w:rFonts w:cs="Times New Roman"/>
          <w:bCs/>
          <w:color w:val="000000" w:themeColor="text1"/>
        </w:rPr>
        <w:t>Agreement</w:t>
      </w:r>
      <w:r>
        <w:rPr>
          <w:rFonts w:cs="Times New Roman"/>
          <w:bCs/>
          <w:color w:val="000000" w:themeColor="text1"/>
        </w:rPr>
        <w:t xml:space="preserve">. Other assumptions include </w:t>
      </w:r>
      <w:r w:rsidR="00F23178">
        <w:rPr>
          <w:rFonts w:cs="Times New Roman"/>
          <w:bCs/>
          <w:color w:val="000000" w:themeColor="text1"/>
        </w:rPr>
        <w:t xml:space="preserve">international </w:t>
      </w:r>
      <w:r>
        <w:rPr>
          <w:rFonts w:cs="Times New Roman"/>
          <w:bCs/>
          <w:color w:val="000000" w:themeColor="text1"/>
        </w:rPr>
        <w:t xml:space="preserve">energy prices, exchange rates, international trade </w:t>
      </w:r>
      <w:r w:rsidR="00F23178">
        <w:rPr>
          <w:rFonts w:cs="Times New Roman"/>
          <w:bCs/>
          <w:color w:val="000000" w:themeColor="text1"/>
        </w:rPr>
        <w:t>and investment, declining costs of renewables</w:t>
      </w:r>
      <w:r w:rsidR="009717D9">
        <w:rPr>
          <w:rFonts w:cs="Times New Roman"/>
          <w:bCs/>
          <w:color w:val="000000" w:themeColor="text1"/>
        </w:rPr>
        <w:t>, and energy efficiency improvement</w:t>
      </w:r>
      <w:r w:rsidR="00F23178">
        <w:rPr>
          <w:rFonts w:cs="Times New Roman"/>
          <w:bCs/>
          <w:color w:val="000000" w:themeColor="text1"/>
        </w:rPr>
        <w:t xml:space="preserve">. </w:t>
      </w:r>
    </w:p>
    <w:p w14:paraId="694DD5F4" w14:textId="7C67EF44" w:rsidR="00727903" w:rsidRPr="00DA4099" w:rsidRDefault="00DA4099" w:rsidP="00DA4099">
      <w:pPr>
        <w:pStyle w:val="ListParagraph"/>
        <w:numPr>
          <w:ilvl w:val="0"/>
          <w:numId w:val="2"/>
        </w:numPr>
        <w:ind w:left="360"/>
        <w:rPr>
          <w:rFonts w:cs="Times New Roman"/>
          <w:bCs/>
          <w:color w:val="000000" w:themeColor="text1"/>
        </w:rPr>
      </w:pPr>
      <w:r>
        <w:rPr>
          <w:rFonts w:cs="Times New Roman"/>
          <w:bCs/>
          <w:color w:val="000000" w:themeColor="text1"/>
        </w:rPr>
        <w:t>Different existing technologies of geothermal power as flash, organic rankine cycle (binary) are considered in this solution. Enhance Geothermal Systems data points are not considered in the conducted variable meta-analysis in the RRS model, due to their early levels of maturity and low deployment. Future analysis may also include this technology.</w:t>
      </w:r>
    </w:p>
    <w:p w14:paraId="04FBF2E3" w14:textId="412B6782" w:rsidR="009D118F" w:rsidRPr="00E069AC" w:rsidRDefault="551A77D0" w:rsidP="00921A82">
      <w:pPr>
        <w:pStyle w:val="Heading2"/>
        <w:numPr>
          <w:ilvl w:val="1"/>
          <w:numId w:val="4"/>
        </w:numPr>
      </w:pPr>
      <w:bookmarkStart w:id="53" w:name="_Toc19137320"/>
      <w:r w:rsidRPr="00E069AC">
        <w:t>I</w:t>
      </w:r>
      <w:r w:rsidR="00E069AC">
        <w:t>ntegration</w:t>
      </w:r>
      <w:bookmarkEnd w:id="53"/>
    </w:p>
    <w:p w14:paraId="40B0D509" w14:textId="748705C6" w:rsidR="00F61DCA" w:rsidRPr="00E069AC" w:rsidRDefault="00F61DCA" w:rsidP="00EB247F">
      <w:r w:rsidRPr="00E069AC">
        <w:t xml:space="preserve">The complete Project Drawdown integration documentation </w:t>
      </w:r>
      <w:r w:rsidR="00B6183A" w:rsidRPr="00E069AC">
        <w:t xml:space="preserve">with </w:t>
      </w:r>
      <w:r w:rsidR="008006D0" w:rsidRPr="00E069AC">
        <w:t>details on</w:t>
      </w:r>
      <w:r w:rsidRPr="00E069AC">
        <w:t xml:space="preserve"> how all solution models in each </w:t>
      </w:r>
      <w:r w:rsidRPr="009A4D96">
        <w:t>sector are integrated, and how sectors are integrated to form a complete system</w:t>
      </w:r>
      <w:r w:rsidR="008006D0" w:rsidRPr="009A4D96">
        <w:t xml:space="preserve"> will be available at </w:t>
      </w:r>
      <w:hyperlink r:id="rId22" w:history="1">
        <w:r w:rsidR="008006D0" w:rsidRPr="009A4D96">
          <w:rPr>
            <w:rStyle w:val="Hyperlink"/>
            <w:color w:val="auto"/>
          </w:rPr>
          <w:t>www.drawdown.org</w:t>
        </w:r>
      </w:hyperlink>
      <w:r w:rsidRPr="009A4D96">
        <w:t xml:space="preserve">. Those general notes are excluded from this document but should be referenced for a complete understanding of </w:t>
      </w:r>
      <w:r w:rsidRPr="00E069AC">
        <w:t>the integration process. Only key elements of the integration process that are needed to understand how this solution fits into the entire system are described here.</w:t>
      </w:r>
    </w:p>
    <w:p w14:paraId="6E8EB265" w14:textId="15BE491C" w:rsidR="002A4E84" w:rsidRPr="00E069AC" w:rsidRDefault="00F61DCA" w:rsidP="00EB247F">
      <w:r w:rsidRPr="00E069AC">
        <w:t>Therefore, t</w:t>
      </w:r>
      <w:r w:rsidR="002A4E84" w:rsidRPr="00E069AC">
        <w:t>he data derived from individual solutions models was then inputted into sector-level integration models to generate final results for all solutions within a global system. The links between this sector and all the others is important, but major interactions occur with energy demand-side sectors like Transport and Buildings and Cities.</w:t>
      </w:r>
    </w:p>
    <w:p w14:paraId="10D2FF27" w14:textId="12603BCB" w:rsidR="002A4E84" w:rsidRPr="00E069AC" w:rsidRDefault="009D118F" w:rsidP="00EB247F">
      <w:r w:rsidRPr="00E069AC">
        <w:t xml:space="preserve">Through the process of integrating </w:t>
      </w:r>
      <w:r w:rsidR="003712DC">
        <w:t>geothermal</w:t>
      </w:r>
      <w:r w:rsidR="002415D6">
        <w:t xml:space="preserve"> power</w:t>
      </w:r>
      <w:r w:rsidRPr="00E069AC">
        <w:t xml:space="preserve"> with other solutions, the total addressable market for electricity generation technologies was adjusted to account for reduced demand resulting from the growth of more energy-effi</w:t>
      </w:r>
      <w:r w:rsidR="00F4258D">
        <w:t>cient technologies (for example</w:t>
      </w:r>
      <w:r w:rsidRPr="00E069AC">
        <w:t xml:space="preserve"> LED lighting and heat pumps) as well as increased electrification from other solutions like electric vehicles and high-speed rail. Grid emissions factors were calculated based on the annual mix of different electricity generating technologies over time. Emissions factors for each technology were determined through a meta-analysis of multiple sources, accounting for direct and indirect emissions.</w:t>
      </w:r>
    </w:p>
    <w:p w14:paraId="0ED84BEA" w14:textId="53A78589" w:rsidR="009D118F" w:rsidRPr="00E069AC" w:rsidRDefault="00E069AC" w:rsidP="00921A82">
      <w:pPr>
        <w:pStyle w:val="Heading2"/>
        <w:numPr>
          <w:ilvl w:val="1"/>
          <w:numId w:val="4"/>
        </w:numPr>
      </w:pPr>
      <w:bookmarkStart w:id="54" w:name="_Toc19137321"/>
      <w:r>
        <w:t>Limitations / Further Developments</w:t>
      </w:r>
      <w:bookmarkEnd w:id="54"/>
    </w:p>
    <w:p w14:paraId="22162937" w14:textId="233565D9" w:rsidR="003A4CBC" w:rsidRPr="00BE1B0D" w:rsidRDefault="003A4CBC" w:rsidP="00EB247F">
      <w:r w:rsidRPr="00BE1B0D">
        <w:t xml:space="preserve">More research and modeling will be necessary to help policy-makers and project developers understand in detail the benefits of adoption on a more resolute scale, as </w:t>
      </w:r>
      <w:r w:rsidR="001A463C">
        <w:t>geothermal</w:t>
      </w:r>
      <w:r w:rsidRPr="00BE1B0D">
        <w:t xml:space="preserve"> will not always make economic sense nor fit perfectly into any country’s future electricity genera</w:t>
      </w:r>
      <w:r w:rsidR="00DE33AF" w:rsidRPr="00BE1B0D">
        <w:t xml:space="preserve">tion portfolio. In particular, the RRS </w:t>
      </w:r>
      <w:r w:rsidRPr="00BE1B0D">
        <w:t xml:space="preserve">model holds a number of factors constant in order to keep global-scale modeling from becoming too complex, but </w:t>
      </w:r>
      <w:r w:rsidR="00DE33AF" w:rsidRPr="00BE1B0D">
        <w:t>it is</w:t>
      </w:r>
      <w:r w:rsidRPr="00BE1B0D">
        <w:t xml:space="preserve"> acknowledge</w:t>
      </w:r>
      <w:r w:rsidR="00DE33AF" w:rsidRPr="00BE1B0D">
        <w:t>d</w:t>
      </w:r>
      <w:r w:rsidRPr="00BE1B0D">
        <w:t xml:space="preserve"> that many of these factors, including prices of fuel and operating costs for conventional electricity, could change considerably over the period of analysis.</w:t>
      </w:r>
    </w:p>
    <w:p w14:paraId="0E0A6C15" w14:textId="52ED19E0" w:rsidR="009717D9" w:rsidRDefault="00BE1B0D" w:rsidP="00EB247F">
      <w:r w:rsidRPr="00BE1B0D">
        <w:t>G</w:t>
      </w:r>
      <w:r w:rsidR="003A4CBC" w:rsidRPr="00BE1B0D">
        <w:t xml:space="preserve">lobal analysis is complicated in many ways by the fact that the technical performance and costs of </w:t>
      </w:r>
      <w:r w:rsidR="001A463C">
        <w:t>geothermal power</w:t>
      </w:r>
      <w:r w:rsidR="003A4CBC" w:rsidRPr="00BE1B0D">
        <w:t xml:space="preserve"> can vary widely across regions depending on the viability of the </w:t>
      </w:r>
      <w:r w:rsidR="001A463C">
        <w:t>geothermal</w:t>
      </w:r>
      <w:r w:rsidR="003A4CBC" w:rsidRPr="00BE1B0D">
        <w:t xml:space="preserve"> resource and related factors of production. </w:t>
      </w:r>
      <w:r w:rsidR="00DE33AF" w:rsidRPr="00BE1B0D">
        <w:t>T</w:t>
      </w:r>
      <w:r w:rsidR="00F4258D" w:rsidRPr="00BE1B0D">
        <w:t>o account for these differences</w:t>
      </w:r>
      <w:r w:rsidR="00DE33AF" w:rsidRPr="00BE1B0D">
        <w:t xml:space="preserve"> </w:t>
      </w:r>
      <w:r w:rsidR="003A4CBC" w:rsidRPr="00BE1B0D">
        <w:t xml:space="preserve">results where </w:t>
      </w:r>
      <w:r w:rsidR="00DE33AF" w:rsidRPr="00BE1B0D">
        <w:t xml:space="preserve">weighted </w:t>
      </w:r>
      <w:r w:rsidR="003A4CBC" w:rsidRPr="00BE1B0D">
        <w:t>appropriate, but this cannot be done in every case, and</w:t>
      </w:r>
      <w:r w:rsidR="00DE33AF" w:rsidRPr="00BE1B0D">
        <w:t xml:space="preserve"> due to this limitation, it was </w:t>
      </w:r>
      <w:r w:rsidR="003A4CBC" w:rsidRPr="00BE1B0D">
        <w:t xml:space="preserve">often </w:t>
      </w:r>
      <w:r w:rsidR="00DE33AF" w:rsidRPr="00BE1B0D">
        <w:t>selected</w:t>
      </w:r>
      <w:r w:rsidR="003A4CBC" w:rsidRPr="00BE1B0D">
        <w:t xml:space="preserve"> a more conservative estimate for the climate and financial inputs in order not to overstate the potential benefits of adoption.</w:t>
      </w:r>
    </w:p>
    <w:p w14:paraId="44AD7CDF" w14:textId="090FAFC5" w:rsidR="009717D9" w:rsidRPr="00E069AC" w:rsidRDefault="009717D9" w:rsidP="00EB247F">
      <w:pPr>
        <w:sectPr w:rsidR="009717D9" w:rsidRPr="00E069AC">
          <w:pgSz w:w="12240" w:h="15840"/>
          <w:pgMar w:top="1440" w:right="1440" w:bottom="1440" w:left="1440" w:header="720" w:footer="720" w:gutter="0"/>
          <w:cols w:space="720"/>
        </w:sectPr>
      </w:pPr>
      <w:r>
        <w:t xml:space="preserve">In this modeling approach, </w:t>
      </w:r>
      <w:r w:rsidR="008E46AE">
        <w:t xml:space="preserve">resource proximity to transmission assets, and the potential implications of deep and/or shallow connection costs were not accounted separately as these are context-specific. </w:t>
      </w:r>
      <w:r w:rsidR="00B533CC">
        <w:t>More so</w:t>
      </w:r>
      <w:r w:rsidR="008E46AE">
        <w:t>, the effects of policy, regulatory, and political environments were assumed to be in the context of the adoption scenarios, and not modelled separately.</w:t>
      </w:r>
    </w:p>
    <w:p w14:paraId="7CAFC693" w14:textId="4A2F7BD1" w:rsidR="007C645A" w:rsidRPr="00E069AC" w:rsidRDefault="551A77D0" w:rsidP="00B20FA0">
      <w:pPr>
        <w:pStyle w:val="Heading1"/>
      </w:pPr>
      <w:bookmarkStart w:id="55" w:name="_Toc19137322"/>
      <w:r w:rsidRPr="00E069AC">
        <w:t>Results</w:t>
      </w:r>
      <w:bookmarkEnd w:id="55"/>
    </w:p>
    <w:p w14:paraId="13B4CEC0" w14:textId="035FADCA" w:rsidR="00F61DCA" w:rsidRPr="00E069AC" w:rsidRDefault="00B24F59" w:rsidP="005C77F5">
      <w:pPr>
        <w:autoSpaceDE w:val="0"/>
        <w:autoSpaceDN w:val="0"/>
        <w:adjustRightInd w:val="0"/>
        <w:spacing w:after="0"/>
      </w:pPr>
      <w:r w:rsidRPr="00E069AC">
        <w:t>In th</w:t>
      </w:r>
      <w:r w:rsidR="008006D0" w:rsidRPr="00E069AC">
        <w:t xml:space="preserve">e following </w:t>
      </w:r>
      <w:r w:rsidRPr="00E069AC">
        <w:t xml:space="preserve">section are </w:t>
      </w:r>
      <w:r w:rsidR="003A7929" w:rsidRPr="00E069AC">
        <w:t>depicted</w:t>
      </w:r>
      <w:r w:rsidRPr="00E069AC">
        <w:t xml:space="preserve"> selected</w:t>
      </w:r>
      <w:r w:rsidR="00F61DCA" w:rsidRPr="00E069AC">
        <w:t xml:space="preserve"> results derived from the </w:t>
      </w:r>
      <w:r w:rsidR="008006D0" w:rsidRPr="00E069AC">
        <w:t xml:space="preserve">RRS </w:t>
      </w:r>
      <w:r w:rsidR="00F61DCA" w:rsidRPr="00E069AC">
        <w:t>model</w:t>
      </w:r>
      <w:r w:rsidRPr="00E069AC">
        <w:t xml:space="preserve"> </w:t>
      </w:r>
      <w:r w:rsidR="008006D0" w:rsidRPr="00E069AC">
        <w:t xml:space="preserve">evaluating the impact of increased adoption of </w:t>
      </w:r>
      <w:r w:rsidR="001A463C">
        <w:t>Geothermal</w:t>
      </w:r>
      <w:r w:rsidR="00443FE8">
        <w:t xml:space="preserve"> Power technologies </w:t>
      </w:r>
      <w:r w:rsidR="008006D0" w:rsidRPr="00E069AC">
        <w:t>for electricity generation when compared to conventional technologies.</w:t>
      </w:r>
    </w:p>
    <w:p w14:paraId="7E39F2AB" w14:textId="2623AFC6" w:rsidR="00B261E0" w:rsidRPr="00E069AC" w:rsidRDefault="007C645A" w:rsidP="00921A82">
      <w:pPr>
        <w:pStyle w:val="Heading2"/>
        <w:numPr>
          <w:ilvl w:val="1"/>
          <w:numId w:val="7"/>
        </w:numPr>
      </w:pPr>
      <w:bookmarkStart w:id="56" w:name="_Toc19137323"/>
      <w:r w:rsidRPr="00E069AC">
        <w:t>Adoption</w:t>
      </w:r>
      <w:bookmarkEnd w:id="56"/>
    </w:p>
    <w:p w14:paraId="1CA60A5B" w14:textId="4304B487" w:rsidR="006D6758" w:rsidRPr="00E069AC" w:rsidRDefault="007C645A" w:rsidP="00EB247F">
      <w:pPr>
        <w:pStyle w:val="Caption"/>
        <w:rPr>
          <w:i w:val="0"/>
          <w:iCs w:val="0"/>
          <w:color w:val="auto"/>
          <w:sz w:val="22"/>
          <w:szCs w:val="22"/>
        </w:rPr>
      </w:pPr>
      <w:r w:rsidRPr="00E069AC">
        <w:rPr>
          <w:i w:val="0"/>
          <w:iCs w:val="0"/>
          <w:color w:val="auto"/>
          <w:sz w:val="22"/>
          <w:szCs w:val="22"/>
        </w:rPr>
        <w:t xml:space="preserve">Comparing the results from the three modeled scenarios </w:t>
      </w:r>
      <w:r w:rsidR="008006D0" w:rsidRPr="00E069AC">
        <w:rPr>
          <w:i w:val="0"/>
          <w:iCs w:val="0"/>
          <w:color w:val="auto"/>
          <w:sz w:val="22"/>
          <w:szCs w:val="22"/>
        </w:rPr>
        <w:t>to the Reference Scenario allow</w:t>
      </w:r>
      <w:r w:rsidRPr="00E069AC">
        <w:rPr>
          <w:i w:val="0"/>
          <w:iCs w:val="0"/>
          <w:color w:val="auto"/>
          <w:sz w:val="22"/>
          <w:szCs w:val="22"/>
        </w:rPr>
        <w:t xml:space="preserve"> to estimate the </w:t>
      </w:r>
      <w:r w:rsidRPr="00E76E21">
        <w:rPr>
          <w:i w:val="0"/>
          <w:iCs w:val="0"/>
          <w:color w:val="auto"/>
          <w:sz w:val="22"/>
          <w:szCs w:val="22"/>
        </w:rPr>
        <w:t xml:space="preserve">climate and financial impacts of increased adoption of </w:t>
      </w:r>
      <w:r w:rsidR="001A463C">
        <w:rPr>
          <w:i w:val="0"/>
          <w:iCs w:val="0"/>
          <w:color w:val="auto"/>
          <w:sz w:val="22"/>
          <w:szCs w:val="22"/>
        </w:rPr>
        <w:t>geothermal</w:t>
      </w:r>
      <w:r w:rsidRPr="00E76E21">
        <w:rPr>
          <w:i w:val="0"/>
          <w:iCs w:val="0"/>
          <w:color w:val="auto"/>
          <w:sz w:val="22"/>
          <w:szCs w:val="22"/>
        </w:rPr>
        <w:t xml:space="preserve"> systems. The Plausible Scenario</w:t>
      </w:r>
      <w:r w:rsidR="005C77F5" w:rsidRPr="00E76E21">
        <w:rPr>
          <w:i w:val="0"/>
          <w:iCs w:val="0"/>
          <w:color w:val="auto"/>
          <w:sz w:val="22"/>
          <w:szCs w:val="22"/>
        </w:rPr>
        <w:t xml:space="preserve"> (PDS1)</w:t>
      </w:r>
      <w:r w:rsidRPr="00E76E21">
        <w:rPr>
          <w:i w:val="0"/>
          <w:iCs w:val="0"/>
          <w:color w:val="auto"/>
          <w:sz w:val="22"/>
          <w:szCs w:val="22"/>
        </w:rPr>
        <w:t xml:space="preserve"> projects </w:t>
      </w:r>
      <w:r w:rsidR="00F53F75">
        <w:rPr>
          <w:i w:val="0"/>
          <w:iCs w:val="0"/>
          <w:color w:val="auto"/>
          <w:sz w:val="22"/>
          <w:szCs w:val="22"/>
        </w:rPr>
        <w:t>2</w:t>
      </w:r>
      <w:r w:rsidR="001A463C">
        <w:rPr>
          <w:i w:val="0"/>
          <w:iCs w:val="0"/>
          <w:color w:val="auto"/>
          <w:sz w:val="22"/>
          <w:szCs w:val="22"/>
        </w:rPr>
        <w:t>.</w:t>
      </w:r>
      <w:r w:rsidR="00F53F75">
        <w:rPr>
          <w:i w:val="0"/>
          <w:iCs w:val="0"/>
          <w:color w:val="auto"/>
          <w:sz w:val="22"/>
          <w:szCs w:val="22"/>
        </w:rPr>
        <w:t>55</w:t>
      </w:r>
      <w:r w:rsidRPr="00E76E21">
        <w:rPr>
          <w:i w:val="0"/>
          <w:iCs w:val="0"/>
          <w:color w:val="auto"/>
          <w:sz w:val="22"/>
          <w:szCs w:val="22"/>
        </w:rPr>
        <w:t xml:space="preserve"> percent of total electricity generation worldwide coming from </w:t>
      </w:r>
      <w:r w:rsidR="001A463C">
        <w:rPr>
          <w:i w:val="0"/>
          <w:iCs w:val="0"/>
          <w:color w:val="auto"/>
          <w:sz w:val="22"/>
          <w:szCs w:val="22"/>
        </w:rPr>
        <w:t>geothermal</w:t>
      </w:r>
      <w:r w:rsidRPr="00E76E21">
        <w:rPr>
          <w:i w:val="0"/>
          <w:iCs w:val="0"/>
          <w:color w:val="auto"/>
          <w:sz w:val="22"/>
          <w:szCs w:val="22"/>
        </w:rPr>
        <w:t xml:space="preserve"> </w:t>
      </w:r>
      <w:r w:rsidR="00E76E21" w:rsidRPr="00E76E21">
        <w:rPr>
          <w:i w:val="0"/>
          <w:iCs w:val="0"/>
          <w:color w:val="auto"/>
          <w:sz w:val="22"/>
          <w:szCs w:val="22"/>
        </w:rPr>
        <w:t xml:space="preserve">systems </w:t>
      </w:r>
      <w:r w:rsidRPr="00E76E21">
        <w:rPr>
          <w:i w:val="0"/>
          <w:iCs w:val="0"/>
          <w:color w:val="auto"/>
          <w:sz w:val="22"/>
          <w:szCs w:val="22"/>
        </w:rPr>
        <w:t xml:space="preserve">by 2050. In the Drawdown </w:t>
      </w:r>
      <w:r w:rsidR="005C77F5" w:rsidRPr="00E76E21">
        <w:rPr>
          <w:i w:val="0"/>
          <w:iCs w:val="0"/>
          <w:color w:val="auto"/>
          <w:sz w:val="22"/>
          <w:szCs w:val="22"/>
        </w:rPr>
        <w:t xml:space="preserve">(PDS2) </w:t>
      </w:r>
      <w:r w:rsidRPr="00E76E21">
        <w:rPr>
          <w:i w:val="0"/>
          <w:iCs w:val="0"/>
          <w:color w:val="auto"/>
          <w:sz w:val="22"/>
          <w:szCs w:val="22"/>
        </w:rPr>
        <w:t>and Optimum Scenarios</w:t>
      </w:r>
      <w:r w:rsidR="005C77F5" w:rsidRPr="00E76E21">
        <w:rPr>
          <w:i w:val="0"/>
          <w:iCs w:val="0"/>
          <w:color w:val="auto"/>
          <w:sz w:val="22"/>
          <w:szCs w:val="22"/>
        </w:rPr>
        <w:t xml:space="preserve"> (PDS3)</w:t>
      </w:r>
      <w:r w:rsidRPr="00E76E21">
        <w:rPr>
          <w:i w:val="0"/>
          <w:iCs w:val="0"/>
          <w:color w:val="auto"/>
          <w:sz w:val="22"/>
          <w:szCs w:val="22"/>
        </w:rPr>
        <w:t>, the market sha</w:t>
      </w:r>
      <w:r w:rsidR="00D201BF" w:rsidRPr="00E76E21">
        <w:rPr>
          <w:i w:val="0"/>
          <w:iCs w:val="0"/>
          <w:color w:val="auto"/>
          <w:sz w:val="22"/>
          <w:szCs w:val="22"/>
        </w:rPr>
        <w:t xml:space="preserve">re </w:t>
      </w:r>
      <w:r w:rsidR="00F53F75">
        <w:rPr>
          <w:i w:val="0"/>
          <w:iCs w:val="0"/>
          <w:color w:val="auto"/>
          <w:sz w:val="22"/>
          <w:szCs w:val="22"/>
        </w:rPr>
        <w:t>capture</w:t>
      </w:r>
      <w:r w:rsidR="00D201BF" w:rsidRPr="00E76E21">
        <w:rPr>
          <w:i w:val="0"/>
          <w:iCs w:val="0"/>
          <w:color w:val="auto"/>
          <w:sz w:val="22"/>
          <w:szCs w:val="22"/>
        </w:rPr>
        <w:t xml:space="preserve"> </w:t>
      </w:r>
      <w:r w:rsidR="00F53F75">
        <w:rPr>
          <w:i w:val="0"/>
          <w:iCs w:val="0"/>
          <w:color w:val="auto"/>
          <w:sz w:val="22"/>
          <w:szCs w:val="22"/>
        </w:rPr>
        <w:t xml:space="preserve">2.6 </w:t>
      </w:r>
      <w:r w:rsidR="00D201BF" w:rsidRPr="00E76E21">
        <w:rPr>
          <w:i w:val="0"/>
          <w:iCs w:val="0"/>
          <w:color w:val="auto"/>
          <w:sz w:val="22"/>
          <w:szCs w:val="22"/>
        </w:rPr>
        <w:t xml:space="preserve">percent and </w:t>
      </w:r>
      <w:r w:rsidR="00F53F75">
        <w:rPr>
          <w:i w:val="0"/>
          <w:iCs w:val="0"/>
          <w:color w:val="auto"/>
          <w:sz w:val="22"/>
          <w:szCs w:val="22"/>
        </w:rPr>
        <w:t>5.7</w:t>
      </w:r>
      <w:r w:rsidRPr="00E76E21">
        <w:rPr>
          <w:i w:val="0"/>
          <w:iCs w:val="0"/>
          <w:color w:val="auto"/>
          <w:sz w:val="22"/>
          <w:szCs w:val="22"/>
        </w:rPr>
        <w:t xml:space="preserve"> percent, respectively.</w:t>
      </w:r>
      <w:r w:rsidR="00B24F59" w:rsidRPr="00E76E21">
        <w:rPr>
          <w:i w:val="0"/>
          <w:iCs w:val="0"/>
          <w:color w:val="auto"/>
          <w:sz w:val="22"/>
          <w:szCs w:val="22"/>
        </w:rPr>
        <w:t xml:space="preserve"> </w:t>
      </w:r>
      <w:r w:rsidR="00B24F59" w:rsidRPr="00727903">
        <w:rPr>
          <w:i w:val="0"/>
          <w:iCs w:val="0"/>
          <w:color w:val="auto"/>
          <w:sz w:val="22"/>
          <w:szCs w:val="22"/>
        </w:rPr>
        <w:t xml:space="preserve">Below </w:t>
      </w:r>
      <w:r w:rsidR="00807D37" w:rsidRPr="00727903">
        <w:rPr>
          <w:i w:val="0"/>
          <w:iCs w:val="0"/>
          <w:color w:val="auto"/>
          <w:sz w:val="22"/>
          <w:szCs w:val="22"/>
        </w:rPr>
        <w:t>in Table 3.</w:t>
      </w:r>
      <w:r w:rsidR="005C77F5" w:rsidRPr="00727903">
        <w:rPr>
          <w:i w:val="0"/>
          <w:iCs w:val="0"/>
          <w:color w:val="auto"/>
          <w:sz w:val="22"/>
          <w:szCs w:val="22"/>
        </w:rPr>
        <w:t>1</w:t>
      </w:r>
      <w:r w:rsidR="00807D37" w:rsidRPr="00727903">
        <w:rPr>
          <w:i w:val="0"/>
          <w:iCs w:val="0"/>
          <w:color w:val="auto"/>
          <w:sz w:val="22"/>
          <w:szCs w:val="22"/>
        </w:rPr>
        <w:t xml:space="preserve"> </w:t>
      </w:r>
      <w:r w:rsidR="00B24F59" w:rsidRPr="00727903">
        <w:rPr>
          <w:i w:val="0"/>
          <w:iCs w:val="0"/>
          <w:color w:val="auto"/>
          <w:sz w:val="22"/>
          <w:szCs w:val="22"/>
        </w:rPr>
        <w:t xml:space="preserve">are shown the adoptions of the solution in </w:t>
      </w:r>
      <w:r w:rsidR="00807D37" w:rsidRPr="00727903">
        <w:rPr>
          <w:i w:val="0"/>
          <w:iCs w:val="0"/>
          <w:color w:val="auto"/>
          <w:sz w:val="22"/>
          <w:szCs w:val="22"/>
        </w:rPr>
        <w:t>2050</w:t>
      </w:r>
      <w:r w:rsidR="00B24F59" w:rsidRPr="00727903">
        <w:rPr>
          <w:i w:val="0"/>
          <w:iCs w:val="0"/>
          <w:color w:val="auto"/>
          <w:sz w:val="22"/>
          <w:szCs w:val="22"/>
        </w:rPr>
        <w:t xml:space="preserve"> in functional units and percent. </w:t>
      </w:r>
      <w:r w:rsidR="00912CC8" w:rsidRPr="00727903">
        <w:rPr>
          <w:i w:val="0"/>
          <w:iCs w:val="0"/>
          <w:color w:val="auto"/>
          <w:sz w:val="22"/>
          <w:szCs w:val="22"/>
        </w:rPr>
        <w:t>Figure 3</w:t>
      </w:r>
      <w:r w:rsidR="00E76E21">
        <w:rPr>
          <w:i w:val="0"/>
          <w:iCs w:val="0"/>
          <w:color w:val="auto"/>
          <w:sz w:val="22"/>
          <w:szCs w:val="22"/>
        </w:rPr>
        <w:t>.</w:t>
      </w:r>
      <w:r w:rsidR="00912CC8" w:rsidRPr="00727903">
        <w:rPr>
          <w:i w:val="0"/>
          <w:iCs w:val="0"/>
          <w:color w:val="auto"/>
          <w:sz w:val="22"/>
          <w:szCs w:val="22"/>
        </w:rPr>
        <w:t xml:space="preserve">1 depicts the long term pathway trajectories for the different scenarios of </w:t>
      </w:r>
      <w:r w:rsidR="001A463C">
        <w:rPr>
          <w:i w:val="0"/>
          <w:iCs w:val="0"/>
          <w:color w:val="auto"/>
          <w:sz w:val="22"/>
          <w:szCs w:val="22"/>
        </w:rPr>
        <w:t>adoption of geothermal</w:t>
      </w:r>
      <w:r w:rsidR="00727903" w:rsidRPr="00727903">
        <w:rPr>
          <w:i w:val="0"/>
          <w:iCs w:val="0"/>
          <w:color w:val="auto"/>
          <w:sz w:val="22"/>
          <w:szCs w:val="22"/>
        </w:rPr>
        <w:t xml:space="preserve"> plants.</w:t>
      </w:r>
    </w:p>
    <w:p w14:paraId="21183A78" w14:textId="3DE82561" w:rsidR="008D1491" w:rsidRPr="00E069AC" w:rsidRDefault="008D1491" w:rsidP="00EB247F">
      <w:pPr>
        <w:pStyle w:val="Caption"/>
        <w:jc w:val="center"/>
      </w:pPr>
      <w:bookmarkStart w:id="57" w:name="_Toc44542637"/>
      <w:r w:rsidRPr="00E069AC">
        <w:t xml:space="preserve">Table </w:t>
      </w:r>
      <w:fldSimple w:instr=" STYLEREF 1 \s ">
        <w:r w:rsidR="00492F5E" w:rsidRPr="00E069AC">
          <w:t>3</w:t>
        </w:r>
      </w:fldSimple>
      <w:r w:rsidR="00492F5E" w:rsidRPr="00E069AC">
        <w:t>.</w:t>
      </w:r>
      <w:fldSimple w:instr=" SEQ Table \* ARABIC \s 1 ">
        <w:r w:rsidR="00492F5E" w:rsidRPr="00E069AC">
          <w:t>1</w:t>
        </w:r>
      </w:fldSimple>
      <w:r w:rsidRPr="00E069AC">
        <w:t xml:space="preserve"> </w:t>
      </w:r>
      <w:r w:rsidR="005C77F5" w:rsidRPr="00E069AC">
        <w:t xml:space="preserve">World </w:t>
      </w:r>
      <w:r w:rsidRPr="00E069AC">
        <w:t>Adoption</w:t>
      </w:r>
      <w:r w:rsidR="005C77F5" w:rsidRPr="00E069AC">
        <w:t xml:space="preserve"> of the Solution</w:t>
      </w:r>
      <w:bookmarkEnd w:id="57"/>
    </w:p>
    <w:tbl>
      <w:tblPr>
        <w:tblStyle w:val="TableGrid"/>
        <w:tblW w:w="9217" w:type="dxa"/>
        <w:tblLook w:val="04A0" w:firstRow="1" w:lastRow="0" w:firstColumn="1" w:lastColumn="0" w:noHBand="0" w:noVBand="1"/>
      </w:tblPr>
      <w:tblGrid>
        <w:gridCol w:w="1951"/>
        <w:gridCol w:w="1163"/>
        <w:gridCol w:w="1417"/>
        <w:gridCol w:w="1385"/>
        <w:gridCol w:w="1652"/>
        <w:gridCol w:w="1649"/>
      </w:tblGrid>
      <w:tr w:rsidR="00971BA5" w:rsidRPr="00E069AC" w14:paraId="3FFD2090" w14:textId="77777777" w:rsidTr="005C77F5">
        <w:trPr>
          <w:trHeight w:val="48"/>
        </w:trPr>
        <w:tc>
          <w:tcPr>
            <w:tcW w:w="1951" w:type="dxa"/>
            <w:vMerge w:val="restart"/>
            <w:shd w:val="clear" w:color="auto" w:fill="4F81BD" w:themeFill="accent1"/>
            <w:vAlign w:val="center"/>
          </w:tcPr>
          <w:p w14:paraId="71879AD5" w14:textId="3CA30AF5" w:rsidR="00971BA5" w:rsidRPr="00E069AC" w:rsidRDefault="00971BA5" w:rsidP="001534F5">
            <w:pPr>
              <w:spacing w:line="240" w:lineRule="auto"/>
              <w:jc w:val="center"/>
              <w:rPr>
                <w:rFonts w:cstheme="minorHAnsi"/>
                <w:b/>
                <w:bCs/>
                <w:color w:val="FFFFFF" w:themeColor="background1"/>
                <w:sz w:val="20"/>
                <w:szCs w:val="20"/>
              </w:rPr>
            </w:pPr>
            <w:r w:rsidRPr="00E069AC">
              <w:rPr>
                <w:rFonts w:cstheme="minorHAnsi"/>
                <w:b/>
                <w:bCs/>
                <w:color w:val="FFFFFF" w:themeColor="background1"/>
                <w:sz w:val="20"/>
                <w:szCs w:val="20"/>
              </w:rPr>
              <w:t>Solution</w:t>
            </w:r>
          </w:p>
        </w:tc>
        <w:tc>
          <w:tcPr>
            <w:tcW w:w="1163" w:type="dxa"/>
            <w:vMerge w:val="restart"/>
            <w:shd w:val="clear" w:color="auto" w:fill="4F81BD" w:themeFill="accent1"/>
            <w:vAlign w:val="center"/>
          </w:tcPr>
          <w:p w14:paraId="736EA4CB" w14:textId="55E81B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Units</w:t>
            </w:r>
          </w:p>
        </w:tc>
        <w:tc>
          <w:tcPr>
            <w:tcW w:w="1417" w:type="dxa"/>
            <w:vMerge w:val="restart"/>
            <w:shd w:val="clear" w:color="auto" w:fill="4F81BD" w:themeFill="accent1"/>
            <w:vAlign w:val="center"/>
          </w:tcPr>
          <w:p w14:paraId="7A4BC7EC" w14:textId="56617266" w:rsidR="00971BA5" w:rsidRPr="00F53F75" w:rsidRDefault="00971BA5" w:rsidP="001534F5">
            <w:pPr>
              <w:spacing w:line="240" w:lineRule="auto"/>
              <w:jc w:val="center"/>
              <w:rPr>
                <w:b/>
                <w:bCs/>
                <w:color w:val="FFFFFF" w:themeColor="background1"/>
                <w:sz w:val="20"/>
                <w:szCs w:val="20"/>
              </w:rPr>
            </w:pPr>
            <w:r w:rsidRPr="00F53F75">
              <w:rPr>
                <w:b/>
                <w:bCs/>
                <w:iCs/>
                <w:color w:val="FFFFFF" w:themeColor="background1"/>
                <w:sz w:val="20"/>
                <w:szCs w:val="20"/>
              </w:rPr>
              <w:t xml:space="preserve">Base Year </w:t>
            </w:r>
            <w:r w:rsidRPr="00F53F75">
              <w:rPr>
                <w:b/>
                <w:bCs/>
                <w:color w:val="FFFFFF" w:themeColor="background1"/>
                <w:sz w:val="20"/>
                <w:szCs w:val="20"/>
              </w:rPr>
              <w:t xml:space="preserve"> (2014)</w:t>
            </w:r>
          </w:p>
        </w:tc>
        <w:tc>
          <w:tcPr>
            <w:tcW w:w="4686" w:type="dxa"/>
            <w:gridSpan w:val="3"/>
            <w:shd w:val="clear" w:color="auto" w:fill="4F81BD" w:themeFill="accent1"/>
            <w:vAlign w:val="center"/>
          </w:tcPr>
          <w:p w14:paraId="1BAFBD47" w14:textId="1AD40332"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World Adoption by 2050</w:t>
            </w:r>
          </w:p>
        </w:tc>
      </w:tr>
      <w:tr w:rsidR="00971BA5" w:rsidRPr="00E069AC" w14:paraId="4801E75B" w14:textId="77777777" w:rsidTr="005C77F5">
        <w:trPr>
          <w:trHeight w:val="184"/>
        </w:trPr>
        <w:tc>
          <w:tcPr>
            <w:tcW w:w="1951" w:type="dxa"/>
            <w:vMerge/>
            <w:shd w:val="clear" w:color="auto" w:fill="4F81BD" w:themeFill="accent1"/>
            <w:vAlign w:val="center"/>
          </w:tcPr>
          <w:p w14:paraId="6CD710FF" w14:textId="77777777" w:rsidR="00971BA5" w:rsidRPr="00E069AC" w:rsidRDefault="00971BA5" w:rsidP="001534F5">
            <w:pPr>
              <w:spacing w:line="240" w:lineRule="auto"/>
              <w:jc w:val="center"/>
              <w:rPr>
                <w:rFonts w:cstheme="minorHAnsi"/>
                <w:b/>
                <w:bCs/>
                <w:i/>
                <w:color w:val="FFFFFF" w:themeColor="background1"/>
                <w:sz w:val="20"/>
                <w:szCs w:val="20"/>
              </w:rPr>
            </w:pPr>
          </w:p>
        </w:tc>
        <w:tc>
          <w:tcPr>
            <w:tcW w:w="1163" w:type="dxa"/>
            <w:vMerge/>
            <w:shd w:val="clear" w:color="auto" w:fill="4F81BD" w:themeFill="accent1"/>
            <w:vAlign w:val="center"/>
          </w:tcPr>
          <w:p w14:paraId="173F30E0" w14:textId="77777777" w:rsidR="00971BA5" w:rsidRPr="00E069AC" w:rsidRDefault="00971BA5" w:rsidP="001534F5">
            <w:pPr>
              <w:spacing w:line="240" w:lineRule="auto"/>
              <w:jc w:val="center"/>
              <w:rPr>
                <w:bCs/>
                <w:i/>
                <w:color w:val="FFFFFF" w:themeColor="background1"/>
                <w:sz w:val="20"/>
                <w:szCs w:val="20"/>
              </w:rPr>
            </w:pPr>
          </w:p>
        </w:tc>
        <w:tc>
          <w:tcPr>
            <w:tcW w:w="1417" w:type="dxa"/>
            <w:vMerge/>
            <w:shd w:val="clear" w:color="auto" w:fill="4F81BD" w:themeFill="accent1"/>
            <w:vAlign w:val="center"/>
          </w:tcPr>
          <w:p w14:paraId="74E7E210" w14:textId="29C848AE" w:rsidR="00971BA5" w:rsidRPr="00F53F75" w:rsidRDefault="00971BA5" w:rsidP="001534F5">
            <w:pPr>
              <w:spacing w:line="240" w:lineRule="auto"/>
              <w:jc w:val="center"/>
              <w:rPr>
                <w:bCs/>
                <w:i/>
                <w:color w:val="FFFFFF" w:themeColor="background1"/>
                <w:sz w:val="20"/>
                <w:szCs w:val="20"/>
              </w:rPr>
            </w:pPr>
          </w:p>
        </w:tc>
        <w:tc>
          <w:tcPr>
            <w:tcW w:w="1385" w:type="dxa"/>
            <w:shd w:val="clear" w:color="auto" w:fill="4F81BD" w:themeFill="accent1"/>
            <w:vAlign w:val="center"/>
          </w:tcPr>
          <w:p w14:paraId="3BAD7FDF"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Plausible</w:t>
            </w:r>
          </w:p>
        </w:tc>
        <w:tc>
          <w:tcPr>
            <w:tcW w:w="1652" w:type="dxa"/>
            <w:shd w:val="clear" w:color="auto" w:fill="4F81BD" w:themeFill="accent1"/>
            <w:vAlign w:val="center"/>
          </w:tcPr>
          <w:p w14:paraId="0A0F5473"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Drawdown</w:t>
            </w:r>
          </w:p>
        </w:tc>
        <w:tc>
          <w:tcPr>
            <w:tcW w:w="1649" w:type="dxa"/>
            <w:shd w:val="clear" w:color="auto" w:fill="4F81BD" w:themeFill="accent1"/>
            <w:vAlign w:val="center"/>
          </w:tcPr>
          <w:p w14:paraId="0927695E" w14:textId="77777777" w:rsidR="00971BA5" w:rsidRPr="00E069AC" w:rsidRDefault="00971BA5" w:rsidP="001534F5">
            <w:pPr>
              <w:spacing w:line="240" w:lineRule="auto"/>
              <w:jc w:val="center"/>
              <w:rPr>
                <w:b/>
                <w:bCs/>
                <w:iCs/>
                <w:color w:val="FFFFFF" w:themeColor="background1"/>
                <w:sz w:val="20"/>
                <w:szCs w:val="20"/>
              </w:rPr>
            </w:pPr>
            <w:r w:rsidRPr="00E069AC">
              <w:rPr>
                <w:b/>
                <w:bCs/>
                <w:iCs/>
                <w:color w:val="FFFFFF" w:themeColor="background1"/>
                <w:sz w:val="20"/>
                <w:szCs w:val="20"/>
              </w:rPr>
              <w:t>Optimum</w:t>
            </w:r>
          </w:p>
        </w:tc>
      </w:tr>
      <w:tr w:rsidR="005C77F5" w:rsidRPr="00E069AC" w14:paraId="305C72A7" w14:textId="77777777" w:rsidTr="00396031">
        <w:trPr>
          <w:trHeight w:val="619"/>
        </w:trPr>
        <w:tc>
          <w:tcPr>
            <w:tcW w:w="1951" w:type="dxa"/>
            <w:vMerge w:val="restart"/>
            <w:vAlign w:val="center"/>
          </w:tcPr>
          <w:p w14:paraId="2B8FFE1B" w14:textId="70F2C9D0" w:rsidR="005C77F5" w:rsidRPr="00E069AC" w:rsidRDefault="001A463C" w:rsidP="001534F5">
            <w:pPr>
              <w:spacing w:line="240" w:lineRule="auto"/>
              <w:jc w:val="center"/>
              <w:rPr>
                <w:sz w:val="20"/>
                <w:szCs w:val="20"/>
              </w:rPr>
            </w:pPr>
            <w:r>
              <w:rPr>
                <w:sz w:val="20"/>
                <w:szCs w:val="20"/>
              </w:rPr>
              <w:t>Geothermal Power</w:t>
            </w:r>
          </w:p>
        </w:tc>
        <w:tc>
          <w:tcPr>
            <w:tcW w:w="1163" w:type="dxa"/>
            <w:vAlign w:val="center"/>
          </w:tcPr>
          <w:p w14:paraId="5BDA7373" w14:textId="4437EFB5" w:rsidR="005C77F5" w:rsidRPr="00E069AC" w:rsidRDefault="005C77F5" w:rsidP="001534F5">
            <w:pPr>
              <w:spacing w:line="240" w:lineRule="auto"/>
              <w:jc w:val="center"/>
              <w:rPr>
                <w:rFonts w:cstheme="minorHAnsi"/>
                <w:bCs/>
                <w:color w:val="000000" w:themeColor="text1"/>
                <w:sz w:val="20"/>
                <w:szCs w:val="20"/>
              </w:rPr>
            </w:pPr>
            <w:r w:rsidRPr="00E069AC">
              <w:rPr>
                <w:bCs/>
                <w:i/>
                <w:color w:val="000000" w:themeColor="text1"/>
                <w:sz w:val="20"/>
                <w:szCs w:val="20"/>
              </w:rPr>
              <w:t>Electricity Generation (TWh)</w:t>
            </w:r>
          </w:p>
        </w:tc>
        <w:tc>
          <w:tcPr>
            <w:tcW w:w="1417" w:type="dxa"/>
            <w:vAlign w:val="center"/>
          </w:tcPr>
          <w:p w14:paraId="72C0B03E" w14:textId="07CBABA9" w:rsidR="005C77F5" w:rsidRPr="00F53F75" w:rsidRDefault="001A463C" w:rsidP="001534F5">
            <w:pPr>
              <w:spacing w:line="240" w:lineRule="auto"/>
              <w:jc w:val="center"/>
              <w:rPr>
                <w:rFonts w:cstheme="minorHAnsi"/>
                <w:bCs/>
                <w:sz w:val="20"/>
                <w:szCs w:val="20"/>
              </w:rPr>
            </w:pPr>
            <w:r w:rsidRPr="00F53F75">
              <w:t>74</w:t>
            </w:r>
            <w:r w:rsidR="00F53F75">
              <w:t>.</w:t>
            </w:r>
            <w:r w:rsidR="00F73DA7" w:rsidRPr="00F53F75">
              <w:t>20</w:t>
            </w:r>
          </w:p>
        </w:tc>
        <w:tc>
          <w:tcPr>
            <w:tcW w:w="1385" w:type="dxa"/>
            <w:vAlign w:val="center"/>
          </w:tcPr>
          <w:p w14:paraId="2A8FE7A2" w14:textId="1C62A108" w:rsidR="005C77F5" w:rsidRPr="00FC304E" w:rsidRDefault="00F53F75" w:rsidP="001534F5">
            <w:pPr>
              <w:spacing w:line="240" w:lineRule="auto"/>
              <w:jc w:val="center"/>
              <w:rPr>
                <w:rFonts w:cstheme="minorHAnsi"/>
                <w:bCs/>
                <w:sz w:val="20"/>
                <w:szCs w:val="20"/>
                <w:highlight w:val="lightGray"/>
              </w:rPr>
            </w:pPr>
            <w:r w:rsidRPr="00F53F75">
              <w:rPr>
                <w:rFonts w:cstheme="minorHAnsi"/>
                <w:bCs/>
                <w:sz w:val="20"/>
                <w:szCs w:val="20"/>
              </w:rPr>
              <w:t>1</w:t>
            </w:r>
            <w:r w:rsidR="0030218A" w:rsidRPr="00F53F75">
              <w:rPr>
                <w:rFonts w:cstheme="minorHAnsi"/>
                <w:bCs/>
                <w:sz w:val="20"/>
                <w:szCs w:val="20"/>
              </w:rPr>
              <w:t>,2</w:t>
            </w:r>
            <w:r w:rsidRPr="00F53F75">
              <w:rPr>
                <w:rFonts w:cstheme="minorHAnsi"/>
                <w:bCs/>
                <w:sz w:val="20"/>
                <w:szCs w:val="20"/>
              </w:rPr>
              <w:t>7</w:t>
            </w:r>
            <w:r w:rsidR="001169AF" w:rsidRPr="00F53F75">
              <w:rPr>
                <w:rFonts w:cstheme="minorHAnsi"/>
                <w:bCs/>
                <w:sz w:val="20"/>
                <w:szCs w:val="20"/>
              </w:rPr>
              <w:t>7</w:t>
            </w:r>
          </w:p>
        </w:tc>
        <w:tc>
          <w:tcPr>
            <w:tcW w:w="1652" w:type="dxa"/>
            <w:vAlign w:val="center"/>
          </w:tcPr>
          <w:p w14:paraId="79EE8DDC" w14:textId="60AF7DA0" w:rsidR="005C77F5" w:rsidRPr="00F53F75" w:rsidRDefault="00F53F75" w:rsidP="001534F5">
            <w:pPr>
              <w:spacing w:line="240" w:lineRule="auto"/>
              <w:jc w:val="center"/>
              <w:rPr>
                <w:rFonts w:cstheme="minorHAnsi"/>
                <w:bCs/>
                <w:sz w:val="20"/>
                <w:szCs w:val="20"/>
              </w:rPr>
            </w:pPr>
            <w:r w:rsidRPr="00F53F75">
              <w:rPr>
                <w:rFonts w:cstheme="minorHAnsi"/>
                <w:bCs/>
                <w:sz w:val="20"/>
                <w:szCs w:val="20"/>
              </w:rPr>
              <w:t>1,823</w:t>
            </w:r>
          </w:p>
        </w:tc>
        <w:tc>
          <w:tcPr>
            <w:tcW w:w="1649" w:type="dxa"/>
            <w:vAlign w:val="center"/>
          </w:tcPr>
          <w:p w14:paraId="5B002A1D" w14:textId="52010813" w:rsidR="005C77F5" w:rsidRPr="00F53F75" w:rsidRDefault="0030218A" w:rsidP="001534F5">
            <w:pPr>
              <w:spacing w:line="240" w:lineRule="auto"/>
              <w:jc w:val="center"/>
              <w:rPr>
                <w:rFonts w:cstheme="minorHAnsi"/>
                <w:bCs/>
                <w:sz w:val="20"/>
                <w:szCs w:val="20"/>
              </w:rPr>
            </w:pPr>
            <w:r w:rsidRPr="00F53F75">
              <w:rPr>
                <w:rFonts w:cstheme="minorHAnsi"/>
                <w:bCs/>
                <w:sz w:val="20"/>
                <w:szCs w:val="20"/>
              </w:rPr>
              <w:t>4,</w:t>
            </w:r>
            <w:r w:rsidR="00F53F75" w:rsidRPr="00F53F75">
              <w:rPr>
                <w:rFonts w:cstheme="minorHAnsi"/>
                <w:bCs/>
                <w:sz w:val="20"/>
                <w:szCs w:val="20"/>
              </w:rPr>
              <w:t>065</w:t>
            </w:r>
          </w:p>
        </w:tc>
      </w:tr>
      <w:tr w:rsidR="005C77F5" w:rsidRPr="00E069AC" w14:paraId="59E1863D" w14:textId="77777777" w:rsidTr="005C77F5">
        <w:trPr>
          <w:trHeight w:val="32"/>
        </w:trPr>
        <w:tc>
          <w:tcPr>
            <w:tcW w:w="1951" w:type="dxa"/>
            <w:vMerge/>
            <w:vAlign w:val="center"/>
          </w:tcPr>
          <w:p w14:paraId="518ED63B" w14:textId="77777777" w:rsidR="005C77F5" w:rsidRPr="00E069AC" w:rsidRDefault="005C77F5" w:rsidP="001534F5">
            <w:pPr>
              <w:spacing w:line="240" w:lineRule="auto"/>
              <w:jc w:val="center"/>
              <w:rPr>
                <w:sz w:val="20"/>
                <w:szCs w:val="20"/>
              </w:rPr>
            </w:pPr>
          </w:p>
        </w:tc>
        <w:tc>
          <w:tcPr>
            <w:tcW w:w="1163" w:type="dxa"/>
            <w:vAlign w:val="center"/>
          </w:tcPr>
          <w:p w14:paraId="2352B4C1" w14:textId="0398F6A2" w:rsidR="005C77F5" w:rsidRPr="00E069AC" w:rsidRDefault="005C77F5" w:rsidP="001534F5">
            <w:pPr>
              <w:spacing w:line="240" w:lineRule="auto"/>
              <w:jc w:val="center"/>
              <w:rPr>
                <w:rFonts w:cstheme="minorHAnsi"/>
                <w:bCs/>
                <w:color w:val="000000" w:themeColor="text1"/>
                <w:sz w:val="20"/>
                <w:szCs w:val="20"/>
              </w:rPr>
            </w:pPr>
            <w:r w:rsidRPr="00E069AC">
              <w:rPr>
                <w:bCs/>
                <w:i/>
                <w:iCs/>
                <w:color w:val="000000" w:themeColor="text1"/>
                <w:sz w:val="20"/>
                <w:szCs w:val="20"/>
              </w:rPr>
              <w:t>(% market)</w:t>
            </w:r>
          </w:p>
        </w:tc>
        <w:tc>
          <w:tcPr>
            <w:tcW w:w="1417" w:type="dxa"/>
            <w:vAlign w:val="center"/>
          </w:tcPr>
          <w:p w14:paraId="4FD03435" w14:textId="3FFF42E0" w:rsidR="005C77F5" w:rsidRPr="00F53F75" w:rsidRDefault="005C77F5" w:rsidP="001534F5">
            <w:pPr>
              <w:spacing w:line="240" w:lineRule="auto"/>
              <w:jc w:val="center"/>
              <w:rPr>
                <w:rFonts w:cstheme="minorHAnsi"/>
                <w:bCs/>
                <w:sz w:val="20"/>
                <w:szCs w:val="20"/>
              </w:rPr>
            </w:pPr>
            <w:r w:rsidRPr="00F53F75">
              <w:rPr>
                <w:rFonts w:cstheme="minorHAnsi"/>
                <w:bCs/>
                <w:sz w:val="20"/>
                <w:szCs w:val="20"/>
              </w:rPr>
              <w:t>0.</w:t>
            </w:r>
            <w:r w:rsidR="001A463C" w:rsidRPr="00F53F75">
              <w:rPr>
                <w:rFonts w:cstheme="minorHAnsi"/>
                <w:bCs/>
                <w:sz w:val="20"/>
                <w:szCs w:val="20"/>
              </w:rPr>
              <w:t>33</w:t>
            </w:r>
            <w:r w:rsidRPr="00F53F75">
              <w:rPr>
                <w:rFonts w:cstheme="minorHAnsi"/>
                <w:bCs/>
                <w:sz w:val="20"/>
                <w:szCs w:val="20"/>
              </w:rPr>
              <w:t>%</w:t>
            </w:r>
          </w:p>
        </w:tc>
        <w:tc>
          <w:tcPr>
            <w:tcW w:w="1385" w:type="dxa"/>
            <w:vAlign w:val="center"/>
          </w:tcPr>
          <w:p w14:paraId="34CAFB53" w14:textId="0810A78B" w:rsidR="005C77F5" w:rsidRPr="00F53F75" w:rsidRDefault="00F53F75" w:rsidP="001534F5">
            <w:pPr>
              <w:spacing w:line="240" w:lineRule="auto"/>
              <w:jc w:val="center"/>
              <w:rPr>
                <w:rFonts w:cstheme="minorHAnsi"/>
                <w:bCs/>
                <w:sz w:val="20"/>
                <w:szCs w:val="20"/>
              </w:rPr>
            </w:pPr>
            <w:r w:rsidRPr="00F53F75">
              <w:rPr>
                <w:rFonts w:cstheme="minorHAnsi"/>
                <w:bCs/>
                <w:sz w:val="20"/>
                <w:szCs w:val="20"/>
              </w:rPr>
              <w:t>2.</w:t>
            </w:r>
            <w:r w:rsidR="005008C6">
              <w:rPr>
                <w:rFonts w:cstheme="minorHAnsi"/>
                <w:bCs/>
                <w:sz w:val="20"/>
                <w:szCs w:val="20"/>
              </w:rPr>
              <w:t>8</w:t>
            </w:r>
            <w:r w:rsidR="005C77F5" w:rsidRPr="00F53F75">
              <w:rPr>
                <w:rFonts w:cstheme="minorHAnsi"/>
                <w:bCs/>
                <w:sz w:val="20"/>
                <w:szCs w:val="20"/>
              </w:rPr>
              <w:t>%</w:t>
            </w:r>
          </w:p>
        </w:tc>
        <w:tc>
          <w:tcPr>
            <w:tcW w:w="1652" w:type="dxa"/>
            <w:vAlign w:val="center"/>
          </w:tcPr>
          <w:p w14:paraId="43B375D1" w14:textId="4AE4A2B6" w:rsidR="005C77F5" w:rsidRPr="00F53F75" w:rsidRDefault="00F53F75" w:rsidP="001534F5">
            <w:pPr>
              <w:spacing w:line="240" w:lineRule="auto"/>
              <w:jc w:val="center"/>
              <w:rPr>
                <w:rFonts w:cstheme="minorHAnsi"/>
                <w:bCs/>
                <w:sz w:val="20"/>
                <w:szCs w:val="20"/>
              </w:rPr>
            </w:pPr>
            <w:r w:rsidRPr="00F53F75">
              <w:rPr>
                <w:rFonts w:cstheme="minorHAnsi"/>
                <w:bCs/>
                <w:sz w:val="20"/>
                <w:szCs w:val="20"/>
              </w:rPr>
              <w:t>2.</w:t>
            </w:r>
            <w:r w:rsidR="005008C6">
              <w:rPr>
                <w:rFonts w:cstheme="minorHAnsi"/>
                <w:bCs/>
                <w:sz w:val="20"/>
                <w:szCs w:val="20"/>
              </w:rPr>
              <w:t>6</w:t>
            </w:r>
            <w:r w:rsidR="005C77F5" w:rsidRPr="00F53F75">
              <w:rPr>
                <w:rFonts w:cstheme="minorHAnsi"/>
                <w:bCs/>
                <w:sz w:val="20"/>
                <w:szCs w:val="20"/>
              </w:rPr>
              <w:t>%</w:t>
            </w:r>
          </w:p>
        </w:tc>
        <w:tc>
          <w:tcPr>
            <w:tcW w:w="1649" w:type="dxa"/>
            <w:vAlign w:val="center"/>
          </w:tcPr>
          <w:p w14:paraId="7641EB01" w14:textId="4042F5D6" w:rsidR="005C77F5" w:rsidRPr="00F53F75" w:rsidRDefault="00F53F75" w:rsidP="001534F5">
            <w:pPr>
              <w:spacing w:line="240" w:lineRule="auto"/>
              <w:jc w:val="center"/>
              <w:rPr>
                <w:rFonts w:cstheme="minorHAnsi"/>
                <w:bCs/>
                <w:sz w:val="20"/>
                <w:szCs w:val="20"/>
              </w:rPr>
            </w:pPr>
            <w:r w:rsidRPr="00F53F75">
              <w:rPr>
                <w:rFonts w:cstheme="minorHAnsi"/>
                <w:bCs/>
                <w:sz w:val="20"/>
                <w:szCs w:val="20"/>
              </w:rPr>
              <w:t>5.7</w:t>
            </w:r>
            <w:r w:rsidR="005C77F5" w:rsidRPr="00F53F75">
              <w:rPr>
                <w:rFonts w:cstheme="minorHAnsi"/>
                <w:bCs/>
                <w:sz w:val="20"/>
                <w:szCs w:val="20"/>
              </w:rPr>
              <w:t>%</w:t>
            </w:r>
          </w:p>
        </w:tc>
      </w:tr>
    </w:tbl>
    <w:p w14:paraId="2AB38D2C" w14:textId="77777777" w:rsidR="00762877" w:rsidRPr="00E069AC" w:rsidRDefault="00762877" w:rsidP="005008C6">
      <w:pPr>
        <w:spacing w:after="0"/>
        <w:rPr>
          <w:rFonts w:cstheme="minorHAnsi"/>
          <w:b/>
          <w:bCs/>
          <w:i/>
        </w:rPr>
      </w:pPr>
    </w:p>
    <w:p w14:paraId="7297DEA6" w14:textId="6BCF3FFC" w:rsidR="007E3431" w:rsidRPr="00F53F75" w:rsidRDefault="005008C6" w:rsidP="00912CC8">
      <w:pPr>
        <w:pStyle w:val="Caption"/>
        <w:jc w:val="center"/>
      </w:pPr>
      <w:r>
        <w:rPr>
          <w:noProof/>
        </w:rPr>
        <w:drawing>
          <wp:inline distT="0" distB="0" distL="0" distR="0" wp14:anchorId="08D69A51" wp14:editId="33DFB2F9">
            <wp:extent cx="5872766" cy="3039414"/>
            <wp:effectExtent l="0" t="0" r="7620" b="8890"/>
            <wp:docPr id="4" name="Chart 4">
              <a:extLst xmlns:a="http://schemas.openxmlformats.org/drawingml/2006/main">
                <a:ext uri="{FF2B5EF4-FFF2-40B4-BE49-F238E27FC236}">
                  <a16:creationId xmlns:a16="http://schemas.microsoft.com/office/drawing/2014/main" id="{00000000-0008-0000-04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67E303A" w14:textId="75EBD002" w:rsidR="00762877" w:rsidRDefault="00977F6D" w:rsidP="00912CC8">
      <w:pPr>
        <w:pStyle w:val="Caption"/>
        <w:jc w:val="center"/>
      </w:pPr>
      <w:bookmarkStart w:id="58" w:name="_Toc44542630"/>
      <w:r w:rsidRPr="00F53F75">
        <w:t xml:space="preserve">Figure </w:t>
      </w:r>
      <w:r w:rsidR="00D158BC" w:rsidRPr="00F53F75">
        <w:rPr>
          <w:noProof/>
        </w:rPr>
        <w:fldChar w:fldCharType="begin"/>
      </w:r>
      <w:r w:rsidR="00D158BC" w:rsidRPr="00F53F75">
        <w:rPr>
          <w:noProof/>
        </w:rPr>
        <w:instrText xml:space="preserve"> STYLEREF 1 \s </w:instrText>
      </w:r>
      <w:r w:rsidR="00D158BC" w:rsidRPr="00F53F75">
        <w:rPr>
          <w:noProof/>
        </w:rPr>
        <w:fldChar w:fldCharType="separate"/>
      </w:r>
      <w:r w:rsidR="007D6308" w:rsidRPr="00F53F75">
        <w:rPr>
          <w:noProof/>
        </w:rPr>
        <w:t>3</w:t>
      </w:r>
      <w:r w:rsidR="00D158BC" w:rsidRPr="00F53F75">
        <w:rPr>
          <w:noProof/>
        </w:rPr>
        <w:fldChar w:fldCharType="end"/>
      </w:r>
      <w:r w:rsidR="00912CC8" w:rsidRPr="00F53F75">
        <w:t>.</w:t>
      </w:r>
      <w:r w:rsidR="00D158BC" w:rsidRPr="00F53F75">
        <w:rPr>
          <w:noProof/>
        </w:rPr>
        <w:fldChar w:fldCharType="begin"/>
      </w:r>
      <w:r w:rsidR="00D158BC" w:rsidRPr="00F53F75">
        <w:rPr>
          <w:noProof/>
        </w:rPr>
        <w:instrText xml:space="preserve"> SEQ Figure \* ARABIC \s 1 </w:instrText>
      </w:r>
      <w:r w:rsidR="00D158BC" w:rsidRPr="00F53F75">
        <w:rPr>
          <w:noProof/>
        </w:rPr>
        <w:fldChar w:fldCharType="separate"/>
      </w:r>
      <w:r w:rsidR="007D6308" w:rsidRPr="00F53F75">
        <w:rPr>
          <w:noProof/>
        </w:rPr>
        <w:t>1</w:t>
      </w:r>
      <w:r w:rsidR="00D158BC" w:rsidRPr="00F53F75">
        <w:rPr>
          <w:noProof/>
        </w:rPr>
        <w:fldChar w:fldCharType="end"/>
      </w:r>
      <w:r w:rsidRPr="00F53F75">
        <w:t xml:space="preserve"> </w:t>
      </w:r>
      <w:r w:rsidR="00807D37" w:rsidRPr="00F53F75">
        <w:t xml:space="preserve">World Annual </w:t>
      </w:r>
      <w:r w:rsidRPr="00F53F75">
        <w:t>Adoption 20</w:t>
      </w:r>
      <w:r w:rsidR="00971BA5" w:rsidRPr="00F53F75">
        <w:t>15-206</w:t>
      </w:r>
      <w:r w:rsidRPr="00F53F75">
        <w:t>0</w:t>
      </w:r>
      <w:bookmarkEnd w:id="58"/>
    </w:p>
    <w:p w14:paraId="6B6F22E7" w14:textId="19002B27" w:rsidR="003A7929" w:rsidRPr="00E069AC" w:rsidRDefault="551A77D0" w:rsidP="00921A82">
      <w:pPr>
        <w:pStyle w:val="Heading2"/>
        <w:numPr>
          <w:ilvl w:val="1"/>
          <w:numId w:val="4"/>
        </w:numPr>
      </w:pPr>
      <w:bookmarkStart w:id="59" w:name="_Toc19137324"/>
      <w:r w:rsidRPr="00E069AC">
        <w:t>Climate Impacts</w:t>
      </w:r>
      <w:bookmarkEnd w:id="59"/>
    </w:p>
    <w:p w14:paraId="0D7CA4CB" w14:textId="5CEFED09" w:rsidR="00B86FD0" w:rsidRPr="00B86FD0" w:rsidRDefault="003A7929" w:rsidP="00B86FD0">
      <w:pPr>
        <w:pStyle w:val="Caption"/>
        <w:rPr>
          <w:i w:val="0"/>
          <w:iCs w:val="0"/>
          <w:color w:val="auto"/>
          <w:sz w:val="22"/>
          <w:szCs w:val="22"/>
        </w:rPr>
      </w:pPr>
      <w:r w:rsidRPr="00E069AC">
        <w:rPr>
          <w:i w:val="0"/>
          <w:iCs w:val="0"/>
          <w:color w:val="auto"/>
          <w:sz w:val="22"/>
          <w:szCs w:val="22"/>
        </w:rPr>
        <w:t>Below are the emissions results of the analysis for each scenario which include total emissions reduction and atmospheric concentration changes. For a detailed explanation of each result, please see the glossary (Section 6).</w:t>
      </w:r>
      <w:r w:rsidR="00B86FD0">
        <w:rPr>
          <w:i w:val="0"/>
          <w:iCs w:val="0"/>
          <w:color w:val="auto"/>
          <w:sz w:val="22"/>
          <w:szCs w:val="22"/>
        </w:rPr>
        <w:t xml:space="preserve"> </w:t>
      </w:r>
      <w:r w:rsidR="007C645A" w:rsidRPr="00B86FD0">
        <w:rPr>
          <w:i w:val="0"/>
          <w:iCs w:val="0"/>
          <w:color w:val="auto"/>
          <w:sz w:val="22"/>
          <w:szCs w:val="22"/>
        </w:rPr>
        <w:t>The Plausible Scenari</w:t>
      </w:r>
      <w:r w:rsidR="001B3003" w:rsidRPr="00B86FD0">
        <w:rPr>
          <w:i w:val="0"/>
          <w:iCs w:val="0"/>
          <w:color w:val="auto"/>
          <w:sz w:val="22"/>
          <w:szCs w:val="22"/>
        </w:rPr>
        <w:t xml:space="preserve">o results in </w:t>
      </w:r>
      <w:r w:rsidR="001B3003" w:rsidRPr="00F73DA7">
        <w:rPr>
          <w:i w:val="0"/>
          <w:iCs w:val="0"/>
          <w:color w:val="auto"/>
          <w:sz w:val="22"/>
          <w:szCs w:val="22"/>
        </w:rPr>
        <w:t xml:space="preserve">the avoidance of </w:t>
      </w:r>
      <w:r w:rsidR="00F53F75">
        <w:rPr>
          <w:i w:val="0"/>
          <w:iCs w:val="0"/>
          <w:color w:val="auto"/>
          <w:sz w:val="22"/>
          <w:szCs w:val="22"/>
        </w:rPr>
        <w:t>6.</w:t>
      </w:r>
      <w:r w:rsidR="005008C6">
        <w:rPr>
          <w:i w:val="0"/>
          <w:iCs w:val="0"/>
          <w:color w:val="auto"/>
          <w:sz w:val="22"/>
          <w:szCs w:val="22"/>
        </w:rPr>
        <w:t>8</w:t>
      </w:r>
      <w:r w:rsidR="007C645A" w:rsidRPr="00F73DA7">
        <w:rPr>
          <w:i w:val="0"/>
          <w:iCs w:val="0"/>
          <w:color w:val="auto"/>
          <w:sz w:val="22"/>
          <w:szCs w:val="22"/>
        </w:rPr>
        <w:t xml:space="preserve"> gigatons of</w:t>
      </w:r>
      <w:r w:rsidR="007C645A" w:rsidRPr="00B86FD0">
        <w:rPr>
          <w:i w:val="0"/>
          <w:iCs w:val="0"/>
          <w:color w:val="auto"/>
          <w:sz w:val="22"/>
          <w:szCs w:val="22"/>
        </w:rPr>
        <w:t xml:space="preserve"> carbon dioxide-equivalent greenhouse gas emissio</w:t>
      </w:r>
      <w:r w:rsidR="00BB79D6" w:rsidRPr="00B86FD0">
        <w:rPr>
          <w:i w:val="0"/>
          <w:iCs w:val="0"/>
          <w:color w:val="auto"/>
          <w:sz w:val="22"/>
          <w:szCs w:val="22"/>
        </w:rPr>
        <w:t>ns between 2020-2050</w:t>
      </w:r>
      <w:r w:rsidR="005C77F5" w:rsidRPr="00B86FD0">
        <w:rPr>
          <w:i w:val="0"/>
          <w:iCs w:val="0"/>
          <w:color w:val="auto"/>
          <w:sz w:val="22"/>
          <w:szCs w:val="22"/>
        </w:rPr>
        <w:t xml:space="preserve">. </w:t>
      </w:r>
      <w:r w:rsidR="007C645A" w:rsidRPr="00B86FD0">
        <w:rPr>
          <w:i w:val="0"/>
          <w:iCs w:val="0"/>
          <w:color w:val="auto"/>
          <w:sz w:val="22"/>
          <w:szCs w:val="22"/>
        </w:rPr>
        <w:t xml:space="preserve">Both the Drawdown and Optimum Scenarios are more ambitious in the growth of </w:t>
      </w:r>
      <w:r w:rsidR="001A463C">
        <w:rPr>
          <w:i w:val="0"/>
          <w:iCs w:val="0"/>
          <w:color w:val="auto"/>
          <w:sz w:val="22"/>
          <w:szCs w:val="22"/>
        </w:rPr>
        <w:t>geothermal</w:t>
      </w:r>
      <w:r w:rsidR="007C645A" w:rsidRPr="00B86FD0">
        <w:rPr>
          <w:i w:val="0"/>
          <w:iCs w:val="0"/>
          <w:color w:val="auto"/>
          <w:sz w:val="22"/>
          <w:szCs w:val="22"/>
        </w:rPr>
        <w:t xml:space="preserve"> technologies, with impacts on greenhouse gas emissions reductions over 2020-</w:t>
      </w:r>
      <w:r w:rsidR="007C645A" w:rsidRPr="009D2CFB">
        <w:rPr>
          <w:i w:val="0"/>
          <w:iCs w:val="0"/>
          <w:color w:val="auto"/>
          <w:sz w:val="22"/>
          <w:szCs w:val="22"/>
        </w:rPr>
        <w:t>2050</w:t>
      </w:r>
      <w:r w:rsidR="000629D3">
        <w:rPr>
          <w:i w:val="0"/>
          <w:iCs w:val="0"/>
          <w:color w:val="auto"/>
          <w:sz w:val="22"/>
          <w:szCs w:val="22"/>
        </w:rPr>
        <w:t>.</w:t>
      </w:r>
      <w:r w:rsidR="007C645A" w:rsidRPr="009D2CFB">
        <w:rPr>
          <w:i w:val="0"/>
          <w:iCs w:val="0"/>
          <w:color w:val="auto"/>
          <w:sz w:val="22"/>
          <w:szCs w:val="22"/>
        </w:rPr>
        <w:t xml:space="preserve"> </w:t>
      </w:r>
      <w:r w:rsidR="00F53F75">
        <w:rPr>
          <w:i w:val="0"/>
          <w:iCs w:val="0"/>
          <w:color w:val="auto"/>
          <w:sz w:val="22"/>
          <w:szCs w:val="22"/>
        </w:rPr>
        <w:t>10.</w:t>
      </w:r>
      <w:r w:rsidR="005008C6">
        <w:rPr>
          <w:i w:val="0"/>
          <w:iCs w:val="0"/>
          <w:color w:val="auto"/>
          <w:sz w:val="22"/>
          <w:szCs w:val="22"/>
        </w:rPr>
        <w:t>7</w:t>
      </w:r>
      <w:r w:rsidR="00BB79D6" w:rsidRPr="009D2CFB">
        <w:rPr>
          <w:i w:val="0"/>
          <w:iCs w:val="0"/>
          <w:color w:val="auto"/>
          <w:sz w:val="22"/>
          <w:szCs w:val="22"/>
        </w:rPr>
        <w:t xml:space="preserve"> </w:t>
      </w:r>
      <w:r w:rsidR="007C645A" w:rsidRPr="009D2CFB">
        <w:rPr>
          <w:i w:val="0"/>
          <w:iCs w:val="0"/>
          <w:color w:val="auto"/>
          <w:sz w:val="22"/>
          <w:szCs w:val="22"/>
        </w:rPr>
        <w:t>gigatons</w:t>
      </w:r>
      <w:r w:rsidR="007C645A" w:rsidRPr="00B86FD0">
        <w:rPr>
          <w:i w:val="0"/>
          <w:iCs w:val="0"/>
          <w:color w:val="auto"/>
          <w:sz w:val="22"/>
          <w:szCs w:val="22"/>
        </w:rPr>
        <w:t xml:space="preserve"> of carbon dioxide-equivalent</w:t>
      </w:r>
      <w:r w:rsidR="00F53F75">
        <w:rPr>
          <w:i w:val="0"/>
          <w:iCs w:val="0"/>
          <w:color w:val="auto"/>
          <w:sz w:val="22"/>
          <w:szCs w:val="22"/>
        </w:rPr>
        <w:t xml:space="preserve"> </w:t>
      </w:r>
      <w:r w:rsidR="000629D3">
        <w:rPr>
          <w:i w:val="0"/>
          <w:iCs w:val="0"/>
          <w:color w:val="auto"/>
          <w:sz w:val="22"/>
          <w:szCs w:val="22"/>
        </w:rPr>
        <w:t>emissions are reduced on</w:t>
      </w:r>
      <w:r w:rsidR="00F53F75">
        <w:rPr>
          <w:i w:val="0"/>
          <w:iCs w:val="0"/>
          <w:color w:val="auto"/>
          <w:sz w:val="22"/>
          <w:szCs w:val="22"/>
        </w:rPr>
        <w:t xml:space="preserve"> PDS2 and even </w:t>
      </w:r>
      <w:r w:rsidR="000629D3">
        <w:rPr>
          <w:i w:val="0"/>
          <w:iCs w:val="0"/>
          <w:color w:val="auto"/>
          <w:sz w:val="22"/>
          <w:szCs w:val="22"/>
        </w:rPr>
        <w:t>higher</w:t>
      </w:r>
      <w:r w:rsidR="00F53F75">
        <w:rPr>
          <w:i w:val="0"/>
          <w:iCs w:val="0"/>
          <w:color w:val="auto"/>
          <w:sz w:val="22"/>
          <w:szCs w:val="22"/>
        </w:rPr>
        <w:t xml:space="preserve"> on PDS3 with</w:t>
      </w:r>
      <w:r w:rsidR="000629D3">
        <w:rPr>
          <w:i w:val="0"/>
          <w:iCs w:val="0"/>
          <w:color w:val="auto"/>
          <w:sz w:val="22"/>
          <w:szCs w:val="22"/>
        </w:rPr>
        <w:t xml:space="preserve"> 22.</w:t>
      </w:r>
      <w:r w:rsidR="005008C6">
        <w:rPr>
          <w:i w:val="0"/>
          <w:iCs w:val="0"/>
          <w:color w:val="auto"/>
          <w:sz w:val="22"/>
          <w:szCs w:val="22"/>
        </w:rPr>
        <w:t>2</w:t>
      </w:r>
      <w:r w:rsidR="000629D3">
        <w:rPr>
          <w:i w:val="0"/>
          <w:iCs w:val="0"/>
          <w:color w:val="auto"/>
          <w:sz w:val="22"/>
          <w:szCs w:val="22"/>
        </w:rPr>
        <w:t xml:space="preserve"> emissions avoided</w:t>
      </w:r>
      <w:r w:rsidR="00F53F75">
        <w:rPr>
          <w:i w:val="0"/>
          <w:iCs w:val="0"/>
          <w:color w:val="auto"/>
          <w:sz w:val="22"/>
          <w:szCs w:val="22"/>
        </w:rPr>
        <w:t xml:space="preserve"> </w:t>
      </w:r>
      <w:r w:rsidR="000629D3">
        <w:rPr>
          <w:i w:val="0"/>
          <w:iCs w:val="0"/>
          <w:color w:val="auto"/>
          <w:sz w:val="22"/>
          <w:szCs w:val="22"/>
        </w:rPr>
        <w:t>by the use of geothermal replacing conventional technologies</w:t>
      </w:r>
      <w:r w:rsidR="00BB79D6" w:rsidRPr="00B86FD0">
        <w:rPr>
          <w:i w:val="0"/>
          <w:iCs w:val="0"/>
          <w:color w:val="auto"/>
          <w:sz w:val="22"/>
          <w:szCs w:val="22"/>
        </w:rPr>
        <w:t>.</w:t>
      </w:r>
      <w:r w:rsidR="00057050" w:rsidRPr="00B86FD0">
        <w:rPr>
          <w:i w:val="0"/>
          <w:iCs w:val="0"/>
          <w:color w:val="auto"/>
          <w:sz w:val="22"/>
          <w:szCs w:val="22"/>
        </w:rPr>
        <w:t xml:space="preserve"> Tables 3.2 and 3.3. provide additional information on the climate impacts of the solution adoption.</w:t>
      </w:r>
    </w:p>
    <w:p w14:paraId="4DA2B4CB" w14:textId="78CDE2A4" w:rsidR="00762877" w:rsidRPr="00E069AC" w:rsidRDefault="0066753A" w:rsidP="00EB247F">
      <w:pPr>
        <w:pStyle w:val="Caption"/>
        <w:jc w:val="center"/>
        <w:rPr>
          <w:rFonts w:eastAsia="Times New Roman" w:cs="Times New Roman"/>
          <w:sz w:val="24"/>
          <w:szCs w:val="24"/>
          <w:lang w:eastAsia="zh-CN"/>
        </w:rPr>
      </w:pPr>
      <w:bookmarkStart w:id="60" w:name="_Toc44542638"/>
      <w:r w:rsidRPr="00E069AC">
        <w:t xml:space="preserve">Table </w:t>
      </w:r>
      <w:fldSimple w:instr=" STYLEREF 1 \s ">
        <w:r w:rsidR="00492F5E" w:rsidRPr="00E069AC">
          <w:t>3</w:t>
        </w:r>
      </w:fldSimple>
      <w:r w:rsidR="00492F5E" w:rsidRPr="00E069AC">
        <w:t>.</w:t>
      </w:r>
      <w:fldSimple w:instr=" SEQ Table \* ARABIC \s 1 ">
        <w:r w:rsidR="00492F5E" w:rsidRPr="00E069AC">
          <w:t>2</w:t>
        </w:r>
      </w:fldSimple>
      <w:r w:rsidRPr="00E069AC">
        <w:t xml:space="preserve"> Climate Impacts</w:t>
      </w:r>
      <w:bookmarkEnd w:id="60"/>
    </w:p>
    <w:tbl>
      <w:tblPr>
        <w:tblW w:w="9376" w:type="dxa"/>
        <w:jc w:val="center"/>
        <w:tblLayout w:type="fixed"/>
        <w:tblCellMar>
          <w:top w:w="15" w:type="dxa"/>
          <w:left w:w="15" w:type="dxa"/>
          <w:bottom w:w="15" w:type="dxa"/>
          <w:right w:w="15" w:type="dxa"/>
        </w:tblCellMar>
        <w:tblLook w:val="04A0" w:firstRow="1" w:lastRow="0" w:firstColumn="1" w:lastColumn="0" w:noHBand="0" w:noVBand="1"/>
      </w:tblPr>
      <w:tblGrid>
        <w:gridCol w:w="2052"/>
        <w:gridCol w:w="2441"/>
        <w:gridCol w:w="2441"/>
        <w:gridCol w:w="2442"/>
      </w:tblGrid>
      <w:tr w:rsidR="005C77F5" w:rsidRPr="00E069AC" w14:paraId="0150056F" w14:textId="1D8EC1D7" w:rsidTr="005C77F5">
        <w:trPr>
          <w:trHeight w:val="388"/>
          <w:jc w:val="center"/>
        </w:trPr>
        <w:tc>
          <w:tcPr>
            <w:tcW w:w="205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03E3878"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E0923C5"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Maximum Annual Emissions Reduction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FADFDAF"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Total Emissions Reduction</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8D8D42A" w14:textId="77777777" w:rsidR="005C77F5" w:rsidRPr="00E069AC" w:rsidRDefault="005C77F5"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Emissions Reduction in 2050</w:t>
            </w:r>
          </w:p>
        </w:tc>
      </w:tr>
      <w:tr w:rsidR="005C77F5" w:rsidRPr="00E069AC" w14:paraId="6B5C6387" w14:textId="411C48F1" w:rsidTr="005C77F5">
        <w:trPr>
          <w:trHeight w:val="306"/>
          <w:jc w:val="center"/>
        </w:trPr>
        <w:tc>
          <w:tcPr>
            <w:tcW w:w="2052"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5C77F5" w:rsidRPr="00E069AC" w:rsidRDefault="005C77F5" w:rsidP="001534F5">
            <w:pPr>
              <w:spacing w:line="240" w:lineRule="auto"/>
              <w:jc w:val="center"/>
              <w:rPr>
                <w:rFonts w:cstheme="minorHAnsi"/>
                <w:b/>
                <w:bCs/>
                <w:i/>
                <w:color w:val="FFFFFF" w:themeColor="background1"/>
                <w:sz w:val="20"/>
                <w:szCs w:val="20"/>
                <w:lang w:eastAsia="zh-CN"/>
              </w:rPr>
            </w:pP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27D6628D"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668F7C2F"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-eq/yr. (2020-2050)</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3E01EFE1" w14:textId="77777777" w:rsidR="005C77F5" w:rsidRPr="00E069AC" w:rsidRDefault="005C77F5"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(Gt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-eq/year)</w:t>
            </w:r>
          </w:p>
        </w:tc>
      </w:tr>
      <w:tr w:rsidR="005C77F5" w:rsidRPr="00E069AC" w14:paraId="354A2249" w14:textId="7B11184C"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63153F" w14:textId="77777777" w:rsidR="005C77F5" w:rsidRPr="00E069AC" w:rsidRDefault="005C77F5" w:rsidP="001534F5">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Plausible</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7721421E" w:rsidR="005C77F5" w:rsidRPr="00FC304E" w:rsidRDefault="00F53F75"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F53F75">
              <w:rPr>
                <w:rFonts w:eastAsia="Times New Roman" w:cstheme="minorHAnsi"/>
                <w:color w:val="000000" w:themeColor="text1"/>
                <w:sz w:val="20"/>
                <w:szCs w:val="20"/>
                <w:lang w:eastAsia="zh-CN"/>
              </w:rPr>
              <w:t>0.44</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4F4398D6" w:rsidR="005C77F5" w:rsidRPr="00FC304E" w:rsidRDefault="00F53F75"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F53F75">
              <w:rPr>
                <w:rFonts w:eastAsia="Times New Roman" w:cstheme="minorHAnsi"/>
                <w:color w:val="000000" w:themeColor="text1"/>
                <w:sz w:val="20"/>
                <w:szCs w:val="20"/>
                <w:lang w:eastAsia="zh-CN"/>
              </w:rPr>
              <w:t>6.</w:t>
            </w:r>
            <w:r w:rsidR="005008C6">
              <w:rPr>
                <w:rFonts w:eastAsia="Times New Roman" w:cstheme="minorHAnsi"/>
                <w:color w:val="000000" w:themeColor="text1"/>
                <w:sz w:val="20"/>
                <w:szCs w:val="20"/>
                <w:lang w:eastAsia="zh-CN"/>
              </w:rPr>
              <w:t>82</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1B1D1F2B" w:rsidR="005C77F5" w:rsidRPr="00FC304E" w:rsidRDefault="00F53F75"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F53F75">
              <w:rPr>
                <w:rFonts w:eastAsia="Times New Roman" w:cstheme="minorHAnsi"/>
                <w:color w:val="000000" w:themeColor="text1"/>
                <w:sz w:val="20"/>
                <w:szCs w:val="20"/>
                <w:lang w:eastAsia="zh-CN"/>
              </w:rPr>
              <w:t>0.44</w:t>
            </w:r>
          </w:p>
        </w:tc>
      </w:tr>
      <w:tr w:rsidR="009D2CFB" w:rsidRPr="00E069AC" w14:paraId="7DCB0C2E" w14:textId="35D5AF3A"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8122973" w14:textId="77777777" w:rsidR="009D2CFB" w:rsidRPr="00E069AC" w:rsidRDefault="009D2CFB" w:rsidP="009D2CFB">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Drawdown</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7E9B0C8F" w:rsidR="009D2CFB" w:rsidRPr="00F53F75" w:rsidRDefault="00F53F75" w:rsidP="009D2CFB">
            <w:pPr>
              <w:shd w:val="clear" w:color="auto" w:fill="FFFFFF"/>
              <w:spacing w:after="0" w:line="240" w:lineRule="auto"/>
              <w:jc w:val="center"/>
              <w:rPr>
                <w:rFonts w:eastAsia="Times New Roman" w:cstheme="minorHAnsi"/>
                <w:color w:val="000000" w:themeColor="text1"/>
                <w:sz w:val="20"/>
                <w:szCs w:val="20"/>
                <w:lang w:eastAsia="zh-CN"/>
              </w:rPr>
            </w:pPr>
            <w:r w:rsidRPr="00F53F75">
              <w:rPr>
                <w:rFonts w:eastAsia="Times New Roman" w:cstheme="minorHAnsi"/>
                <w:color w:val="000000" w:themeColor="text1"/>
                <w:sz w:val="20"/>
                <w:szCs w:val="20"/>
                <w:lang w:eastAsia="zh-CN"/>
              </w:rPr>
              <w:t>0.6</w:t>
            </w:r>
            <w:r w:rsidR="005008C6">
              <w:rPr>
                <w:rFonts w:eastAsia="Times New Roman" w:cstheme="minorHAnsi"/>
                <w:color w:val="000000" w:themeColor="text1"/>
                <w:sz w:val="20"/>
                <w:szCs w:val="20"/>
                <w:lang w:eastAsia="zh-CN"/>
              </w:rPr>
              <w:t>6</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5E0F3B0A" w:rsidR="009D2CFB" w:rsidRPr="00F53F75" w:rsidRDefault="00F53F75" w:rsidP="009D2CFB">
            <w:pPr>
              <w:shd w:val="clear" w:color="auto" w:fill="FFFFFF"/>
              <w:spacing w:after="0" w:line="240" w:lineRule="auto"/>
              <w:jc w:val="center"/>
              <w:rPr>
                <w:rFonts w:eastAsia="Times New Roman" w:cstheme="minorHAnsi"/>
                <w:color w:val="000000" w:themeColor="text1"/>
                <w:sz w:val="20"/>
                <w:szCs w:val="20"/>
                <w:lang w:eastAsia="zh-CN"/>
              </w:rPr>
            </w:pPr>
            <w:r w:rsidRPr="00F53F75">
              <w:rPr>
                <w:rFonts w:eastAsia="Times New Roman" w:cstheme="minorHAnsi"/>
                <w:color w:val="000000" w:themeColor="text1"/>
                <w:sz w:val="20"/>
                <w:szCs w:val="20"/>
                <w:lang w:eastAsia="zh-CN"/>
              </w:rPr>
              <w:t>10.</w:t>
            </w:r>
            <w:r w:rsidR="005008C6">
              <w:rPr>
                <w:rFonts w:eastAsia="Times New Roman" w:cstheme="minorHAnsi"/>
                <w:color w:val="000000" w:themeColor="text1"/>
                <w:sz w:val="20"/>
                <w:szCs w:val="20"/>
                <w:lang w:eastAsia="zh-CN"/>
              </w:rPr>
              <w:t>72</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2D5C1D1C" w:rsidR="009D2CFB" w:rsidRPr="00F53F75" w:rsidRDefault="00F53F75" w:rsidP="009D2CFB">
            <w:pPr>
              <w:shd w:val="clear" w:color="auto" w:fill="FFFFFF"/>
              <w:spacing w:after="0" w:line="240" w:lineRule="auto"/>
              <w:jc w:val="center"/>
              <w:rPr>
                <w:rFonts w:eastAsia="Times New Roman" w:cstheme="minorHAnsi"/>
                <w:color w:val="000000" w:themeColor="text1"/>
                <w:sz w:val="20"/>
                <w:szCs w:val="20"/>
                <w:lang w:eastAsia="zh-CN"/>
              </w:rPr>
            </w:pPr>
            <w:r w:rsidRPr="00F53F75">
              <w:rPr>
                <w:rFonts w:eastAsia="Times New Roman" w:cstheme="minorHAnsi"/>
                <w:color w:val="000000" w:themeColor="text1"/>
                <w:sz w:val="20"/>
                <w:szCs w:val="20"/>
                <w:lang w:eastAsia="zh-CN"/>
              </w:rPr>
              <w:t>0.6</w:t>
            </w:r>
            <w:r w:rsidR="005008C6">
              <w:rPr>
                <w:rFonts w:eastAsia="Times New Roman" w:cstheme="minorHAnsi"/>
                <w:color w:val="000000" w:themeColor="text1"/>
                <w:sz w:val="20"/>
                <w:szCs w:val="20"/>
                <w:lang w:eastAsia="zh-CN"/>
              </w:rPr>
              <w:t>6</w:t>
            </w:r>
          </w:p>
        </w:tc>
      </w:tr>
      <w:tr w:rsidR="009D2CFB" w:rsidRPr="00E069AC" w14:paraId="7CA1AA1B" w14:textId="3D7819CF" w:rsidTr="005C77F5">
        <w:trPr>
          <w:trHeight w:val="163"/>
          <w:jc w:val="center"/>
        </w:trPr>
        <w:tc>
          <w:tcPr>
            <w:tcW w:w="205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9F4E2C" w14:textId="77777777" w:rsidR="009D2CFB" w:rsidRPr="00E069AC" w:rsidRDefault="009D2CFB" w:rsidP="009D2CFB">
            <w:pPr>
              <w:shd w:val="clear" w:color="auto" w:fill="FFFFFF" w:themeFill="background1"/>
              <w:spacing w:after="0" w:line="240" w:lineRule="auto"/>
              <w:jc w:val="center"/>
              <w:rPr>
                <w:i/>
                <w:iCs/>
                <w:color w:val="000000" w:themeColor="text1"/>
                <w:sz w:val="20"/>
                <w:szCs w:val="20"/>
                <w:lang w:eastAsia="zh-CN"/>
              </w:rPr>
            </w:pPr>
            <w:r w:rsidRPr="00E069AC">
              <w:rPr>
                <w:b/>
                <w:bCs/>
                <w:i/>
                <w:iCs/>
                <w:color w:val="000000" w:themeColor="text1"/>
                <w:sz w:val="20"/>
                <w:szCs w:val="20"/>
                <w:lang w:eastAsia="zh-CN"/>
              </w:rPr>
              <w:t>Optimum</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689D7399" w:rsidR="009D2CFB" w:rsidRPr="000629D3" w:rsidRDefault="000629D3" w:rsidP="009D2CFB">
            <w:pPr>
              <w:shd w:val="clear" w:color="auto" w:fill="FFFFFF"/>
              <w:spacing w:after="0" w:line="240" w:lineRule="auto"/>
              <w:jc w:val="center"/>
              <w:rPr>
                <w:rFonts w:eastAsia="Times New Roman" w:cstheme="minorHAnsi"/>
                <w:color w:val="000000" w:themeColor="text1"/>
                <w:sz w:val="20"/>
                <w:szCs w:val="20"/>
                <w:lang w:eastAsia="zh-CN"/>
              </w:rPr>
            </w:pPr>
            <w:r w:rsidRPr="000629D3">
              <w:rPr>
                <w:rFonts w:eastAsia="Times New Roman" w:cstheme="minorHAnsi"/>
                <w:color w:val="000000" w:themeColor="text1"/>
                <w:sz w:val="20"/>
                <w:szCs w:val="20"/>
                <w:lang w:eastAsia="zh-CN"/>
              </w:rPr>
              <w:t>1.5</w:t>
            </w:r>
            <w:r w:rsidR="005008C6">
              <w:rPr>
                <w:rFonts w:eastAsia="Times New Roman" w:cstheme="minorHAnsi"/>
                <w:color w:val="000000" w:themeColor="text1"/>
                <w:sz w:val="20"/>
                <w:szCs w:val="20"/>
                <w:lang w:eastAsia="zh-CN"/>
              </w:rPr>
              <w:t>6</w:t>
            </w:r>
          </w:p>
        </w:tc>
        <w:tc>
          <w:tcPr>
            <w:tcW w:w="24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26DBE375" w:rsidR="009D2CFB" w:rsidRPr="000629D3" w:rsidRDefault="00F53F75" w:rsidP="009D2CFB">
            <w:pPr>
              <w:shd w:val="clear" w:color="auto" w:fill="FFFFFF"/>
              <w:spacing w:after="0" w:line="240" w:lineRule="auto"/>
              <w:jc w:val="center"/>
              <w:rPr>
                <w:rFonts w:eastAsia="Times New Roman" w:cstheme="minorHAnsi"/>
                <w:color w:val="000000" w:themeColor="text1"/>
                <w:sz w:val="20"/>
                <w:szCs w:val="20"/>
                <w:lang w:eastAsia="zh-CN"/>
              </w:rPr>
            </w:pPr>
            <w:r w:rsidRPr="000629D3">
              <w:rPr>
                <w:rFonts w:eastAsia="Times New Roman" w:cstheme="minorHAnsi"/>
                <w:color w:val="000000" w:themeColor="text1"/>
                <w:sz w:val="20"/>
                <w:szCs w:val="20"/>
                <w:lang w:eastAsia="zh-CN"/>
              </w:rPr>
              <w:t>22.</w:t>
            </w:r>
            <w:r w:rsidR="005008C6">
              <w:rPr>
                <w:rFonts w:eastAsia="Times New Roman" w:cstheme="minorHAnsi"/>
                <w:color w:val="000000" w:themeColor="text1"/>
                <w:sz w:val="20"/>
                <w:szCs w:val="20"/>
                <w:lang w:eastAsia="zh-CN"/>
              </w:rPr>
              <w:t>18</w:t>
            </w:r>
          </w:p>
        </w:tc>
        <w:tc>
          <w:tcPr>
            <w:tcW w:w="244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3613902E" w:rsidR="009D2CFB" w:rsidRPr="000629D3" w:rsidRDefault="000629D3" w:rsidP="009D2CFB">
            <w:pPr>
              <w:shd w:val="clear" w:color="auto" w:fill="FFFFFF"/>
              <w:spacing w:after="0" w:line="240" w:lineRule="auto"/>
              <w:jc w:val="center"/>
              <w:rPr>
                <w:rFonts w:eastAsia="Times New Roman" w:cstheme="minorHAnsi"/>
                <w:color w:val="000000" w:themeColor="text1"/>
                <w:sz w:val="20"/>
                <w:szCs w:val="20"/>
                <w:lang w:eastAsia="zh-CN"/>
              </w:rPr>
            </w:pPr>
            <w:r w:rsidRPr="000629D3">
              <w:rPr>
                <w:rFonts w:eastAsia="Times New Roman" w:cstheme="minorHAnsi"/>
                <w:color w:val="000000" w:themeColor="text1"/>
                <w:sz w:val="20"/>
                <w:szCs w:val="20"/>
                <w:lang w:eastAsia="zh-CN"/>
              </w:rPr>
              <w:t>1.5</w:t>
            </w:r>
            <w:r w:rsidR="005008C6">
              <w:rPr>
                <w:rFonts w:eastAsia="Times New Roman" w:cstheme="minorHAnsi"/>
                <w:color w:val="000000" w:themeColor="text1"/>
                <w:sz w:val="20"/>
                <w:szCs w:val="20"/>
                <w:lang w:eastAsia="zh-CN"/>
              </w:rPr>
              <w:t>6</w:t>
            </w:r>
          </w:p>
        </w:tc>
      </w:tr>
    </w:tbl>
    <w:p w14:paraId="528C93A0" w14:textId="38A01066" w:rsidR="00727903" w:rsidRDefault="001534F5" w:rsidP="00727903">
      <w:pPr>
        <w:spacing w:after="0"/>
      </w:pPr>
      <w:bookmarkStart w:id="61" w:name="_Toc524993443"/>
      <w:r w:rsidRPr="00E069AC">
        <w:t xml:space="preserve">The solution was integrated with all other Project Drawdown solutions and may have different emissions results from the </w:t>
      </w:r>
      <w:r w:rsidRPr="000629D3">
        <w:t xml:space="preserve">models. This is due to adjustments caused by interactions among solutions that limit full adoption (such as by feedstock or demand limits) or that limit the full benefit of some solutions (such as reduced individual solution impact when technologies are combined). After integration, the impact on emission reduction for this solution </w:t>
      </w:r>
      <w:r w:rsidR="005008C6">
        <w:t>6.4</w:t>
      </w:r>
      <w:r w:rsidRPr="000629D3">
        <w:t xml:space="preserve"> gigatons of carbon dioxide-equivalent in the </w:t>
      </w:r>
      <w:r w:rsidRPr="00111A62">
        <w:rPr>
          <w:i/>
        </w:rPr>
        <w:t>Plausible</w:t>
      </w:r>
      <w:r w:rsidRPr="000629D3">
        <w:t xml:space="preserve"> scenario, </w:t>
      </w:r>
      <w:r w:rsidR="005008C6">
        <w:t>9.9</w:t>
      </w:r>
      <w:r w:rsidRPr="000629D3">
        <w:t xml:space="preserve"> gigatons of carbon dioxide-equivalent for the </w:t>
      </w:r>
      <w:r w:rsidRPr="00111A62">
        <w:rPr>
          <w:i/>
        </w:rPr>
        <w:t xml:space="preserve">Drawdown </w:t>
      </w:r>
      <w:r w:rsidRPr="000629D3">
        <w:t xml:space="preserve">Scenario and </w:t>
      </w:r>
      <w:r w:rsidR="000629D3" w:rsidRPr="000629D3">
        <w:t>1</w:t>
      </w:r>
      <w:r w:rsidR="005008C6">
        <w:t>9</w:t>
      </w:r>
      <w:r w:rsidR="000629D3" w:rsidRPr="000629D3">
        <w:t>.0</w:t>
      </w:r>
      <w:r w:rsidRPr="000629D3">
        <w:t xml:space="preserve"> gigatons of carbon dioxide-equivalent for the </w:t>
      </w:r>
      <w:r w:rsidRPr="00111A62">
        <w:rPr>
          <w:i/>
        </w:rPr>
        <w:t>Optimum</w:t>
      </w:r>
      <w:r w:rsidRPr="000629D3">
        <w:t xml:space="preserve"> Scenario.</w:t>
      </w:r>
      <w:r w:rsidR="00912CC8" w:rsidRPr="000629D3">
        <w:t xml:space="preserve"> Figure 3.2. show the world annual emissions reduction trajectories for the different scenarios for the long term.</w:t>
      </w:r>
    </w:p>
    <w:p w14:paraId="1CA8E266" w14:textId="77777777" w:rsidR="007E3431" w:rsidRPr="00E069AC" w:rsidRDefault="007E3431" w:rsidP="00727903">
      <w:pPr>
        <w:spacing w:after="0"/>
      </w:pPr>
    </w:p>
    <w:p w14:paraId="524B77BF" w14:textId="75BBD916" w:rsidR="00762877" w:rsidRPr="00E069AC" w:rsidRDefault="003A7929" w:rsidP="00EB247F">
      <w:pPr>
        <w:pStyle w:val="Caption"/>
        <w:jc w:val="center"/>
        <w:rPr>
          <w:rFonts w:eastAsia="Times New Roman" w:cs="Times New Roman"/>
          <w:sz w:val="24"/>
          <w:szCs w:val="24"/>
          <w:lang w:eastAsia="zh-CN"/>
        </w:rPr>
      </w:pPr>
      <w:bookmarkStart w:id="62" w:name="_Toc44542639"/>
      <w:r w:rsidRPr="00E069AC">
        <w:t xml:space="preserve">Table </w:t>
      </w:r>
      <w:fldSimple w:instr=" STYLEREF 1 \s ">
        <w:r w:rsidRPr="00E069AC">
          <w:t>3</w:t>
        </w:r>
      </w:fldSimple>
      <w:r w:rsidRPr="00E069AC">
        <w:t>.</w:t>
      </w:r>
      <w:fldSimple w:instr=" SEQ Table \* ARABIC \s 1 ">
        <w:r w:rsidRPr="00E069AC">
          <w:t>3</w:t>
        </w:r>
      </w:fldSimple>
      <w:r w:rsidRPr="00E069AC">
        <w:t xml:space="preserve"> Impacts on Atmospheric Concentrations of CO</w:t>
      </w:r>
      <w:r w:rsidRPr="00E069AC">
        <w:rPr>
          <w:vertAlign w:val="subscript"/>
        </w:rPr>
        <w:t>2</w:t>
      </w:r>
      <w:r w:rsidRPr="00E069AC">
        <w:t>-eq</w:t>
      </w:r>
      <w:bookmarkEnd w:id="61"/>
      <w:bookmarkEnd w:id="62"/>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E069AC" w14:paraId="6867F03C" w14:textId="77777777" w:rsidTr="005C77F5">
        <w:trPr>
          <w:trHeight w:val="46"/>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E069AC" w:rsidRDefault="003A7929" w:rsidP="001534F5">
            <w:pPr>
              <w:spacing w:line="240" w:lineRule="auto"/>
              <w:jc w:val="center"/>
              <w:rPr>
                <w:rFonts w:cstheme="minorHAnsi"/>
                <w:b/>
                <w:bCs/>
                <w:color w:val="FFFFFF" w:themeColor="background1"/>
                <w:sz w:val="20"/>
                <w:szCs w:val="20"/>
                <w:lang w:eastAsia="zh-CN"/>
              </w:rPr>
            </w:pPr>
            <w:r w:rsidRPr="00E069AC">
              <w:rPr>
                <w:rFonts w:cstheme="minorHAnsi"/>
                <w:b/>
                <w:bCs/>
                <w:color w:val="FFFFFF" w:themeColor="background1"/>
                <w:sz w:val="20"/>
                <w:szCs w:val="20"/>
                <w:lang w:eastAsia="zh-CN"/>
              </w:rPr>
              <w:t>GHG Concentration Rate of Change in 2050</w:t>
            </w:r>
          </w:p>
        </w:tc>
      </w:tr>
      <w:tr w:rsidR="003A7929" w:rsidRPr="00E069AC" w14:paraId="143693A2" w14:textId="77777777" w:rsidTr="005C77F5">
        <w:trPr>
          <w:trHeight w:val="26"/>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E069AC" w:rsidRDefault="003A7929" w:rsidP="001534F5">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E069AC" w:rsidRDefault="003A7929" w:rsidP="001534F5">
            <w:pPr>
              <w:spacing w:line="240" w:lineRule="auto"/>
              <w:jc w:val="center"/>
              <w:rPr>
                <w:rFonts w:cstheme="minorHAnsi"/>
                <w:bCs/>
                <w:i/>
                <w:color w:val="FFFFFF" w:themeColor="background1"/>
                <w:sz w:val="20"/>
                <w:szCs w:val="20"/>
                <w:lang w:eastAsia="zh-CN"/>
              </w:rPr>
            </w:pPr>
            <w:r w:rsidRPr="00E069AC">
              <w:rPr>
                <w:rFonts w:cstheme="minorHAnsi"/>
                <w:bCs/>
                <w:i/>
                <w:color w:val="FFFFFF" w:themeColor="background1"/>
                <w:sz w:val="20"/>
                <w:szCs w:val="20"/>
                <w:lang w:eastAsia="zh-CN"/>
              </w:rPr>
              <w:t>PPM CO</w:t>
            </w:r>
            <w:r w:rsidRPr="00E069AC">
              <w:rPr>
                <w:rFonts w:cstheme="minorHAnsi"/>
                <w:bCs/>
                <w:i/>
                <w:color w:val="FFFFFF" w:themeColor="background1"/>
                <w:sz w:val="20"/>
                <w:szCs w:val="20"/>
                <w:vertAlign w:val="subscript"/>
                <w:lang w:eastAsia="zh-CN"/>
              </w:rPr>
              <w:t>2</w:t>
            </w:r>
            <w:r w:rsidRPr="00E069AC">
              <w:rPr>
                <w:rFonts w:cstheme="minorHAnsi"/>
                <w:bCs/>
                <w:i/>
                <w:color w:val="FFFFFF" w:themeColor="background1"/>
                <w:sz w:val="20"/>
                <w:szCs w:val="20"/>
                <w:lang w:eastAsia="zh-CN"/>
              </w:rPr>
              <w:t>-eq change from 2049-2050</w:t>
            </w:r>
          </w:p>
        </w:tc>
      </w:tr>
      <w:tr w:rsidR="003A7929" w:rsidRPr="00E069AC"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3A7929" w:rsidRPr="00E069AC" w:rsidRDefault="003A7929" w:rsidP="001534F5">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6E4C6371" w:rsidR="003A7929" w:rsidRPr="00FC304E" w:rsidRDefault="000629D3"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0629D3">
              <w:rPr>
                <w:rFonts w:eastAsia="Times New Roman" w:cstheme="minorHAnsi"/>
                <w:color w:val="000000" w:themeColor="text1"/>
                <w:sz w:val="20"/>
                <w:szCs w:val="20"/>
                <w:lang w:eastAsia="zh-CN"/>
              </w:rPr>
              <w:t>0.58</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4D685A87" w:rsidR="003A7929" w:rsidRPr="00FC304E" w:rsidRDefault="000629D3" w:rsidP="001534F5">
            <w:pPr>
              <w:shd w:val="clear" w:color="auto" w:fill="FFFFFF"/>
              <w:spacing w:after="0" w:line="240" w:lineRule="auto"/>
              <w:jc w:val="center"/>
              <w:rPr>
                <w:rFonts w:eastAsia="Times New Roman" w:cstheme="minorHAnsi"/>
                <w:color w:val="000000" w:themeColor="text1"/>
                <w:sz w:val="20"/>
                <w:szCs w:val="20"/>
                <w:highlight w:val="lightGray"/>
                <w:lang w:eastAsia="zh-CN"/>
              </w:rPr>
            </w:pPr>
            <w:r w:rsidRPr="007528C2">
              <w:rPr>
                <w:rFonts w:eastAsia="Times New Roman" w:cstheme="minorHAnsi"/>
                <w:color w:val="000000" w:themeColor="text1"/>
                <w:sz w:val="20"/>
                <w:szCs w:val="20"/>
                <w:lang w:eastAsia="zh-CN"/>
              </w:rPr>
              <w:t>0.03</w:t>
            </w:r>
          </w:p>
        </w:tc>
      </w:tr>
      <w:tr w:rsidR="00C569DB" w:rsidRPr="00E069AC"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C569DB" w:rsidRPr="00E069AC" w:rsidRDefault="00C569DB" w:rsidP="00C569DB">
            <w:pPr>
              <w:shd w:val="clear" w:color="auto" w:fill="FFFFFF" w:themeFill="background1"/>
              <w:spacing w:after="0" w:line="240" w:lineRule="auto"/>
              <w:jc w:val="center"/>
              <w:rPr>
                <w:color w:val="000000" w:themeColor="text1"/>
                <w:sz w:val="20"/>
                <w:szCs w:val="20"/>
                <w:lang w:eastAsia="zh-CN"/>
              </w:rPr>
            </w:pPr>
            <w:r w:rsidRPr="00E069AC">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77AFDC25" w:rsidR="00C569DB" w:rsidRPr="007528C2" w:rsidRDefault="007528C2" w:rsidP="00C569DB">
            <w:pPr>
              <w:shd w:val="clear" w:color="auto" w:fill="FFFFFF"/>
              <w:spacing w:after="0" w:line="240" w:lineRule="auto"/>
              <w:jc w:val="center"/>
              <w:rPr>
                <w:rFonts w:eastAsia="Times New Roman" w:cstheme="minorHAnsi"/>
                <w:color w:val="000000" w:themeColor="text1"/>
                <w:sz w:val="20"/>
                <w:szCs w:val="20"/>
                <w:lang w:eastAsia="zh-CN"/>
              </w:rPr>
            </w:pPr>
            <w:r w:rsidRPr="007528C2">
              <w:rPr>
                <w:rFonts w:eastAsia="Times New Roman" w:cstheme="minorHAnsi"/>
                <w:color w:val="000000" w:themeColor="text1"/>
                <w:sz w:val="20"/>
                <w:szCs w:val="20"/>
                <w:lang w:eastAsia="zh-CN"/>
              </w:rPr>
              <w:t>0.9</w:t>
            </w:r>
            <w:r w:rsidR="005008C6">
              <w:rPr>
                <w:rFonts w:eastAsia="Times New Roman" w:cstheme="minorHAnsi"/>
                <w:color w:val="000000" w:themeColor="text1"/>
                <w:sz w:val="20"/>
                <w:szCs w:val="20"/>
                <w:lang w:eastAsia="zh-CN"/>
              </w:rPr>
              <w:t>1</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55C29393" w:rsidR="00C569DB" w:rsidRPr="007528C2" w:rsidRDefault="00C569DB" w:rsidP="00C569DB">
            <w:pPr>
              <w:shd w:val="clear" w:color="auto" w:fill="FFFFFF"/>
              <w:spacing w:after="0" w:line="240" w:lineRule="auto"/>
              <w:jc w:val="center"/>
              <w:rPr>
                <w:rFonts w:eastAsia="Times New Roman" w:cstheme="minorHAnsi"/>
                <w:color w:val="000000" w:themeColor="text1"/>
                <w:sz w:val="20"/>
                <w:szCs w:val="20"/>
                <w:lang w:eastAsia="zh-CN"/>
              </w:rPr>
            </w:pPr>
            <w:r w:rsidRPr="007528C2">
              <w:rPr>
                <w:rFonts w:eastAsia="Times New Roman" w:cstheme="minorHAnsi"/>
                <w:color w:val="000000" w:themeColor="text1"/>
                <w:sz w:val="20"/>
                <w:szCs w:val="20"/>
                <w:lang w:eastAsia="zh-CN"/>
              </w:rPr>
              <w:t>0.</w:t>
            </w:r>
            <w:r w:rsidR="007528C2" w:rsidRPr="007528C2">
              <w:rPr>
                <w:rFonts w:eastAsia="Times New Roman" w:cstheme="minorHAnsi"/>
                <w:color w:val="000000" w:themeColor="text1"/>
                <w:sz w:val="20"/>
                <w:szCs w:val="20"/>
                <w:lang w:eastAsia="zh-CN"/>
              </w:rPr>
              <w:t>05</w:t>
            </w:r>
          </w:p>
        </w:tc>
      </w:tr>
      <w:tr w:rsidR="001F281D" w:rsidRPr="00E069AC"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1F281D" w:rsidRPr="007528C2" w:rsidRDefault="001F281D" w:rsidP="001F281D">
            <w:pPr>
              <w:shd w:val="clear" w:color="auto" w:fill="FFFFFF" w:themeFill="background1"/>
              <w:spacing w:after="0" w:line="240" w:lineRule="auto"/>
              <w:jc w:val="center"/>
              <w:rPr>
                <w:color w:val="000000" w:themeColor="text1"/>
                <w:sz w:val="20"/>
                <w:szCs w:val="20"/>
                <w:lang w:eastAsia="zh-CN"/>
              </w:rPr>
            </w:pPr>
            <w:r w:rsidRPr="007528C2">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1DD7F3F0" w:rsidR="001F281D" w:rsidRPr="007528C2" w:rsidRDefault="007528C2" w:rsidP="001F281D">
            <w:pPr>
              <w:shd w:val="clear" w:color="auto" w:fill="FFFFFF"/>
              <w:spacing w:after="0" w:line="240" w:lineRule="auto"/>
              <w:jc w:val="center"/>
              <w:rPr>
                <w:rFonts w:eastAsia="Times New Roman" w:cstheme="minorHAnsi"/>
                <w:color w:val="000000" w:themeColor="text1"/>
                <w:sz w:val="20"/>
                <w:szCs w:val="20"/>
                <w:lang w:eastAsia="zh-CN"/>
              </w:rPr>
            </w:pPr>
            <w:r w:rsidRPr="007528C2">
              <w:rPr>
                <w:rFonts w:eastAsia="Times New Roman" w:cstheme="minorHAnsi"/>
                <w:color w:val="000000" w:themeColor="text1"/>
                <w:sz w:val="20"/>
                <w:szCs w:val="20"/>
                <w:lang w:eastAsia="zh-CN"/>
              </w:rPr>
              <w:t>1.</w:t>
            </w:r>
            <w:r w:rsidR="005008C6">
              <w:rPr>
                <w:rFonts w:eastAsia="Times New Roman" w:cstheme="minorHAnsi"/>
                <w:color w:val="000000" w:themeColor="text1"/>
                <w:sz w:val="20"/>
                <w:szCs w:val="20"/>
                <w:lang w:eastAsia="zh-CN"/>
              </w:rPr>
              <w:t>90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60BCA4A4" w:rsidR="001F281D" w:rsidRPr="007528C2" w:rsidRDefault="001F281D" w:rsidP="001F281D">
            <w:pPr>
              <w:shd w:val="clear" w:color="auto" w:fill="FFFFFF"/>
              <w:spacing w:after="0" w:line="240" w:lineRule="auto"/>
              <w:jc w:val="center"/>
              <w:rPr>
                <w:rFonts w:eastAsia="Times New Roman" w:cstheme="minorHAnsi"/>
                <w:color w:val="000000" w:themeColor="text1"/>
                <w:sz w:val="20"/>
                <w:szCs w:val="20"/>
                <w:lang w:eastAsia="zh-CN"/>
              </w:rPr>
            </w:pPr>
            <w:r w:rsidRPr="007528C2">
              <w:rPr>
                <w:rFonts w:eastAsia="Times New Roman" w:cstheme="minorHAnsi"/>
                <w:color w:val="000000" w:themeColor="text1"/>
                <w:sz w:val="20"/>
                <w:szCs w:val="20"/>
                <w:lang w:eastAsia="zh-CN"/>
              </w:rPr>
              <w:t>0.1</w:t>
            </w:r>
            <w:r w:rsidR="005008C6">
              <w:rPr>
                <w:rFonts w:eastAsia="Times New Roman" w:cstheme="minorHAnsi"/>
                <w:color w:val="000000" w:themeColor="text1"/>
                <w:sz w:val="20"/>
                <w:szCs w:val="20"/>
                <w:lang w:eastAsia="zh-CN"/>
              </w:rPr>
              <w:t>3</w:t>
            </w:r>
          </w:p>
        </w:tc>
      </w:tr>
    </w:tbl>
    <w:p w14:paraId="52077D33" w14:textId="77777777" w:rsidR="003A7FE2" w:rsidRPr="00E069AC" w:rsidRDefault="003A7FE2" w:rsidP="00EB247F">
      <w:pPr>
        <w:pStyle w:val="Caption"/>
      </w:pPr>
    </w:p>
    <w:p w14:paraId="61997373" w14:textId="41BEB6F9" w:rsidR="003A7929" w:rsidRPr="007E3431" w:rsidRDefault="005008C6" w:rsidP="00EB247F">
      <w:pPr>
        <w:jc w:val="center"/>
      </w:pPr>
      <w:r>
        <w:rPr>
          <w:noProof/>
        </w:rPr>
        <w:drawing>
          <wp:inline distT="0" distB="0" distL="0" distR="0" wp14:anchorId="4C7E58C8" wp14:editId="7B2ACBF7">
            <wp:extent cx="5615189" cy="3181082"/>
            <wp:effectExtent l="0" t="0" r="11430" b="6985"/>
            <wp:docPr id="11" name="Chart 11">
              <a:extLst xmlns:a="http://schemas.openxmlformats.org/drawingml/2006/main">
                <a:ext uri="{FF2B5EF4-FFF2-40B4-BE49-F238E27FC236}">
                  <a16:creationId xmlns:a16="http://schemas.microsoft.com/office/drawing/2014/main" id="{00000000-0008-0000-04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DAEFCF6" w14:textId="3C10115E" w:rsidR="00762877" w:rsidRDefault="003A7929" w:rsidP="00996E91">
      <w:pPr>
        <w:pStyle w:val="Caption"/>
        <w:jc w:val="center"/>
      </w:pPr>
      <w:bookmarkStart w:id="63" w:name="_Toc524993433"/>
      <w:bookmarkStart w:id="64" w:name="_Toc44542631"/>
      <w:r w:rsidRPr="00F53F75">
        <w:t xml:space="preserve">Figure </w:t>
      </w:r>
      <w:r w:rsidR="00842B09" w:rsidRPr="00F53F75">
        <w:rPr>
          <w:noProof/>
        </w:rPr>
        <w:fldChar w:fldCharType="begin"/>
      </w:r>
      <w:r w:rsidR="00842B09" w:rsidRPr="00F53F75">
        <w:rPr>
          <w:noProof/>
        </w:rPr>
        <w:instrText xml:space="preserve"> STYLEREF 1 \s </w:instrText>
      </w:r>
      <w:r w:rsidR="00842B09" w:rsidRPr="00F53F75">
        <w:rPr>
          <w:noProof/>
        </w:rPr>
        <w:fldChar w:fldCharType="separate"/>
      </w:r>
      <w:r w:rsidR="007D6308" w:rsidRPr="00F53F75">
        <w:rPr>
          <w:noProof/>
        </w:rPr>
        <w:t>3</w:t>
      </w:r>
      <w:r w:rsidR="00842B09" w:rsidRPr="00F53F75">
        <w:rPr>
          <w:noProof/>
        </w:rPr>
        <w:fldChar w:fldCharType="end"/>
      </w:r>
      <w:r w:rsidRPr="00F53F75">
        <w:t>.</w:t>
      </w:r>
      <w:r w:rsidR="00842B09" w:rsidRPr="00F53F75">
        <w:rPr>
          <w:noProof/>
        </w:rPr>
        <w:fldChar w:fldCharType="begin"/>
      </w:r>
      <w:r w:rsidR="00842B09" w:rsidRPr="00F53F75">
        <w:rPr>
          <w:noProof/>
        </w:rPr>
        <w:instrText xml:space="preserve"> SEQ Figure \* ARABIC \s 1 </w:instrText>
      </w:r>
      <w:r w:rsidR="00842B09" w:rsidRPr="00F53F75">
        <w:rPr>
          <w:noProof/>
        </w:rPr>
        <w:fldChar w:fldCharType="separate"/>
      </w:r>
      <w:r w:rsidR="007D6308" w:rsidRPr="00F53F75">
        <w:rPr>
          <w:noProof/>
        </w:rPr>
        <w:t>2</w:t>
      </w:r>
      <w:r w:rsidR="00842B09" w:rsidRPr="00F53F75">
        <w:rPr>
          <w:noProof/>
        </w:rPr>
        <w:fldChar w:fldCharType="end"/>
      </w:r>
      <w:r w:rsidRPr="00F53F75">
        <w:t xml:space="preserve"> World Annual</w:t>
      </w:r>
      <w:r w:rsidRPr="00F53F75">
        <w:rPr>
          <w:vertAlign w:val="subscript"/>
        </w:rPr>
        <w:t xml:space="preserve"> </w:t>
      </w:r>
      <w:r w:rsidRPr="00F53F75">
        <w:t>Greenhouse Gas Emissions Reduction</w:t>
      </w:r>
      <w:bookmarkEnd w:id="63"/>
      <w:r w:rsidR="00F53F75" w:rsidRPr="00F53F75">
        <w:t xml:space="preserve"> (2015-2060)</w:t>
      </w:r>
      <w:bookmarkEnd w:id="64"/>
    </w:p>
    <w:p w14:paraId="7216306B" w14:textId="0712F392" w:rsidR="00B86FD0" w:rsidRPr="00B86FD0" w:rsidRDefault="00B86FD0" w:rsidP="00B86FD0">
      <w:r>
        <w:t>Note: Drawdown and Optimum Scenarios have the same global adoption for this solution and therefore the operation costs reduction over time for both scenarios are overlaid in the figure.</w:t>
      </w:r>
    </w:p>
    <w:p w14:paraId="66EC2EBB" w14:textId="500D3397" w:rsidR="00B261E0" w:rsidRPr="00E069AC" w:rsidRDefault="551A77D0" w:rsidP="00921A82">
      <w:pPr>
        <w:pStyle w:val="Heading2"/>
        <w:numPr>
          <w:ilvl w:val="1"/>
          <w:numId w:val="4"/>
        </w:numPr>
      </w:pPr>
      <w:bookmarkStart w:id="65" w:name="_Toc19137325"/>
      <w:r w:rsidRPr="00E069AC">
        <w:t>Financial Impacts</w:t>
      </w:r>
      <w:bookmarkEnd w:id="65"/>
    </w:p>
    <w:p w14:paraId="67D10FD6" w14:textId="544A06AF" w:rsidR="00E9270B" w:rsidRPr="00C569DB" w:rsidRDefault="00E9270B" w:rsidP="005C77F5">
      <w:r w:rsidRPr="00C569DB">
        <w:t xml:space="preserve">The financial </w:t>
      </w:r>
      <w:r w:rsidR="00C569DB">
        <w:t>impacts</w:t>
      </w:r>
      <w:r w:rsidRPr="00C569DB">
        <w:t xml:space="preserve"> incurred by replacing conventional grid electricity sources with </w:t>
      </w:r>
      <w:r w:rsidR="001A463C">
        <w:t xml:space="preserve">geothermal </w:t>
      </w:r>
      <w:r w:rsidR="00C569DB" w:rsidRPr="00C569DB">
        <w:t>systems</w:t>
      </w:r>
      <w:r w:rsidRPr="00C569DB">
        <w:t xml:space="preserve"> </w:t>
      </w:r>
      <w:r w:rsidR="001F281D">
        <w:t>in the</w:t>
      </w:r>
      <w:r w:rsidRPr="00C569DB">
        <w:t xml:space="preserve"> </w:t>
      </w:r>
      <w:r w:rsidR="005C77F5" w:rsidRPr="00C569DB">
        <w:t xml:space="preserve">Plausible </w:t>
      </w:r>
      <w:r w:rsidR="005C77F5" w:rsidRPr="001F281D">
        <w:t>scenario presents US$</w:t>
      </w:r>
      <w:r w:rsidR="007528C2">
        <w:t>80.6</w:t>
      </w:r>
      <w:r w:rsidR="005C77F5" w:rsidRPr="001F281D">
        <w:t xml:space="preserve"> billion in </w:t>
      </w:r>
      <w:r w:rsidR="00C569DB" w:rsidRPr="001F281D">
        <w:t>marginal</w:t>
      </w:r>
      <w:r w:rsidR="005C77F5" w:rsidRPr="001F281D">
        <w:t xml:space="preserve"> first costs</w:t>
      </w:r>
      <w:r w:rsidR="00996E91" w:rsidRPr="001F281D">
        <w:t xml:space="preserve"> and</w:t>
      </w:r>
      <w:r w:rsidR="005C77F5" w:rsidRPr="001F281D">
        <w:t xml:space="preserve"> </w:t>
      </w:r>
      <w:r w:rsidR="00996E91" w:rsidRPr="001F281D">
        <w:t>ov</w:t>
      </w:r>
      <w:r w:rsidR="005C77F5" w:rsidRPr="001F281D">
        <w:t>er US$</w:t>
      </w:r>
      <w:r w:rsidR="007528C2">
        <w:t>376.9</w:t>
      </w:r>
      <w:r w:rsidR="005C77F5" w:rsidRPr="001F281D">
        <w:t xml:space="preserve"> </w:t>
      </w:r>
      <w:r w:rsidR="001F281D" w:rsidRPr="001F281D">
        <w:t>billions</w:t>
      </w:r>
      <w:r w:rsidR="005C77F5" w:rsidRPr="001F281D">
        <w:t xml:space="preserve"> of net operating </w:t>
      </w:r>
      <w:r w:rsidR="00C569DB" w:rsidRPr="001F281D">
        <w:t xml:space="preserve">cost </w:t>
      </w:r>
      <w:r w:rsidR="005C77F5" w:rsidRPr="001F281D">
        <w:t>savings are projected over the same period</w:t>
      </w:r>
      <w:r w:rsidR="007528C2">
        <w:t xml:space="preserve"> (2020-2050)</w:t>
      </w:r>
      <w:r w:rsidR="00C569DB" w:rsidRPr="001F281D">
        <w:t xml:space="preserve">. </w:t>
      </w:r>
      <w:r w:rsidR="00434AB2">
        <w:t>PDS2</w:t>
      </w:r>
      <w:r w:rsidR="001B07CC">
        <w:t xml:space="preserve"> results show</w:t>
      </w:r>
      <w:r w:rsidR="00434AB2">
        <w:t xml:space="preserve"> </w:t>
      </w:r>
      <w:r w:rsidR="00434AB2" w:rsidRPr="001F281D">
        <w:t>US$</w:t>
      </w:r>
      <w:r w:rsidR="001B07CC">
        <w:t>86.5</w:t>
      </w:r>
      <w:r w:rsidR="00434AB2" w:rsidRPr="001F281D">
        <w:t xml:space="preserve"> billions of marginal first costs and over </w:t>
      </w:r>
      <w:r w:rsidR="00767F79" w:rsidRPr="001F281D">
        <w:rPr>
          <w:bCs/>
        </w:rPr>
        <w:t>$</w:t>
      </w:r>
      <w:r w:rsidR="00767F79">
        <w:rPr>
          <w:bCs/>
        </w:rPr>
        <w:t>US</w:t>
      </w:r>
      <w:r w:rsidR="001B07CC">
        <w:t>592</w:t>
      </w:r>
      <w:r w:rsidR="00434AB2" w:rsidRPr="001F281D">
        <w:t xml:space="preserve"> billions of net operating savings</w:t>
      </w:r>
      <w:r w:rsidR="00434AB2" w:rsidRPr="001F281D">
        <w:rPr>
          <w:rFonts w:cs="Times New Roman"/>
        </w:rPr>
        <w:t>.</w:t>
      </w:r>
      <w:r w:rsidR="001B07CC">
        <w:t xml:space="preserve"> </w:t>
      </w:r>
      <w:r w:rsidR="00996E91" w:rsidRPr="001F281D">
        <w:t xml:space="preserve">PDS3 have </w:t>
      </w:r>
      <w:r w:rsidR="001B07CC">
        <w:t>higher positive results</w:t>
      </w:r>
      <w:r w:rsidR="00996E91" w:rsidRPr="001F281D">
        <w:t xml:space="preserve"> numbers with near US$</w:t>
      </w:r>
      <w:r w:rsidR="001B07CC">
        <w:t>80.3</w:t>
      </w:r>
      <w:r w:rsidR="00C569DB" w:rsidRPr="001F281D">
        <w:t xml:space="preserve"> billions</w:t>
      </w:r>
      <w:r w:rsidR="00996E91" w:rsidRPr="001F281D">
        <w:t xml:space="preserve"> of marginal first costs and over </w:t>
      </w:r>
      <w:r w:rsidR="00767F79" w:rsidRPr="001F281D">
        <w:rPr>
          <w:bCs/>
        </w:rPr>
        <w:t>$</w:t>
      </w:r>
      <w:r w:rsidR="00767F79">
        <w:rPr>
          <w:bCs/>
        </w:rPr>
        <w:t>US</w:t>
      </w:r>
      <w:r w:rsidR="001F281D" w:rsidRPr="001F281D">
        <w:t>1</w:t>
      </w:r>
      <w:r w:rsidR="001B07CC">
        <w:t>,232</w:t>
      </w:r>
      <w:r w:rsidR="00996E91" w:rsidRPr="001F281D">
        <w:t xml:space="preserve"> </w:t>
      </w:r>
      <w:r w:rsidR="00C569DB" w:rsidRPr="001F281D">
        <w:t>billions</w:t>
      </w:r>
      <w:r w:rsidR="00996E91" w:rsidRPr="001F281D">
        <w:t xml:space="preserve"> of net operating savings</w:t>
      </w:r>
      <w:r w:rsidR="00D47E71" w:rsidRPr="001F281D">
        <w:rPr>
          <w:rFonts w:cs="Times New Roman"/>
        </w:rPr>
        <w:t>. This is due to the long lifetime of the plants before retirement, the lack of disposal costs, and</w:t>
      </w:r>
      <w:r w:rsidR="00D47E71">
        <w:rPr>
          <w:rFonts w:cs="Times New Roman"/>
        </w:rPr>
        <w:t xml:space="preserve"> the significantly lower maintenance and fuel costs over a reference scenario</w:t>
      </w:r>
      <w:r w:rsidR="00D47E71">
        <w:t xml:space="preserve"> with high share of fossil fuels.</w:t>
      </w:r>
    </w:p>
    <w:p w14:paraId="4F6C2C45" w14:textId="10AF64FC" w:rsidR="00E14F94" w:rsidRPr="001F281D" w:rsidRDefault="00E9270B" w:rsidP="001F281D">
      <w:r w:rsidRPr="00C569DB">
        <w:rPr>
          <w:bCs/>
        </w:rPr>
        <w:t xml:space="preserve">The capital costs for PDS adoption of </w:t>
      </w:r>
      <w:r w:rsidR="001A463C">
        <w:rPr>
          <w:bCs/>
        </w:rPr>
        <w:t>geothermal</w:t>
      </w:r>
      <w:r w:rsidR="00C569DB" w:rsidRPr="00C569DB">
        <w:rPr>
          <w:bCs/>
        </w:rPr>
        <w:t xml:space="preserve"> systems</w:t>
      </w:r>
      <w:r w:rsidRPr="00C569DB">
        <w:rPr>
          <w:bCs/>
        </w:rPr>
        <w:t xml:space="preserve"> will require significant investments, as the cumulative </w:t>
      </w:r>
      <w:r w:rsidRPr="001F281D">
        <w:rPr>
          <w:bCs/>
        </w:rPr>
        <w:t xml:space="preserve">capital costs are over </w:t>
      </w:r>
      <w:r w:rsidR="00767F79" w:rsidRPr="001F281D">
        <w:rPr>
          <w:bCs/>
        </w:rPr>
        <w:t>$</w:t>
      </w:r>
      <w:r w:rsidR="00767F79">
        <w:rPr>
          <w:bCs/>
        </w:rPr>
        <w:t>US</w:t>
      </w:r>
      <w:r w:rsidR="001B07CC">
        <w:rPr>
          <w:bCs/>
        </w:rPr>
        <w:t>542</w:t>
      </w:r>
      <w:r w:rsidR="001F281D">
        <w:rPr>
          <w:bCs/>
        </w:rPr>
        <w:t xml:space="preserve"> billion</w:t>
      </w:r>
      <w:r w:rsidRPr="001F281D">
        <w:rPr>
          <w:bCs/>
        </w:rPr>
        <w:t xml:space="preserve"> under the Plausible Scenario</w:t>
      </w:r>
      <w:r w:rsidR="001B07CC">
        <w:rPr>
          <w:bCs/>
        </w:rPr>
        <w:t>,</w:t>
      </w:r>
      <w:r w:rsidRPr="001F281D">
        <w:rPr>
          <w:bCs/>
        </w:rPr>
        <w:t xml:space="preserve"> $</w:t>
      </w:r>
      <w:r w:rsidR="00767F79">
        <w:rPr>
          <w:bCs/>
        </w:rPr>
        <w:t>US</w:t>
      </w:r>
      <w:r w:rsidR="001B07CC">
        <w:rPr>
          <w:bCs/>
        </w:rPr>
        <w:t>746 billion</w:t>
      </w:r>
      <w:r w:rsidRPr="001F281D">
        <w:rPr>
          <w:bCs/>
        </w:rPr>
        <w:t xml:space="preserve"> for the </w:t>
      </w:r>
      <w:r w:rsidR="001B07CC">
        <w:rPr>
          <w:bCs/>
        </w:rPr>
        <w:t xml:space="preserve">PDS2 and </w:t>
      </w:r>
      <w:r w:rsidR="00767F79" w:rsidRPr="001F281D">
        <w:rPr>
          <w:bCs/>
        </w:rPr>
        <w:t>$</w:t>
      </w:r>
      <w:r w:rsidR="00767F79">
        <w:rPr>
          <w:bCs/>
        </w:rPr>
        <w:t>US</w:t>
      </w:r>
      <w:r w:rsidR="001B07CC">
        <w:rPr>
          <w:bCs/>
        </w:rPr>
        <w:t xml:space="preserve">1,523 on PDS3 which relate with </w:t>
      </w:r>
      <w:r w:rsidR="00C569DB" w:rsidRPr="001F281D">
        <w:rPr>
          <w:bCs/>
        </w:rPr>
        <w:t xml:space="preserve">more ambitious </w:t>
      </w:r>
      <w:r w:rsidRPr="001F281D">
        <w:rPr>
          <w:bCs/>
        </w:rPr>
        <w:t xml:space="preserve">PD </w:t>
      </w:r>
      <w:r w:rsidR="001B07CC">
        <w:rPr>
          <w:bCs/>
        </w:rPr>
        <w:t xml:space="preserve">adoption </w:t>
      </w:r>
      <w:r w:rsidRPr="001F281D">
        <w:rPr>
          <w:bCs/>
        </w:rPr>
        <w:t xml:space="preserve">scenarios. </w:t>
      </w:r>
      <w:r w:rsidR="003A7929" w:rsidRPr="00C569DB">
        <w:rPr>
          <w:iCs/>
          <w:kern w:val="2"/>
          <w:lang w:eastAsia="zh-CN"/>
        </w:rPr>
        <w:t xml:space="preserve">Below </w:t>
      </w:r>
      <w:r w:rsidRPr="00C569DB">
        <w:rPr>
          <w:iCs/>
          <w:kern w:val="2"/>
          <w:lang w:eastAsia="zh-CN"/>
        </w:rPr>
        <w:t>in T</w:t>
      </w:r>
      <w:r w:rsidR="00912CC8" w:rsidRPr="00C569DB">
        <w:rPr>
          <w:iCs/>
          <w:kern w:val="2"/>
          <w:lang w:eastAsia="zh-CN"/>
        </w:rPr>
        <w:t xml:space="preserve">able 3.4 </w:t>
      </w:r>
      <w:r w:rsidR="003A7929" w:rsidRPr="00C569DB">
        <w:rPr>
          <w:iCs/>
          <w:kern w:val="2"/>
          <w:lang w:eastAsia="zh-CN"/>
        </w:rPr>
        <w:t>are the financial results of the analysis for each scenario. For a detailed explanation of each result, please see the glossary (Section 6).</w:t>
      </w:r>
    </w:p>
    <w:p w14:paraId="09347CCA" w14:textId="38CA1A28" w:rsidR="00492F5E" w:rsidRPr="00E069AC" w:rsidRDefault="00492F5E" w:rsidP="00EB247F">
      <w:pPr>
        <w:pStyle w:val="Caption"/>
        <w:jc w:val="center"/>
        <w:rPr>
          <w:i w:val="0"/>
          <w:iCs w:val="0"/>
        </w:rPr>
      </w:pPr>
      <w:bookmarkStart w:id="66" w:name="_Toc44542640"/>
      <w:r w:rsidRPr="00E069AC">
        <w:t xml:space="preserve">Table </w:t>
      </w:r>
      <w:fldSimple w:instr=" STYLEREF 1 \s ">
        <w:r w:rsidRPr="00E069AC">
          <w:t>3</w:t>
        </w:r>
      </w:fldSimple>
      <w:r w:rsidRPr="00E069AC">
        <w:t>.</w:t>
      </w:r>
      <w:fldSimple w:instr=" SEQ Table \* ARABIC \s 1 ">
        <w:r w:rsidRPr="00E069AC">
          <w:t>4</w:t>
        </w:r>
      </w:fldSimple>
      <w:r w:rsidRPr="00E069AC">
        <w:t xml:space="preserve"> Financial Impacts</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6"/>
        <w:gridCol w:w="1861"/>
        <w:gridCol w:w="1808"/>
        <w:gridCol w:w="1854"/>
        <w:gridCol w:w="2681"/>
      </w:tblGrid>
      <w:tr w:rsidR="00E9782A" w:rsidRPr="00E069AC" w14:paraId="02CA9FB7" w14:textId="77777777" w:rsidTr="00FC304E">
        <w:trPr>
          <w:trHeight w:val="820"/>
        </w:trPr>
        <w:tc>
          <w:tcPr>
            <w:tcW w:w="0" w:type="auto"/>
            <w:vMerge w:val="restart"/>
            <w:shd w:val="clear" w:color="auto" w:fill="4F81BD" w:themeFill="accent1"/>
            <w:tcMar>
              <w:top w:w="100" w:type="dxa"/>
              <w:left w:w="100" w:type="dxa"/>
              <w:bottom w:w="100" w:type="dxa"/>
              <w:right w:w="100" w:type="dxa"/>
            </w:tcMar>
            <w:hideMark/>
          </w:tcPr>
          <w:p w14:paraId="573B5F2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Scenario</w:t>
            </w:r>
          </w:p>
        </w:tc>
        <w:tc>
          <w:tcPr>
            <w:tcW w:w="0" w:type="auto"/>
            <w:shd w:val="clear" w:color="auto" w:fill="4F81BD" w:themeFill="accent1"/>
            <w:tcMar>
              <w:top w:w="100" w:type="dxa"/>
              <w:left w:w="100" w:type="dxa"/>
              <w:bottom w:w="100" w:type="dxa"/>
              <w:right w:w="100" w:type="dxa"/>
            </w:tcMar>
            <w:hideMark/>
          </w:tcPr>
          <w:p w14:paraId="1BBD60AA"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Cumulative First Cost</w:t>
            </w:r>
          </w:p>
        </w:tc>
        <w:tc>
          <w:tcPr>
            <w:tcW w:w="0" w:type="auto"/>
            <w:shd w:val="clear" w:color="auto" w:fill="4F81BD" w:themeFill="accent1"/>
            <w:tcMar>
              <w:top w:w="100" w:type="dxa"/>
              <w:left w:w="100" w:type="dxa"/>
              <w:bottom w:w="100" w:type="dxa"/>
              <w:right w:w="100" w:type="dxa"/>
            </w:tcMar>
            <w:hideMark/>
          </w:tcPr>
          <w:p w14:paraId="4B320DE8"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Marginal First Cost</w:t>
            </w:r>
          </w:p>
        </w:tc>
        <w:tc>
          <w:tcPr>
            <w:tcW w:w="0" w:type="auto"/>
            <w:shd w:val="clear" w:color="auto" w:fill="4F81BD" w:themeFill="accent1"/>
            <w:tcMar>
              <w:top w:w="100" w:type="dxa"/>
              <w:left w:w="100" w:type="dxa"/>
              <w:bottom w:w="100" w:type="dxa"/>
              <w:right w:w="100" w:type="dxa"/>
            </w:tcMar>
            <w:hideMark/>
          </w:tcPr>
          <w:p w14:paraId="5A4C674E"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Net Operating Savings</w:t>
            </w:r>
          </w:p>
        </w:tc>
        <w:tc>
          <w:tcPr>
            <w:tcW w:w="2681" w:type="dxa"/>
            <w:shd w:val="clear" w:color="auto" w:fill="4F81BD" w:themeFill="accent1"/>
            <w:tcMar>
              <w:top w:w="100" w:type="dxa"/>
              <w:left w:w="100" w:type="dxa"/>
              <w:bottom w:w="100" w:type="dxa"/>
              <w:right w:w="100" w:type="dxa"/>
            </w:tcMar>
            <w:hideMark/>
          </w:tcPr>
          <w:p w14:paraId="48ABD301" w14:textId="77777777" w:rsidR="00E9782A" w:rsidRPr="00E069AC" w:rsidRDefault="00E9782A" w:rsidP="00912CC8">
            <w:pPr>
              <w:spacing w:after="0" w:line="240" w:lineRule="auto"/>
              <w:jc w:val="center"/>
              <w:rPr>
                <w:b/>
                <w:color w:val="FFFFFF" w:themeColor="background1"/>
                <w:sz w:val="20"/>
                <w:szCs w:val="20"/>
                <w:lang w:eastAsia="zh-CN"/>
              </w:rPr>
            </w:pPr>
            <w:r w:rsidRPr="00E069AC">
              <w:rPr>
                <w:b/>
                <w:bCs/>
                <w:color w:val="FFFFFF" w:themeColor="background1"/>
                <w:sz w:val="20"/>
                <w:szCs w:val="20"/>
                <w:lang w:eastAsia="zh-CN"/>
              </w:rPr>
              <w:t>Lifetime Cashflow Savings NPV (of All Implementation Units)</w:t>
            </w:r>
          </w:p>
        </w:tc>
      </w:tr>
      <w:tr w:rsidR="00E9782A" w:rsidRPr="00E069AC" w14:paraId="67FE449F" w14:textId="77777777" w:rsidTr="00FC304E">
        <w:trPr>
          <w:trHeight w:val="640"/>
        </w:trPr>
        <w:tc>
          <w:tcPr>
            <w:tcW w:w="0" w:type="auto"/>
            <w:vMerge/>
            <w:shd w:val="clear" w:color="auto" w:fill="4F81BD" w:themeFill="accent1"/>
            <w:vAlign w:val="center"/>
            <w:hideMark/>
          </w:tcPr>
          <w:p w14:paraId="325DD47F" w14:textId="77777777" w:rsidR="00E9782A" w:rsidRPr="00E069AC" w:rsidRDefault="00E9782A" w:rsidP="00912CC8">
            <w:pPr>
              <w:spacing w:after="0" w:line="240" w:lineRule="auto"/>
              <w:rPr>
                <w:rFonts w:eastAsia="Times New Roman" w:cstheme="minorHAnsi"/>
                <w:b/>
                <w:color w:val="FFFFFF" w:themeColor="background1"/>
                <w:sz w:val="20"/>
                <w:szCs w:val="20"/>
                <w:lang w:eastAsia="zh-CN"/>
              </w:rPr>
            </w:pPr>
          </w:p>
        </w:tc>
        <w:tc>
          <w:tcPr>
            <w:tcW w:w="0" w:type="auto"/>
            <w:shd w:val="clear" w:color="auto" w:fill="4F81BD" w:themeFill="accent1"/>
            <w:tcMar>
              <w:top w:w="100" w:type="dxa"/>
              <w:left w:w="100" w:type="dxa"/>
              <w:bottom w:w="100" w:type="dxa"/>
              <w:right w:w="100" w:type="dxa"/>
            </w:tcMar>
            <w:hideMark/>
          </w:tcPr>
          <w:p w14:paraId="54ADDBA3"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shd w:val="clear" w:color="auto" w:fill="4F81BD" w:themeFill="accent1"/>
            <w:tcMar>
              <w:top w:w="100" w:type="dxa"/>
              <w:left w:w="100" w:type="dxa"/>
              <w:bottom w:w="100" w:type="dxa"/>
              <w:right w:w="100" w:type="dxa"/>
            </w:tcMar>
            <w:hideMark/>
          </w:tcPr>
          <w:p w14:paraId="2CCFE258"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2015-2050 Billion USD</w:t>
            </w:r>
          </w:p>
        </w:tc>
        <w:tc>
          <w:tcPr>
            <w:tcW w:w="0" w:type="auto"/>
            <w:shd w:val="clear" w:color="auto" w:fill="4F81BD" w:themeFill="accent1"/>
            <w:tcMar>
              <w:top w:w="100" w:type="dxa"/>
              <w:left w:w="100" w:type="dxa"/>
              <w:bottom w:w="100" w:type="dxa"/>
              <w:right w:w="100" w:type="dxa"/>
            </w:tcMar>
            <w:hideMark/>
          </w:tcPr>
          <w:p w14:paraId="3E2B138C"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2020-2050 Billion USD</w:t>
            </w:r>
          </w:p>
        </w:tc>
        <w:tc>
          <w:tcPr>
            <w:tcW w:w="2681" w:type="dxa"/>
            <w:shd w:val="clear" w:color="auto" w:fill="4F81BD" w:themeFill="accent1"/>
            <w:tcMar>
              <w:top w:w="100" w:type="dxa"/>
              <w:left w:w="100" w:type="dxa"/>
              <w:bottom w:w="100" w:type="dxa"/>
              <w:right w:w="100" w:type="dxa"/>
            </w:tcMar>
            <w:hideMark/>
          </w:tcPr>
          <w:p w14:paraId="2CEBAAA5" w14:textId="77777777" w:rsidR="00E9782A" w:rsidRPr="00E069AC" w:rsidRDefault="00E9782A" w:rsidP="00912CC8">
            <w:pPr>
              <w:spacing w:after="0" w:line="240" w:lineRule="auto"/>
              <w:jc w:val="center"/>
              <w:rPr>
                <w:i/>
                <w:color w:val="FFFFFF" w:themeColor="background1"/>
                <w:sz w:val="20"/>
                <w:szCs w:val="20"/>
                <w:lang w:eastAsia="zh-CN"/>
              </w:rPr>
            </w:pPr>
            <w:r w:rsidRPr="00E069AC">
              <w:rPr>
                <w:i/>
                <w:color w:val="FFFFFF" w:themeColor="background1"/>
                <w:sz w:val="20"/>
                <w:szCs w:val="20"/>
                <w:lang w:eastAsia="zh-CN"/>
              </w:rPr>
              <w:t>Billion USD</w:t>
            </w:r>
          </w:p>
        </w:tc>
      </w:tr>
      <w:tr w:rsidR="00E9782A" w:rsidRPr="00E069AC" w14:paraId="2CCDE781" w14:textId="77777777" w:rsidTr="00FC304E">
        <w:trPr>
          <w:trHeight w:val="440"/>
        </w:trPr>
        <w:tc>
          <w:tcPr>
            <w:tcW w:w="0" w:type="auto"/>
            <w:tcMar>
              <w:top w:w="100" w:type="dxa"/>
              <w:left w:w="100" w:type="dxa"/>
              <w:bottom w:w="100" w:type="dxa"/>
              <w:right w:w="100" w:type="dxa"/>
            </w:tcMar>
            <w:hideMark/>
          </w:tcPr>
          <w:p w14:paraId="209B68F2"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Plausible</w:t>
            </w:r>
          </w:p>
        </w:tc>
        <w:tc>
          <w:tcPr>
            <w:tcW w:w="0" w:type="auto"/>
            <w:tcMar>
              <w:top w:w="100" w:type="dxa"/>
              <w:left w:w="100" w:type="dxa"/>
              <w:bottom w:w="100" w:type="dxa"/>
              <w:right w:w="100" w:type="dxa"/>
            </w:tcMar>
            <w:hideMark/>
          </w:tcPr>
          <w:p w14:paraId="0515D5F2" w14:textId="3115C234" w:rsidR="00E9782A" w:rsidRPr="00FC304E" w:rsidRDefault="001B07CC" w:rsidP="00912CC8">
            <w:pPr>
              <w:spacing w:after="0" w:line="240" w:lineRule="auto"/>
              <w:jc w:val="center"/>
              <w:rPr>
                <w:rFonts w:eastAsia="Times New Roman" w:cstheme="minorHAnsi"/>
                <w:sz w:val="20"/>
                <w:szCs w:val="20"/>
                <w:highlight w:val="lightGray"/>
                <w:lang w:eastAsia="zh-CN"/>
              </w:rPr>
            </w:pPr>
            <w:r w:rsidRPr="001B07CC">
              <w:rPr>
                <w:rFonts w:eastAsia="Times New Roman" w:cstheme="minorHAnsi"/>
                <w:sz w:val="20"/>
                <w:szCs w:val="20"/>
                <w:lang w:eastAsia="zh-CN"/>
              </w:rPr>
              <w:t>54</w:t>
            </w:r>
            <w:r w:rsidR="005008C6">
              <w:rPr>
                <w:rFonts w:eastAsia="Times New Roman" w:cstheme="minorHAnsi"/>
                <w:sz w:val="20"/>
                <w:szCs w:val="20"/>
                <w:lang w:eastAsia="zh-CN"/>
              </w:rPr>
              <w:t>8</w:t>
            </w:r>
          </w:p>
        </w:tc>
        <w:tc>
          <w:tcPr>
            <w:tcW w:w="0" w:type="auto"/>
            <w:tcMar>
              <w:top w:w="100" w:type="dxa"/>
              <w:left w:w="100" w:type="dxa"/>
              <w:bottom w:w="100" w:type="dxa"/>
              <w:right w:w="100" w:type="dxa"/>
            </w:tcMar>
            <w:hideMark/>
          </w:tcPr>
          <w:p w14:paraId="31BD6A13" w14:textId="6A2245D5" w:rsidR="00E9782A" w:rsidRPr="00FC304E" w:rsidRDefault="001B07CC" w:rsidP="00912CC8">
            <w:pPr>
              <w:spacing w:after="0" w:line="240" w:lineRule="auto"/>
              <w:jc w:val="center"/>
              <w:rPr>
                <w:rFonts w:eastAsia="Times New Roman" w:cstheme="minorHAnsi"/>
                <w:sz w:val="20"/>
                <w:szCs w:val="20"/>
                <w:highlight w:val="lightGray"/>
                <w:lang w:eastAsia="zh-CN"/>
              </w:rPr>
            </w:pPr>
            <w:r w:rsidRPr="001B07CC">
              <w:rPr>
                <w:rFonts w:eastAsia="Times New Roman" w:cstheme="minorHAnsi"/>
                <w:sz w:val="20"/>
                <w:szCs w:val="20"/>
                <w:lang w:eastAsia="zh-CN"/>
              </w:rPr>
              <w:t>8</w:t>
            </w:r>
            <w:r w:rsidR="005008C6">
              <w:rPr>
                <w:rFonts w:eastAsia="Times New Roman" w:cstheme="minorHAnsi"/>
                <w:sz w:val="20"/>
                <w:szCs w:val="20"/>
                <w:lang w:eastAsia="zh-CN"/>
              </w:rPr>
              <w:t>8.0</w:t>
            </w:r>
          </w:p>
        </w:tc>
        <w:tc>
          <w:tcPr>
            <w:tcW w:w="0" w:type="auto"/>
            <w:tcMar>
              <w:top w:w="100" w:type="dxa"/>
              <w:left w:w="100" w:type="dxa"/>
              <w:bottom w:w="100" w:type="dxa"/>
              <w:right w:w="100" w:type="dxa"/>
            </w:tcMar>
            <w:hideMark/>
          </w:tcPr>
          <w:p w14:paraId="4A9B277B" w14:textId="5DDE3686" w:rsidR="00E9782A" w:rsidRPr="00FC304E" w:rsidRDefault="001B07CC" w:rsidP="00912CC8">
            <w:pPr>
              <w:spacing w:after="0" w:line="240" w:lineRule="auto"/>
              <w:jc w:val="center"/>
              <w:rPr>
                <w:rFonts w:eastAsia="Times New Roman" w:cstheme="minorHAnsi"/>
                <w:sz w:val="20"/>
                <w:szCs w:val="20"/>
                <w:highlight w:val="lightGray"/>
                <w:lang w:eastAsia="zh-CN"/>
              </w:rPr>
            </w:pPr>
            <w:r w:rsidRPr="001B07CC">
              <w:rPr>
                <w:rFonts w:eastAsia="Times New Roman" w:cstheme="minorHAnsi"/>
                <w:sz w:val="20"/>
                <w:szCs w:val="20"/>
                <w:lang w:eastAsia="zh-CN"/>
              </w:rPr>
              <w:t>37</w:t>
            </w:r>
            <w:r>
              <w:rPr>
                <w:rFonts w:eastAsia="Times New Roman" w:cstheme="minorHAnsi"/>
                <w:sz w:val="20"/>
                <w:szCs w:val="20"/>
                <w:lang w:eastAsia="zh-CN"/>
              </w:rPr>
              <w:t>7</w:t>
            </w:r>
          </w:p>
        </w:tc>
        <w:tc>
          <w:tcPr>
            <w:tcW w:w="2681" w:type="dxa"/>
            <w:tcMar>
              <w:top w:w="100" w:type="dxa"/>
              <w:left w:w="100" w:type="dxa"/>
              <w:bottom w:w="100" w:type="dxa"/>
              <w:right w:w="100" w:type="dxa"/>
            </w:tcMar>
            <w:hideMark/>
          </w:tcPr>
          <w:p w14:paraId="25403F6C" w14:textId="3EDCD815" w:rsidR="00E9782A" w:rsidRPr="00FC304E" w:rsidRDefault="001B07CC" w:rsidP="00912CC8">
            <w:pPr>
              <w:spacing w:after="0" w:line="240" w:lineRule="auto"/>
              <w:jc w:val="center"/>
              <w:rPr>
                <w:rFonts w:eastAsia="Times New Roman" w:cstheme="minorHAnsi"/>
                <w:b/>
                <w:sz w:val="20"/>
                <w:szCs w:val="20"/>
                <w:highlight w:val="lightGray"/>
                <w:lang w:eastAsia="zh-CN"/>
              </w:rPr>
            </w:pPr>
            <w:r w:rsidRPr="001B07CC">
              <w:rPr>
                <w:rFonts w:eastAsia="Times New Roman" w:cstheme="minorHAnsi"/>
                <w:sz w:val="20"/>
                <w:szCs w:val="20"/>
                <w:lang w:eastAsia="zh-CN"/>
              </w:rPr>
              <w:t>29.</w:t>
            </w:r>
            <w:r w:rsidR="005008C6">
              <w:rPr>
                <w:rFonts w:eastAsia="Times New Roman" w:cstheme="minorHAnsi"/>
                <w:sz w:val="20"/>
                <w:szCs w:val="20"/>
                <w:lang w:eastAsia="zh-CN"/>
              </w:rPr>
              <w:t>6</w:t>
            </w:r>
          </w:p>
        </w:tc>
      </w:tr>
      <w:tr w:rsidR="00E9782A" w:rsidRPr="00E069AC" w14:paraId="6C3482B4" w14:textId="77777777" w:rsidTr="00FC304E">
        <w:trPr>
          <w:trHeight w:val="440"/>
        </w:trPr>
        <w:tc>
          <w:tcPr>
            <w:tcW w:w="0" w:type="auto"/>
            <w:tcMar>
              <w:top w:w="100" w:type="dxa"/>
              <w:left w:w="100" w:type="dxa"/>
              <w:bottom w:w="100" w:type="dxa"/>
              <w:right w:w="100" w:type="dxa"/>
            </w:tcMar>
            <w:hideMark/>
          </w:tcPr>
          <w:p w14:paraId="72370E76" w14:textId="77777777" w:rsidR="00E9782A" w:rsidRPr="00E069AC" w:rsidRDefault="00E9782A" w:rsidP="00912CC8">
            <w:pPr>
              <w:spacing w:after="0" w:line="240" w:lineRule="auto"/>
              <w:jc w:val="center"/>
              <w:rPr>
                <w:sz w:val="20"/>
                <w:szCs w:val="20"/>
                <w:lang w:eastAsia="zh-CN"/>
              </w:rPr>
            </w:pPr>
            <w:r w:rsidRPr="00E069AC">
              <w:rPr>
                <w:b/>
                <w:bCs/>
                <w:color w:val="000000" w:themeColor="text1"/>
                <w:sz w:val="20"/>
                <w:szCs w:val="20"/>
                <w:lang w:eastAsia="zh-CN"/>
              </w:rPr>
              <w:t>Drawdown</w:t>
            </w:r>
          </w:p>
        </w:tc>
        <w:tc>
          <w:tcPr>
            <w:tcW w:w="0" w:type="auto"/>
            <w:tcMar>
              <w:top w:w="100" w:type="dxa"/>
              <w:left w:w="100" w:type="dxa"/>
              <w:bottom w:w="100" w:type="dxa"/>
              <w:right w:w="100" w:type="dxa"/>
            </w:tcMar>
            <w:hideMark/>
          </w:tcPr>
          <w:p w14:paraId="4532B376" w14:textId="3AB32FA6" w:rsidR="00E9782A" w:rsidRPr="00FC304E" w:rsidRDefault="001B07CC" w:rsidP="00912CC8">
            <w:pPr>
              <w:spacing w:after="0" w:line="240" w:lineRule="auto"/>
              <w:jc w:val="center"/>
              <w:rPr>
                <w:rFonts w:eastAsia="Times New Roman" w:cstheme="minorHAnsi"/>
                <w:sz w:val="20"/>
                <w:szCs w:val="20"/>
                <w:highlight w:val="lightGray"/>
                <w:lang w:eastAsia="zh-CN"/>
              </w:rPr>
            </w:pPr>
            <w:r w:rsidRPr="001B07CC">
              <w:rPr>
                <w:rFonts w:eastAsia="Times New Roman" w:cstheme="minorHAnsi"/>
                <w:sz w:val="20"/>
                <w:szCs w:val="20"/>
                <w:lang w:eastAsia="zh-CN"/>
              </w:rPr>
              <w:t>7</w:t>
            </w:r>
            <w:r w:rsidR="005008C6">
              <w:rPr>
                <w:rFonts w:eastAsia="Times New Roman" w:cstheme="minorHAnsi"/>
                <w:sz w:val="20"/>
                <w:szCs w:val="20"/>
                <w:lang w:eastAsia="zh-CN"/>
              </w:rPr>
              <w:t>54</w:t>
            </w:r>
          </w:p>
        </w:tc>
        <w:tc>
          <w:tcPr>
            <w:tcW w:w="0" w:type="auto"/>
            <w:tcMar>
              <w:top w:w="100" w:type="dxa"/>
              <w:left w:w="100" w:type="dxa"/>
              <w:bottom w:w="100" w:type="dxa"/>
              <w:right w:w="100" w:type="dxa"/>
            </w:tcMar>
            <w:hideMark/>
          </w:tcPr>
          <w:p w14:paraId="451B939A" w14:textId="484F2899" w:rsidR="00E9782A" w:rsidRPr="005008C6" w:rsidRDefault="005008C6" w:rsidP="00912CC8">
            <w:pPr>
              <w:spacing w:after="0" w:line="240" w:lineRule="auto"/>
              <w:jc w:val="center"/>
              <w:rPr>
                <w:rFonts w:eastAsia="Times New Roman" w:cstheme="minorHAnsi"/>
                <w:sz w:val="20"/>
                <w:szCs w:val="20"/>
                <w:lang w:eastAsia="zh-CN"/>
              </w:rPr>
            </w:pPr>
            <w:r w:rsidRPr="005008C6">
              <w:rPr>
                <w:rFonts w:eastAsia="Times New Roman" w:cstheme="minorHAnsi"/>
                <w:sz w:val="20"/>
                <w:szCs w:val="20"/>
                <w:lang w:eastAsia="zh-CN"/>
              </w:rPr>
              <w:t>93</w:t>
            </w:r>
            <w:r>
              <w:rPr>
                <w:rFonts w:eastAsia="Times New Roman" w:cstheme="minorHAnsi"/>
                <w:sz w:val="20"/>
                <w:szCs w:val="20"/>
                <w:lang w:eastAsia="zh-CN"/>
              </w:rPr>
              <w:t>.3</w:t>
            </w:r>
          </w:p>
        </w:tc>
        <w:tc>
          <w:tcPr>
            <w:tcW w:w="0" w:type="auto"/>
            <w:tcMar>
              <w:top w:w="100" w:type="dxa"/>
              <w:left w:w="100" w:type="dxa"/>
              <w:bottom w:w="100" w:type="dxa"/>
              <w:right w:w="100" w:type="dxa"/>
            </w:tcMar>
            <w:hideMark/>
          </w:tcPr>
          <w:p w14:paraId="4DFA5DB3" w14:textId="24353C0E" w:rsidR="00E9782A" w:rsidRPr="00FC304E" w:rsidRDefault="001B07CC" w:rsidP="00912CC8">
            <w:pPr>
              <w:spacing w:after="0" w:line="240" w:lineRule="auto"/>
              <w:jc w:val="center"/>
              <w:rPr>
                <w:rFonts w:eastAsia="Times New Roman" w:cstheme="minorHAnsi"/>
                <w:sz w:val="20"/>
                <w:szCs w:val="20"/>
                <w:highlight w:val="lightGray"/>
                <w:lang w:eastAsia="zh-CN"/>
              </w:rPr>
            </w:pPr>
            <w:r w:rsidRPr="001B07CC">
              <w:rPr>
                <w:rFonts w:eastAsia="Times New Roman" w:cstheme="minorHAnsi"/>
                <w:sz w:val="20"/>
                <w:szCs w:val="20"/>
                <w:lang w:eastAsia="zh-CN"/>
              </w:rPr>
              <w:t>59</w:t>
            </w:r>
            <w:r>
              <w:rPr>
                <w:rFonts w:eastAsia="Times New Roman" w:cstheme="minorHAnsi"/>
                <w:sz w:val="20"/>
                <w:szCs w:val="20"/>
                <w:lang w:eastAsia="zh-CN"/>
              </w:rPr>
              <w:t>2</w:t>
            </w:r>
          </w:p>
        </w:tc>
        <w:tc>
          <w:tcPr>
            <w:tcW w:w="2681" w:type="dxa"/>
            <w:tcMar>
              <w:top w:w="100" w:type="dxa"/>
              <w:left w:w="100" w:type="dxa"/>
              <w:bottom w:w="100" w:type="dxa"/>
              <w:right w:w="100" w:type="dxa"/>
            </w:tcMar>
            <w:hideMark/>
          </w:tcPr>
          <w:p w14:paraId="447233A8" w14:textId="4F64DAA4" w:rsidR="00E9782A" w:rsidRPr="00FC304E" w:rsidRDefault="001B07CC" w:rsidP="00912CC8">
            <w:pPr>
              <w:spacing w:after="0" w:line="240" w:lineRule="auto"/>
              <w:jc w:val="center"/>
              <w:rPr>
                <w:rFonts w:eastAsia="Times New Roman" w:cstheme="minorHAnsi"/>
                <w:sz w:val="20"/>
                <w:szCs w:val="20"/>
                <w:highlight w:val="lightGray"/>
                <w:lang w:eastAsia="zh-CN"/>
              </w:rPr>
            </w:pPr>
            <w:r w:rsidRPr="001B07CC">
              <w:rPr>
                <w:rFonts w:eastAsia="Times New Roman" w:cstheme="minorHAnsi"/>
                <w:sz w:val="20"/>
                <w:szCs w:val="20"/>
                <w:lang w:eastAsia="zh-CN"/>
              </w:rPr>
              <w:t>52.</w:t>
            </w:r>
            <w:r w:rsidR="005008C6">
              <w:rPr>
                <w:rFonts w:eastAsia="Times New Roman" w:cstheme="minorHAnsi"/>
                <w:sz w:val="20"/>
                <w:szCs w:val="20"/>
                <w:lang w:eastAsia="zh-CN"/>
              </w:rPr>
              <w:t>4</w:t>
            </w:r>
          </w:p>
        </w:tc>
      </w:tr>
      <w:tr w:rsidR="002C4CB1" w:rsidRPr="00E069AC" w14:paraId="76A27626" w14:textId="77777777" w:rsidTr="00FC304E">
        <w:trPr>
          <w:trHeight w:val="440"/>
        </w:trPr>
        <w:tc>
          <w:tcPr>
            <w:tcW w:w="0" w:type="auto"/>
            <w:tcMar>
              <w:top w:w="100" w:type="dxa"/>
              <w:left w:w="100" w:type="dxa"/>
              <w:bottom w:w="100" w:type="dxa"/>
              <w:right w:w="100" w:type="dxa"/>
            </w:tcMar>
            <w:hideMark/>
          </w:tcPr>
          <w:p w14:paraId="358728F4" w14:textId="77777777" w:rsidR="002C4CB1" w:rsidRPr="00E069AC" w:rsidRDefault="002C4CB1" w:rsidP="002C4CB1">
            <w:pPr>
              <w:spacing w:after="0" w:line="240" w:lineRule="auto"/>
              <w:jc w:val="center"/>
              <w:rPr>
                <w:sz w:val="20"/>
                <w:szCs w:val="20"/>
                <w:lang w:eastAsia="zh-CN"/>
              </w:rPr>
            </w:pPr>
            <w:r w:rsidRPr="00E069AC">
              <w:rPr>
                <w:b/>
                <w:bCs/>
                <w:color w:val="000000" w:themeColor="text1"/>
                <w:sz w:val="20"/>
                <w:szCs w:val="20"/>
                <w:lang w:eastAsia="zh-CN"/>
              </w:rPr>
              <w:t>Optimum</w:t>
            </w:r>
          </w:p>
        </w:tc>
        <w:tc>
          <w:tcPr>
            <w:tcW w:w="0" w:type="auto"/>
            <w:tcMar>
              <w:top w:w="100" w:type="dxa"/>
              <w:left w:w="100" w:type="dxa"/>
              <w:bottom w:w="100" w:type="dxa"/>
              <w:right w:w="100" w:type="dxa"/>
            </w:tcMar>
            <w:hideMark/>
          </w:tcPr>
          <w:p w14:paraId="1D3AF255" w14:textId="1F65C8FA" w:rsidR="002C4CB1" w:rsidRPr="00FC304E" w:rsidRDefault="002C4CB1" w:rsidP="002C4CB1">
            <w:pPr>
              <w:spacing w:after="0" w:line="240" w:lineRule="auto"/>
              <w:jc w:val="center"/>
              <w:rPr>
                <w:rFonts w:eastAsia="Times New Roman" w:cstheme="minorHAnsi"/>
                <w:sz w:val="20"/>
                <w:szCs w:val="20"/>
                <w:highlight w:val="lightGray"/>
                <w:lang w:eastAsia="zh-CN"/>
              </w:rPr>
            </w:pPr>
            <w:r w:rsidRPr="001B07CC">
              <w:rPr>
                <w:rFonts w:eastAsia="Times New Roman" w:cstheme="minorHAnsi"/>
                <w:sz w:val="20"/>
                <w:szCs w:val="20"/>
                <w:lang w:eastAsia="zh-CN"/>
              </w:rPr>
              <w:t>1,</w:t>
            </w:r>
            <w:r w:rsidR="001B07CC">
              <w:rPr>
                <w:rFonts w:eastAsia="Times New Roman" w:cstheme="minorHAnsi"/>
                <w:sz w:val="20"/>
                <w:szCs w:val="20"/>
                <w:lang w:eastAsia="zh-CN"/>
              </w:rPr>
              <w:t>5</w:t>
            </w:r>
            <w:r w:rsidR="005008C6">
              <w:rPr>
                <w:rFonts w:eastAsia="Times New Roman" w:cstheme="minorHAnsi"/>
                <w:sz w:val="20"/>
                <w:szCs w:val="20"/>
                <w:lang w:eastAsia="zh-CN"/>
              </w:rPr>
              <w:t>37</w:t>
            </w:r>
          </w:p>
        </w:tc>
        <w:tc>
          <w:tcPr>
            <w:tcW w:w="0" w:type="auto"/>
            <w:tcMar>
              <w:top w:w="100" w:type="dxa"/>
              <w:left w:w="100" w:type="dxa"/>
              <w:bottom w:w="100" w:type="dxa"/>
              <w:right w:w="100" w:type="dxa"/>
            </w:tcMar>
            <w:hideMark/>
          </w:tcPr>
          <w:p w14:paraId="796F6A9C" w14:textId="53664A26" w:rsidR="002C4CB1" w:rsidRPr="005008C6" w:rsidRDefault="005008C6" w:rsidP="002C4CB1">
            <w:pPr>
              <w:spacing w:after="0" w:line="240" w:lineRule="auto"/>
              <w:jc w:val="center"/>
              <w:rPr>
                <w:rFonts w:eastAsia="Times New Roman" w:cstheme="minorHAnsi"/>
                <w:sz w:val="20"/>
                <w:szCs w:val="20"/>
                <w:lang w:eastAsia="zh-CN"/>
              </w:rPr>
            </w:pPr>
            <w:r w:rsidRPr="005008C6">
              <w:rPr>
                <w:rFonts w:eastAsia="Times New Roman" w:cstheme="minorHAnsi"/>
                <w:sz w:val="20"/>
                <w:szCs w:val="20"/>
                <w:lang w:eastAsia="zh-CN"/>
              </w:rPr>
              <w:t>93</w:t>
            </w:r>
            <w:r>
              <w:rPr>
                <w:rFonts w:eastAsia="Times New Roman" w:cstheme="minorHAnsi"/>
                <w:sz w:val="20"/>
                <w:szCs w:val="20"/>
                <w:lang w:eastAsia="zh-CN"/>
              </w:rPr>
              <w:t>.0</w:t>
            </w:r>
          </w:p>
        </w:tc>
        <w:tc>
          <w:tcPr>
            <w:tcW w:w="0" w:type="auto"/>
            <w:tcMar>
              <w:top w:w="100" w:type="dxa"/>
              <w:left w:w="100" w:type="dxa"/>
              <w:bottom w:w="100" w:type="dxa"/>
              <w:right w:w="100" w:type="dxa"/>
            </w:tcMar>
            <w:hideMark/>
          </w:tcPr>
          <w:p w14:paraId="4259EAAB" w14:textId="5A02AD3A" w:rsidR="002C4CB1" w:rsidRPr="00FC304E" w:rsidRDefault="001B07CC" w:rsidP="002C4CB1">
            <w:pPr>
              <w:spacing w:after="0" w:line="240" w:lineRule="auto"/>
              <w:jc w:val="center"/>
              <w:rPr>
                <w:rFonts w:eastAsia="Times New Roman" w:cstheme="minorHAnsi"/>
                <w:sz w:val="20"/>
                <w:szCs w:val="20"/>
                <w:highlight w:val="lightGray"/>
                <w:lang w:eastAsia="zh-CN"/>
              </w:rPr>
            </w:pPr>
            <w:r w:rsidRPr="001B07CC">
              <w:rPr>
                <w:rFonts w:eastAsia="Times New Roman" w:cstheme="minorHAnsi"/>
                <w:sz w:val="20"/>
                <w:szCs w:val="20"/>
                <w:lang w:eastAsia="zh-CN"/>
              </w:rPr>
              <w:t>1,232</w:t>
            </w:r>
          </w:p>
        </w:tc>
        <w:tc>
          <w:tcPr>
            <w:tcW w:w="2681" w:type="dxa"/>
            <w:tcMar>
              <w:top w:w="100" w:type="dxa"/>
              <w:left w:w="100" w:type="dxa"/>
              <w:bottom w:w="100" w:type="dxa"/>
              <w:right w:w="100" w:type="dxa"/>
            </w:tcMar>
            <w:hideMark/>
          </w:tcPr>
          <w:p w14:paraId="1F14A8F5" w14:textId="7577EF63" w:rsidR="002C4CB1" w:rsidRPr="00FC304E" w:rsidRDefault="001B07CC" w:rsidP="002C4CB1">
            <w:pPr>
              <w:spacing w:after="0" w:line="240" w:lineRule="auto"/>
              <w:jc w:val="center"/>
              <w:rPr>
                <w:rFonts w:eastAsia="Times New Roman" w:cstheme="minorHAnsi"/>
                <w:sz w:val="20"/>
                <w:szCs w:val="20"/>
                <w:highlight w:val="lightGray"/>
                <w:lang w:eastAsia="zh-CN"/>
              </w:rPr>
            </w:pPr>
            <w:r w:rsidRPr="001B07CC">
              <w:rPr>
                <w:rFonts w:eastAsia="Times New Roman" w:cstheme="minorHAnsi"/>
                <w:sz w:val="20"/>
                <w:szCs w:val="20"/>
                <w:lang w:eastAsia="zh-CN"/>
              </w:rPr>
              <w:t>117.</w:t>
            </w:r>
            <w:r w:rsidR="005008C6">
              <w:rPr>
                <w:rFonts w:eastAsia="Times New Roman" w:cstheme="minorHAnsi"/>
                <w:sz w:val="20"/>
                <w:szCs w:val="20"/>
                <w:lang w:eastAsia="zh-CN"/>
              </w:rPr>
              <w:t>5</w:t>
            </w:r>
          </w:p>
        </w:tc>
      </w:tr>
    </w:tbl>
    <w:p w14:paraId="028BE1B2" w14:textId="1527A1FA" w:rsidR="00CC33E6" w:rsidRDefault="00CC33E6" w:rsidP="00EB247F"/>
    <w:p w14:paraId="2C7DB4C9" w14:textId="6BF82C35" w:rsidR="005008C6" w:rsidRDefault="005008C6" w:rsidP="00EB247F">
      <w:r>
        <w:rPr>
          <w:noProof/>
        </w:rPr>
        <w:drawing>
          <wp:inline distT="0" distB="0" distL="0" distR="0" wp14:anchorId="3878328C" wp14:editId="09D336BC">
            <wp:extent cx="6194738" cy="3258355"/>
            <wp:effectExtent l="0" t="0" r="15875" b="18415"/>
            <wp:docPr id="12" name="Chart 12">
              <a:extLst xmlns:a="http://schemas.openxmlformats.org/drawingml/2006/main">
                <a:ext uri="{FF2B5EF4-FFF2-40B4-BE49-F238E27FC236}">
                  <a16:creationId xmlns:a16="http://schemas.microsoft.com/office/drawing/2014/main" id="{00000000-0008-0000-04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AC4DEEC" w14:textId="7613B56D" w:rsidR="005008C6" w:rsidRPr="00E069AC" w:rsidRDefault="005008C6" w:rsidP="005008C6">
      <w:pPr>
        <w:pStyle w:val="Caption"/>
        <w:jc w:val="center"/>
      </w:pPr>
      <w:r w:rsidRPr="00F53F75">
        <w:t xml:space="preserve">Figure </w:t>
      </w:r>
      <w:r w:rsidRPr="00F53F75">
        <w:rPr>
          <w:noProof/>
        </w:rPr>
        <w:fldChar w:fldCharType="begin"/>
      </w:r>
      <w:r w:rsidRPr="00F53F75">
        <w:rPr>
          <w:noProof/>
        </w:rPr>
        <w:instrText xml:space="preserve"> STYLEREF 1 \s </w:instrText>
      </w:r>
      <w:r w:rsidRPr="00F53F75">
        <w:rPr>
          <w:noProof/>
        </w:rPr>
        <w:fldChar w:fldCharType="separate"/>
      </w:r>
      <w:r w:rsidRPr="00F53F75">
        <w:rPr>
          <w:noProof/>
        </w:rPr>
        <w:t>3</w:t>
      </w:r>
      <w:r w:rsidRPr="00F53F75">
        <w:rPr>
          <w:noProof/>
        </w:rPr>
        <w:fldChar w:fldCharType="end"/>
      </w:r>
      <w:r w:rsidRPr="00F53F75">
        <w:t>.</w:t>
      </w:r>
      <w:r>
        <w:rPr>
          <w:noProof/>
        </w:rPr>
        <w:t>3</w:t>
      </w:r>
      <w:r w:rsidRPr="00F53F75">
        <w:t xml:space="preserve"> World </w:t>
      </w:r>
      <w:r>
        <w:t>Operating Cost</w:t>
      </w:r>
      <w:r w:rsidRPr="00F53F75">
        <w:t xml:space="preserve"> Reduction (2015-2060)</w:t>
      </w:r>
    </w:p>
    <w:p w14:paraId="4B78432C" w14:textId="77777777" w:rsidR="00256188" w:rsidRDefault="00256188">
      <w:pPr>
        <w:spacing w:after="160" w:line="259" w:lineRule="auto"/>
        <w:jc w:val="left"/>
        <w:rPr>
          <w:rFonts w:asciiTheme="majorHAnsi" w:eastAsiaTheme="majorEastAsia" w:hAnsiTheme="majorHAnsi" w:cs="Times New Roman (Headings CS)"/>
          <w:b/>
          <w:bCs/>
          <w:smallCaps/>
          <w:color w:val="4F81BD" w:themeColor="accent1"/>
          <w:sz w:val="36"/>
          <w:szCs w:val="36"/>
        </w:rPr>
      </w:pPr>
      <w:bookmarkStart w:id="67" w:name="_Toc19137326"/>
      <w:r>
        <w:br w:type="page"/>
      </w:r>
    </w:p>
    <w:p w14:paraId="638C27B6" w14:textId="1CBE4C0D" w:rsidR="00F52595" w:rsidRPr="00E069AC" w:rsidRDefault="551A77D0" w:rsidP="00B20FA0">
      <w:pPr>
        <w:pStyle w:val="Heading1"/>
      </w:pPr>
      <w:r w:rsidRPr="00E069AC">
        <w:t>Discussion</w:t>
      </w:r>
      <w:bookmarkEnd w:id="67"/>
    </w:p>
    <w:p w14:paraId="074B2703" w14:textId="48BB3E9C" w:rsidR="00D47E71" w:rsidRPr="00D47E71" w:rsidRDefault="00D47E71" w:rsidP="00D47E71">
      <w:r>
        <w:t>Herein it was</w:t>
      </w:r>
      <w:r w:rsidRPr="00D47E71">
        <w:t xml:space="preserve"> examined the financial and climate effects of </w:t>
      </w:r>
      <w:r>
        <w:t xml:space="preserve">a significant  increase </w:t>
      </w:r>
      <w:r w:rsidRPr="00D47E71">
        <w:t xml:space="preserve">of geothermal electricity compared to </w:t>
      </w:r>
      <w:r>
        <w:t xml:space="preserve">a reference </w:t>
      </w:r>
      <w:r w:rsidRPr="00D47E71">
        <w:t>scenario for geothermal. Results suggest that the increased use of geothermal could substantially both bring down emissions and save money.</w:t>
      </w:r>
      <w:r>
        <w:t xml:space="preserve"> </w:t>
      </w:r>
      <w:r w:rsidRPr="00D47E71">
        <w:t>As indicated by</w:t>
      </w:r>
      <w:r>
        <w:t xml:space="preserve"> several other modelling initiatives </w:t>
      </w:r>
      <w:r w:rsidRPr="00D47E71">
        <w:t xml:space="preserve"> results, much of the initial development could take place in areas with lots of conventional, high-temperature hydrothermal resources that have yet to be developed, such as Indonesia, the Philippines, Central and South America, and East Africa. Many governments are setting targets for the development of high-temperature hydrothermal resources. These goals could be aided through renewable portfolio standards requiring a certain amount of renewable energy use, and guaranteed power purchase agreements or feed-in-tariffs for developers to reliably recover development costs.</w:t>
      </w:r>
    </w:p>
    <w:p w14:paraId="31B60C34" w14:textId="04B96220" w:rsidR="00D47E71" w:rsidRPr="00D47E71" w:rsidRDefault="00D47E71" w:rsidP="00D47E71">
      <w:pPr>
        <w:widowControl w:val="0"/>
        <w:autoSpaceDE w:val="0"/>
        <w:autoSpaceDN w:val="0"/>
        <w:adjustRightInd w:val="0"/>
      </w:pPr>
      <w:r w:rsidRPr="00D47E71">
        <w:t>Government bodies should also introduc</w:t>
      </w:r>
      <w:r w:rsidR="009B72E7">
        <w:t>e</w:t>
      </w:r>
      <w:r w:rsidRPr="00D47E71">
        <w:t xml:space="preserve"> policies to cover the financial risk involved in geothermal exploration, and </w:t>
      </w:r>
      <w:r w:rsidR="009B72E7">
        <w:t xml:space="preserve">support the </w:t>
      </w:r>
      <w:r w:rsidRPr="00D47E71">
        <w:t>develop</w:t>
      </w:r>
      <w:r w:rsidR="009B72E7">
        <w:t>ment of</w:t>
      </w:r>
      <w:r w:rsidRPr="00D47E71">
        <w:t xml:space="preserve"> financial instruments </w:t>
      </w:r>
      <w:r w:rsidR="009B72E7">
        <w:t>to cover</w:t>
      </w:r>
      <w:r w:rsidRPr="00D47E71">
        <w:t xml:space="preserve"> this phase of geothermal development. International bodies like the World Bank are also helping fund and support projects in less wealthy countries, as well as facilitate private-public partnerships and the international transfer of technology and other resources. A publicly accessible and continuously updated database of geothermal resources could also aid in exploration and cut down production costs.</w:t>
      </w:r>
    </w:p>
    <w:p w14:paraId="64503D2A" w14:textId="14634F4E" w:rsidR="00D47E71" w:rsidRPr="00D47E71" w:rsidRDefault="00D47E71" w:rsidP="00D47E71">
      <w:pPr>
        <w:widowControl w:val="0"/>
        <w:autoSpaceDE w:val="0"/>
        <w:autoSpaceDN w:val="0"/>
        <w:adjustRightInd w:val="0"/>
      </w:pPr>
      <w:r w:rsidRPr="00D47E71">
        <w:t xml:space="preserve">In the private sphere specialized financial institutions have started to develop alternative financing instruments, such as Islandsbanki’s resource verification loan, which was used to cover the costs of drilling and testing two initial production wells for a geothermal power plant in California (IEA 2011). Other approaches </w:t>
      </w:r>
      <w:r w:rsidR="009B72E7">
        <w:t>use by</w:t>
      </w:r>
      <w:r w:rsidRPr="00D47E71">
        <w:t xml:space="preserve"> developers </w:t>
      </w:r>
      <w:r w:rsidR="009B72E7">
        <w:t xml:space="preserve">are the </w:t>
      </w:r>
      <w:r w:rsidRPr="00D47E71">
        <w:t xml:space="preserve">raise </w:t>
      </w:r>
      <w:r w:rsidR="009B72E7">
        <w:t xml:space="preserve">of </w:t>
      </w:r>
      <w:r w:rsidRPr="00D47E71">
        <w:t>funds and receive project contributions from large corporations (BNEF 2013).</w:t>
      </w:r>
    </w:p>
    <w:p w14:paraId="2BF48FA5" w14:textId="5D61E3BE" w:rsidR="00BE1B0D" w:rsidRDefault="00D47E71" w:rsidP="00B36958">
      <w:pPr>
        <w:widowControl w:val="0"/>
        <w:autoSpaceDE w:val="0"/>
        <w:autoSpaceDN w:val="0"/>
        <w:adjustRightInd w:val="0"/>
      </w:pPr>
      <w:r w:rsidRPr="00D47E71">
        <w:t>Governments could also begin setting long-term targets for advanced geothermal technologies, based on exploration of the potential of all types of geothermal resources. Increased private-public R&amp;D into geothermal technologies could also help develop and bring down the costs of these growing technologies, and make geothermal energy more widely available. Indeed, given its many environmental and climate benefits, its reliability, and its low operational and fuel costs, geothermal energy could be a key player in the global goal to create an affordable and sustainable future.</w:t>
      </w:r>
    </w:p>
    <w:p w14:paraId="0F6ACA04" w14:textId="4B6A3F89" w:rsidR="003576F6" w:rsidRDefault="003576F6" w:rsidP="00B36958">
      <w:pPr>
        <w:widowControl w:val="0"/>
        <w:autoSpaceDE w:val="0"/>
        <w:autoSpaceDN w:val="0"/>
        <w:adjustRightInd w:val="0"/>
      </w:pPr>
      <w:r>
        <w:t xml:space="preserve">In terms of power purchase agreement, geothermal electricity </w:t>
      </w:r>
      <w:r w:rsidR="00155D2B">
        <w:t xml:space="preserve">is different from other renewables electricity which are characterized by high variability. Geothermal electricity system is far more reliable, and therefore </w:t>
      </w:r>
      <w:r w:rsidR="002A755C">
        <w:t xml:space="preserve">geothermal </w:t>
      </w:r>
      <w:r w:rsidR="00155D2B">
        <w:t>power purchase agreement</w:t>
      </w:r>
      <w:r w:rsidR="00081FF5">
        <w:t xml:space="preserve"> </w:t>
      </w:r>
      <w:r w:rsidR="00155D2B">
        <w:t xml:space="preserve">could be consummated for the capacity contribution, energy generated, and sometimes the ancillary services (AS) it provides. </w:t>
      </w:r>
      <w:r w:rsidR="000B73D8">
        <w:t>Unlike other renewables such as solar PV, and wind</w:t>
      </w:r>
      <w:r w:rsidR="0060500B">
        <w:t>, PPA</w:t>
      </w:r>
      <w:r w:rsidR="00081FF5">
        <w:t xml:space="preserve"> </w:t>
      </w:r>
      <w:r w:rsidR="0060500B">
        <w:t xml:space="preserve">for geothermal power plant has additional peculiar requirements with regards to Renewable Energy Credits or Certificates (RECs) associated with </w:t>
      </w:r>
      <w:r w:rsidR="000D0F41">
        <w:t xml:space="preserve">both </w:t>
      </w:r>
      <w:r w:rsidR="0060500B">
        <w:t>the energy generated</w:t>
      </w:r>
      <w:r w:rsidR="000D0F41">
        <w:t>, and the station service</w:t>
      </w:r>
      <w:r w:rsidR="0060500B">
        <w:t>, geothermal resource depletion</w:t>
      </w:r>
      <w:r w:rsidR="00DE09EB">
        <w:t xml:space="preserve"> with time</w:t>
      </w:r>
      <w:r w:rsidR="0060500B">
        <w:t>, station service</w:t>
      </w:r>
      <w:r w:rsidR="00DE09EB">
        <w:t xml:space="preserve"> (required for the extraction, processing, conversion, and re-injection of geothermal resource)</w:t>
      </w:r>
      <w:r w:rsidR="0060500B">
        <w:t>, operational force majeure</w:t>
      </w:r>
      <w:r w:rsidR="0072604F">
        <w:t xml:space="preserve"> (Stoel Rives, 2008)</w:t>
      </w:r>
      <w:r w:rsidR="00AB052D">
        <w:t>, and royalty payment</w:t>
      </w:r>
      <w:r w:rsidR="0060500B">
        <w:t>.</w:t>
      </w:r>
      <w:r w:rsidR="000E07BA">
        <w:t xml:space="preserve"> </w:t>
      </w:r>
      <w:r w:rsidR="00F239BA">
        <w:t xml:space="preserve">Study by Edmunds et al (2016) indicates the additional revenue potential for a shift from energy-only PPA to a </w:t>
      </w:r>
      <w:r w:rsidR="00562B72">
        <w:t xml:space="preserve">flexible </w:t>
      </w:r>
      <w:r w:rsidR="00F239BA">
        <w:t>PPA arrangement that allow</w:t>
      </w:r>
      <w:r w:rsidR="00EE7C64">
        <w:t>s</w:t>
      </w:r>
      <w:r w:rsidR="00F239BA">
        <w:t xml:space="preserve"> provision of regulation ancillary services and load-following supports by the geothermal plant </w:t>
      </w:r>
      <w:r w:rsidR="00EE7C64">
        <w:t>operator.</w:t>
      </w:r>
      <w:r w:rsidR="000C5CE7">
        <w:t xml:space="preserve"> </w:t>
      </w:r>
      <w:r w:rsidR="009E7990">
        <w:t>Owing to the load-following</w:t>
      </w:r>
      <w:r w:rsidR="00333B71">
        <w:t xml:space="preserve"> and base-load </w:t>
      </w:r>
      <w:r w:rsidR="00EE7C64">
        <w:t>cap</w:t>
      </w:r>
      <w:r w:rsidR="00333B71">
        <w:t>ability,</w:t>
      </w:r>
      <w:r w:rsidR="009E7990">
        <w:t xml:space="preserve"> </w:t>
      </w:r>
      <w:r w:rsidR="00740DEF">
        <w:t>a</w:t>
      </w:r>
      <w:r w:rsidR="009E7990">
        <w:t>nd</w:t>
      </w:r>
      <w:r w:rsidR="00333B71">
        <w:t xml:space="preserve"> the</w:t>
      </w:r>
      <w:r w:rsidR="00740DEF">
        <w:t xml:space="preserve"> dispatchab</w:t>
      </w:r>
      <w:r w:rsidR="009E7990">
        <w:t>ility</w:t>
      </w:r>
      <w:r w:rsidR="00333B71">
        <w:t xml:space="preserve"> of </w:t>
      </w:r>
      <w:r w:rsidR="00740DEF">
        <w:t>geothermal power</w:t>
      </w:r>
      <w:r w:rsidR="00333B71">
        <w:t xml:space="preserve"> plant, it</w:t>
      </w:r>
      <w:r w:rsidR="00740DEF">
        <w:t xml:space="preserve"> is suitable for </w:t>
      </w:r>
      <w:r w:rsidR="00333B71">
        <w:t>both firm and non-firm or flexible power purchase agreement (</w:t>
      </w:r>
      <w:r w:rsidR="00740DEF">
        <w:t>PPA</w:t>
      </w:r>
      <w:r w:rsidR="00333B71">
        <w:t>)</w:t>
      </w:r>
      <w:r w:rsidR="00740DEF">
        <w:t xml:space="preserve"> where the off-taker has the flexibility of taking only electricity it demands at any point in time.</w:t>
      </w:r>
      <w:r w:rsidR="00D43208">
        <w:t xml:space="preserve"> </w:t>
      </w:r>
      <w:r w:rsidR="00E747B4">
        <w:t>Generally, p</w:t>
      </w:r>
      <w:r w:rsidR="00D43208">
        <w:t xml:space="preserve">ower purchase agreement </w:t>
      </w:r>
      <w:r w:rsidR="00EE7C64">
        <w:t xml:space="preserve">has the advantage of helping the seller or IPP to secure adequate and predictable cash flow, while enabling the off-taker to hedge against future fluctuations in energy prices. In practice, PPA </w:t>
      </w:r>
      <w:r w:rsidR="00D43208">
        <w:t>can be structured</w:t>
      </w:r>
      <w:r w:rsidR="00E747B4">
        <w:t xml:space="preserve"> in two ways -</w:t>
      </w:r>
      <w:r w:rsidR="00D43208">
        <w:t xml:space="preserve"> direct (retail-sleeved or physical) </w:t>
      </w:r>
      <w:r w:rsidR="00E747B4">
        <w:t>and</w:t>
      </w:r>
      <w:r w:rsidR="00D43208">
        <w:t xml:space="preserve"> financial (virtual or synthetic or Contract for Difference)</w:t>
      </w:r>
      <w:r w:rsidR="00D43208" w:rsidRPr="00BE1B0D" w:rsidDel="00D43208">
        <w:t xml:space="preserve"> </w:t>
      </w:r>
      <w:r w:rsidR="00D43208">
        <w:t>PPA</w:t>
      </w:r>
      <w:r w:rsidR="00E747B4">
        <w:t>s. While direct PPA is a contract for net energy generated</w:t>
      </w:r>
      <w:r w:rsidR="00874C4E">
        <w:t xml:space="preserve"> and for </w:t>
      </w:r>
      <w:r w:rsidR="00EE7C64">
        <w:t xml:space="preserve">which </w:t>
      </w:r>
      <w:r w:rsidR="00874C4E">
        <w:t>a legal title is taken</w:t>
      </w:r>
      <w:r w:rsidR="00E747B4">
        <w:t xml:space="preserve">, </w:t>
      </w:r>
      <w:r w:rsidR="00711B72">
        <w:t xml:space="preserve">financial PPA on the other hand, is a contract for financial </w:t>
      </w:r>
      <w:r w:rsidR="00EE7C64">
        <w:t xml:space="preserve">or price </w:t>
      </w:r>
      <w:r w:rsidR="00711B72">
        <w:t>difference</w:t>
      </w:r>
      <w:r w:rsidR="00874C4E">
        <w:t xml:space="preserve"> between a strike price and market pric</w:t>
      </w:r>
      <w:r w:rsidR="004141E4">
        <w:t xml:space="preserve">e. Since geothermal resource are usually located in remote locations, it is most likely to be best suited to financial or virtual power purchase agreement which does not require the seller and the buyer to </w:t>
      </w:r>
      <w:r w:rsidR="00081FF5">
        <w:t>be in</w:t>
      </w:r>
      <w:r w:rsidR="004141E4">
        <w:t xml:space="preserve"> the same grid region</w:t>
      </w:r>
      <w:r w:rsidR="004A1856">
        <w:t xml:space="preserve"> (EPA, 2016)</w:t>
      </w:r>
      <w:r w:rsidR="004141E4">
        <w:t>.</w:t>
      </w:r>
    </w:p>
    <w:p w14:paraId="319DCBD8" w14:textId="4F9ACC7D" w:rsidR="006745FF" w:rsidRPr="00E069AC" w:rsidRDefault="006745FF" w:rsidP="00921A82">
      <w:pPr>
        <w:pStyle w:val="Heading2"/>
        <w:numPr>
          <w:ilvl w:val="1"/>
          <w:numId w:val="6"/>
        </w:numPr>
      </w:pPr>
      <w:bookmarkStart w:id="68" w:name="_Toc19137327"/>
      <w:r w:rsidRPr="00E069AC">
        <w:t>Limitations</w:t>
      </w:r>
      <w:bookmarkEnd w:id="68"/>
    </w:p>
    <w:p w14:paraId="61689243" w14:textId="3C9D39D0" w:rsidR="00081FF5" w:rsidRDefault="00272ACD" w:rsidP="00EB247F">
      <w:r w:rsidRPr="00272ACD">
        <w:t xml:space="preserve">Like all new </w:t>
      </w:r>
      <w:r w:rsidR="00BA3CC9">
        <w:t>electricity generation</w:t>
      </w:r>
      <w:r w:rsidRPr="00272ACD">
        <w:t xml:space="preserve"> technologies, for EGS to enter and compete in evolving global electricity markets, positive policies at the state, country and regional levels will be required. This study does not examine existing policies and strategies for promoting geothermal power development</w:t>
      </w:r>
      <w:r w:rsidR="00081FF5">
        <w:t>, except for power purchase agreement discussed in section 4</w:t>
      </w:r>
      <w:r w:rsidRPr="00272ACD">
        <w:t xml:space="preserve">. This report therefore </w:t>
      </w:r>
      <w:r w:rsidR="00081FF5" w:rsidRPr="00272ACD">
        <w:t>suggests</w:t>
      </w:r>
      <w:r w:rsidRPr="00272ACD">
        <w:t xml:space="preserve"> further research on how policies similar to those in existence for oil and gas and other mineral extraction operations as well as new innovative policy strategies - including provisions for accelerated permitting and licensing, loan guarantees, depletion allowances, intangible drilling write-offs, and accelerated depreciations can be used to spur the deployment of geothermal power</w:t>
      </w:r>
      <w:r w:rsidR="00BA3CC9">
        <w:t xml:space="preserve"> (CENR, 2007)</w:t>
      </w:r>
      <w:r w:rsidRPr="00272ACD">
        <w:t xml:space="preserve">. Also, further research on the potential of geothermal power serving as source of distributed power generation and how policies associated with cleaner and renewable distributed energies such as </w:t>
      </w:r>
      <w:r>
        <w:t>feed in tariffs</w:t>
      </w:r>
      <w:r w:rsidRPr="00272ACD">
        <w:t>, renewable credits and portfolio standards etc. could be used to accelerate the market penetration of EGS</w:t>
      </w:r>
      <w:r>
        <w:t>.</w:t>
      </w:r>
    </w:p>
    <w:p w14:paraId="1D2A23AB" w14:textId="3DE5C9C0" w:rsidR="00081FF5" w:rsidRPr="00E069AC" w:rsidRDefault="00081FF5" w:rsidP="00EB247F">
      <w:r>
        <w:t xml:space="preserve">This research does not look at the aspects of environmental and social safeguards </w:t>
      </w:r>
      <w:r w:rsidR="00082CA8">
        <w:t xml:space="preserve">of geothermal power plant </w:t>
      </w:r>
      <w:r>
        <w:t xml:space="preserve">which is </w:t>
      </w:r>
      <w:r w:rsidR="00EE7C64">
        <w:t>one of the</w:t>
      </w:r>
      <w:r>
        <w:t xml:space="preserve"> major sustainability standard</w:t>
      </w:r>
      <w:r w:rsidR="00082CA8">
        <w:t xml:space="preserve"> requirements</w:t>
      </w:r>
      <w:r>
        <w:t xml:space="preserve"> for most lenders like the development finance institutions (DFIs).  </w:t>
      </w:r>
      <w:r w:rsidR="00082CA8">
        <w:t>Consideration of ESS may affect variables such as the level of investment, and in-turn the adoption of geothermal energy.</w:t>
      </w:r>
    </w:p>
    <w:p w14:paraId="2139E8E7" w14:textId="767A0E25" w:rsidR="006745FF" w:rsidRPr="00E069AC" w:rsidRDefault="006745FF" w:rsidP="00921A82">
      <w:pPr>
        <w:pStyle w:val="Heading2"/>
        <w:numPr>
          <w:ilvl w:val="1"/>
          <w:numId w:val="4"/>
        </w:numPr>
      </w:pPr>
      <w:bookmarkStart w:id="69" w:name="_Toc19137328"/>
      <w:r w:rsidRPr="00E069AC">
        <w:t>Benchmarks</w:t>
      </w:r>
      <w:bookmarkEnd w:id="69"/>
    </w:p>
    <w:p w14:paraId="378528EA" w14:textId="2AC0DD5C" w:rsidR="00BB79D6" w:rsidRPr="00E069AC" w:rsidRDefault="00BB79D6" w:rsidP="00EB247F">
      <w:pPr>
        <w:rPr>
          <w:bCs/>
          <w:iCs/>
        </w:rPr>
      </w:pPr>
      <w:r w:rsidRPr="00AE1910">
        <w:rPr>
          <w:bCs/>
          <w:iCs/>
        </w:rPr>
        <w:t xml:space="preserve">Table 4.1 depicts a benchmark of Project Drawdown results for 2050 on the three developed scenarios to other </w:t>
      </w:r>
      <w:r w:rsidR="00767F79">
        <w:rPr>
          <w:bCs/>
          <w:iCs/>
        </w:rPr>
        <w:t xml:space="preserve">11 </w:t>
      </w:r>
      <w:r w:rsidRPr="00AE1910">
        <w:rPr>
          <w:bCs/>
          <w:iCs/>
        </w:rPr>
        <w:t xml:space="preserve">publicly available scenarios from IEA </w:t>
      </w:r>
      <w:r w:rsidR="00767F79">
        <w:rPr>
          <w:bCs/>
          <w:iCs/>
        </w:rPr>
        <w:t xml:space="preserve">ETP </w:t>
      </w:r>
      <w:r w:rsidRPr="00AE1910">
        <w:rPr>
          <w:bCs/>
          <w:iCs/>
        </w:rPr>
        <w:t>(</w:t>
      </w:r>
      <w:r w:rsidR="00767F79">
        <w:rPr>
          <w:bCs/>
          <w:iCs/>
        </w:rPr>
        <w:t>2017</w:t>
      </w:r>
      <w:r w:rsidRPr="00AE1910">
        <w:rPr>
          <w:bCs/>
          <w:iCs/>
        </w:rPr>
        <w:t>)</w:t>
      </w:r>
      <w:r w:rsidR="00767F79">
        <w:rPr>
          <w:bCs/>
          <w:iCs/>
        </w:rPr>
        <w:t xml:space="preserve">, </w:t>
      </w:r>
      <w:r w:rsidRPr="00AE1910">
        <w:rPr>
          <w:bCs/>
          <w:iCs/>
        </w:rPr>
        <w:t xml:space="preserve">Greenpeace (2015). The benchmarked results account for </w:t>
      </w:r>
      <w:r w:rsidR="00AE1910" w:rsidRPr="00AE1910">
        <w:rPr>
          <w:bCs/>
          <w:iCs/>
        </w:rPr>
        <w:t>geothermal power</w:t>
      </w:r>
      <w:r w:rsidR="00E50E55" w:rsidRPr="00AE1910">
        <w:rPr>
          <w:bCs/>
          <w:iCs/>
        </w:rPr>
        <w:t xml:space="preserve"> electricity generation.</w:t>
      </w:r>
      <w:r w:rsidR="00E50E55" w:rsidRPr="00E50E55">
        <w:rPr>
          <w:bCs/>
          <w:iCs/>
        </w:rPr>
        <w:t xml:space="preserve"> </w:t>
      </w:r>
    </w:p>
    <w:p w14:paraId="79DB6E21" w14:textId="77777777" w:rsidR="006745FF" w:rsidRPr="00E069AC" w:rsidRDefault="006745FF" w:rsidP="00EB247F">
      <w:pPr>
        <w:pStyle w:val="Caption"/>
        <w:jc w:val="center"/>
        <w:rPr>
          <w:b/>
          <w:bCs/>
        </w:rPr>
      </w:pPr>
      <w:bookmarkStart w:id="70" w:name="_Toc524993445"/>
      <w:bookmarkStart w:id="71" w:name="_Toc44542641"/>
      <w:r w:rsidRPr="00E069AC">
        <w:t xml:space="preserve">Table </w:t>
      </w:r>
      <w:fldSimple w:instr=" STYLEREF 1 \s ">
        <w:r w:rsidRPr="00E069AC">
          <w:t>4</w:t>
        </w:r>
      </w:fldSimple>
      <w:r w:rsidRPr="00E069AC">
        <w:t>.</w:t>
      </w:r>
      <w:fldSimple w:instr=" SEQ Table \* ARABIC \s 1 ">
        <w:r w:rsidRPr="00E069AC">
          <w:t>1</w:t>
        </w:r>
      </w:fldSimple>
      <w:r w:rsidRPr="00E069AC">
        <w:t xml:space="preserve"> Benchmarks</w:t>
      </w:r>
      <w:bookmarkEnd w:id="70"/>
      <w:bookmarkEnd w:id="71"/>
    </w:p>
    <w:tbl>
      <w:tblPr>
        <w:tblStyle w:val="TableGrid"/>
        <w:tblW w:w="9209" w:type="dxa"/>
        <w:tblLook w:val="04A0" w:firstRow="1" w:lastRow="0" w:firstColumn="1" w:lastColumn="0" w:noHBand="0" w:noVBand="1"/>
      </w:tblPr>
      <w:tblGrid>
        <w:gridCol w:w="4815"/>
        <w:gridCol w:w="2268"/>
        <w:gridCol w:w="2126"/>
      </w:tblGrid>
      <w:tr w:rsidR="00996E91" w:rsidRPr="00E069AC" w14:paraId="70C8E283" w14:textId="77777777" w:rsidTr="00B86FD0">
        <w:trPr>
          <w:trHeight w:val="329"/>
        </w:trPr>
        <w:tc>
          <w:tcPr>
            <w:tcW w:w="4815" w:type="dxa"/>
            <w:shd w:val="clear" w:color="auto" w:fill="4F81BD" w:themeFill="accent1"/>
            <w:vAlign w:val="center"/>
          </w:tcPr>
          <w:p w14:paraId="721CED95" w14:textId="594D904F" w:rsidR="00996E91" w:rsidRPr="00E069AC" w:rsidRDefault="00996E91" w:rsidP="00912CC8">
            <w:pPr>
              <w:spacing w:line="240" w:lineRule="auto"/>
              <w:jc w:val="center"/>
              <w:rPr>
                <w:b/>
                <w:bCs/>
                <w:color w:val="FFFFFF" w:themeColor="background1"/>
                <w:sz w:val="20"/>
              </w:rPr>
            </w:pPr>
            <w:r w:rsidRPr="00E069AC">
              <w:rPr>
                <w:b/>
                <w:bCs/>
                <w:color w:val="FFFFFF" w:themeColor="background1"/>
                <w:sz w:val="20"/>
              </w:rPr>
              <w:t>Source and Scenario</w:t>
            </w:r>
          </w:p>
        </w:tc>
        <w:tc>
          <w:tcPr>
            <w:tcW w:w="2268" w:type="dxa"/>
            <w:shd w:val="clear" w:color="auto" w:fill="4F81BD" w:themeFill="accent1"/>
            <w:vAlign w:val="center"/>
          </w:tcPr>
          <w:p w14:paraId="2C9D3A78" w14:textId="3930D889" w:rsidR="00996E91" w:rsidRPr="00E069AC" w:rsidRDefault="00996E91" w:rsidP="00912CC8">
            <w:pPr>
              <w:spacing w:line="240" w:lineRule="auto"/>
              <w:jc w:val="center"/>
              <w:rPr>
                <w:b/>
                <w:color w:val="FFFFFF" w:themeColor="background1"/>
                <w:sz w:val="20"/>
              </w:rPr>
            </w:pPr>
            <w:r w:rsidRPr="00E069AC">
              <w:rPr>
                <w:b/>
                <w:color w:val="FFFFFF" w:themeColor="background1"/>
                <w:sz w:val="20"/>
              </w:rPr>
              <w:t>Electricity Generation in 2050 (TWh)</w:t>
            </w:r>
          </w:p>
        </w:tc>
        <w:tc>
          <w:tcPr>
            <w:tcW w:w="2126" w:type="dxa"/>
            <w:shd w:val="clear" w:color="auto" w:fill="4F81BD" w:themeFill="accent1"/>
            <w:vAlign w:val="center"/>
          </w:tcPr>
          <w:p w14:paraId="54169280" w14:textId="7589E293" w:rsidR="00996E91" w:rsidRPr="00E069AC" w:rsidRDefault="00996E91" w:rsidP="00912CC8">
            <w:pPr>
              <w:spacing w:line="240" w:lineRule="auto"/>
              <w:jc w:val="center"/>
              <w:rPr>
                <w:b/>
                <w:color w:val="FFFFFF" w:themeColor="background1"/>
                <w:sz w:val="20"/>
              </w:rPr>
            </w:pPr>
            <w:r w:rsidRPr="00E069AC">
              <w:rPr>
                <w:b/>
                <w:color w:val="FFFFFF" w:themeColor="background1"/>
                <w:sz w:val="20"/>
              </w:rPr>
              <w:t>Market Share in 2050 (%)</w:t>
            </w:r>
          </w:p>
        </w:tc>
      </w:tr>
      <w:tr w:rsidR="00A366F6" w:rsidRPr="00E069AC" w14:paraId="2E1052D1" w14:textId="77777777" w:rsidTr="00B86FD0">
        <w:trPr>
          <w:trHeight w:val="432"/>
        </w:trPr>
        <w:tc>
          <w:tcPr>
            <w:tcW w:w="4815" w:type="dxa"/>
            <w:vAlign w:val="center"/>
          </w:tcPr>
          <w:p w14:paraId="0BDC479F" w14:textId="32423622" w:rsidR="00A366F6" w:rsidRPr="00A366F6" w:rsidRDefault="00A366F6" w:rsidP="00A366F6">
            <w:pPr>
              <w:spacing w:line="240" w:lineRule="auto"/>
              <w:jc w:val="left"/>
              <w:rPr>
                <w:b/>
                <w:sz w:val="20"/>
              </w:rPr>
            </w:pPr>
            <w:r w:rsidRPr="00A366F6">
              <w:rPr>
                <w:b/>
                <w:sz w:val="20"/>
              </w:rPr>
              <w:t>Project Drawdown – Plausible Scenario (PDS1)</w:t>
            </w:r>
          </w:p>
        </w:tc>
        <w:tc>
          <w:tcPr>
            <w:tcW w:w="2268" w:type="dxa"/>
            <w:vAlign w:val="center"/>
          </w:tcPr>
          <w:p w14:paraId="1CB45443" w14:textId="336146DA" w:rsidR="00A366F6" w:rsidRPr="00767F79" w:rsidRDefault="00767F79" w:rsidP="00A366F6">
            <w:pPr>
              <w:spacing w:line="240" w:lineRule="auto"/>
              <w:jc w:val="center"/>
              <w:rPr>
                <w:b/>
                <w:bCs/>
                <w:sz w:val="20"/>
              </w:rPr>
            </w:pPr>
            <w:r w:rsidRPr="00767F79">
              <w:rPr>
                <w:b/>
                <w:bCs/>
                <w:sz w:val="20"/>
              </w:rPr>
              <w:t>1,277</w:t>
            </w:r>
          </w:p>
        </w:tc>
        <w:tc>
          <w:tcPr>
            <w:tcW w:w="2126" w:type="dxa"/>
            <w:vAlign w:val="center"/>
          </w:tcPr>
          <w:p w14:paraId="4D115C57" w14:textId="1AC55CA8" w:rsidR="00A366F6" w:rsidRPr="00767F79" w:rsidRDefault="00767F79" w:rsidP="00A366F6">
            <w:pPr>
              <w:spacing w:line="240" w:lineRule="auto"/>
              <w:jc w:val="center"/>
              <w:rPr>
                <w:b/>
                <w:bCs/>
                <w:sz w:val="20"/>
              </w:rPr>
            </w:pPr>
            <w:r w:rsidRPr="00767F79">
              <w:rPr>
                <w:b/>
                <w:bCs/>
                <w:sz w:val="20"/>
              </w:rPr>
              <w:t>2.</w:t>
            </w:r>
            <w:r w:rsidR="005008C6">
              <w:rPr>
                <w:b/>
                <w:bCs/>
                <w:sz w:val="20"/>
              </w:rPr>
              <w:t>8</w:t>
            </w:r>
            <w:r w:rsidR="00A366F6" w:rsidRPr="00767F79">
              <w:rPr>
                <w:b/>
                <w:bCs/>
                <w:sz w:val="20"/>
              </w:rPr>
              <w:t>%</w:t>
            </w:r>
          </w:p>
        </w:tc>
      </w:tr>
      <w:tr w:rsidR="00A366F6" w:rsidRPr="00E069AC" w14:paraId="4663F018" w14:textId="77777777" w:rsidTr="00B86FD0">
        <w:trPr>
          <w:trHeight w:val="432"/>
        </w:trPr>
        <w:tc>
          <w:tcPr>
            <w:tcW w:w="4815" w:type="dxa"/>
            <w:vAlign w:val="center"/>
          </w:tcPr>
          <w:p w14:paraId="6D174A46" w14:textId="6F36D4D9" w:rsidR="00A366F6" w:rsidRPr="00A366F6" w:rsidRDefault="00A366F6" w:rsidP="00A366F6">
            <w:pPr>
              <w:spacing w:line="240" w:lineRule="auto"/>
              <w:jc w:val="left"/>
              <w:rPr>
                <w:b/>
                <w:sz w:val="20"/>
              </w:rPr>
            </w:pPr>
            <w:r w:rsidRPr="00A366F6">
              <w:rPr>
                <w:b/>
                <w:sz w:val="20"/>
              </w:rPr>
              <w:t>Project Drawdown – Drawdown Scenario (PDS2)</w:t>
            </w:r>
          </w:p>
        </w:tc>
        <w:tc>
          <w:tcPr>
            <w:tcW w:w="2268" w:type="dxa"/>
            <w:vAlign w:val="center"/>
          </w:tcPr>
          <w:p w14:paraId="31894615" w14:textId="4FBE7906" w:rsidR="00A366F6" w:rsidRPr="00767F79" w:rsidRDefault="00767F79" w:rsidP="00A366F6">
            <w:pPr>
              <w:spacing w:line="240" w:lineRule="auto"/>
              <w:jc w:val="center"/>
              <w:rPr>
                <w:b/>
                <w:bCs/>
                <w:sz w:val="20"/>
              </w:rPr>
            </w:pPr>
            <w:r w:rsidRPr="00767F79">
              <w:rPr>
                <w:b/>
                <w:bCs/>
                <w:sz w:val="20"/>
              </w:rPr>
              <w:t>1,823</w:t>
            </w:r>
          </w:p>
        </w:tc>
        <w:tc>
          <w:tcPr>
            <w:tcW w:w="2126" w:type="dxa"/>
            <w:vAlign w:val="center"/>
          </w:tcPr>
          <w:p w14:paraId="7A5267C5" w14:textId="25733337" w:rsidR="00A366F6" w:rsidRPr="00767F79" w:rsidRDefault="00767F79" w:rsidP="00A366F6">
            <w:pPr>
              <w:spacing w:line="240" w:lineRule="auto"/>
              <w:jc w:val="center"/>
              <w:rPr>
                <w:b/>
                <w:bCs/>
                <w:sz w:val="20"/>
              </w:rPr>
            </w:pPr>
            <w:r w:rsidRPr="00767F79">
              <w:rPr>
                <w:b/>
                <w:bCs/>
                <w:sz w:val="20"/>
              </w:rPr>
              <w:t>2.6</w:t>
            </w:r>
            <w:r w:rsidR="00A366F6" w:rsidRPr="00767F79">
              <w:rPr>
                <w:b/>
                <w:bCs/>
                <w:sz w:val="20"/>
              </w:rPr>
              <w:t>%</w:t>
            </w:r>
          </w:p>
        </w:tc>
      </w:tr>
      <w:tr w:rsidR="00A366F6" w:rsidRPr="00E069AC" w14:paraId="4B58F897" w14:textId="77777777" w:rsidTr="00B86FD0">
        <w:trPr>
          <w:trHeight w:val="432"/>
        </w:trPr>
        <w:tc>
          <w:tcPr>
            <w:tcW w:w="4815" w:type="dxa"/>
            <w:vAlign w:val="center"/>
          </w:tcPr>
          <w:p w14:paraId="0043B7A1" w14:textId="040B3BBB" w:rsidR="00A366F6" w:rsidRPr="00A366F6" w:rsidRDefault="00A366F6" w:rsidP="00A366F6">
            <w:pPr>
              <w:spacing w:line="240" w:lineRule="auto"/>
              <w:jc w:val="left"/>
              <w:rPr>
                <w:b/>
                <w:sz w:val="20"/>
              </w:rPr>
            </w:pPr>
            <w:r w:rsidRPr="00A366F6">
              <w:rPr>
                <w:b/>
                <w:sz w:val="20"/>
              </w:rPr>
              <w:t>Project Drawdown – Optimum Scenario (PDS3)</w:t>
            </w:r>
          </w:p>
        </w:tc>
        <w:tc>
          <w:tcPr>
            <w:tcW w:w="2268" w:type="dxa"/>
            <w:vAlign w:val="center"/>
          </w:tcPr>
          <w:p w14:paraId="40E83A22" w14:textId="0E3A6DE7" w:rsidR="00A366F6" w:rsidRPr="00767F79" w:rsidRDefault="00767F79" w:rsidP="00A366F6">
            <w:pPr>
              <w:spacing w:line="240" w:lineRule="auto"/>
              <w:jc w:val="center"/>
              <w:rPr>
                <w:b/>
                <w:bCs/>
                <w:sz w:val="20"/>
              </w:rPr>
            </w:pPr>
            <w:r w:rsidRPr="00767F79">
              <w:rPr>
                <w:b/>
                <w:bCs/>
                <w:sz w:val="20"/>
              </w:rPr>
              <w:t>4,065</w:t>
            </w:r>
          </w:p>
        </w:tc>
        <w:tc>
          <w:tcPr>
            <w:tcW w:w="2126" w:type="dxa"/>
            <w:vAlign w:val="center"/>
          </w:tcPr>
          <w:p w14:paraId="280B0F5C" w14:textId="65ADDF02" w:rsidR="00A366F6" w:rsidRPr="00767F79" w:rsidRDefault="00767F79" w:rsidP="00A366F6">
            <w:pPr>
              <w:spacing w:line="240" w:lineRule="auto"/>
              <w:jc w:val="center"/>
              <w:rPr>
                <w:b/>
                <w:bCs/>
                <w:sz w:val="20"/>
              </w:rPr>
            </w:pPr>
            <w:r w:rsidRPr="00767F79">
              <w:rPr>
                <w:b/>
                <w:bCs/>
                <w:sz w:val="20"/>
              </w:rPr>
              <w:t>5.7</w:t>
            </w:r>
            <w:r w:rsidR="00A366F6" w:rsidRPr="00767F79">
              <w:rPr>
                <w:b/>
                <w:bCs/>
                <w:sz w:val="20"/>
              </w:rPr>
              <w:t>%</w:t>
            </w:r>
          </w:p>
        </w:tc>
      </w:tr>
      <w:tr w:rsidR="00A366F6" w:rsidRPr="00E069AC" w14:paraId="6A3C101E" w14:textId="77777777" w:rsidTr="001169AF">
        <w:trPr>
          <w:trHeight w:val="525"/>
        </w:trPr>
        <w:tc>
          <w:tcPr>
            <w:tcW w:w="4815" w:type="dxa"/>
            <w:vAlign w:val="center"/>
          </w:tcPr>
          <w:p w14:paraId="3D5DBB15" w14:textId="76D7BC08" w:rsidR="00A366F6" w:rsidRPr="001169AF" w:rsidRDefault="00A366F6" w:rsidP="00A366F6">
            <w:pPr>
              <w:spacing w:line="240" w:lineRule="auto"/>
              <w:jc w:val="left"/>
              <w:rPr>
                <w:sz w:val="20"/>
              </w:rPr>
            </w:pPr>
            <w:r w:rsidRPr="001169AF">
              <w:rPr>
                <w:sz w:val="20"/>
              </w:rPr>
              <w:t xml:space="preserve">Greenpeace Energy [R]evolution </w:t>
            </w:r>
            <w:r w:rsidR="00E50E55" w:rsidRPr="001169AF">
              <w:rPr>
                <w:sz w:val="20"/>
              </w:rPr>
              <w:t xml:space="preserve">(2015) </w:t>
            </w:r>
            <w:r w:rsidRPr="001169AF">
              <w:rPr>
                <w:sz w:val="20"/>
              </w:rPr>
              <w:t>– Reference Scenario</w:t>
            </w:r>
          </w:p>
        </w:tc>
        <w:tc>
          <w:tcPr>
            <w:tcW w:w="2268" w:type="dxa"/>
            <w:shd w:val="clear" w:color="auto" w:fill="auto"/>
            <w:vAlign w:val="center"/>
          </w:tcPr>
          <w:p w14:paraId="0B74DFEC" w14:textId="15540395" w:rsidR="00A366F6" w:rsidRPr="001169AF" w:rsidRDefault="001169AF" w:rsidP="00A366F6">
            <w:pPr>
              <w:spacing w:line="240" w:lineRule="auto"/>
              <w:jc w:val="center"/>
              <w:rPr>
                <w:bCs/>
                <w:sz w:val="20"/>
              </w:rPr>
            </w:pPr>
            <w:r w:rsidRPr="001169AF">
              <w:rPr>
                <w:bCs/>
                <w:sz w:val="20"/>
              </w:rPr>
              <w:t>425</w:t>
            </w:r>
          </w:p>
        </w:tc>
        <w:tc>
          <w:tcPr>
            <w:tcW w:w="2126" w:type="dxa"/>
            <w:shd w:val="clear" w:color="auto" w:fill="auto"/>
            <w:vAlign w:val="center"/>
          </w:tcPr>
          <w:p w14:paraId="33A955C7" w14:textId="7EB7606F" w:rsidR="00A366F6" w:rsidRPr="001169AF" w:rsidRDefault="001169AF" w:rsidP="00A366F6">
            <w:pPr>
              <w:spacing w:line="240" w:lineRule="auto"/>
              <w:jc w:val="center"/>
              <w:rPr>
                <w:bCs/>
                <w:sz w:val="20"/>
              </w:rPr>
            </w:pPr>
            <w:r w:rsidRPr="001169AF">
              <w:rPr>
                <w:bCs/>
                <w:sz w:val="20"/>
              </w:rPr>
              <w:t>0.85</w:t>
            </w:r>
            <w:r w:rsidR="00A366F6" w:rsidRPr="001169AF">
              <w:rPr>
                <w:bCs/>
                <w:sz w:val="20"/>
              </w:rPr>
              <w:t>%</w:t>
            </w:r>
          </w:p>
        </w:tc>
      </w:tr>
      <w:tr w:rsidR="00A366F6" w:rsidRPr="00E069AC" w14:paraId="0F9AB968" w14:textId="77777777" w:rsidTr="00E54FE0">
        <w:trPr>
          <w:trHeight w:val="63"/>
        </w:trPr>
        <w:tc>
          <w:tcPr>
            <w:tcW w:w="4815" w:type="dxa"/>
            <w:vAlign w:val="center"/>
          </w:tcPr>
          <w:p w14:paraId="1D433B19" w14:textId="6D43DACF" w:rsidR="00A366F6" w:rsidRPr="001169AF" w:rsidRDefault="00A366F6" w:rsidP="00A366F6">
            <w:pPr>
              <w:spacing w:line="240" w:lineRule="auto"/>
              <w:jc w:val="left"/>
              <w:rPr>
                <w:sz w:val="20"/>
              </w:rPr>
            </w:pPr>
            <w:r w:rsidRPr="001169AF">
              <w:rPr>
                <w:sz w:val="20"/>
              </w:rPr>
              <w:t xml:space="preserve">Greenpeace Energy [R]evolution </w:t>
            </w:r>
            <w:r w:rsidR="00E50E55" w:rsidRPr="001169AF">
              <w:rPr>
                <w:sz w:val="20"/>
              </w:rPr>
              <w:t xml:space="preserve">(2015) </w:t>
            </w:r>
            <w:r w:rsidRPr="001169AF">
              <w:rPr>
                <w:sz w:val="20"/>
              </w:rPr>
              <w:t>– Energy Revolution Scenario</w:t>
            </w:r>
          </w:p>
        </w:tc>
        <w:tc>
          <w:tcPr>
            <w:tcW w:w="2268" w:type="dxa"/>
            <w:shd w:val="clear" w:color="auto" w:fill="auto"/>
            <w:vAlign w:val="center"/>
          </w:tcPr>
          <w:p w14:paraId="46C7A9AB" w14:textId="1507E184" w:rsidR="00A366F6" w:rsidRPr="001169AF" w:rsidRDefault="001169AF" w:rsidP="00A366F6">
            <w:pPr>
              <w:spacing w:line="240" w:lineRule="auto"/>
              <w:jc w:val="center"/>
              <w:rPr>
                <w:bCs/>
                <w:sz w:val="20"/>
              </w:rPr>
            </w:pPr>
            <w:r w:rsidRPr="001169AF">
              <w:rPr>
                <w:bCs/>
                <w:sz w:val="20"/>
              </w:rPr>
              <w:t>3,286</w:t>
            </w:r>
          </w:p>
        </w:tc>
        <w:tc>
          <w:tcPr>
            <w:tcW w:w="2126" w:type="dxa"/>
            <w:shd w:val="clear" w:color="auto" w:fill="auto"/>
            <w:vAlign w:val="center"/>
          </w:tcPr>
          <w:p w14:paraId="496E1576" w14:textId="784C30AF" w:rsidR="00A366F6" w:rsidRPr="001169AF" w:rsidRDefault="001169AF" w:rsidP="00A366F6">
            <w:pPr>
              <w:spacing w:line="240" w:lineRule="auto"/>
              <w:jc w:val="center"/>
              <w:rPr>
                <w:bCs/>
                <w:sz w:val="20"/>
              </w:rPr>
            </w:pPr>
            <w:r w:rsidRPr="001169AF">
              <w:rPr>
                <w:bCs/>
                <w:sz w:val="20"/>
              </w:rPr>
              <w:t>6.59</w:t>
            </w:r>
            <w:r w:rsidR="00E50E55" w:rsidRPr="001169AF">
              <w:rPr>
                <w:bCs/>
                <w:sz w:val="20"/>
              </w:rPr>
              <w:t>%</w:t>
            </w:r>
          </w:p>
        </w:tc>
      </w:tr>
      <w:tr w:rsidR="00A366F6" w:rsidRPr="00E069AC" w14:paraId="0C532171" w14:textId="77777777" w:rsidTr="00E54FE0">
        <w:trPr>
          <w:trHeight w:val="538"/>
        </w:trPr>
        <w:tc>
          <w:tcPr>
            <w:tcW w:w="4815" w:type="dxa"/>
            <w:vAlign w:val="center"/>
          </w:tcPr>
          <w:p w14:paraId="3DC7800E" w14:textId="6E333217" w:rsidR="00A366F6" w:rsidRPr="00E50E55" w:rsidRDefault="00A366F6" w:rsidP="00A366F6">
            <w:pPr>
              <w:spacing w:line="240" w:lineRule="auto"/>
              <w:jc w:val="left"/>
              <w:rPr>
                <w:sz w:val="20"/>
              </w:rPr>
            </w:pPr>
            <w:r w:rsidRPr="00E50E55">
              <w:rPr>
                <w:sz w:val="20"/>
              </w:rPr>
              <w:t xml:space="preserve">Greenpeace Energy [R]evolution </w:t>
            </w:r>
            <w:r w:rsidR="00E50E55" w:rsidRPr="00E50E55">
              <w:rPr>
                <w:sz w:val="20"/>
              </w:rPr>
              <w:t xml:space="preserve">(2015) </w:t>
            </w:r>
            <w:r w:rsidRPr="00E50E55">
              <w:rPr>
                <w:sz w:val="20"/>
              </w:rPr>
              <w:t>– Advanced Energy Revolution Scenario</w:t>
            </w:r>
          </w:p>
        </w:tc>
        <w:tc>
          <w:tcPr>
            <w:tcW w:w="2268" w:type="dxa"/>
            <w:shd w:val="clear" w:color="auto" w:fill="auto"/>
            <w:vAlign w:val="center"/>
          </w:tcPr>
          <w:p w14:paraId="3F8D9655" w14:textId="646F808A" w:rsidR="00A366F6" w:rsidRPr="001169AF" w:rsidRDefault="001169AF" w:rsidP="00A366F6">
            <w:pPr>
              <w:spacing w:line="240" w:lineRule="auto"/>
              <w:jc w:val="center"/>
              <w:rPr>
                <w:bCs/>
                <w:sz w:val="20"/>
              </w:rPr>
            </w:pPr>
            <w:r w:rsidRPr="001169AF">
              <w:rPr>
                <w:bCs/>
                <w:sz w:val="20"/>
              </w:rPr>
              <w:t>4,547</w:t>
            </w:r>
          </w:p>
        </w:tc>
        <w:tc>
          <w:tcPr>
            <w:tcW w:w="2126" w:type="dxa"/>
            <w:shd w:val="clear" w:color="auto" w:fill="auto"/>
            <w:vAlign w:val="center"/>
          </w:tcPr>
          <w:p w14:paraId="14B27531" w14:textId="0E2724E0" w:rsidR="00A366F6" w:rsidRPr="001169AF" w:rsidRDefault="001169AF" w:rsidP="00A366F6">
            <w:pPr>
              <w:spacing w:line="240" w:lineRule="auto"/>
              <w:jc w:val="center"/>
              <w:rPr>
                <w:bCs/>
                <w:sz w:val="20"/>
              </w:rPr>
            </w:pPr>
            <w:r w:rsidRPr="001169AF">
              <w:rPr>
                <w:bCs/>
                <w:sz w:val="20"/>
              </w:rPr>
              <w:t>6.73</w:t>
            </w:r>
            <w:r w:rsidR="00A366F6" w:rsidRPr="001169AF">
              <w:rPr>
                <w:bCs/>
                <w:sz w:val="20"/>
              </w:rPr>
              <w:t>%</w:t>
            </w:r>
          </w:p>
        </w:tc>
      </w:tr>
      <w:tr w:rsidR="00765150" w:rsidRPr="00E069AC" w14:paraId="5ADD9040" w14:textId="77777777" w:rsidTr="00E54FE0">
        <w:trPr>
          <w:trHeight w:val="92"/>
        </w:trPr>
        <w:tc>
          <w:tcPr>
            <w:tcW w:w="4815" w:type="dxa"/>
            <w:vAlign w:val="center"/>
          </w:tcPr>
          <w:p w14:paraId="08B8688D" w14:textId="27E72917" w:rsidR="00765150" w:rsidRPr="00E50E55" w:rsidRDefault="00765150" w:rsidP="00A366F6">
            <w:pPr>
              <w:spacing w:line="240" w:lineRule="auto"/>
              <w:jc w:val="left"/>
              <w:rPr>
                <w:sz w:val="20"/>
              </w:rPr>
            </w:pPr>
            <w:r>
              <w:rPr>
                <w:sz w:val="20"/>
              </w:rPr>
              <w:t>IEA WEO (2018) – Current Policy Scenario</w:t>
            </w:r>
          </w:p>
        </w:tc>
        <w:tc>
          <w:tcPr>
            <w:tcW w:w="2268" w:type="dxa"/>
            <w:shd w:val="clear" w:color="auto" w:fill="auto"/>
            <w:vAlign w:val="center"/>
          </w:tcPr>
          <w:p w14:paraId="258F8C5E" w14:textId="0F5AD12F" w:rsidR="00765150" w:rsidRPr="001169AF" w:rsidRDefault="00765150" w:rsidP="00A366F6">
            <w:pPr>
              <w:spacing w:line="240" w:lineRule="auto"/>
              <w:jc w:val="center"/>
              <w:rPr>
                <w:bCs/>
                <w:sz w:val="20"/>
              </w:rPr>
            </w:pPr>
            <w:r>
              <w:rPr>
                <w:bCs/>
                <w:sz w:val="20"/>
              </w:rPr>
              <w:t>417</w:t>
            </w:r>
          </w:p>
        </w:tc>
        <w:tc>
          <w:tcPr>
            <w:tcW w:w="2126" w:type="dxa"/>
            <w:shd w:val="clear" w:color="auto" w:fill="auto"/>
            <w:vAlign w:val="center"/>
          </w:tcPr>
          <w:p w14:paraId="0F08ACE5" w14:textId="04D397F0" w:rsidR="00765150" w:rsidRPr="001169AF" w:rsidRDefault="00765150" w:rsidP="00A366F6">
            <w:pPr>
              <w:spacing w:line="240" w:lineRule="auto"/>
              <w:jc w:val="center"/>
              <w:rPr>
                <w:bCs/>
                <w:sz w:val="20"/>
              </w:rPr>
            </w:pPr>
            <w:r>
              <w:rPr>
                <w:bCs/>
                <w:sz w:val="20"/>
              </w:rPr>
              <w:t>0.82</w:t>
            </w:r>
            <w:r w:rsidR="00E74EAF">
              <w:rPr>
                <w:bCs/>
                <w:sz w:val="20"/>
              </w:rPr>
              <w:t>%</w:t>
            </w:r>
          </w:p>
        </w:tc>
      </w:tr>
      <w:tr w:rsidR="00765150" w:rsidRPr="00E069AC" w14:paraId="437E2F8E" w14:textId="77777777" w:rsidTr="00E54FE0">
        <w:trPr>
          <w:trHeight w:val="281"/>
        </w:trPr>
        <w:tc>
          <w:tcPr>
            <w:tcW w:w="4815" w:type="dxa"/>
            <w:vAlign w:val="center"/>
          </w:tcPr>
          <w:p w14:paraId="00F3D6E6" w14:textId="10B08F8F" w:rsidR="00765150" w:rsidRPr="00E50E55" w:rsidRDefault="00765150" w:rsidP="00765150">
            <w:pPr>
              <w:spacing w:line="240" w:lineRule="auto"/>
              <w:jc w:val="left"/>
              <w:rPr>
                <w:sz w:val="20"/>
              </w:rPr>
            </w:pPr>
            <w:r>
              <w:rPr>
                <w:sz w:val="20"/>
              </w:rPr>
              <w:t>IEA WEO (2018) – New Policy Scenario</w:t>
            </w:r>
          </w:p>
        </w:tc>
        <w:tc>
          <w:tcPr>
            <w:tcW w:w="2268" w:type="dxa"/>
            <w:shd w:val="clear" w:color="auto" w:fill="auto"/>
            <w:vAlign w:val="center"/>
          </w:tcPr>
          <w:p w14:paraId="2587DB65" w14:textId="6237B347" w:rsidR="00765150" w:rsidRPr="001169AF" w:rsidRDefault="00765150" w:rsidP="00765150">
            <w:pPr>
              <w:spacing w:line="240" w:lineRule="auto"/>
              <w:jc w:val="center"/>
              <w:rPr>
                <w:bCs/>
                <w:sz w:val="20"/>
              </w:rPr>
            </w:pPr>
            <w:r>
              <w:rPr>
                <w:bCs/>
                <w:sz w:val="20"/>
              </w:rPr>
              <w:t>566</w:t>
            </w:r>
          </w:p>
        </w:tc>
        <w:tc>
          <w:tcPr>
            <w:tcW w:w="2126" w:type="dxa"/>
            <w:shd w:val="clear" w:color="auto" w:fill="auto"/>
            <w:vAlign w:val="center"/>
          </w:tcPr>
          <w:p w14:paraId="67F8811D" w14:textId="3D5F1C75" w:rsidR="00765150" w:rsidRPr="001169AF" w:rsidRDefault="00E74EAF" w:rsidP="00765150">
            <w:pPr>
              <w:spacing w:line="240" w:lineRule="auto"/>
              <w:jc w:val="center"/>
              <w:rPr>
                <w:bCs/>
                <w:sz w:val="20"/>
              </w:rPr>
            </w:pPr>
            <w:r>
              <w:rPr>
                <w:bCs/>
                <w:sz w:val="20"/>
              </w:rPr>
              <w:t>1.18%</w:t>
            </w:r>
          </w:p>
        </w:tc>
      </w:tr>
      <w:tr w:rsidR="00765150" w:rsidRPr="00E069AC" w14:paraId="6EEDF928" w14:textId="77777777" w:rsidTr="00E54FE0">
        <w:trPr>
          <w:trHeight w:val="63"/>
        </w:trPr>
        <w:tc>
          <w:tcPr>
            <w:tcW w:w="4815" w:type="dxa"/>
            <w:vAlign w:val="center"/>
          </w:tcPr>
          <w:p w14:paraId="5AF3400A" w14:textId="5601D27A" w:rsidR="00765150" w:rsidRPr="00E50E55" w:rsidRDefault="00765150" w:rsidP="00765150">
            <w:pPr>
              <w:spacing w:line="240" w:lineRule="auto"/>
              <w:jc w:val="left"/>
              <w:rPr>
                <w:sz w:val="20"/>
              </w:rPr>
            </w:pPr>
            <w:r>
              <w:rPr>
                <w:sz w:val="20"/>
              </w:rPr>
              <w:t>IEA WEO (2018) – Sustainable Development Scenario</w:t>
            </w:r>
          </w:p>
        </w:tc>
        <w:tc>
          <w:tcPr>
            <w:tcW w:w="2268" w:type="dxa"/>
            <w:shd w:val="clear" w:color="auto" w:fill="auto"/>
            <w:vAlign w:val="center"/>
          </w:tcPr>
          <w:p w14:paraId="40EC9739" w14:textId="2915E14C" w:rsidR="00765150" w:rsidRPr="001169AF" w:rsidRDefault="00765150" w:rsidP="00765150">
            <w:pPr>
              <w:spacing w:line="240" w:lineRule="auto"/>
              <w:jc w:val="center"/>
              <w:rPr>
                <w:bCs/>
                <w:sz w:val="20"/>
              </w:rPr>
            </w:pPr>
            <w:r>
              <w:rPr>
                <w:bCs/>
                <w:sz w:val="20"/>
              </w:rPr>
              <w:t>949</w:t>
            </w:r>
          </w:p>
        </w:tc>
        <w:tc>
          <w:tcPr>
            <w:tcW w:w="2126" w:type="dxa"/>
            <w:shd w:val="clear" w:color="auto" w:fill="auto"/>
            <w:vAlign w:val="center"/>
          </w:tcPr>
          <w:p w14:paraId="4F724C82" w14:textId="7CB0D07F" w:rsidR="00765150" w:rsidRPr="001169AF" w:rsidRDefault="00E74EAF" w:rsidP="00765150">
            <w:pPr>
              <w:spacing w:line="240" w:lineRule="auto"/>
              <w:jc w:val="center"/>
              <w:rPr>
                <w:bCs/>
                <w:sz w:val="20"/>
              </w:rPr>
            </w:pPr>
            <w:r>
              <w:rPr>
                <w:bCs/>
                <w:sz w:val="20"/>
              </w:rPr>
              <w:t>2.02%</w:t>
            </w:r>
          </w:p>
        </w:tc>
      </w:tr>
      <w:tr w:rsidR="00765150" w:rsidRPr="00E069AC" w14:paraId="579BA435" w14:textId="77777777" w:rsidTr="00E54FE0">
        <w:trPr>
          <w:trHeight w:val="277"/>
        </w:trPr>
        <w:tc>
          <w:tcPr>
            <w:tcW w:w="4815" w:type="dxa"/>
            <w:vAlign w:val="center"/>
          </w:tcPr>
          <w:p w14:paraId="3A7C5CE2" w14:textId="09A4FA8F" w:rsidR="00765150" w:rsidRPr="00E50E55" w:rsidRDefault="00767F79" w:rsidP="00765150">
            <w:pPr>
              <w:spacing w:line="240" w:lineRule="auto"/>
              <w:jc w:val="left"/>
              <w:rPr>
                <w:sz w:val="20"/>
              </w:rPr>
            </w:pPr>
            <w:r w:rsidRPr="00842B09">
              <w:rPr>
                <w:sz w:val="20"/>
              </w:rPr>
              <w:t xml:space="preserve">IEA Energy Technologies Perspectives </w:t>
            </w:r>
            <w:r w:rsidR="00E74EAF">
              <w:rPr>
                <w:sz w:val="20"/>
              </w:rPr>
              <w:t>(2017) – Reference Technology Scenario</w:t>
            </w:r>
          </w:p>
        </w:tc>
        <w:tc>
          <w:tcPr>
            <w:tcW w:w="2268" w:type="dxa"/>
            <w:shd w:val="clear" w:color="auto" w:fill="auto"/>
            <w:vAlign w:val="center"/>
          </w:tcPr>
          <w:p w14:paraId="50040C90" w14:textId="44C03A23" w:rsidR="00765150" w:rsidRPr="001169AF" w:rsidRDefault="00E74EAF" w:rsidP="00765150">
            <w:pPr>
              <w:spacing w:line="240" w:lineRule="auto"/>
              <w:jc w:val="center"/>
              <w:rPr>
                <w:bCs/>
                <w:sz w:val="20"/>
              </w:rPr>
            </w:pPr>
            <w:r>
              <w:rPr>
                <w:bCs/>
                <w:sz w:val="20"/>
              </w:rPr>
              <w:t>621</w:t>
            </w:r>
          </w:p>
        </w:tc>
        <w:tc>
          <w:tcPr>
            <w:tcW w:w="2126" w:type="dxa"/>
            <w:shd w:val="clear" w:color="auto" w:fill="auto"/>
            <w:vAlign w:val="center"/>
          </w:tcPr>
          <w:p w14:paraId="4662CE92" w14:textId="758FA8F4" w:rsidR="00765150" w:rsidRPr="001169AF" w:rsidRDefault="00E74EAF" w:rsidP="00765150">
            <w:pPr>
              <w:spacing w:line="240" w:lineRule="auto"/>
              <w:jc w:val="center"/>
              <w:rPr>
                <w:bCs/>
                <w:sz w:val="20"/>
              </w:rPr>
            </w:pPr>
            <w:r>
              <w:rPr>
                <w:bCs/>
                <w:sz w:val="20"/>
              </w:rPr>
              <w:t>1.32%</w:t>
            </w:r>
          </w:p>
        </w:tc>
      </w:tr>
      <w:tr w:rsidR="00765150" w:rsidRPr="00E069AC" w14:paraId="085E27A3" w14:textId="77777777" w:rsidTr="00E54FE0">
        <w:trPr>
          <w:trHeight w:val="212"/>
        </w:trPr>
        <w:tc>
          <w:tcPr>
            <w:tcW w:w="4815" w:type="dxa"/>
            <w:vAlign w:val="center"/>
          </w:tcPr>
          <w:p w14:paraId="2E181081" w14:textId="6F914B17" w:rsidR="00765150" w:rsidRPr="00E50E55" w:rsidRDefault="00767F79" w:rsidP="00765150">
            <w:pPr>
              <w:spacing w:line="240" w:lineRule="auto"/>
              <w:jc w:val="left"/>
              <w:rPr>
                <w:sz w:val="20"/>
              </w:rPr>
            </w:pPr>
            <w:r w:rsidRPr="00842B09">
              <w:rPr>
                <w:sz w:val="20"/>
              </w:rPr>
              <w:t xml:space="preserve">IEA Energy Technologies Perspectives </w:t>
            </w:r>
            <w:r w:rsidR="00E74EAF">
              <w:rPr>
                <w:sz w:val="20"/>
              </w:rPr>
              <w:t>(2017) – 2DS</w:t>
            </w:r>
          </w:p>
        </w:tc>
        <w:tc>
          <w:tcPr>
            <w:tcW w:w="2268" w:type="dxa"/>
            <w:shd w:val="clear" w:color="auto" w:fill="auto"/>
            <w:vAlign w:val="center"/>
          </w:tcPr>
          <w:p w14:paraId="6C3DFB07" w14:textId="1303BAAA" w:rsidR="00765150" w:rsidRPr="001169AF" w:rsidRDefault="00E74EAF" w:rsidP="00765150">
            <w:pPr>
              <w:spacing w:line="240" w:lineRule="auto"/>
              <w:jc w:val="center"/>
              <w:rPr>
                <w:bCs/>
                <w:sz w:val="20"/>
              </w:rPr>
            </w:pPr>
            <w:r>
              <w:rPr>
                <w:bCs/>
                <w:sz w:val="20"/>
              </w:rPr>
              <w:t>931</w:t>
            </w:r>
          </w:p>
        </w:tc>
        <w:tc>
          <w:tcPr>
            <w:tcW w:w="2126" w:type="dxa"/>
            <w:shd w:val="clear" w:color="auto" w:fill="auto"/>
            <w:vAlign w:val="center"/>
          </w:tcPr>
          <w:p w14:paraId="20D43767" w14:textId="4C36FAA2" w:rsidR="00765150" w:rsidRPr="001169AF" w:rsidRDefault="00E74EAF" w:rsidP="00765150">
            <w:pPr>
              <w:spacing w:line="240" w:lineRule="auto"/>
              <w:jc w:val="center"/>
              <w:rPr>
                <w:bCs/>
                <w:sz w:val="20"/>
              </w:rPr>
            </w:pPr>
            <w:r>
              <w:rPr>
                <w:bCs/>
                <w:sz w:val="20"/>
              </w:rPr>
              <w:t>2.19%</w:t>
            </w:r>
          </w:p>
        </w:tc>
      </w:tr>
      <w:tr w:rsidR="00765150" w:rsidRPr="00E069AC" w14:paraId="57FF37A0" w14:textId="77777777" w:rsidTr="00E54FE0">
        <w:trPr>
          <w:trHeight w:val="63"/>
        </w:trPr>
        <w:tc>
          <w:tcPr>
            <w:tcW w:w="4815" w:type="dxa"/>
            <w:vAlign w:val="center"/>
          </w:tcPr>
          <w:p w14:paraId="1F235B0E" w14:textId="32275BF5" w:rsidR="00765150" w:rsidRPr="00E50E55" w:rsidRDefault="00767F79" w:rsidP="00765150">
            <w:pPr>
              <w:spacing w:line="240" w:lineRule="auto"/>
              <w:jc w:val="left"/>
              <w:rPr>
                <w:sz w:val="20"/>
              </w:rPr>
            </w:pPr>
            <w:r w:rsidRPr="00842B09">
              <w:rPr>
                <w:sz w:val="20"/>
              </w:rPr>
              <w:t xml:space="preserve">IEA Energy Technologies Perspectives </w:t>
            </w:r>
            <w:r w:rsidR="00E74EAF">
              <w:rPr>
                <w:sz w:val="20"/>
              </w:rPr>
              <w:t>(2017) – B2DS</w:t>
            </w:r>
          </w:p>
        </w:tc>
        <w:tc>
          <w:tcPr>
            <w:tcW w:w="2268" w:type="dxa"/>
            <w:shd w:val="clear" w:color="auto" w:fill="auto"/>
            <w:vAlign w:val="center"/>
          </w:tcPr>
          <w:p w14:paraId="2A68DC76" w14:textId="56923806" w:rsidR="00765150" w:rsidRPr="001169AF" w:rsidRDefault="00E74EAF" w:rsidP="00765150">
            <w:pPr>
              <w:spacing w:line="240" w:lineRule="auto"/>
              <w:jc w:val="center"/>
              <w:rPr>
                <w:bCs/>
                <w:sz w:val="20"/>
              </w:rPr>
            </w:pPr>
            <w:r>
              <w:rPr>
                <w:bCs/>
                <w:sz w:val="20"/>
              </w:rPr>
              <w:t>810</w:t>
            </w:r>
          </w:p>
        </w:tc>
        <w:tc>
          <w:tcPr>
            <w:tcW w:w="2126" w:type="dxa"/>
            <w:shd w:val="clear" w:color="auto" w:fill="auto"/>
            <w:vAlign w:val="center"/>
          </w:tcPr>
          <w:p w14:paraId="13DE736F" w14:textId="23833F8D" w:rsidR="00765150" w:rsidRPr="001169AF" w:rsidRDefault="00E74EAF" w:rsidP="00765150">
            <w:pPr>
              <w:spacing w:line="240" w:lineRule="auto"/>
              <w:jc w:val="center"/>
              <w:rPr>
                <w:bCs/>
                <w:sz w:val="20"/>
              </w:rPr>
            </w:pPr>
            <w:r>
              <w:rPr>
                <w:bCs/>
                <w:sz w:val="20"/>
              </w:rPr>
              <w:t>1.8%</w:t>
            </w:r>
          </w:p>
        </w:tc>
      </w:tr>
      <w:tr w:rsidR="00765150" w:rsidRPr="00E069AC" w14:paraId="19415B1C" w14:textId="77777777" w:rsidTr="00E54FE0">
        <w:trPr>
          <w:trHeight w:val="63"/>
        </w:trPr>
        <w:tc>
          <w:tcPr>
            <w:tcW w:w="4815" w:type="dxa"/>
            <w:vAlign w:val="center"/>
          </w:tcPr>
          <w:p w14:paraId="7505C7D8" w14:textId="52E5DABE" w:rsidR="00765150" w:rsidRPr="00E50E55" w:rsidRDefault="00E74EAF" w:rsidP="00765150">
            <w:pPr>
              <w:spacing w:line="240" w:lineRule="auto"/>
              <w:jc w:val="left"/>
              <w:rPr>
                <w:sz w:val="20"/>
              </w:rPr>
            </w:pPr>
            <w:r>
              <w:rPr>
                <w:sz w:val="20"/>
              </w:rPr>
              <w:t>IEEJ Outlook (2019) – Reference Scenario</w:t>
            </w:r>
          </w:p>
        </w:tc>
        <w:tc>
          <w:tcPr>
            <w:tcW w:w="2268" w:type="dxa"/>
            <w:shd w:val="clear" w:color="auto" w:fill="auto"/>
            <w:vAlign w:val="center"/>
          </w:tcPr>
          <w:p w14:paraId="79D097AF" w14:textId="13F51549" w:rsidR="00765150" w:rsidRPr="001169AF" w:rsidRDefault="00E74EAF" w:rsidP="00765150">
            <w:pPr>
              <w:spacing w:line="240" w:lineRule="auto"/>
              <w:jc w:val="center"/>
              <w:rPr>
                <w:bCs/>
                <w:sz w:val="20"/>
              </w:rPr>
            </w:pPr>
            <w:r>
              <w:rPr>
                <w:bCs/>
                <w:sz w:val="20"/>
              </w:rPr>
              <w:t>307</w:t>
            </w:r>
          </w:p>
        </w:tc>
        <w:tc>
          <w:tcPr>
            <w:tcW w:w="2126" w:type="dxa"/>
            <w:shd w:val="clear" w:color="auto" w:fill="auto"/>
            <w:vAlign w:val="center"/>
          </w:tcPr>
          <w:p w14:paraId="52581C45" w14:textId="00189DCC" w:rsidR="00765150" w:rsidRPr="001169AF" w:rsidRDefault="00143B11" w:rsidP="00765150">
            <w:pPr>
              <w:spacing w:line="240" w:lineRule="auto"/>
              <w:jc w:val="center"/>
              <w:rPr>
                <w:bCs/>
                <w:sz w:val="20"/>
              </w:rPr>
            </w:pPr>
            <w:r>
              <w:rPr>
                <w:bCs/>
                <w:sz w:val="20"/>
              </w:rPr>
              <w:t>0.65%</w:t>
            </w:r>
          </w:p>
        </w:tc>
      </w:tr>
      <w:tr w:rsidR="00E74EAF" w:rsidRPr="00E069AC" w14:paraId="73A76384" w14:textId="77777777" w:rsidTr="00E54FE0">
        <w:trPr>
          <w:trHeight w:val="117"/>
        </w:trPr>
        <w:tc>
          <w:tcPr>
            <w:tcW w:w="4815" w:type="dxa"/>
            <w:vAlign w:val="center"/>
          </w:tcPr>
          <w:p w14:paraId="77E8BEA1" w14:textId="382AC0A4" w:rsidR="00E74EAF" w:rsidRPr="00E50E55" w:rsidRDefault="00E74EAF" w:rsidP="00E74EAF">
            <w:pPr>
              <w:spacing w:line="240" w:lineRule="auto"/>
              <w:jc w:val="left"/>
              <w:rPr>
                <w:sz w:val="20"/>
              </w:rPr>
            </w:pPr>
            <w:r>
              <w:rPr>
                <w:sz w:val="20"/>
              </w:rPr>
              <w:t>IEEJ Outlook (2019) – Advanced Technology Scenario</w:t>
            </w:r>
          </w:p>
        </w:tc>
        <w:tc>
          <w:tcPr>
            <w:tcW w:w="2268" w:type="dxa"/>
            <w:shd w:val="clear" w:color="auto" w:fill="auto"/>
            <w:vAlign w:val="center"/>
          </w:tcPr>
          <w:p w14:paraId="36E61037" w14:textId="49B12E77" w:rsidR="00E74EAF" w:rsidRPr="001169AF" w:rsidRDefault="00E74EAF" w:rsidP="00E74EAF">
            <w:pPr>
              <w:spacing w:line="240" w:lineRule="auto"/>
              <w:jc w:val="center"/>
              <w:rPr>
                <w:bCs/>
                <w:sz w:val="20"/>
              </w:rPr>
            </w:pPr>
            <w:r>
              <w:rPr>
                <w:bCs/>
                <w:sz w:val="20"/>
              </w:rPr>
              <w:t>47</w:t>
            </w:r>
            <w:r w:rsidR="00143B11">
              <w:rPr>
                <w:bCs/>
                <w:sz w:val="20"/>
              </w:rPr>
              <w:t>3</w:t>
            </w:r>
          </w:p>
        </w:tc>
        <w:tc>
          <w:tcPr>
            <w:tcW w:w="2126" w:type="dxa"/>
            <w:shd w:val="clear" w:color="auto" w:fill="auto"/>
            <w:vAlign w:val="center"/>
          </w:tcPr>
          <w:p w14:paraId="3308CCD9" w14:textId="75BCF130" w:rsidR="00E74EAF" w:rsidRPr="001169AF" w:rsidRDefault="00143B11" w:rsidP="00E74EAF">
            <w:pPr>
              <w:spacing w:line="240" w:lineRule="auto"/>
              <w:jc w:val="center"/>
              <w:rPr>
                <w:bCs/>
                <w:sz w:val="20"/>
              </w:rPr>
            </w:pPr>
            <w:r>
              <w:rPr>
                <w:bCs/>
                <w:sz w:val="20"/>
              </w:rPr>
              <w:t>1.09%</w:t>
            </w:r>
          </w:p>
        </w:tc>
      </w:tr>
    </w:tbl>
    <w:p w14:paraId="2A51FEC2" w14:textId="77777777" w:rsidR="00B20FA0" w:rsidRDefault="00B20FA0">
      <w:pPr>
        <w:spacing w:after="160" w:line="259" w:lineRule="auto"/>
        <w:jc w:val="left"/>
        <w:rPr>
          <w:rFonts w:asciiTheme="majorHAnsi" w:eastAsiaTheme="majorEastAsia" w:hAnsiTheme="majorHAnsi" w:cs="Times New Roman (Headings CS)"/>
          <w:b/>
          <w:bCs/>
          <w:smallCaps/>
          <w:color w:val="4F81BD" w:themeColor="accent1"/>
          <w:sz w:val="36"/>
          <w:szCs w:val="36"/>
        </w:rPr>
      </w:pPr>
      <w:r>
        <w:br w:type="page"/>
      </w:r>
    </w:p>
    <w:p w14:paraId="7454D80C" w14:textId="04361861" w:rsidR="00434F61" w:rsidRPr="00E069AC" w:rsidRDefault="551A77D0" w:rsidP="00B20FA0">
      <w:pPr>
        <w:pStyle w:val="Heading1"/>
      </w:pPr>
      <w:bookmarkStart w:id="72" w:name="_Toc19137329"/>
      <w:r w:rsidRPr="00E069AC">
        <w:t>References</w:t>
      </w:r>
      <w:bookmarkEnd w:id="72"/>
    </w:p>
    <w:p w14:paraId="61F78581"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Aksoy, N., Gok, O. S., Mutlu, S. G., &amp; Kılınc, G. (2015). </w:t>
      </w:r>
      <w:r w:rsidRPr="00B36958">
        <w:rPr>
          <w:rFonts w:cs="Times New Roman"/>
          <w:i/>
          <w:color w:val="000000" w:themeColor="text1"/>
        </w:rPr>
        <w:t>CO</w:t>
      </w:r>
      <w:r w:rsidRPr="00B36958">
        <w:rPr>
          <w:rFonts w:cs="Times New Roman"/>
          <w:i/>
          <w:color w:val="000000" w:themeColor="text1"/>
          <w:vertAlign w:val="subscript"/>
        </w:rPr>
        <w:t xml:space="preserve">2 </w:t>
      </w:r>
      <w:r w:rsidRPr="00B36958">
        <w:rPr>
          <w:rFonts w:cs="Times New Roman"/>
          <w:i/>
          <w:color w:val="000000" w:themeColor="text1"/>
        </w:rPr>
        <w:t xml:space="preserve">Emission from Geothermal Power Plants in Turkey. </w:t>
      </w:r>
      <w:r w:rsidRPr="00B36958">
        <w:rPr>
          <w:rFonts w:cs="Times New Roman"/>
          <w:color w:val="000000" w:themeColor="text1"/>
        </w:rPr>
        <w:t xml:space="preserve">In Proceedings World Geothermal Congress 2015 Melbourne, Australia, 19-25 April 2015. Retrieved from </w:t>
      </w:r>
      <w:hyperlink r:id="rId26" w:history="1">
        <w:r w:rsidRPr="00B36958">
          <w:rPr>
            <w:rStyle w:val="Hyperlink"/>
            <w:rFonts w:cs="Times New Roman"/>
            <w:color w:val="000000" w:themeColor="text1"/>
          </w:rPr>
          <w:t>https://pangea.stanford.edu/ERE/db/WGC/papers/WGC/2015/02065.pdf</w:t>
        </w:r>
      </w:hyperlink>
    </w:p>
    <w:p w14:paraId="6FC98279"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AltEnergy (2013) </w:t>
      </w:r>
      <w:r w:rsidRPr="00B36958">
        <w:rPr>
          <w:rFonts w:cs="Times New Roman"/>
          <w:i/>
          <w:color w:val="000000" w:themeColor="text1"/>
        </w:rPr>
        <w:t>Dispatchable Geothermal Plant May Shape Future Deals.</w:t>
      </w:r>
      <w:r w:rsidRPr="00B36958">
        <w:rPr>
          <w:rFonts w:cs="Times New Roman"/>
          <w:color w:val="000000" w:themeColor="text1"/>
        </w:rPr>
        <w:t xml:space="preserve"> Retrieved January 27, 2019 </w:t>
      </w:r>
      <w:hyperlink r:id="rId27" w:history="1">
        <w:r w:rsidRPr="00B36958">
          <w:rPr>
            <w:rStyle w:val="Hyperlink"/>
            <w:rFonts w:cs="Times New Roman"/>
            <w:color w:val="000000" w:themeColor="text1"/>
          </w:rPr>
          <w:t>http://www.altenergystocks.com/archives/2013/03/dispatchable_geothermal_plant_may_shape_future_deals_1/</w:t>
        </w:r>
      </w:hyperlink>
    </w:p>
    <w:p w14:paraId="209F54BE" w14:textId="77777777" w:rsidR="001264F7" w:rsidRPr="00B36958" w:rsidRDefault="001264F7" w:rsidP="00B36958">
      <w:pPr>
        <w:spacing w:before="120"/>
        <w:rPr>
          <w:rFonts w:cs="Times New Roman"/>
          <w:color w:val="000000" w:themeColor="text1"/>
        </w:rPr>
      </w:pPr>
      <w:r w:rsidRPr="00B36958">
        <w:rPr>
          <w:rFonts w:cs="Times New Roman"/>
          <w:color w:val="000000" w:themeColor="text1"/>
          <w:lang w:val="pt-PT"/>
        </w:rPr>
        <w:t xml:space="preserve">AMPERE. (2014). </w:t>
      </w:r>
      <w:r w:rsidRPr="00B36958">
        <w:rPr>
          <w:rFonts w:cs="Times New Roman"/>
          <w:i/>
          <w:color w:val="000000" w:themeColor="text1"/>
          <w:lang w:val="pt-PT"/>
        </w:rPr>
        <w:t>AMPERE Database, Regions Definitions, EU FP7 AMPERE Project</w:t>
      </w:r>
      <w:r w:rsidRPr="00B36958">
        <w:rPr>
          <w:rFonts w:cs="Times New Roman"/>
          <w:color w:val="000000" w:themeColor="text1"/>
          <w:lang w:val="pt-PT"/>
        </w:rPr>
        <w:t xml:space="preserve">. </w:t>
      </w:r>
      <w:r w:rsidRPr="00B36958">
        <w:rPr>
          <w:rFonts w:cs="Times New Roman"/>
          <w:color w:val="000000" w:themeColor="text1"/>
        </w:rPr>
        <w:t>Retrieved from: https://secure.iiasa.ac.at/web-apps/ene/AMPEREDB/dsd?Action=htmlpage&amp;page=about#regiondefs</w:t>
      </w:r>
    </w:p>
    <w:p w14:paraId="1B82CF5F"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ARENA. (2014).</w:t>
      </w:r>
      <w:r w:rsidRPr="00B36958">
        <w:rPr>
          <w:rFonts w:cs="Times New Roman"/>
          <w:i/>
          <w:color w:val="000000" w:themeColor="text1"/>
        </w:rPr>
        <w:t xml:space="preserve"> Looking Forward: Barriers, Risks and Rewards of the Australian Geothermal Sector to 2020 and 2050 </w:t>
      </w:r>
      <w:r w:rsidRPr="00B36958">
        <w:rPr>
          <w:rFonts w:cs="Times New Roman"/>
          <w:color w:val="000000" w:themeColor="text1"/>
        </w:rPr>
        <w:t>(No. 978- 0-9925510-1–8). Commonwealth of Australia (Australian Renewable Energy Agency). Retrieved from https://arena.gov.au/assets/2017/02/ARENA-IGEG-main-report.pdf</w:t>
      </w:r>
    </w:p>
    <w:p w14:paraId="045A3AE5"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Axelsson, G., A. Gudmundsson, B. Steingrimsson, G. Palmason, H. Armansson, H. Tulinius, O. Flovenz, S. Björnsson and V. Stefansson. (2001). </w:t>
      </w:r>
      <w:r w:rsidRPr="00AF6179">
        <w:rPr>
          <w:rFonts w:cs="Times New Roman"/>
          <w:i/>
          <w:color w:val="000000" w:themeColor="text1"/>
        </w:rPr>
        <w:t>Sustainable production of geothermal energy: Suggested definition.</w:t>
      </w:r>
      <w:r w:rsidRPr="00B36958">
        <w:rPr>
          <w:rFonts w:cs="Times New Roman"/>
          <w:color w:val="000000" w:themeColor="text1"/>
        </w:rPr>
        <w:t xml:space="preserve"> IGA News, Quarterly No. 43. In, Technology Roadmap: Geothermal Heat and Power, International Energy Agency. 2011.</w:t>
      </w:r>
    </w:p>
    <w:p w14:paraId="14920C54"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Bayer, P., Rybach, L., Blum, P., &amp; Brauchler, R. (2013). Review on life cycle environmental effects of geothermal power generation. </w:t>
      </w:r>
      <w:r w:rsidRPr="00B36958">
        <w:rPr>
          <w:rFonts w:cs="Times New Roman"/>
          <w:i/>
          <w:color w:val="000000" w:themeColor="text1"/>
        </w:rPr>
        <w:t xml:space="preserve">Renewable and Sustainable Energy Reviews, 26, 446–463. </w:t>
      </w:r>
      <w:r w:rsidRPr="00B36958">
        <w:rPr>
          <w:rFonts w:cs="Times New Roman"/>
          <w:color w:val="000000" w:themeColor="text1"/>
        </w:rPr>
        <w:t>https://doi.org/10.1016/j.rser.2013.05.039</w:t>
      </w:r>
    </w:p>
    <w:p w14:paraId="41EFC1A4"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Bertani, R. (2015). </w:t>
      </w:r>
      <w:r w:rsidRPr="00B36958">
        <w:rPr>
          <w:rFonts w:cs="Times New Roman"/>
          <w:i/>
          <w:color w:val="000000" w:themeColor="text1"/>
        </w:rPr>
        <w:t>Geothermal power generation in the world 2005–2010 update report.</w:t>
      </w:r>
      <w:r w:rsidRPr="00B36958">
        <w:rPr>
          <w:rFonts w:cs="Times New Roman"/>
          <w:color w:val="000000" w:themeColor="text1"/>
        </w:rPr>
        <w:t xml:space="preserve"> Proceedings World Geothermal Congress 2015. Melbourne, Australia, 19-25.</w:t>
      </w:r>
    </w:p>
    <w:p w14:paraId="25E4833A"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BNEF. (2014). </w:t>
      </w:r>
      <w:r w:rsidRPr="00AF6179">
        <w:rPr>
          <w:rFonts w:cs="Times New Roman"/>
          <w:i/>
          <w:color w:val="000000" w:themeColor="text1"/>
        </w:rPr>
        <w:t>Sustainable energy in America 2014 factbook</w:t>
      </w:r>
      <w:r w:rsidRPr="00B36958">
        <w:rPr>
          <w:rFonts w:cs="Times New Roman"/>
          <w:color w:val="000000" w:themeColor="text1"/>
        </w:rPr>
        <w:t xml:space="preserve">. New York, NY: Bloomberg New Energy Finance. Retrieved from </w:t>
      </w:r>
      <w:hyperlink r:id="rId28" w:history="1">
        <w:r w:rsidRPr="00B36958">
          <w:rPr>
            <w:rStyle w:val="Hyperlink"/>
            <w:rFonts w:cs="Times New Roman"/>
            <w:color w:val="000000" w:themeColor="text1"/>
          </w:rPr>
          <w:t>http://about.bnef.com/white-papers/sustainable-energy-in-america-2014-factbook/</w:t>
        </w:r>
      </w:hyperlink>
    </w:p>
    <w:p w14:paraId="4A8B08F5"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Bromley, C.,  Milou, B. (2011). </w:t>
      </w:r>
      <w:r w:rsidRPr="00AF6179">
        <w:rPr>
          <w:rFonts w:cs="Times New Roman"/>
          <w:i/>
          <w:color w:val="000000" w:themeColor="text1"/>
        </w:rPr>
        <w:t>Global geothermal deployment – the IEA roadmap for the future.</w:t>
      </w:r>
      <w:r w:rsidRPr="00B36958">
        <w:rPr>
          <w:rFonts w:cs="Times New Roman"/>
          <w:color w:val="000000" w:themeColor="text1"/>
        </w:rPr>
        <w:t xml:space="preserve"> Australia Geothermal Energy Conference, 2011.</w:t>
      </w:r>
    </w:p>
    <w:p w14:paraId="52E38462"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Bromley, C., Goldstein, B., Hiriart, G., Bertani, R., Huenges, E., Muraoka, H., Zui, V. (2010). Contribution of Geothermal Energy to Climate Change Mitigation: the IPCC Renewable Energy Report. In </w:t>
      </w:r>
      <w:r w:rsidRPr="00B36958">
        <w:rPr>
          <w:rFonts w:cs="Times New Roman"/>
          <w:i/>
          <w:iCs/>
          <w:color w:val="000000" w:themeColor="text1"/>
        </w:rPr>
        <w:t>Proceedings World Geothermal Congress</w:t>
      </w:r>
      <w:r w:rsidRPr="00B36958">
        <w:rPr>
          <w:rFonts w:cs="Times New Roman"/>
          <w:color w:val="000000" w:themeColor="text1"/>
        </w:rPr>
        <w:t xml:space="preserve"> (p. 5). Bali, Indonesia. Retrieved from </w:t>
      </w:r>
      <w:hyperlink r:id="rId29" w:history="1">
        <w:r w:rsidRPr="00B36958">
          <w:rPr>
            <w:rStyle w:val="Hyperlink"/>
            <w:rFonts w:cs="Times New Roman"/>
            <w:color w:val="000000" w:themeColor="text1"/>
          </w:rPr>
          <w:t>https://www.geothermal-energy.org/pdf/IGAstandard/WGC/2010/0225.pdf</w:t>
        </w:r>
      </w:hyperlink>
    </w:p>
    <w:p w14:paraId="7D5A7439"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Budisulistyo, D., &amp; Krumdieck, S. (2015). Thermodynamic and economic analysis for the pre-feasibility study of a binary geothermal power plant. </w:t>
      </w:r>
      <w:r w:rsidRPr="00B36958">
        <w:rPr>
          <w:rFonts w:cs="Times New Roman"/>
          <w:i/>
          <w:iCs/>
          <w:color w:val="000000" w:themeColor="text1"/>
        </w:rPr>
        <w:t>Energy Conversion and Management</w:t>
      </w:r>
      <w:r w:rsidRPr="00B36958">
        <w:rPr>
          <w:rFonts w:cs="Times New Roman"/>
          <w:color w:val="000000" w:themeColor="text1"/>
        </w:rPr>
        <w:t xml:space="preserve">, </w:t>
      </w:r>
      <w:r w:rsidRPr="00B36958">
        <w:rPr>
          <w:rFonts w:cs="Times New Roman"/>
          <w:i/>
          <w:iCs/>
          <w:color w:val="000000" w:themeColor="text1"/>
        </w:rPr>
        <w:t>103</w:t>
      </w:r>
      <w:r w:rsidRPr="00B36958">
        <w:rPr>
          <w:rFonts w:cs="Times New Roman"/>
          <w:color w:val="000000" w:themeColor="text1"/>
        </w:rPr>
        <w:t xml:space="preserve">, 639–649. </w:t>
      </w:r>
      <w:hyperlink r:id="rId30" w:history="1">
        <w:r w:rsidRPr="00B36958">
          <w:rPr>
            <w:rStyle w:val="Hyperlink"/>
            <w:rFonts w:cs="Times New Roman"/>
            <w:color w:val="000000" w:themeColor="text1"/>
          </w:rPr>
          <w:t>https://doi.org/10.1016/j.enconman.2015.06.069</w:t>
        </w:r>
      </w:hyperlink>
    </w:p>
    <w:p w14:paraId="122999A2"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Buonocore, E., Vanoli, L., Carotenuto, A., &amp; Ulgiati, S. (2015). Integrating life cycle assessment and e</w:t>
      </w:r>
      <w:r>
        <w:rPr>
          <w:rFonts w:cs="Times New Roman"/>
          <w:color w:val="000000" w:themeColor="text1"/>
        </w:rPr>
        <w:t>n</w:t>
      </w:r>
      <w:r w:rsidRPr="00B36958">
        <w:rPr>
          <w:rFonts w:cs="Times New Roman"/>
          <w:color w:val="000000" w:themeColor="text1"/>
        </w:rPr>
        <w:t xml:space="preserve">ergy synthesis for the evaluation of a dry steam geothermal power plant in Italy. </w:t>
      </w:r>
      <w:r w:rsidRPr="00AF6179">
        <w:rPr>
          <w:rFonts w:cs="Times New Roman"/>
          <w:i/>
          <w:color w:val="000000" w:themeColor="text1"/>
        </w:rPr>
        <w:t>Energy, 86, 476–487</w:t>
      </w:r>
      <w:r w:rsidRPr="00B36958">
        <w:rPr>
          <w:rFonts w:cs="Times New Roman"/>
          <w:color w:val="000000" w:themeColor="text1"/>
        </w:rPr>
        <w:t xml:space="preserve">. </w:t>
      </w:r>
      <w:hyperlink r:id="rId31" w:history="1">
        <w:r w:rsidRPr="00B36958">
          <w:rPr>
            <w:rStyle w:val="Hyperlink"/>
            <w:rFonts w:cs="Times New Roman"/>
            <w:color w:val="000000" w:themeColor="text1"/>
          </w:rPr>
          <w:t>https://doi.org/10.1016/j.energy.2015.04.048</w:t>
        </w:r>
      </w:hyperlink>
    </w:p>
    <w:p w14:paraId="60F7971E" w14:textId="77777777" w:rsidR="001264F7" w:rsidRDefault="001264F7" w:rsidP="00B36958">
      <w:pPr>
        <w:spacing w:before="120"/>
        <w:rPr>
          <w:rFonts w:cs="Times New Roman"/>
          <w:color w:val="000000" w:themeColor="text1"/>
        </w:rPr>
      </w:pPr>
      <w:r>
        <w:rPr>
          <w:rFonts w:cs="Times New Roman"/>
          <w:color w:val="000000" w:themeColor="text1"/>
        </w:rPr>
        <w:t xml:space="preserve">CEC (2019). Types of Geothermal Power Plants. California Energy Commission. Retrieved from </w:t>
      </w:r>
      <w:r w:rsidRPr="00DF42E4">
        <w:rPr>
          <w:rFonts w:cs="Times New Roman"/>
          <w:color w:val="000000" w:themeColor="text1"/>
        </w:rPr>
        <w:t>https://www.energy.ca.gov/almanac/renewables_data/geothermal/types.html</w:t>
      </w:r>
    </w:p>
    <w:p w14:paraId="156D4DBE" w14:textId="77777777" w:rsidR="001264F7" w:rsidRDefault="001264F7" w:rsidP="00B36958">
      <w:pPr>
        <w:spacing w:before="120"/>
        <w:rPr>
          <w:rFonts w:cs="Times New Roman"/>
          <w:color w:val="000000" w:themeColor="text1"/>
        </w:rPr>
      </w:pPr>
      <w:r>
        <w:rPr>
          <w:rFonts w:cs="Times New Roman"/>
          <w:color w:val="000000" w:themeColor="text1"/>
        </w:rPr>
        <w:t xml:space="preserve">CENR (2007). </w:t>
      </w:r>
      <w:r w:rsidRPr="00BA3CC9">
        <w:rPr>
          <w:rFonts w:cs="Times New Roman"/>
          <w:i/>
          <w:color w:val="000000" w:themeColor="text1"/>
        </w:rPr>
        <w:t>Geothermal Energy Initiative.</w:t>
      </w:r>
      <w:r>
        <w:rPr>
          <w:rFonts w:cs="Times New Roman"/>
          <w:color w:val="000000" w:themeColor="text1"/>
        </w:rPr>
        <w:t xml:space="preserve"> Energy Committee on Energy and Natural Resources. Retrieved form </w:t>
      </w:r>
      <w:r w:rsidRPr="00BA3CC9">
        <w:rPr>
          <w:rFonts w:cs="Times New Roman"/>
          <w:color w:val="000000" w:themeColor="text1"/>
        </w:rPr>
        <w:t>https://www.govinfo.gov/content/pkg/CHRG-110shrg40222/pdf/CHRG-110shrg40222.pdf</w:t>
      </w:r>
    </w:p>
    <w:p w14:paraId="1D4C1E75" w14:textId="77777777" w:rsidR="001264F7" w:rsidRPr="00B36958" w:rsidRDefault="001264F7" w:rsidP="00B36958">
      <w:pPr>
        <w:spacing w:before="120"/>
        <w:rPr>
          <w:rFonts w:cs="Times New Roman"/>
          <w:color w:val="000000" w:themeColor="text1"/>
          <w:u w:val="single"/>
        </w:rPr>
      </w:pPr>
      <w:r w:rsidRPr="00B36958">
        <w:rPr>
          <w:rFonts w:cs="Times New Roman"/>
          <w:color w:val="000000" w:themeColor="text1"/>
        </w:rPr>
        <w:t xml:space="preserve">Chatenay, C., &amp; Jóhannesson, T. (2014). How do financial aspects of geothermal compare with other energy sources? In </w:t>
      </w:r>
      <w:r w:rsidRPr="00B36958">
        <w:rPr>
          <w:rFonts w:cs="Times New Roman"/>
          <w:i/>
          <w:iCs/>
          <w:color w:val="000000" w:themeColor="text1"/>
        </w:rPr>
        <w:t>Presented at “Short Course VI on Utilization of Low- and Medium-Enthalpy Geothermal Resources and Financial Aspects of Utilization”, organized by UNU-GTP and LaGeo, in Santa Tecla, El Salvador, March 23-29, 2014.</w:t>
      </w:r>
      <w:r w:rsidRPr="00B36958">
        <w:rPr>
          <w:rFonts w:cs="Times New Roman"/>
          <w:color w:val="000000" w:themeColor="text1"/>
        </w:rPr>
        <w:t xml:space="preserve"> Santa Tecla, El Salvador: United Nations University. Retrieved from </w:t>
      </w:r>
      <w:hyperlink r:id="rId32" w:history="1">
        <w:r w:rsidRPr="00B36958">
          <w:rPr>
            <w:rStyle w:val="Hyperlink"/>
            <w:rFonts w:cs="Times New Roman"/>
            <w:color w:val="000000" w:themeColor="text1"/>
          </w:rPr>
          <w:t>https://orkustofnun.is/gogn/unu-gtp-sc/UNU-GTP-SC-18-44.pdf</w:t>
        </w:r>
      </w:hyperlink>
    </w:p>
    <w:p w14:paraId="0C393D55"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Clauser, C., &amp; Ewert, M. (2018). The renewables cost challenge: Levelized cost of geothermal electric energy compared to other sources of primary energy – Review and case study. </w:t>
      </w:r>
      <w:r w:rsidRPr="00AF6179">
        <w:rPr>
          <w:rFonts w:cs="Times New Roman"/>
          <w:i/>
          <w:color w:val="000000" w:themeColor="text1"/>
        </w:rPr>
        <w:t>Renewable and Sustainable Energy Reviews, 82, 3683–3693.</w:t>
      </w:r>
      <w:r w:rsidRPr="00B36958">
        <w:rPr>
          <w:rFonts w:cs="Times New Roman"/>
          <w:color w:val="000000" w:themeColor="text1"/>
        </w:rPr>
        <w:t xml:space="preserve"> https://doi.org/10.1016/j.rser.2017.10.095</w:t>
      </w:r>
    </w:p>
    <w:p w14:paraId="0AF29CA8"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Danish Energy Agency and Energynet. (2012). Technology Data for Energy Plants Generation of Electricity and District Heating, Energy Storage and Energy Carrier Generation and Conversion. Danish Energy Agency and Energinet.dk. Retrieved from: https://www.energinet.dk/SiteCollectionDocuments/Danske%20dokumenter/Forskning/Technology_data_for_energy_plants.pdf</w:t>
      </w:r>
    </w:p>
    <w:p w14:paraId="1870840B" w14:textId="77777777" w:rsidR="001264F7" w:rsidRPr="001264F7" w:rsidRDefault="001264F7" w:rsidP="00B36958">
      <w:pPr>
        <w:spacing w:before="120"/>
        <w:rPr>
          <w:rFonts w:cs="Times New Roman"/>
          <w:color w:val="000000" w:themeColor="text1"/>
        </w:rPr>
      </w:pPr>
      <w:r w:rsidRPr="00B36958">
        <w:rPr>
          <w:rFonts w:cs="Times New Roman"/>
          <w:color w:val="000000" w:themeColor="text1"/>
        </w:rPr>
        <w:t xml:space="preserve">Department of Energy. (n.d.) </w:t>
      </w:r>
      <w:r w:rsidRPr="00AF6179">
        <w:rPr>
          <w:rFonts w:cs="Times New Roman"/>
          <w:i/>
          <w:color w:val="000000" w:themeColor="text1"/>
        </w:rPr>
        <w:t>Geothermal Power Plants — Meeting Clean Air Standards</w:t>
      </w:r>
      <w:r w:rsidRPr="00B36958">
        <w:rPr>
          <w:rFonts w:cs="Times New Roman"/>
          <w:color w:val="000000" w:themeColor="text1"/>
        </w:rPr>
        <w:t>. Retrieved January 13, 2019, from https://</w:t>
      </w:r>
      <w:r w:rsidRPr="001264F7">
        <w:rPr>
          <w:rFonts w:cs="Times New Roman"/>
          <w:color w:val="000000" w:themeColor="text1"/>
        </w:rPr>
        <w:t>www.energy.gov/eere/geothermal/geothermal-power-plants-meeting-clean-air-standards</w:t>
      </w:r>
    </w:p>
    <w:p w14:paraId="2F865783" w14:textId="77777777"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DiPippo, R. (1991). Geothermal energy Electricity generation and environmental impact. </w:t>
      </w:r>
      <w:r w:rsidRPr="001264F7">
        <w:rPr>
          <w:rFonts w:cs="Times New Roman"/>
          <w:i/>
          <w:color w:val="000000" w:themeColor="text1"/>
        </w:rPr>
        <w:t>Energy Policy, 19(8), 798–807.</w:t>
      </w:r>
      <w:r w:rsidRPr="001264F7">
        <w:rPr>
          <w:rFonts w:cs="Times New Roman"/>
          <w:color w:val="000000" w:themeColor="text1"/>
        </w:rPr>
        <w:t xml:space="preserve"> https://doi.org/10.1016/0301-4215(91)90050-X</w:t>
      </w:r>
    </w:p>
    <w:p w14:paraId="4FD81B4C" w14:textId="77777777" w:rsidR="001264F7" w:rsidRPr="001264F7" w:rsidRDefault="001264F7" w:rsidP="001264F7">
      <w:pPr>
        <w:rPr>
          <w:rFonts w:cs="Times New Roman"/>
        </w:rPr>
      </w:pPr>
      <w:r w:rsidRPr="001264F7">
        <w:rPr>
          <w:rFonts w:cs="Times New Roman"/>
        </w:rPr>
        <w:t xml:space="preserve">Ecofys. (2018). </w:t>
      </w:r>
      <w:r w:rsidRPr="001264F7">
        <w:rPr>
          <w:rFonts w:cs="Times New Roman"/>
          <w:i/>
        </w:rPr>
        <w:t>Energy transition within 1.5ºC.</w:t>
      </w:r>
      <w:r w:rsidRPr="001264F7">
        <w:rPr>
          <w:rFonts w:cs="Times New Roman"/>
        </w:rPr>
        <w:t xml:space="preserve"> A disruptive approach to 100% decarbonization of the global energy system by 2050. Ecofys- A Navigant Company. Retrieved from: </w:t>
      </w:r>
      <w:hyperlink r:id="rId33" w:history="1">
        <w:r w:rsidRPr="001264F7">
          <w:rPr>
            <w:rStyle w:val="Hyperlink"/>
            <w:rFonts w:cs="Times New Roman"/>
          </w:rPr>
          <w:t>https://www.navigant.com/-/media/www/site/downloads/energy/2018/navigant2018energytransitionwithin15c.pdf</w:t>
        </w:r>
      </w:hyperlink>
    </w:p>
    <w:p w14:paraId="309C233A" w14:textId="77777777" w:rsidR="001264F7" w:rsidRPr="001264F7" w:rsidRDefault="001264F7" w:rsidP="00B36958">
      <w:pPr>
        <w:spacing w:before="120"/>
        <w:rPr>
          <w:rFonts w:cs="Times New Roman"/>
          <w:color w:val="000000" w:themeColor="text1"/>
          <w:lang w:val="pt-PT"/>
        </w:rPr>
      </w:pPr>
      <w:r w:rsidRPr="001264F7">
        <w:rPr>
          <w:rFonts w:cs="Times New Roman"/>
          <w:color w:val="000000" w:themeColor="text1"/>
        </w:rPr>
        <w:t xml:space="preserve">Edmunds, T., &amp; Sotorrio, P. (2015). </w:t>
      </w:r>
      <w:r w:rsidRPr="001264F7">
        <w:rPr>
          <w:rFonts w:cs="Times New Roman"/>
          <w:i/>
          <w:iCs/>
          <w:color w:val="000000" w:themeColor="text1"/>
        </w:rPr>
        <w:t>Ancillary Service Revenue Potential for Geothermal Generators in California</w:t>
      </w:r>
      <w:r w:rsidRPr="001264F7">
        <w:rPr>
          <w:rFonts w:cs="Times New Roman"/>
          <w:color w:val="000000" w:themeColor="text1"/>
        </w:rPr>
        <w:t xml:space="preserve"> (No. </w:t>
      </w:r>
      <w:r w:rsidRPr="001264F7">
        <w:rPr>
          <w:rFonts w:cs="Times New Roman"/>
          <w:color w:val="000000" w:themeColor="text1"/>
          <w:lang w:val="pt-PT"/>
        </w:rPr>
        <w:t xml:space="preserve">LLNL--TR-665915, 1406430). </w:t>
      </w:r>
      <w:hyperlink r:id="rId34" w:history="1">
        <w:r w:rsidRPr="001264F7">
          <w:rPr>
            <w:rStyle w:val="Hyperlink"/>
            <w:rFonts w:cs="Times New Roman"/>
            <w:color w:val="000000" w:themeColor="text1"/>
            <w:lang w:val="pt-PT"/>
          </w:rPr>
          <w:t>https://doi.org/10.2172/1406430</w:t>
        </w:r>
      </w:hyperlink>
    </w:p>
    <w:p w14:paraId="71004222" w14:textId="77777777" w:rsidR="001264F7" w:rsidRPr="001264F7" w:rsidRDefault="001264F7" w:rsidP="00B36958">
      <w:pPr>
        <w:spacing w:before="120"/>
        <w:rPr>
          <w:rFonts w:cs="Times New Roman"/>
          <w:color w:val="000000" w:themeColor="text1"/>
        </w:rPr>
      </w:pPr>
      <w:r w:rsidRPr="001264F7">
        <w:rPr>
          <w:rFonts w:cs="Times New Roman"/>
          <w:color w:val="000000" w:themeColor="text1"/>
          <w:lang w:val="pt-PT"/>
        </w:rPr>
        <w:t xml:space="preserve">Edmunds, T., Sotorrio, P., Bielicki, J., &amp; Buscheck, T. (2014). </w:t>
      </w:r>
      <w:r w:rsidRPr="001264F7">
        <w:rPr>
          <w:rFonts w:cs="Times New Roman"/>
          <w:i/>
          <w:color w:val="000000" w:themeColor="text1"/>
        </w:rPr>
        <w:t>Geothermal Power for Integration of Intermittent Generation (Vol. 38).</w:t>
      </w:r>
      <w:r w:rsidRPr="001264F7">
        <w:rPr>
          <w:rFonts w:cs="Times New Roman"/>
          <w:color w:val="000000" w:themeColor="text1"/>
        </w:rPr>
        <w:t xml:space="preserve"> Presented at the Geothermal Research Council, 38th Annual Meeting, Portland, Oregon: GRC Transactions. Retrieved from </w:t>
      </w:r>
      <w:hyperlink r:id="rId35" w:history="1">
        <w:r w:rsidRPr="001264F7">
          <w:rPr>
            <w:rStyle w:val="Hyperlink"/>
            <w:rFonts w:cs="Times New Roman"/>
            <w:color w:val="000000" w:themeColor="text1"/>
          </w:rPr>
          <w:t>https://e-reports-ext.llnl.gov/pdf/776358.pdf</w:t>
        </w:r>
      </w:hyperlink>
    </w:p>
    <w:p w14:paraId="31F5F8EE" w14:textId="77777777"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Elders, W. A., Friðleifsson, G. Ó., &amp; Albertsson, A. (2014). </w:t>
      </w:r>
      <w:r w:rsidRPr="001264F7">
        <w:rPr>
          <w:rFonts w:cs="Times New Roman"/>
          <w:i/>
          <w:color w:val="000000" w:themeColor="text1"/>
        </w:rPr>
        <w:t>Drilling into magma and the implications of the Iceland Deep Drilling Project (IDDP) for high-temperature geothermal systems worldwide.</w:t>
      </w:r>
      <w:r w:rsidRPr="001264F7">
        <w:rPr>
          <w:rFonts w:cs="Times New Roman"/>
          <w:color w:val="000000" w:themeColor="text1"/>
        </w:rPr>
        <w:t xml:space="preserve"> </w:t>
      </w:r>
      <w:r w:rsidRPr="001264F7">
        <w:rPr>
          <w:rFonts w:cs="Times New Roman"/>
          <w:i/>
          <w:iCs/>
          <w:color w:val="000000" w:themeColor="text1"/>
        </w:rPr>
        <w:t>Geothermics</w:t>
      </w:r>
      <w:r w:rsidRPr="001264F7">
        <w:rPr>
          <w:rFonts w:cs="Times New Roman"/>
          <w:color w:val="000000" w:themeColor="text1"/>
        </w:rPr>
        <w:t xml:space="preserve">, </w:t>
      </w:r>
      <w:r w:rsidRPr="001264F7">
        <w:rPr>
          <w:rFonts w:cs="Times New Roman"/>
          <w:i/>
          <w:iCs/>
          <w:color w:val="000000" w:themeColor="text1"/>
        </w:rPr>
        <w:t>49</w:t>
      </w:r>
      <w:r w:rsidRPr="001264F7">
        <w:rPr>
          <w:rFonts w:cs="Times New Roman"/>
          <w:color w:val="000000" w:themeColor="text1"/>
        </w:rPr>
        <w:t xml:space="preserve">, 111–118. </w:t>
      </w:r>
      <w:hyperlink r:id="rId36" w:history="1">
        <w:r w:rsidRPr="001264F7">
          <w:rPr>
            <w:rStyle w:val="Hyperlink"/>
            <w:rFonts w:cs="Times New Roman"/>
            <w:color w:val="000000" w:themeColor="text1"/>
          </w:rPr>
          <w:t>https://doi.org/10.1016/j.geothermics.2013.05.001</w:t>
        </w:r>
      </w:hyperlink>
    </w:p>
    <w:p w14:paraId="445B8F90" w14:textId="77777777" w:rsidR="001264F7" w:rsidRPr="001264F7" w:rsidRDefault="001264F7" w:rsidP="00B36958">
      <w:pPr>
        <w:spacing w:before="120"/>
        <w:rPr>
          <w:rStyle w:val="Hyperlink"/>
          <w:rFonts w:cs="Times New Roman"/>
          <w:color w:val="000000" w:themeColor="text1"/>
        </w:rPr>
      </w:pPr>
      <w:r w:rsidRPr="001264F7">
        <w:rPr>
          <w:rFonts w:cs="Times New Roman"/>
          <w:color w:val="000000" w:themeColor="text1"/>
        </w:rPr>
        <w:t xml:space="preserve">Eliasson, E. T., Thorhallsson, S., &amp; Steingrímsson, B. (2011). </w:t>
      </w:r>
      <w:r w:rsidRPr="001264F7">
        <w:rPr>
          <w:rFonts w:cs="Times New Roman"/>
          <w:i/>
          <w:color w:val="000000" w:themeColor="text1"/>
        </w:rPr>
        <w:t>Geothermal Power Plants.</w:t>
      </w:r>
      <w:r w:rsidRPr="001264F7">
        <w:rPr>
          <w:rFonts w:cs="Times New Roman"/>
          <w:color w:val="000000" w:themeColor="text1"/>
        </w:rPr>
        <w:t xml:space="preserve"> Presented at “Short Course on Geothermal Drilling, Resource Development and Power Plants”, organized by UNU-GTP and LaGeo, in Santa Tecla, El Salvador, January 16-22, 2011. (p. 3). Santa Tecla, El Salvador: United Nations University. Retrieved from </w:t>
      </w:r>
      <w:hyperlink r:id="rId37" w:history="1">
        <w:r w:rsidRPr="001264F7">
          <w:rPr>
            <w:rStyle w:val="Hyperlink"/>
            <w:rFonts w:cs="Times New Roman"/>
            <w:color w:val="000000" w:themeColor="text1"/>
          </w:rPr>
          <w:t>https://orkustofnun.is/gogn/unu-gtp-sc/UNU-GTP-SC-12-33.pdf</w:t>
        </w:r>
      </w:hyperlink>
    </w:p>
    <w:p w14:paraId="079F5DA2" w14:textId="77777777" w:rsidR="001264F7" w:rsidRPr="001264F7" w:rsidRDefault="001264F7" w:rsidP="00DF42E4">
      <w:pPr>
        <w:spacing w:before="120"/>
        <w:rPr>
          <w:rFonts w:cs="Times New Roman"/>
          <w:color w:val="000000" w:themeColor="text1"/>
        </w:rPr>
      </w:pPr>
      <w:r w:rsidRPr="001264F7">
        <w:rPr>
          <w:rFonts w:cs="Times New Roman"/>
          <w:color w:val="000000" w:themeColor="text1"/>
        </w:rPr>
        <w:t xml:space="preserve">EPA. (2016). </w:t>
      </w:r>
      <w:r w:rsidRPr="001264F7">
        <w:rPr>
          <w:rFonts w:cs="Times New Roman"/>
          <w:i/>
          <w:iCs/>
          <w:color w:val="000000" w:themeColor="text1"/>
        </w:rPr>
        <w:t>Introduction to Virtual Power Purchase Agreements</w:t>
      </w:r>
      <w:r w:rsidRPr="001264F7">
        <w:rPr>
          <w:rFonts w:cs="Times New Roman"/>
          <w:color w:val="000000" w:themeColor="text1"/>
        </w:rPr>
        <w:t xml:space="preserve">. Presented at the United States Environmental Protection Agency and Green Power Partnership. Retrieved from </w:t>
      </w:r>
      <w:hyperlink r:id="rId38" w:history="1">
        <w:r w:rsidRPr="001264F7">
          <w:rPr>
            <w:rStyle w:val="Hyperlink"/>
            <w:rFonts w:cs="Times New Roman"/>
            <w:color w:val="000000" w:themeColor="text1"/>
          </w:rPr>
          <w:t>https://www.epa.gov/sites/production/files/2016-09/documents/webinar_kent_20160928.pdf</w:t>
        </w:r>
      </w:hyperlink>
    </w:p>
    <w:p w14:paraId="07D7CCEC" w14:textId="77777777" w:rsidR="001264F7" w:rsidRPr="001264F7" w:rsidRDefault="001264F7" w:rsidP="001264F7">
      <w:pPr>
        <w:rPr>
          <w:rFonts w:cs="Times New Roman"/>
        </w:rPr>
      </w:pPr>
      <w:r w:rsidRPr="001264F7">
        <w:rPr>
          <w:rFonts w:cs="Times New Roman"/>
        </w:rPr>
        <w:t xml:space="preserve">Equinor. (2018). </w:t>
      </w:r>
      <w:r w:rsidRPr="001264F7">
        <w:rPr>
          <w:rFonts w:cs="Times New Roman"/>
          <w:i/>
        </w:rPr>
        <w:t>Energy Perspectives 2018, Long-term macro and market outlook.</w:t>
      </w:r>
      <w:r w:rsidRPr="001264F7">
        <w:rPr>
          <w:rFonts w:cs="Times New Roman"/>
        </w:rPr>
        <w:t xml:space="preserve"> Equinor. Retrieved from: </w:t>
      </w:r>
      <w:hyperlink r:id="rId39" w:history="1">
        <w:r w:rsidRPr="001264F7">
          <w:rPr>
            <w:rStyle w:val="Hyperlink"/>
            <w:rFonts w:cs="Times New Roman"/>
          </w:rPr>
          <w:t>https://www.equinor.com/en/news/07jun2018-energy-perspectives.html</w:t>
        </w:r>
      </w:hyperlink>
    </w:p>
    <w:p w14:paraId="7CDD2EA1" w14:textId="77777777" w:rsidR="001264F7" w:rsidRPr="001264F7" w:rsidRDefault="001264F7" w:rsidP="00DF42E4">
      <w:pPr>
        <w:spacing w:after="0"/>
        <w:jc w:val="left"/>
        <w:rPr>
          <w:rFonts w:cs="Times New Roman"/>
          <w:color w:val="000000" w:themeColor="text1"/>
        </w:rPr>
      </w:pPr>
      <w:r w:rsidRPr="001264F7">
        <w:rPr>
          <w:rFonts w:cs="Times New Roman"/>
          <w:color w:val="000000" w:themeColor="text1"/>
        </w:rPr>
        <w:t xml:space="preserve">Fogarty, T., Lamb, R. (2012). </w:t>
      </w:r>
      <w:r w:rsidRPr="001264F7">
        <w:rPr>
          <w:rFonts w:cs="Times New Roman"/>
          <w:i/>
          <w:color w:val="000000" w:themeColor="text1"/>
        </w:rPr>
        <w:t>Geothermal Power Plants.</w:t>
      </w:r>
      <w:r w:rsidRPr="001264F7">
        <w:rPr>
          <w:rFonts w:cs="Times New Roman"/>
          <w:color w:val="000000" w:themeColor="text1"/>
        </w:rPr>
        <w:t xml:space="preserve"> Chapter 16. Investing in the Renewable Power Market. How to Profit from Energy Transformation. Wiley. </w:t>
      </w:r>
      <w:hyperlink r:id="rId40" w:history="1">
        <w:r w:rsidRPr="001264F7">
          <w:rPr>
            <w:rFonts w:cs="Times New Roman"/>
            <w:color w:val="000000" w:themeColor="text1"/>
          </w:rPr>
          <w:t>https://doi.org/10.1002/9781119200628.ch16</w:t>
        </w:r>
      </w:hyperlink>
    </w:p>
    <w:p w14:paraId="4C52DFD5" w14:textId="77777777" w:rsidR="001264F7" w:rsidRPr="001264F7" w:rsidRDefault="001264F7" w:rsidP="00DF42E4">
      <w:pPr>
        <w:spacing w:before="120"/>
        <w:rPr>
          <w:rFonts w:cs="Times New Roman"/>
          <w:color w:val="000000" w:themeColor="text1"/>
        </w:rPr>
      </w:pPr>
      <w:r w:rsidRPr="001264F7">
        <w:rPr>
          <w:rFonts w:cs="Times New Roman"/>
          <w:color w:val="000000" w:themeColor="text1"/>
        </w:rPr>
        <w:t xml:space="preserve">Fridriksson, T., Mateos A., Audinet P., Orucu Y. (2016). </w:t>
      </w:r>
      <w:r w:rsidRPr="001264F7">
        <w:rPr>
          <w:rFonts w:cs="Times New Roman"/>
          <w:i/>
          <w:color w:val="000000" w:themeColor="text1"/>
        </w:rPr>
        <w:t xml:space="preserve">Greenhouse gases from geothermal power production: Interim technical note. </w:t>
      </w:r>
      <w:r w:rsidRPr="001264F7">
        <w:rPr>
          <w:rFonts w:cs="Times New Roman"/>
          <w:color w:val="000000" w:themeColor="text1"/>
        </w:rPr>
        <w:t>Energy Sector Management Assistance Program (ESMAP)/The World Bank. Retrieved from https://openknowledge.worldbank.org/bitstream/handle/10986/24691/Greenhouse0gas0mal0power0production.pdf?sequence=1&amp;isAllowed=y</w:t>
      </w:r>
    </w:p>
    <w:p w14:paraId="2261C646" w14:textId="77777777"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Future360. (2016). </w:t>
      </w:r>
      <w:r w:rsidRPr="001264F7">
        <w:rPr>
          <w:rFonts w:cs="Times New Roman"/>
          <w:i/>
          <w:color w:val="000000" w:themeColor="text1"/>
        </w:rPr>
        <w:t>Geothermal. Future 360, Inspiration for Early Adopters.</w:t>
      </w:r>
      <w:r w:rsidRPr="001264F7">
        <w:rPr>
          <w:rFonts w:cs="Times New Roman"/>
          <w:color w:val="000000" w:themeColor="text1"/>
        </w:rPr>
        <w:t xml:space="preserve"> Retrieved from http://www.future360.tv/video/geothermal </w:t>
      </w:r>
    </w:p>
    <w:p w14:paraId="1C002161" w14:textId="77777777"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GEA. (2014). </w:t>
      </w:r>
      <w:r w:rsidRPr="001264F7">
        <w:rPr>
          <w:rFonts w:cs="Times New Roman"/>
          <w:i/>
          <w:color w:val="000000" w:themeColor="text1"/>
        </w:rPr>
        <w:t>Annual U.S. &amp; global geothermal power production report.</w:t>
      </w:r>
      <w:r w:rsidRPr="001264F7">
        <w:rPr>
          <w:rFonts w:cs="Times New Roman"/>
          <w:color w:val="000000" w:themeColor="text1"/>
        </w:rPr>
        <w:t xml:space="preserve"> Geothermal Energy Association. Retrieved from </w:t>
      </w:r>
      <w:hyperlink r:id="rId41" w:history="1">
        <w:r w:rsidRPr="001264F7">
          <w:rPr>
            <w:rStyle w:val="Hyperlink"/>
            <w:rFonts w:cs="Times New Roman"/>
            <w:color w:val="000000" w:themeColor="text1"/>
          </w:rPr>
          <w:t>http://geo-energy.org/events/2014%20Annual%20US%20&amp;%20Global%20Geothermal%20Power%20Production%20Report%20Final.pdf</w:t>
        </w:r>
      </w:hyperlink>
      <w:r w:rsidRPr="001264F7">
        <w:rPr>
          <w:rFonts w:cs="Times New Roman"/>
          <w:color w:val="000000" w:themeColor="text1"/>
        </w:rPr>
        <w:t>.</w:t>
      </w:r>
    </w:p>
    <w:p w14:paraId="4C0D57AF" w14:textId="77777777"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Geoscience Australia and CSIRO (2012) </w:t>
      </w:r>
      <w:r w:rsidRPr="001264F7">
        <w:rPr>
          <w:rFonts w:cs="Times New Roman"/>
          <w:i/>
          <w:color w:val="000000" w:themeColor="text1"/>
        </w:rPr>
        <w:t>Unconventional Geothermal Resources</w:t>
      </w:r>
      <w:r w:rsidRPr="001264F7">
        <w:rPr>
          <w:rFonts w:cs="Times New Roman"/>
          <w:color w:val="000000" w:themeColor="text1"/>
        </w:rPr>
        <w:t>: Information from Geoscience Australia and CSIRO. December 2012</w:t>
      </w:r>
    </w:p>
    <w:p w14:paraId="36E9BF6C" w14:textId="77777777"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Goldstein, B.A., Gerardo, H., Tester, J., Bertani, B., Bromley, R., Gutierrez-Negrin, L., Huenges, E., Ragnarsson, H., Mongillo, A., Muraoka, MA. (2011). </w:t>
      </w:r>
      <w:r w:rsidRPr="001264F7">
        <w:rPr>
          <w:rFonts w:cs="Times New Roman"/>
          <w:i/>
          <w:color w:val="000000" w:themeColor="text1"/>
        </w:rPr>
        <w:t>Great expectations for geothermal energy to 2100.</w:t>
      </w:r>
      <w:r w:rsidRPr="001264F7">
        <w:rPr>
          <w:rFonts w:cs="Times New Roman"/>
          <w:color w:val="000000" w:themeColor="text1"/>
        </w:rPr>
        <w:t xml:space="preserve"> Proceedings, Thirty-Sixth Workshop on Geothermal Reservoir Engineering. Stanford University, Stanford, CA.</w:t>
      </w:r>
    </w:p>
    <w:p w14:paraId="51ACDDAA" w14:textId="77777777" w:rsidR="00785354" w:rsidRDefault="00785354" w:rsidP="00785354">
      <w:pPr>
        <w:jc w:val="left"/>
        <w:rPr>
          <w:rFonts w:eastAsia="SimSun" w:cs="Arial"/>
          <w:noProof/>
        </w:rPr>
      </w:pPr>
      <w:r>
        <w:rPr>
          <w:rFonts w:eastAsia="SimSun" w:cs="Arial"/>
          <w:noProof/>
        </w:rPr>
        <w:t>Grantham Institute and Carbon Tracker (2017). Expect the Unexpected. The</w:t>
      </w:r>
      <w:r w:rsidRPr="00C3651B">
        <w:rPr>
          <w:rFonts w:eastAsia="SimSun" w:cs="Arial"/>
          <w:noProof/>
        </w:rPr>
        <w:t xml:space="preserve"> Disruptive Power</w:t>
      </w:r>
      <w:r>
        <w:rPr>
          <w:rFonts w:eastAsia="SimSun" w:cs="Arial"/>
          <w:noProof/>
        </w:rPr>
        <w:t xml:space="preserve"> </w:t>
      </w:r>
      <w:r w:rsidRPr="00C3651B">
        <w:rPr>
          <w:rFonts w:eastAsia="SimSun" w:cs="Arial"/>
          <w:noProof/>
        </w:rPr>
        <w:t>of Low-carbon</w:t>
      </w:r>
      <w:r>
        <w:rPr>
          <w:rFonts w:eastAsia="SimSun" w:cs="Arial"/>
          <w:noProof/>
        </w:rPr>
        <w:t xml:space="preserve"> </w:t>
      </w:r>
      <w:r w:rsidRPr="00C3651B">
        <w:rPr>
          <w:rFonts w:eastAsia="SimSun" w:cs="Arial"/>
          <w:noProof/>
        </w:rPr>
        <w:t>Technology</w:t>
      </w:r>
      <w:r>
        <w:rPr>
          <w:rFonts w:eastAsia="Times New Roman" w:cs="Times New Roman"/>
          <w:sz w:val="24"/>
          <w:szCs w:val="24"/>
          <w:lang w:eastAsia="en-US"/>
        </w:rPr>
        <w:t>.</w:t>
      </w:r>
      <w:r w:rsidRPr="00C3651B">
        <w:rPr>
          <w:rFonts w:eastAsia="SimSun" w:cs="Arial"/>
          <w:noProof/>
        </w:rPr>
        <w:t xml:space="preserve"> </w:t>
      </w:r>
      <w:r>
        <w:rPr>
          <w:rFonts w:eastAsia="SimSun" w:cs="Arial"/>
          <w:noProof/>
        </w:rPr>
        <w:t>Grantham Institute- Climate Change and the Environment and Carbon Tracker Initiative.</w:t>
      </w:r>
      <w:r>
        <w:rPr>
          <w:rFonts w:eastAsia="Times New Roman" w:cs="Times New Roman"/>
          <w:sz w:val="24"/>
          <w:szCs w:val="24"/>
          <w:lang w:eastAsia="en-US"/>
        </w:rPr>
        <w:t xml:space="preserve"> </w:t>
      </w:r>
      <w:r>
        <w:rPr>
          <w:rFonts w:eastAsia="SimSun" w:cs="Arial"/>
          <w:noProof/>
        </w:rPr>
        <w:t xml:space="preserve">Retrieved from: </w:t>
      </w:r>
      <w:hyperlink r:id="rId42" w:history="1">
        <w:r w:rsidRPr="007C28AC">
          <w:rPr>
            <w:rStyle w:val="Hyperlink"/>
            <w:rFonts w:eastAsia="SimSun" w:cs="Arial"/>
            <w:noProof/>
          </w:rPr>
          <w:t>https://www.imperial.ac.uk/media/imperial-college/grantham-institute/public/publications/collaborative-publications/Expect-the-Unexpected_CTI_Imperial.pdf</w:t>
        </w:r>
      </w:hyperlink>
    </w:p>
    <w:p w14:paraId="40616CD3" w14:textId="77777777" w:rsidR="001264F7" w:rsidRPr="00B36958" w:rsidRDefault="001264F7" w:rsidP="00B36958">
      <w:pPr>
        <w:spacing w:before="120"/>
        <w:rPr>
          <w:rFonts w:cs="Times New Roman"/>
          <w:color w:val="000000" w:themeColor="text1"/>
        </w:rPr>
      </w:pPr>
      <w:r w:rsidRPr="001264F7">
        <w:rPr>
          <w:rFonts w:cs="Times New Roman"/>
          <w:color w:val="000000" w:themeColor="text1"/>
        </w:rPr>
        <w:t xml:space="preserve">Greenpeace. (2015). </w:t>
      </w:r>
      <w:r w:rsidRPr="001264F7">
        <w:rPr>
          <w:rFonts w:cs="Times New Roman"/>
          <w:i/>
          <w:color w:val="000000" w:themeColor="text1"/>
        </w:rPr>
        <w:t>World Energy [R]evolution, a sustainable world energy outlook.</w:t>
      </w:r>
      <w:r w:rsidRPr="001264F7">
        <w:rPr>
          <w:rFonts w:cs="Times New Roman"/>
          <w:color w:val="000000" w:themeColor="text1"/>
        </w:rPr>
        <w:t xml:space="preserve"> Retrieved from: http://www.greenpeace.org/international/Global/international/publications/climate/2015/Energy-Revolution-2015-Full.pdf</w:t>
      </w:r>
    </w:p>
    <w:p w14:paraId="1F0991B3"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Hannam, P., Kyle, G., Smith, S. (2009). </w:t>
      </w:r>
      <w:r w:rsidRPr="00B36958">
        <w:rPr>
          <w:rFonts w:cs="Times New Roman"/>
          <w:i/>
          <w:color w:val="000000" w:themeColor="text1"/>
        </w:rPr>
        <w:t xml:space="preserve">Global deployment of geothermal energy using a new characterization in GCAM 1.0. </w:t>
      </w:r>
      <w:r w:rsidRPr="00B36958">
        <w:rPr>
          <w:rFonts w:cs="Times New Roman"/>
          <w:color w:val="000000" w:themeColor="text1"/>
        </w:rPr>
        <w:t>Pacific Northwest National Laboratory.</w:t>
      </w:r>
    </w:p>
    <w:p w14:paraId="4D275213"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Hayward, J. A., Graham, P. W. (2017). </w:t>
      </w:r>
      <w:r w:rsidRPr="00B36958">
        <w:rPr>
          <w:rFonts w:cs="Times New Roman"/>
          <w:i/>
          <w:iCs/>
          <w:color w:val="000000" w:themeColor="text1"/>
        </w:rPr>
        <w:t>Electricity generation technology cost projections: 2017-2050</w:t>
      </w:r>
      <w:r w:rsidRPr="00B36958">
        <w:rPr>
          <w:rFonts w:cs="Times New Roman"/>
          <w:color w:val="000000" w:themeColor="text1"/>
        </w:rPr>
        <w:t xml:space="preserve">. Commonwealth Scientific and Industrial Research Organisation (CSIRO). Retrieved from </w:t>
      </w:r>
      <w:hyperlink r:id="rId43" w:history="1">
        <w:r w:rsidRPr="00B36958">
          <w:rPr>
            <w:rStyle w:val="Hyperlink"/>
            <w:rFonts w:cs="Times New Roman"/>
            <w:color w:val="000000" w:themeColor="text1"/>
          </w:rPr>
          <w:t>https://publications.csiro.au/rpr/pub?pid=csiro:EP178771</w:t>
        </w:r>
      </w:hyperlink>
    </w:p>
    <w:p w14:paraId="788478C4"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Hayward, J., Graham, P.W. (2013). A global and local endogenous experience curve model for projecting future uptake and cost of electricity generation technologies. </w:t>
      </w:r>
      <w:r w:rsidRPr="00B36958">
        <w:rPr>
          <w:rFonts w:cs="Times New Roman"/>
          <w:i/>
          <w:color w:val="000000" w:themeColor="text1"/>
        </w:rPr>
        <w:t xml:space="preserve">Energy Economics, 40, 537-548. </w:t>
      </w:r>
      <w:hyperlink r:id="rId44" w:history="1">
        <w:r w:rsidRPr="00B36958">
          <w:rPr>
            <w:rStyle w:val="Hyperlink"/>
            <w:rFonts w:cs="Times New Roman"/>
            <w:color w:val="000000" w:themeColor="text1"/>
          </w:rPr>
          <w:t>https://doi.org/10.1016/j.eneco.2013.08.010</w:t>
        </w:r>
      </w:hyperlink>
    </w:p>
    <w:p w14:paraId="0D19FD8E"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Holm A., Jennejohy D., Blodgett, L. (2012). </w:t>
      </w:r>
      <w:r w:rsidRPr="00B36958">
        <w:rPr>
          <w:rFonts w:cs="Times New Roman"/>
          <w:i/>
          <w:color w:val="000000" w:themeColor="text1"/>
        </w:rPr>
        <w:t xml:space="preserve">Geothermal energy and greenhouse gas emissions. </w:t>
      </w:r>
      <w:r w:rsidRPr="00B36958">
        <w:rPr>
          <w:rFonts w:cs="Times New Roman"/>
          <w:color w:val="000000" w:themeColor="text1"/>
        </w:rPr>
        <w:t>Geothermal Energy Association. Retrieved from http://www.geo-energy.org/reports/GeothermalGreenhouseEmissionsNov2012GEA_web.pdf</w:t>
      </w:r>
    </w:p>
    <w:p w14:paraId="3920D7ED"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Hondo, H. (2005). Life cycle GHG emission analysis of power generation systems: Japanese case. </w:t>
      </w:r>
      <w:r w:rsidRPr="00B36958">
        <w:rPr>
          <w:rFonts w:cs="Times New Roman"/>
          <w:i/>
          <w:color w:val="000000" w:themeColor="text1"/>
        </w:rPr>
        <w:t xml:space="preserve">Energy 30 - 2042–2056. </w:t>
      </w:r>
      <w:r w:rsidRPr="00B36958">
        <w:rPr>
          <w:rFonts w:cs="Times New Roman"/>
          <w:color w:val="000000" w:themeColor="text1"/>
        </w:rPr>
        <w:t>Retrieved from http://www.univie.ac.at/photovoltaik/umwelt/LCA_japanstudy.pdf</w:t>
      </w:r>
    </w:p>
    <w:p w14:paraId="3C086070"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IEA and NEA (2010). </w:t>
      </w:r>
      <w:r w:rsidRPr="00B36958">
        <w:rPr>
          <w:rFonts w:cs="Times New Roman"/>
          <w:i/>
          <w:color w:val="000000" w:themeColor="text1"/>
        </w:rPr>
        <w:t>Projected Costs of Generating Electricity – edition 2010.</w:t>
      </w:r>
      <w:r w:rsidRPr="00B36958">
        <w:rPr>
          <w:rFonts w:cs="Times New Roman"/>
          <w:color w:val="000000" w:themeColor="text1"/>
        </w:rPr>
        <w:t xml:space="preserve"> Organisation for Economic Co-operation and Development - International Energy Agency and Nuclear Energy Agency. France. Retrieved from http://www.worldenergyoutlook.org/media/weowebsite/energymodel/ProjectedCostsofGeneratingElectricity2010.pdf</w:t>
      </w:r>
    </w:p>
    <w:p w14:paraId="28686B27"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IEA and NEA (2015). </w:t>
      </w:r>
      <w:r w:rsidRPr="00B36958">
        <w:rPr>
          <w:rFonts w:cs="Times New Roman"/>
          <w:i/>
          <w:color w:val="000000" w:themeColor="text1"/>
        </w:rPr>
        <w:t>Projected Costs of Generating Electricity – edition 2015.</w:t>
      </w:r>
      <w:r w:rsidRPr="00B36958">
        <w:rPr>
          <w:rFonts w:cs="Times New Roman"/>
          <w:color w:val="000000" w:themeColor="text1"/>
        </w:rPr>
        <w:t xml:space="preserve"> Organisation for Economic Co-operation and Development - International Energy Agency and Nuclear Energy Agency. France. Retrieved from https://www.oecd-nea.org/ndd/pubs/2015/7057-proj-costs-electricity-2015.pdf</w:t>
      </w:r>
    </w:p>
    <w:p w14:paraId="48E36F10"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IEA. (2011). </w:t>
      </w:r>
      <w:r w:rsidRPr="00AF6179">
        <w:rPr>
          <w:rFonts w:cs="Times New Roman"/>
          <w:i/>
          <w:color w:val="000000" w:themeColor="text1"/>
        </w:rPr>
        <w:t>Technology road map: Geothermal heat and power</w:t>
      </w:r>
      <w:r w:rsidRPr="00B36958">
        <w:rPr>
          <w:rFonts w:cs="Times New Roman"/>
          <w:color w:val="000000" w:themeColor="text1"/>
        </w:rPr>
        <w:t>. International Energy Agency. OECD/IEA, Paris</w:t>
      </w:r>
      <w:r>
        <w:rPr>
          <w:rFonts w:cs="Times New Roman"/>
          <w:color w:val="000000" w:themeColor="text1"/>
        </w:rPr>
        <w:t xml:space="preserve">, </w:t>
      </w:r>
      <w:r w:rsidRPr="00B36958">
        <w:rPr>
          <w:rFonts w:cs="Times New Roman"/>
          <w:color w:val="000000" w:themeColor="text1"/>
        </w:rPr>
        <w:t>France. Retrieved from http://www.iea.org/publications/freepublications/publication/Geothermal_roadmap.pdf</w:t>
      </w:r>
    </w:p>
    <w:p w14:paraId="5828A5FB"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IEA. (2014). </w:t>
      </w:r>
      <w:r w:rsidRPr="00B36958">
        <w:rPr>
          <w:rFonts w:cs="Times New Roman"/>
          <w:i/>
          <w:color w:val="000000" w:themeColor="text1"/>
        </w:rPr>
        <w:t>Energy Technology Perspectives: Harnessing electricity’s potential.</w:t>
      </w:r>
      <w:r w:rsidRPr="00B36958">
        <w:rPr>
          <w:rFonts w:cs="Times New Roman"/>
          <w:color w:val="000000" w:themeColor="text1"/>
        </w:rPr>
        <w:t xml:space="preserve"> International Energy Agency. OECD/IEA, Paris. Retrieved from http://www.iea.org/etp/etp2014/</w:t>
      </w:r>
    </w:p>
    <w:p w14:paraId="2A7480FA" w14:textId="77777777" w:rsidR="001264F7" w:rsidRPr="001264F7" w:rsidRDefault="001264F7" w:rsidP="00B36958">
      <w:pPr>
        <w:spacing w:before="120"/>
        <w:rPr>
          <w:rFonts w:cs="Times New Roman"/>
          <w:color w:val="000000" w:themeColor="text1"/>
        </w:rPr>
      </w:pPr>
      <w:r w:rsidRPr="00B36958">
        <w:rPr>
          <w:rFonts w:cs="Times New Roman"/>
          <w:color w:val="000000" w:themeColor="text1"/>
        </w:rPr>
        <w:t xml:space="preserve">IEA. (2016b). </w:t>
      </w:r>
      <w:r w:rsidRPr="00B36958">
        <w:rPr>
          <w:rFonts w:cs="Times New Roman"/>
          <w:i/>
          <w:color w:val="000000" w:themeColor="text1"/>
        </w:rPr>
        <w:t>Energy Technology Perspectives 2016 - Towards Sustainable Urban Energy Systems</w:t>
      </w:r>
      <w:r w:rsidRPr="00B36958">
        <w:rPr>
          <w:rFonts w:cs="Times New Roman"/>
          <w:color w:val="000000" w:themeColor="text1"/>
        </w:rPr>
        <w:t>. International Energy Agency. OECD/IEA, Paris</w:t>
      </w:r>
      <w:r>
        <w:rPr>
          <w:rFonts w:cs="Times New Roman"/>
          <w:color w:val="000000" w:themeColor="text1"/>
        </w:rPr>
        <w:t xml:space="preserve">, </w:t>
      </w:r>
      <w:r w:rsidRPr="00B36958">
        <w:rPr>
          <w:rFonts w:cs="Times New Roman"/>
          <w:color w:val="000000" w:themeColor="text1"/>
        </w:rPr>
        <w:t>France.</w:t>
      </w:r>
      <w:r>
        <w:rPr>
          <w:rFonts w:cs="Times New Roman"/>
          <w:color w:val="000000" w:themeColor="text1"/>
        </w:rPr>
        <w:t xml:space="preserve"> </w:t>
      </w:r>
      <w:r w:rsidRPr="00B36958">
        <w:rPr>
          <w:rFonts w:cs="Times New Roman"/>
          <w:color w:val="000000" w:themeColor="text1"/>
        </w:rPr>
        <w:t xml:space="preserve">Retrieved from: </w:t>
      </w:r>
      <w:hyperlink r:id="rId45" w:history="1">
        <w:r w:rsidRPr="001264F7">
          <w:rPr>
            <w:rStyle w:val="Hyperlink"/>
            <w:rFonts w:cs="Times New Roman"/>
            <w:color w:val="000000" w:themeColor="text1"/>
          </w:rPr>
          <w:t>https://www.iea.org/publications/freepublications/publication/EnergyTechnologyPerspectives2016_ExecutiveSummary_EnglishVersion.pdf</w:t>
        </w:r>
      </w:hyperlink>
    </w:p>
    <w:p w14:paraId="5284B4C9" w14:textId="77777777" w:rsidR="001264F7" w:rsidRPr="001264F7" w:rsidRDefault="001264F7" w:rsidP="001264F7">
      <w:pPr>
        <w:rPr>
          <w:rFonts w:cs="Times New Roman"/>
        </w:rPr>
      </w:pPr>
      <w:r w:rsidRPr="001264F7">
        <w:rPr>
          <w:rFonts w:cs="Times New Roman"/>
        </w:rPr>
        <w:t xml:space="preserve">IEA. (2017). </w:t>
      </w:r>
      <w:r w:rsidRPr="001264F7">
        <w:rPr>
          <w:rFonts w:cs="Times New Roman"/>
          <w:i/>
        </w:rPr>
        <w:t>Energy Technology Perspectives 2017 - Catalysing Energy Technology Transformations.</w:t>
      </w:r>
      <w:r w:rsidRPr="001264F7">
        <w:rPr>
          <w:rFonts w:cs="Times New Roman"/>
        </w:rPr>
        <w:t xml:space="preserve"> International Energy Agency (IEA). Retrieved from: </w:t>
      </w:r>
      <w:hyperlink r:id="rId46" w:history="1">
        <w:r w:rsidRPr="001264F7">
          <w:rPr>
            <w:rStyle w:val="Hyperlink"/>
            <w:rFonts w:cs="Times New Roman"/>
          </w:rPr>
          <w:t>https://www.iea.org/etp/</w:t>
        </w:r>
      </w:hyperlink>
    </w:p>
    <w:p w14:paraId="6AEE473C" w14:textId="3BA4B8D0"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IEA. (2018a). </w:t>
      </w:r>
      <w:r w:rsidRPr="001264F7">
        <w:rPr>
          <w:rFonts w:cs="Times New Roman"/>
          <w:i/>
          <w:color w:val="000000" w:themeColor="text1"/>
        </w:rPr>
        <w:t>Geothermal energy.</w:t>
      </w:r>
      <w:r w:rsidRPr="001264F7">
        <w:rPr>
          <w:rFonts w:cs="Times New Roman"/>
          <w:color w:val="000000" w:themeColor="text1"/>
        </w:rPr>
        <w:t xml:space="preserve"> International Energy Agency. OECD/IEA, Paris, France. Retrieved January 10, 2019, from https://www.iea.org/topics/renewables/geothermal/</w:t>
      </w:r>
    </w:p>
    <w:p w14:paraId="522FCB79" w14:textId="38050C9F"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IEA. (2018b). </w:t>
      </w:r>
      <w:r w:rsidRPr="001264F7">
        <w:rPr>
          <w:rFonts w:cs="Times New Roman"/>
          <w:i/>
          <w:color w:val="000000" w:themeColor="text1"/>
        </w:rPr>
        <w:t>Renewables 2018.</w:t>
      </w:r>
      <w:r w:rsidRPr="001264F7">
        <w:rPr>
          <w:rFonts w:cs="Times New Roman"/>
          <w:color w:val="000000" w:themeColor="text1"/>
        </w:rPr>
        <w:t xml:space="preserve"> Retrieved January 10, 2019, from https://www.iea.org/renewables2018/</w:t>
      </w:r>
    </w:p>
    <w:p w14:paraId="0E9DB268" w14:textId="1111607A" w:rsidR="001264F7" w:rsidRPr="001264F7" w:rsidRDefault="001264F7" w:rsidP="001264F7">
      <w:pPr>
        <w:rPr>
          <w:rFonts w:cs="Times New Roman"/>
        </w:rPr>
      </w:pPr>
      <w:r w:rsidRPr="001264F7">
        <w:rPr>
          <w:rFonts w:cs="Times New Roman"/>
        </w:rPr>
        <w:t xml:space="preserve">IEA. (2018c). </w:t>
      </w:r>
      <w:r w:rsidRPr="001264F7">
        <w:rPr>
          <w:rFonts w:cs="Times New Roman"/>
          <w:i/>
        </w:rPr>
        <w:t>World Energy Outlook 2018.</w:t>
      </w:r>
      <w:r w:rsidRPr="001264F7">
        <w:rPr>
          <w:rFonts w:cs="Times New Roman"/>
        </w:rPr>
        <w:t xml:space="preserve"> International Energy Agency (IEA). Retrieved from: </w:t>
      </w:r>
      <w:hyperlink r:id="rId47" w:history="1">
        <w:r w:rsidRPr="001264F7">
          <w:rPr>
            <w:rStyle w:val="Hyperlink"/>
            <w:rFonts w:cs="Times New Roman"/>
          </w:rPr>
          <w:t>https://webstore.iea.org/world-energy-outlook-2018</w:t>
        </w:r>
      </w:hyperlink>
    </w:p>
    <w:p w14:paraId="3CD3A7C4" w14:textId="77777777" w:rsidR="00AC4490" w:rsidRDefault="00AC4490" w:rsidP="00AC4490">
      <w:pPr>
        <w:rPr>
          <w:rFonts w:cs="Times New Roman"/>
        </w:rPr>
      </w:pPr>
      <w:r>
        <w:rPr>
          <w:rFonts w:cs="Times New Roman"/>
        </w:rPr>
        <w:t xml:space="preserve">IEA (2019). Energy Prices and Taxes – Quarterly Statistics – First Quarter 2019. International Energy Agency. </w:t>
      </w:r>
      <w:r w:rsidRPr="00EC195C">
        <w:rPr>
          <w:rFonts w:cs="Times New Roman"/>
        </w:rPr>
        <w:t>OECD/IEA, Paris.</w:t>
      </w:r>
    </w:p>
    <w:p w14:paraId="52D20444" w14:textId="77777777" w:rsidR="001264F7" w:rsidRPr="001264F7" w:rsidRDefault="001264F7" w:rsidP="001264F7">
      <w:pPr>
        <w:rPr>
          <w:rFonts w:cs="Times New Roman"/>
        </w:rPr>
      </w:pPr>
      <w:r w:rsidRPr="001264F7">
        <w:rPr>
          <w:rFonts w:cs="Times New Roman"/>
        </w:rPr>
        <w:t xml:space="preserve">IEEJ. (2018). </w:t>
      </w:r>
      <w:r w:rsidRPr="001264F7">
        <w:rPr>
          <w:rFonts w:cs="Times New Roman"/>
          <w:i/>
        </w:rPr>
        <w:t>IEEJ Outlook 2019 – Energy transition and a thorny oath for 3E challenges.</w:t>
      </w:r>
      <w:r w:rsidRPr="001264F7">
        <w:rPr>
          <w:rFonts w:cs="Times New Roman"/>
        </w:rPr>
        <w:t xml:space="preserve"> The Institute of Energy Economics Japan. Available at: </w:t>
      </w:r>
      <w:hyperlink r:id="rId48" w:history="1">
        <w:r w:rsidRPr="001264F7">
          <w:rPr>
            <w:rStyle w:val="Hyperlink"/>
            <w:rFonts w:cs="Times New Roman"/>
          </w:rPr>
          <w:t>https://eneken.ieej.or.jp/data/8122.pdf</w:t>
        </w:r>
      </w:hyperlink>
    </w:p>
    <w:p w14:paraId="5DFA7F4A" w14:textId="77777777"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IGA. (2018). </w:t>
      </w:r>
      <w:r w:rsidRPr="001264F7">
        <w:rPr>
          <w:rFonts w:cs="Times New Roman"/>
          <w:i/>
          <w:color w:val="000000" w:themeColor="text1"/>
        </w:rPr>
        <w:t>IGA News – International Geothermal Association</w:t>
      </w:r>
      <w:r w:rsidRPr="001264F7">
        <w:rPr>
          <w:rFonts w:cs="Times New Roman"/>
          <w:color w:val="000000" w:themeColor="text1"/>
        </w:rPr>
        <w:t xml:space="preserve"> (No. IGA News No. 113). Germany: International Geothermal Association. Retrieved from https://www.geothermal-energy.org/iganews/</w:t>
      </w:r>
    </w:p>
    <w:p w14:paraId="6DF22ADF" w14:textId="77777777" w:rsidR="001264F7" w:rsidRPr="00B36958" w:rsidRDefault="001264F7" w:rsidP="00B36958">
      <w:pPr>
        <w:spacing w:before="120"/>
        <w:rPr>
          <w:rFonts w:cs="Times New Roman"/>
          <w:color w:val="000000" w:themeColor="text1"/>
        </w:rPr>
      </w:pPr>
      <w:r w:rsidRPr="001264F7">
        <w:rPr>
          <w:rFonts w:cs="Times New Roman"/>
          <w:color w:val="000000" w:themeColor="text1"/>
        </w:rPr>
        <w:t xml:space="preserve">IPCC. (2011). </w:t>
      </w:r>
      <w:r w:rsidRPr="001264F7">
        <w:rPr>
          <w:rFonts w:cs="Times New Roman"/>
          <w:i/>
          <w:color w:val="000000" w:themeColor="text1"/>
        </w:rPr>
        <w:t>Geothermal energy.</w:t>
      </w:r>
      <w:r w:rsidRPr="001264F7">
        <w:rPr>
          <w:rFonts w:cs="Times New Roman"/>
          <w:color w:val="000000" w:themeColor="text1"/>
        </w:rPr>
        <w:t xml:space="preserve"> IPCC Special Report on Renewable Energy Sources and Climate Change Mitigation. Intergovernmental Panel on Climate Change. Retrieved from http://srren.ipcc-wg3.de/report/IPCC_SRREN_Ch04.pdf</w:t>
      </w:r>
    </w:p>
    <w:p w14:paraId="7E63A9EA" w14:textId="77777777" w:rsidR="001264F7" w:rsidRPr="001264F7" w:rsidRDefault="001264F7" w:rsidP="00B36958">
      <w:pPr>
        <w:spacing w:before="120"/>
        <w:rPr>
          <w:rFonts w:cs="Times New Roman"/>
          <w:color w:val="000000" w:themeColor="text1"/>
        </w:rPr>
      </w:pPr>
      <w:r w:rsidRPr="00B36958">
        <w:rPr>
          <w:rFonts w:cs="Times New Roman"/>
          <w:color w:val="000000" w:themeColor="text1"/>
        </w:rPr>
        <w:t xml:space="preserve">IPCC. (2014). </w:t>
      </w:r>
      <w:r w:rsidRPr="00B36958">
        <w:rPr>
          <w:rFonts w:cs="Times New Roman"/>
          <w:i/>
          <w:color w:val="000000" w:themeColor="text1"/>
        </w:rPr>
        <w:t>Climate Change 2014: Mitigation of Climate Change.</w:t>
      </w:r>
      <w:r w:rsidRPr="00B36958">
        <w:rPr>
          <w:rFonts w:cs="Times New Roman"/>
          <w:color w:val="000000" w:themeColor="text1"/>
        </w:rPr>
        <w:t xml:space="preserve"> Contribution of Working Group III to the Fifth Assessment Report of the Intergovernmental Panel on Climate Change [Edenhofer, O., R. Pichs-Madruga, Y. Sokona, E. Farahani, S. Kadner, K. Seyboth, A. Adler, I. Baum, S. Brunner, P. Eickemeier, B. Kriemann, J. Savolainen, S. Schlömer, C. von Stechow, T. Zwickel and J.C. Minx (eds.)]. Cambridge University Press, Cambridge, United Kingdom and New York, NY, USA Retrieved from: https://</w:t>
      </w:r>
      <w:r w:rsidRPr="001264F7">
        <w:rPr>
          <w:rFonts w:cs="Times New Roman"/>
          <w:color w:val="000000" w:themeColor="text1"/>
        </w:rPr>
        <w:t>www.ipcc.ch/pdf/assessment-report/ar5/wg3/ipcc_wg3_ar5_full.pdf</w:t>
      </w:r>
    </w:p>
    <w:p w14:paraId="507A6E6B" w14:textId="77777777" w:rsidR="001264F7" w:rsidRPr="001264F7" w:rsidRDefault="001264F7" w:rsidP="001264F7">
      <w:pPr>
        <w:rPr>
          <w:rFonts w:cs="Times New Roman"/>
        </w:rPr>
      </w:pPr>
      <w:r w:rsidRPr="001264F7">
        <w:rPr>
          <w:rFonts w:cs="Times New Roman"/>
        </w:rPr>
        <w:t>IRENA. (2019).</w:t>
      </w:r>
      <w:r w:rsidRPr="001264F7">
        <w:rPr>
          <w:rFonts w:cs="Times New Roman"/>
          <w:i/>
        </w:rPr>
        <w:t xml:space="preserve"> Global energy transformation: </w:t>
      </w:r>
      <w:r w:rsidRPr="001264F7">
        <w:rPr>
          <w:rFonts w:cs="Times New Roman"/>
        </w:rPr>
        <w:t>The REmap transition pathway (Background report to 2019 edition), International Renewable Energy Agency, Abu Dhabi.</w:t>
      </w:r>
    </w:p>
    <w:p w14:paraId="03EAD4D1" w14:textId="77777777" w:rsidR="001264F7" w:rsidRPr="001264F7" w:rsidRDefault="001264F7" w:rsidP="00B36958">
      <w:pPr>
        <w:spacing w:before="120"/>
        <w:rPr>
          <w:rFonts w:cs="Times New Roman"/>
          <w:color w:val="000000" w:themeColor="text1"/>
        </w:rPr>
      </w:pPr>
      <w:r w:rsidRPr="001264F7">
        <w:rPr>
          <w:rFonts w:cs="Times New Roman"/>
          <w:color w:val="000000" w:themeColor="text1"/>
        </w:rPr>
        <w:t xml:space="preserve">Karali, N., Park, W., &amp; McNeil, M. (2015). </w:t>
      </w:r>
      <w:r w:rsidRPr="001264F7">
        <w:rPr>
          <w:rFonts w:cs="Times New Roman"/>
          <w:i/>
          <w:color w:val="000000" w:themeColor="text1"/>
        </w:rPr>
        <w:t>Using learning curves on energy-efficient technologies to estimate future energy savings and emission reduction potentials in the U.S. iron and steel industry</w:t>
      </w:r>
      <w:r w:rsidRPr="001264F7">
        <w:rPr>
          <w:rFonts w:cs="Times New Roman"/>
          <w:color w:val="000000" w:themeColor="text1"/>
        </w:rPr>
        <w:t xml:space="preserve"> (No. LBNL-184179). International Energy Studies Group, Energy Analysis and Environmental Impacts Division, Ernest Orlando Lawrence Berkeley National Laboratory. Retrieved from https://ies.lbl.gov/publications/using-learning-curves-energy</w:t>
      </w:r>
    </w:p>
    <w:p w14:paraId="62F31683" w14:textId="77777777" w:rsidR="001264F7" w:rsidRPr="00B36958" w:rsidRDefault="001264F7" w:rsidP="00B36958">
      <w:pPr>
        <w:spacing w:before="120"/>
        <w:rPr>
          <w:rFonts w:cs="Times New Roman"/>
          <w:color w:val="000000" w:themeColor="text1"/>
        </w:rPr>
      </w:pPr>
      <w:r w:rsidRPr="001264F7">
        <w:rPr>
          <w:rFonts w:cs="Times New Roman"/>
          <w:color w:val="000000" w:themeColor="text1"/>
        </w:rPr>
        <w:t>Lacal, R., Jaeger-Waldau, A., Vellei, M., Sigfusson</w:t>
      </w:r>
      <w:r w:rsidRPr="00B36958">
        <w:rPr>
          <w:rFonts w:cs="Times New Roman"/>
          <w:color w:val="000000" w:themeColor="text1"/>
        </w:rPr>
        <w:t xml:space="preserve">, B., et al. (2014). </w:t>
      </w:r>
      <w:r w:rsidRPr="00B36958">
        <w:rPr>
          <w:rFonts w:cs="Times New Roman"/>
          <w:i/>
          <w:color w:val="000000" w:themeColor="text1"/>
        </w:rPr>
        <w:t>ETRI 2014 - Energy Technology Reference Indicator projections for 2010-2050.</w:t>
      </w:r>
      <w:r w:rsidRPr="00B36958">
        <w:rPr>
          <w:rFonts w:cs="Times New Roman"/>
          <w:color w:val="000000" w:themeColor="text1"/>
        </w:rPr>
        <w:t xml:space="preserve"> Ed. Carlsson, J. Joint Research Center. Publications Office of the European Union. Retrieved from http://publications.jrc.ec.europa.eu/repository/handle/JRC92496</w:t>
      </w:r>
    </w:p>
    <w:p w14:paraId="22B38F76"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Lazard. (2016). </w:t>
      </w:r>
      <w:r w:rsidRPr="00B36958">
        <w:rPr>
          <w:rFonts w:cs="Times New Roman"/>
          <w:i/>
          <w:color w:val="000000" w:themeColor="text1"/>
        </w:rPr>
        <w:t>Lazard’s Levelized Cost of Energy Analysis – Version 10.0</w:t>
      </w:r>
      <w:r w:rsidRPr="00B36958">
        <w:rPr>
          <w:rFonts w:cs="Times New Roman"/>
          <w:color w:val="000000" w:themeColor="text1"/>
        </w:rPr>
        <w:t xml:space="preserve">. Retrieved from </w:t>
      </w:r>
      <w:hyperlink r:id="rId49" w:history="1">
        <w:r w:rsidRPr="00B36958">
          <w:rPr>
            <w:rStyle w:val="Hyperlink"/>
            <w:rFonts w:cs="Times New Roman"/>
            <w:color w:val="000000" w:themeColor="text1"/>
          </w:rPr>
          <w:t>https://www.lazard.com/perspective/levelized-cost-of-energy-analysis-100/</w:t>
        </w:r>
      </w:hyperlink>
    </w:p>
    <w:p w14:paraId="5D935C9C"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Lazard. (2018). </w:t>
      </w:r>
      <w:r w:rsidRPr="00B36958">
        <w:rPr>
          <w:rFonts w:cs="Times New Roman"/>
          <w:i/>
          <w:iCs/>
          <w:color w:val="000000" w:themeColor="text1"/>
        </w:rPr>
        <w:t>Levelized Cost of Energy and Levelized Cost of Storage 2018, version 12.0</w:t>
      </w:r>
      <w:r w:rsidRPr="00B36958">
        <w:rPr>
          <w:rFonts w:cs="Times New Roman"/>
          <w:color w:val="000000" w:themeColor="text1"/>
        </w:rPr>
        <w:t xml:space="preserve">. Lazard. Retrieved from </w:t>
      </w:r>
      <w:hyperlink r:id="rId50" w:history="1">
        <w:r w:rsidRPr="00B36958">
          <w:rPr>
            <w:rStyle w:val="Hyperlink"/>
            <w:rFonts w:cs="Times New Roman"/>
            <w:color w:val="000000" w:themeColor="text1"/>
          </w:rPr>
          <w:t>/perspective/levelized-cost-of-energy-and-levelized-cost-of-storage-2018/</w:t>
        </w:r>
      </w:hyperlink>
    </w:p>
    <w:p w14:paraId="7954B618"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Lukawski, M. Z., Anderson, B. J., Augustine, C., Capuano, L. E., Beckers, K. F., Livesay, B., &amp; Tester, J. W. (2014). Cost analysis of oil, gas, and geothermal well drilling. </w:t>
      </w:r>
      <w:r w:rsidRPr="00B36958">
        <w:rPr>
          <w:rFonts w:cs="Times New Roman"/>
          <w:i/>
          <w:color w:val="000000" w:themeColor="text1"/>
        </w:rPr>
        <w:t>Journal of Petroleum Science and Engineering, 118, 1–14.</w:t>
      </w:r>
      <w:r w:rsidRPr="00B36958">
        <w:rPr>
          <w:rFonts w:cs="Times New Roman"/>
          <w:color w:val="000000" w:themeColor="text1"/>
        </w:rPr>
        <w:t xml:space="preserve"> https://doi.org/10.1016/j.petrol.2014.03.012</w:t>
      </w:r>
    </w:p>
    <w:p w14:paraId="41DAA65D"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Masanet, E., Chag, Y., Gopal, A., Larsen, P., Morrow III, W., Sathre, R., Shehabi, A., Zhai, P. (2013). Life cycle assessment of electric power systems. </w:t>
      </w:r>
      <w:r w:rsidRPr="00B36958">
        <w:rPr>
          <w:rFonts w:cs="Times New Roman"/>
          <w:i/>
          <w:color w:val="000000" w:themeColor="text1"/>
        </w:rPr>
        <w:t>Annu. Rev. Environ. Resour, 38:107–36.</w:t>
      </w:r>
      <w:r w:rsidRPr="00B36958">
        <w:rPr>
          <w:rFonts w:cs="Times New Roman"/>
          <w:color w:val="000000" w:themeColor="text1"/>
        </w:rPr>
        <w:t xml:space="preserve"> Doi: 10.1146/annurev-environ-010710-100408  </w:t>
      </w:r>
    </w:p>
    <w:p w14:paraId="7C2D0A22"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NETL (2013). </w:t>
      </w:r>
      <w:r w:rsidRPr="00B36958">
        <w:rPr>
          <w:rFonts w:cs="Times New Roman"/>
          <w:i/>
          <w:color w:val="000000" w:themeColor="text1"/>
        </w:rPr>
        <w:t>Power Generation Technology Comparison from a Life Cycle Perspective.</w:t>
      </w:r>
      <w:r w:rsidRPr="00B36958">
        <w:rPr>
          <w:rFonts w:cs="Times New Roman"/>
          <w:color w:val="000000" w:themeColor="text1"/>
        </w:rPr>
        <w:t xml:space="preserve"> National Energy Technology Laboratory. Retrieved from </w:t>
      </w:r>
      <w:hyperlink r:id="rId51" w:history="1">
        <w:r w:rsidRPr="00B36958">
          <w:rPr>
            <w:rStyle w:val="Hyperlink"/>
            <w:rFonts w:cs="Times New Roman"/>
            <w:color w:val="000000" w:themeColor="text1"/>
          </w:rPr>
          <w:t>https://www.netl.doe.gov/File%20Library/Research/Energy%20Analysis/Life%20Cycle%20Analysis/Technology-Assessment-Compilation-Report.pdf</w:t>
        </w:r>
      </w:hyperlink>
    </w:p>
    <w:p w14:paraId="66EABE13"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OECD/IEA. (2018). </w:t>
      </w:r>
      <w:r w:rsidRPr="00B36958">
        <w:rPr>
          <w:rFonts w:cs="Times New Roman"/>
          <w:i/>
          <w:iCs/>
          <w:color w:val="000000" w:themeColor="text1"/>
        </w:rPr>
        <w:t>World Energy Outlook 2018</w:t>
      </w:r>
      <w:r w:rsidRPr="00B36958">
        <w:rPr>
          <w:rFonts w:cs="Times New Roman"/>
          <w:color w:val="000000" w:themeColor="text1"/>
        </w:rPr>
        <w:t xml:space="preserve"> (p. 661). International Energy Agency. OECD/IEA, Paris</w:t>
      </w:r>
      <w:r>
        <w:rPr>
          <w:rFonts w:cs="Times New Roman"/>
          <w:color w:val="000000" w:themeColor="text1"/>
        </w:rPr>
        <w:t xml:space="preserve">, </w:t>
      </w:r>
      <w:r w:rsidRPr="00B36958">
        <w:rPr>
          <w:rFonts w:cs="Times New Roman"/>
          <w:color w:val="000000" w:themeColor="text1"/>
        </w:rPr>
        <w:t>France.</w:t>
      </w:r>
      <w:r>
        <w:rPr>
          <w:rFonts w:cs="Times New Roman"/>
          <w:color w:val="000000" w:themeColor="text1"/>
        </w:rPr>
        <w:t xml:space="preserve"> </w:t>
      </w:r>
      <w:r w:rsidRPr="00B36958">
        <w:rPr>
          <w:rFonts w:cs="Times New Roman"/>
          <w:color w:val="000000" w:themeColor="text1"/>
        </w:rPr>
        <w:t xml:space="preserve">Retrieved from </w:t>
      </w:r>
      <w:hyperlink r:id="rId52" w:history="1">
        <w:r w:rsidRPr="00B36958">
          <w:rPr>
            <w:rStyle w:val="Hyperlink"/>
            <w:rFonts w:cs="Times New Roman"/>
            <w:color w:val="000000" w:themeColor="text1"/>
          </w:rPr>
          <w:t>https://www.iea.org/weo/</w:t>
        </w:r>
      </w:hyperlink>
    </w:p>
    <w:p w14:paraId="568AC554" w14:textId="77777777" w:rsidR="001264F7" w:rsidRDefault="001264F7" w:rsidP="00B36958">
      <w:pPr>
        <w:spacing w:before="120"/>
        <w:rPr>
          <w:rFonts w:cs="Times New Roman"/>
          <w:color w:val="000000" w:themeColor="text1"/>
        </w:rPr>
      </w:pPr>
      <w:r>
        <w:rPr>
          <w:rFonts w:cs="Times New Roman"/>
        </w:rPr>
        <w:t xml:space="preserve">Oil&amp;Gas Portal (2017). Introduction to geothermal Energy. Retrieved from </w:t>
      </w:r>
      <w:r w:rsidRPr="00F97D58">
        <w:rPr>
          <w:rFonts w:cs="Times New Roman"/>
        </w:rPr>
        <w:t>http://www.oil-gasportal.com/introduction-to-geothermal-energy/?print=pdf</w:t>
      </w:r>
    </w:p>
    <w:p w14:paraId="24C10CF8"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Ommedal, D. (2018). </w:t>
      </w:r>
      <w:r w:rsidRPr="00B36958">
        <w:rPr>
          <w:rFonts w:cs="Times New Roman"/>
          <w:i/>
          <w:iCs/>
          <w:color w:val="000000" w:themeColor="text1"/>
        </w:rPr>
        <w:t>Energy utilization from deep geothermal sources</w:t>
      </w:r>
      <w:r w:rsidRPr="00B36958">
        <w:rPr>
          <w:rFonts w:cs="Times New Roman"/>
          <w:color w:val="000000" w:themeColor="text1"/>
        </w:rPr>
        <w:t xml:space="preserve">. Department of Energy and Process Engineering, Norwegian University of Science and Technology, Trondheim, Norway. Retrieved from </w:t>
      </w:r>
      <w:hyperlink r:id="rId53" w:history="1">
        <w:r w:rsidRPr="00B36958">
          <w:rPr>
            <w:rStyle w:val="Hyperlink"/>
            <w:rFonts w:cs="Times New Roman"/>
            <w:color w:val="000000" w:themeColor="text1"/>
          </w:rPr>
          <w:t>https://brage.bibsys.no/xmlui/handle/11250/2558595</w:t>
        </w:r>
      </w:hyperlink>
    </w:p>
    <w:p w14:paraId="1D1B5DB0" w14:textId="77777777" w:rsidR="001264F7" w:rsidRPr="001264F7" w:rsidRDefault="001264F7" w:rsidP="00B36958">
      <w:pPr>
        <w:spacing w:before="120"/>
        <w:rPr>
          <w:rFonts w:cs="Times New Roman"/>
          <w:color w:val="000000" w:themeColor="text1"/>
        </w:rPr>
      </w:pPr>
      <w:r w:rsidRPr="00AC4490">
        <w:rPr>
          <w:rFonts w:cs="Times New Roman"/>
          <w:color w:val="000000" w:themeColor="text1"/>
        </w:rPr>
        <w:t xml:space="preserve">Pratiwi, A., Ravier, G., &amp; Genter, A. (2018). </w:t>
      </w:r>
      <w:r w:rsidRPr="00B36958">
        <w:rPr>
          <w:rFonts w:cs="Times New Roman"/>
          <w:color w:val="000000" w:themeColor="text1"/>
        </w:rPr>
        <w:t xml:space="preserve">Life-cycle climate-change impact assessment of enhanced geothermal system plants in the Upper Rhine Valley. </w:t>
      </w:r>
      <w:r w:rsidRPr="00B36958">
        <w:rPr>
          <w:rFonts w:cs="Times New Roman"/>
          <w:i/>
          <w:color w:val="000000" w:themeColor="text1"/>
        </w:rPr>
        <w:t>Geothermics, 75, 26–39.</w:t>
      </w:r>
      <w:r w:rsidRPr="00B36958">
        <w:rPr>
          <w:rFonts w:cs="Times New Roman"/>
          <w:color w:val="000000" w:themeColor="text1"/>
        </w:rPr>
        <w:t xml:space="preserve"> </w:t>
      </w:r>
      <w:r w:rsidRPr="00AF6179">
        <w:rPr>
          <w:rFonts w:cs="Times New Roman"/>
          <w:color w:val="000000" w:themeColor="text1"/>
          <w:u w:val="single"/>
        </w:rPr>
        <w:t>https://doi.</w:t>
      </w:r>
      <w:r w:rsidRPr="001264F7">
        <w:rPr>
          <w:rFonts w:cs="Times New Roman"/>
          <w:color w:val="000000" w:themeColor="text1"/>
          <w:u w:val="single"/>
        </w:rPr>
        <w:t>org/10.1016/j.geothermics.2018.03.012</w:t>
      </w:r>
    </w:p>
    <w:p w14:paraId="3DE5E960" w14:textId="77777777" w:rsidR="001264F7" w:rsidRPr="001264F7" w:rsidRDefault="001264F7" w:rsidP="001264F7">
      <w:pPr>
        <w:rPr>
          <w:rStyle w:val="Hyperlink"/>
          <w:rFonts w:cs="Times New Roman"/>
          <w:color w:val="auto"/>
          <w:u w:val="none"/>
        </w:rPr>
      </w:pPr>
      <w:r w:rsidRPr="001264F7">
        <w:rPr>
          <w:rFonts w:cs="Times New Roman"/>
        </w:rPr>
        <w:t xml:space="preserve">Ram M., Bogdanov D., Aghahosseini A., Gulagi A., Oyewo A.S., Child M., Caldera U., Sadovskaia K., Farfan J., Barbosa LSNS., Fasihi M., Khalili S., Dalheimer B.,Gruber G., Traber T., De Caluwe F., Fell H.-J., Breyer C. (2019). </w:t>
      </w:r>
      <w:r w:rsidRPr="001264F7">
        <w:rPr>
          <w:rFonts w:cs="Times New Roman"/>
          <w:i/>
        </w:rPr>
        <w:t xml:space="preserve">Global Energy System based on 100% Renewable Energy –Power, Heat, Transport and Desalination Sectors. </w:t>
      </w:r>
      <w:r w:rsidRPr="001264F7">
        <w:rPr>
          <w:rFonts w:cs="Times New Roman"/>
        </w:rPr>
        <w:t xml:space="preserve">Study by Lappeenranta University of Technology and Energy Watch Group, Lappeenranta, Berlin, March 2019. Retrieved from: </w:t>
      </w:r>
      <w:hyperlink r:id="rId54" w:history="1">
        <w:r w:rsidRPr="001264F7">
          <w:rPr>
            <w:rStyle w:val="Hyperlink"/>
            <w:rFonts w:cs="Times New Roman"/>
          </w:rPr>
          <w:t>http://energywatchgroup.org/wp-content/uploads/EWG_LUT_100RE_All_Sectors_Global_Report_2019.pdf</w:t>
        </w:r>
      </w:hyperlink>
    </w:p>
    <w:p w14:paraId="3836E9CF" w14:textId="77777777" w:rsidR="001264F7" w:rsidRPr="001264F7" w:rsidRDefault="001264F7" w:rsidP="00B36958">
      <w:pPr>
        <w:spacing w:before="120"/>
        <w:rPr>
          <w:rFonts w:cs="Times New Roman"/>
          <w:color w:val="000000" w:themeColor="text1"/>
        </w:rPr>
      </w:pPr>
      <w:r w:rsidRPr="001264F7">
        <w:rPr>
          <w:rFonts w:cs="Times New Roman"/>
          <w:color w:val="000000" w:themeColor="text1"/>
          <w:lang w:val="pt-PT"/>
        </w:rPr>
        <w:t xml:space="preserve">Rubin E. S., Azevedo I. M. L., Jaramillo P., Yeh S. (2015). </w:t>
      </w:r>
      <w:r w:rsidRPr="001264F7">
        <w:rPr>
          <w:rFonts w:cs="Times New Roman"/>
          <w:color w:val="000000" w:themeColor="text1"/>
        </w:rPr>
        <w:t xml:space="preserve">A review of learning rates for electricity supply technologies. </w:t>
      </w:r>
      <w:r w:rsidRPr="001264F7">
        <w:rPr>
          <w:rFonts w:cs="Times New Roman"/>
          <w:i/>
          <w:color w:val="000000" w:themeColor="text1"/>
        </w:rPr>
        <w:t>Energy Policy, 86 p. 198 – 218.</w:t>
      </w:r>
    </w:p>
    <w:p w14:paraId="2DB46D30" w14:textId="77777777" w:rsidR="001264F7" w:rsidRPr="00B36958" w:rsidRDefault="001264F7" w:rsidP="00B36958">
      <w:pPr>
        <w:spacing w:before="120"/>
        <w:rPr>
          <w:rFonts w:cs="Times New Roman"/>
          <w:color w:val="000000" w:themeColor="text1"/>
        </w:rPr>
      </w:pPr>
      <w:r w:rsidRPr="001264F7">
        <w:rPr>
          <w:rFonts w:cs="Times New Roman"/>
          <w:color w:val="000000" w:themeColor="text1"/>
        </w:rPr>
        <w:t xml:space="preserve">Samadi, S. (2018). The experience curve theory and its application in the field of electricity generation technologies – A literature review. </w:t>
      </w:r>
      <w:r w:rsidRPr="001264F7">
        <w:rPr>
          <w:rFonts w:cs="Times New Roman"/>
          <w:i/>
          <w:color w:val="000000" w:themeColor="text1"/>
        </w:rPr>
        <w:t>Renewable and Sustainable Energy Reviews, 82, 2346–2364.</w:t>
      </w:r>
      <w:r w:rsidRPr="001264F7">
        <w:rPr>
          <w:rFonts w:cs="Times New Roman"/>
          <w:color w:val="000000" w:themeColor="text1"/>
        </w:rPr>
        <w:t xml:space="preserve"> </w:t>
      </w:r>
      <w:r w:rsidRPr="001264F7">
        <w:rPr>
          <w:rFonts w:cs="Times New Roman"/>
          <w:color w:val="000000" w:themeColor="text1"/>
          <w:u w:val="single"/>
        </w:rPr>
        <w:t>https://doi.org/10.1016/j.rser.2017.08.077</w:t>
      </w:r>
    </w:p>
    <w:p w14:paraId="7DCD8CBF"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Sanyal, S. K. (2004). Cost of geothermal power and factors that affect it. In </w:t>
      </w:r>
      <w:r w:rsidRPr="00B36958">
        <w:rPr>
          <w:rFonts w:cs="Times New Roman"/>
          <w:i/>
          <w:iCs/>
          <w:color w:val="000000" w:themeColor="text1"/>
        </w:rPr>
        <w:t>PROCEEDINGS, Twenty-Ninth Workshop on Geothermal Reservoir Engineering Stanford University, Stanford, California, January 26-28, 2004 SGP-TR-175</w:t>
      </w:r>
      <w:r w:rsidRPr="00B36958">
        <w:rPr>
          <w:rFonts w:cs="Times New Roman"/>
          <w:color w:val="000000" w:themeColor="text1"/>
        </w:rPr>
        <w:t xml:space="preserve"> (p. 12). Stanford University, Stanford, California: Stanford University. Retrieved from </w:t>
      </w:r>
      <w:hyperlink r:id="rId55" w:history="1">
        <w:r w:rsidRPr="00B36958">
          <w:rPr>
            <w:rStyle w:val="Hyperlink"/>
            <w:rFonts w:cs="Times New Roman"/>
            <w:color w:val="000000" w:themeColor="text1"/>
          </w:rPr>
          <w:t>https://pangea.stanford.edu/ERE/pdf/IGAstandard/SGW/2004/Sanyal.pdf</w:t>
        </w:r>
      </w:hyperlink>
    </w:p>
    <w:p w14:paraId="519D7213" w14:textId="77777777" w:rsidR="001264F7" w:rsidRPr="00B36958" w:rsidRDefault="001264F7" w:rsidP="00B36958">
      <w:pPr>
        <w:spacing w:before="120"/>
        <w:rPr>
          <w:rStyle w:val="Hyperlink"/>
          <w:rFonts w:cs="Times New Roman"/>
          <w:color w:val="000000" w:themeColor="text1"/>
        </w:rPr>
      </w:pPr>
      <w:r w:rsidRPr="00B36958">
        <w:rPr>
          <w:rFonts w:cs="Times New Roman"/>
          <w:color w:val="000000" w:themeColor="text1"/>
          <w:lang w:val="pt-PT"/>
        </w:rPr>
        <w:t xml:space="preserve">Simoes, S., Nijs, W., Ruiz, P., Sgobbi, A., Radu, D., et al. </w:t>
      </w:r>
      <w:r w:rsidRPr="00B36958">
        <w:rPr>
          <w:rFonts w:cs="Times New Roman"/>
          <w:color w:val="000000" w:themeColor="text1"/>
        </w:rPr>
        <w:t xml:space="preserve">(2013). </w:t>
      </w:r>
      <w:r w:rsidRPr="00B36958">
        <w:rPr>
          <w:rFonts w:cs="Times New Roman"/>
          <w:i/>
          <w:color w:val="000000" w:themeColor="text1"/>
        </w:rPr>
        <w:t>The JRC-EU-TIMES model - Assessing the long-term role of the SET Plan Energy Technologies.</w:t>
      </w:r>
      <w:r w:rsidRPr="00B36958">
        <w:rPr>
          <w:rFonts w:cs="Times New Roman"/>
          <w:color w:val="000000" w:themeColor="text1"/>
        </w:rPr>
        <w:t xml:space="preserve"> Joint Research Center. Publications Office of the European Union. Retrieved from </w:t>
      </w:r>
      <w:hyperlink r:id="rId56" w:history="1">
        <w:r w:rsidRPr="00B36958">
          <w:rPr>
            <w:rStyle w:val="Hyperlink"/>
            <w:rFonts w:cs="Times New Roman"/>
            <w:color w:val="000000" w:themeColor="text1"/>
          </w:rPr>
          <w:t>http://publications.jrc.ec.europa.eu/repository/handle/JRC85804</w:t>
        </w:r>
      </w:hyperlink>
    </w:p>
    <w:p w14:paraId="202E11F4"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Stoel Rives. (2008). Brief Anatomy of a Geothermal Power Purchase Agreement. Retrieved February 11, 2019, from </w:t>
      </w:r>
      <w:hyperlink r:id="rId57" w:history="1">
        <w:r w:rsidRPr="00B36958">
          <w:rPr>
            <w:rStyle w:val="Hyperlink"/>
            <w:rFonts w:cs="Times New Roman"/>
            <w:color w:val="000000" w:themeColor="text1"/>
          </w:rPr>
          <w:t>https://www.stoel.com/brief-anatomy-of-a-geothermal-power-purchase-agreement</w:t>
        </w:r>
      </w:hyperlink>
    </w:p>
    <w:p w14:paraId="22738952"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Tester, J.W., Anderson, B., Batchelor, A., Blackwell, D., DiPippo, R., Drake, E., Garnish, J., Livesay, B., Moore, M.C., Nichols, K. (2006). The future of geothermal energy: Impact of enhanced geothermal systems (egs) on the United States in the 21st century. Massachusetts Institute of Technology 209. Retrieved from http://geo-energy.org/reports/future_geo_energy.pdf</w:t>
      </w:r>
    </w:p>
    <w:p w14:paraId="4567D3CC"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Think GeoEnergy (n.d.) Geothermal Energy News. Retrieved January 22, 2019, from http://www.thinkgeoenergy.com/geothermal/</w:t>
      </w:r>
    </w:p>
    <w:p w14:paraId="3B351E1D"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Turkenburg, W. C., Arent, D., Bertani, R., Faaij, A., Hand, M., Krewitt, W., Larson, E. et al. (2012). Chapter 11 - Renewable Energy. In Global Energy Assessment - Toward a Sustainable Future, 761–900. Cambridge University Press, Cambridge, UK and New York, NY, USA and the International Institute for Applied Systems Analysis, Laxenburg, Austria. Retrieved from www.iiasa.ac.at/web/home/research/Flagship-Projects/Global-Energy-Assessment/Chapte11.en.html</w:t>
      </w:r>
    </w:p>
    <w:p w14:paraId="7FD112AD"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United Nations University. (1998, 2018). Workshops and Short Courses: Geothermal Training Programme. Retrieved January 14, 2019, from www.unugtp.is/en/publications/workshops-and-short-courses</w:t>
      </w:r>
    </w:p>
    <w:p w14:paraId="12C67661" w14:textId="77777777" w:rsidR="001264F7" w:rsidRPr="00B36958" w:rsidRDefault="001264F7" w:rsidP="00B36958">
      <w:pPr>
        <w:spacing w:before="120"/>
        <w:rPr>
          <w:rFonts w:cs="Times New Roman"/>
          <w:color w:val="000000" w:themeColor="text1"/>
        </w:rPr>
      </w:pPr>
      <w:r w:rsidRPr="00B36958">
        <w:rPr>
          <w:rFonts w:cs="Times New Roman"/>
          <w:color w:val="000000" w:themeColor="text1"/>
        </w:rPr>
        <w:t>WEC. (2013). World Energy Perspective: Cost of Energy Technologies. World Energy Council, Bloomberg New Energy Finance. Retrieved from www.worldenergy.org/wp-content/uploads/2013/09/WEC_J1143_CostofTECHNOLOGIES_021013_WEB_Final.pdf</w:t>
      </w:r>
    </w:p>
    <w:p w14:paraId="24750000" w14:textId="62AEE144" w:rsidR="001264F7" w:rsidRPr="00B36958" w:rsidRDefault="001264F7" w:rsidP="00B36958">
      <w:pPr>
        <w:spacing w:before="120"/>
        <w:rPr>
          <w:rFonts w:cs="Times New Roman"/>
          <w:color w:val="000000" w:themeColor="text1"/>
        </w:rPr>
      </w:pPr>
      <w:r w:rsidRPr="00B36958">
        <w:rPr>
          <w:rFonts w:cs="Times New Roman"/>
          <w:color w:val="000000" w:themeColor="text1"/>
        </w:rPr>
        <w:t xml:space="preserve">WEC. (2016). World Energy Resources 2016. World Energy Council. Retrieved from </w:t>
      </w:r>
      <w:hyperlink r:id="rId58" w:history="1">
        <w:r w:rsidRPr="00FA7932">
          <w:rPr>
            <w:rStyle w:val="Hyperlink"/>
            <w:rFonts w:cs="Times New Roman"/>
          </w:rPr>
          <w:t>https://www.worldenergy.org/publications/2016/world-energy-resources-2016/</w:t>
        </w:r>
      </w:hyperlink>
    </w:p>
    <w:p w14:paraId="1200C9DF" w14:textId="587008AF" w:rsidR="00B20FA0" w:rsidRDefault="00B20FA0">
      <w:pPr>
        <w:spacing w:after="160" w:line="259" w:lineRule="auto"/>
        <w:jc w:val="left"/>
        <w:rPr>
          <w:rFonts w:asciiTheme="majorHAnsi" w:eastAsiaTheme="majorEastAsia" w:hAnsiTheme="majorHAnsi" w:cs="Times New Roman (Headings CS)"/>
          <w:b/>
          <w:bCs/>
          <w:smallCaps/>
          <w:color w:val="4F81BD" w:themeColor="accent1"/>
          <w:sz w:val="36"/>
          <w:szCs w:val="36"/>
        </w:rPr>
      </w:pPr>
    </w:p>
    <w:p w14:paraId="41BC7037" w14:textId="77777777" w:rsidR="00FC304E" w:rsidRDefault="00FC304E" w:rsidP="001A2387">
      <w:pPr>
        <w:pStyle w:val="Heading1"/>
        <w:sectPr w:rsidR="00FC304E">
          <w:pgSz w:w="12240" w:h="15840"/>
          <w:pgMar w:top="1440" w:right="1440" w:bottom="1440" w:left="1440" w:header="720" w:footer="720" w:gutter="0"/>
          <w:cols w:space="720"/>
        </w:sectPr>
      </w:pPr>
    </w:p>
    <w:p w14:paraId="02EABFF3" w14:textId="7A7A5283" w:rsidR="006745FF" w:rsidRPr="001A2387" w:rsidRDefault="006745FF" w:rsidP="001A2387">
      <w:pPr>
        <w:pStyle w:val="Heading1"/>
      </w:pPr>
      <w:bookmarkStart w:id="73" w:name="_Toc19137330"/>
      <w:r w:rsidRPr="00E069AC">
        <w:t>Glossary</w:t>
      </w:r>
      <w:bookmarkEnd w:id="73"/>
    </w:p>
    <w:p w14:paraId="02D27B4A" w14:textId="64FD13A7" w:rsidR="006745FF" w:rsidRPr="00E069AC" w:rsidRDefault="006745FF" w:rsidP="00996E91">
      <w:r w:rsidRPr="00E069AC">
        <w:rPr>
          <w:b/>
        </w:rPr>
        <w:t>Adoption Scenario</w:t>
      </w:r>
      <w:r w:rsidRPr="00E069AC">
        <w:t xml:space="preserve"> – the predicted annual adoption over the period 2015 to 2060, which is usually measured in </w:t>
      </w:r>
      <w:r w:rsidRPr="00E069AC">
        <w:rPr>
          <w:b/>
        </w:rPr>
        <w:t>Functional Units</w:t>
      </w:r>
      <w:r w:rsidRPr="00E069AC">
        <w:t>. A range of scenarios is programmed in the model, but the user may enter her own. Note that the assumption behind most scenarios is one of growth. If for instance</w:t>
      </w:r>
      <w:r w:rsidR="00F4258D">
        <w:t>,</w:t>
      </w:r>
      <w:r w:rsidRPr="00E069AC">
        <w:t xml:space="preserve"> a solution is one of reduced heating energy usage due to better insulation, then the solution adoption is translated into an increase in </w:t>
      </w:r>
      <w:r w:rsidR="00F4258D">
        <w:t xml:space="preserve">the </w:t>
      </w:r>
      <w:r w:rsidRPr="00E069AC">
        <w:t xml:space="preserve">use of insulation. There are two types of adoption scenarios in use: </w:t>
      </w:r>
      <w:r w:rsidRPr="00E069AC">
        <w:rPr>
          <w:b/>
        </w:rPr>
        <w:t>Reference (REF)</w:t>
      </w:r>
      <w:r w:rsidRPr="00E069AC">
        <w:t xml:space="preserve"> where global adoption remains mostly constant, and </w:t>
      </w:r>
      <w:r w:rsidRPr="00E069AC">
        <w:rPr>
          <w:b/>
        </w:rPr>
        <w:t>Project Drawdown Scenarios (PDS)</w:t>
      </w:r>
      <w:r w:rsidRPr="00E069AC">
        <w:t xml:space="preserve"> which illustrate </w:t>
      </w:r>
      <w:r w:rsidR="00F4258D">
        <w:t xml:space="preserve">the </w:t>
      </w:r>
      <w:r w:rsidRPr="00E069AC">
        <w:t>high growth of the solution.</w:t>
      </w:r>
    </w:p>
    <w:p w14:paraId="5FD0673A" w14:textId="5BE7E387" w:rsidR="006745FF" w:rsidRPr="00E069AC" w:rsidRDefault="006745FF" w:rsidP="00996E91">
      <w:r w:rsidRPr="00E069AC">
        <w:rPr>
          <w:b/>
        </w:rPr>
        <w:t>Approximate PPM Equivalent</w:t>
      </w:r>
      <w:r w:rsidRPr="00E069AC">
        <w:t xml:space="preserve"> – the reduction in </w:t>
      </w:r>
      <w:r w:rsidR="00F4258D">
        <w:t xml:space="preserve">the </w:t>
      </w:r>
      <w:r w:rsidRPr="00E069AC">
        <w:t>atmospheric concentration of CO</w:t>
      </w:r>
      <w:r w:rsidRPr="00E069AC">
        <w:rPr>
          <w:vertAlign w:val="subscript"/>
        </w:rPr>
        <w:t>2</w:t>
      </w:r>
      <w:r w:rsidRPr="00E069AC">
        <w:t xml:space="preserve"> (in </w:t>
      </w:r>
      <w:r w:rsidRPr="00E069AC">
        <w:rPr>
          <w:b/>
        </w:rPr>
        <w:t>PPM</w:t>
      </w:r>
      <w:r w:rsidRPr="00E069AC">
        <w:t xml:space="preserve">) that is expected to result if the </w:t>
      </w:r>
      <w:r w:rsidRPr="00E069AC">
        <w:rPr>
          <w:b/>
        </w:rPr>
        <w:t>PDS Scenario</w:t>
      </w:r>
      <w:r w:rsidRPr="00E069AC">
        <w:t xml:space="preserve"> occurs. This assumes a discrete avoided pulse model based on the Bern Carbon Cycle model.</w:t>
      </w:r>
    </w:p>
    <w:p w14:paraId="59150663" w14:textId="6A10A787" w:rsidR="006745FF" w:rsidRPr="00E069AC" w:rsidRDefault="006745FF" w:rsidP="00996E91">
      <w:r w:rsidRPr="00E069AC">
        <w:rPr>
          <w:b/>
        </w:rPr>
        <w:t>Average Abatement Cost</w:t>
      </w:r>
      <w:r w:rsidRPr="00E069AC">
        <w:t xml:space="preserve"> – the ratio of the present value of the solution (</w:t>
      </w:r>
      <w:r w:rsidRPr="00E069AC">
        <w:rPr>
          <w:b/>
        </w:rPr>
        <w:t>Net</w:t>
      </w:r>
      <w:r w:rsidRPr="00E069AC">
        <w:t xml:space="preserve"> </w:t>
      </w:r>
      <w:r w:rsidRPr="00E069AC">
        <w:rPr>
          <w:b/>
        </w:rPr>
        <w:t xml:space="preserve">Operating Savings </w:t>
      </w:r>
      <w:r w:rsidRPr="00E069AC">
        <w:t>minus</w:t>
      </w:r>
      <w:r w:rsidRPr="00E069AC">
        <w:rPr>
          <w:b/>
        </w:rPr>
        <w:t xml:space="preserve"> Marginal First Costs</w:t>
      </w:r>
      <w:r w:rsidRPr="00E069AC">
        <w:t xml:space="preserve">) and the </w:t>
      </w:r>
      <w:r w:rsidRPr="00E069AC">
        <w:rPr>
          <w:b/>
        </w:rPr>
        <w:t>Total Emissions Reduction</w:t>
      </w:r>
      <w:r w:rsidRPr="00E069AC">
        <w:t xml:space="preserve">. This is a single value for each solution for each </w:t>
      </w:r>
      <w:r w:rsidRPr="00E069AC">
        <w:rPr>
          <w:b/>
        </w:rPr>
        <w:t>PDS Scenario</w:t>
      </w:r>
      <w:r w:rsidRPr="00E069AC">
        <w:t xml:space="preserve"> and is used to build the characteristic “</w:t>
      </w:r>
      <w:r w:rsidRPr="00E069AC">
        <w:rPr>
          <w:i/>
        </w:rPr>
        <w:t>Marginal Abatement Cost</w:t>
      </w:r>
      <w:r w:rsidRPr="00E069AC">
        <w:t>” curves when Average Abatement Cost values for each solution are ordered and graphed.</w:t>
      </w:r>
    </w:p>
    <w:p w14:paraId="16A2F2DD" w14:textId="7A0E21D5" w:rsidR="006745FF" w:rsidRPr="00E069AC" w:rsidRDefault="006745FF" w:rsidP="00996E91">
      <w:r w:rsidRPr="00E069AC">
        <w:rPr>
          <w:b/>
        </w:rPr>
        <w:t>Average Annual Use</w:t>
      </w:r>
      <w:r w:rsidRPr="00E069AC">
        <w:t xml:space="preserve"> – the average number of functional units that a single implementation unit typically provides in one year. This is usually a weighted average for all users according to the data available. For instance, </w:t>
      </w:r>
      <w:r w:rsidR="00F4258D">
        <w:t xml:space="preserve">the </w:t>
      </w:r>
      <w:r w:rsidRPr="00E069AC">
        <w:t xml:space="preserve">total number of passenger-km driven by a hybrid vehicle in a year depends on </w:t>
      </w:r>
      <w:r w:rsidR="00F4258D">
        <w:t xml:space="preserve">the </w:t>
      </w:r>
      <w:r w:rsidRPr="00E069AC">
        <w:t xml:space="preserve">country and </w:t>
      </w:r>
      <w:r w:rsidR="00F4258D">
        <w:t xml:space="preserve">the </w:t>
      </w:r>
      <w:r w:rsidRPr="00E069AC">
        <w:t xml:space="preserve">typical number of occupants. We take global weighted averages for this input. This is used to estimate the </w:t>
      </w:r>
      <w:r w:rsidRPr="00E069AC">
        <w:rPr>
          <w:b/>
        </w:rPr>
        <w:t>Replacement Time</w:t>
      </w:r>
      <w:r w:rsidRPr="00E069AC">
        <w:t>.</w:t>
      </w:r>
    </w:p>
    <w:p w14:paraId="044BB52C" w14:textId="77777777" w:rsidR="006745FF" w:rsidRPr="00E069AC" w:rsidRDefault="006745FF" w:rsidP="00996E91">
      <w:r w:rsidRPr="00E069AC">
        <w:rPr>
          <w:b/>
        </w:rPr>
        <w:t>Cumulative First Cost</w:t>
      </w:r>
      <w:r w:rsidRPr="00E069AC">
        <w:t xml:space="preserve"> – the total </w:t>
      </w:r>
      <w:r w:rsidRPr="00E069AC">
        <w:rPr>
          <w:b/>
        </w:rPr>
        <w:t>First Cost</w:t>
      </w:r>
      <w:r w:rsidRPr="00E069AC">
        <w:t xml:space="preserve"> of solution </w:t>
      </w:r>
      <w:r w:rsidRPr="00E069AC">
        <w:rPr>
          <w:b/>
        </w:rPr>
        <w:t>Implementation Units</w:t>
      </w:r>
      <w:r w:rsidRPr="00E069AC">
        <w:t xml:space="preserve"> purchased in the </w:t>
      </w:r>
      <w:r w:rsidRPr="00E069AC">
        <w:rPr>
          <w:b/>
        </w:rPr>
        <w:t>PDS Scenario</w:t>
      </w:r>
      <w:r w:rsidRPr="00E069AC">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266B4A50" w:rsidR="006745FF" w:rsidRPr="00E069AC" w:rsidRDefault="006745FF" w:rsidP="00996E91">
      <w:r w:rsidRPr="00E069AC">
        <w:rPr>
          <w:b/>
        </w:rPr>
        <w:t>Direct Emissions</w:t>
      </w:r>
      <w:r w:rsidRPr="00E069AC">
        <w:t xml:space="preserve"> – emissions caused by the operation of the solution, which are typically caused </w:t>
      </w:r>
      <w:r w:rsidR="00F4258D">
        <w:t>by</w:t>
      </w:r>
      <w:r w:rsidRPr="00E069AC">
        <w:t xml:space="preserve"> the lifetime </w:t>
      </w:r>
      <w:r w:rsidR="00F4258D">
        <w:t xml:space="preserve">use </w:t>
      </w:r>
      <w:r w:rsidRPr="00E069AC">
        <w:t>of the solution. They should be entered into the model normalized per functional unit.</w:t>
      </w:r>
    </w:p>
    <w:p w14:paraId="1C32899A" w14:textId="30052717" w:rsidR="006745FF" w:rsidRPr="00E069AC" w:rsidRDefault="006745FF" w:rsidP="00996E91">
      <w:r w:rsidRPr="00E069AC">
        <w:rPr>
          <w:b/>
        </w:rPr>
        <w:t>Discount Rate</w:t>
      </w:r>
      <w:r w:rsidRPr="00E069AC">
        <w:t>- the interest rate used in discounted cash flow (DCF) analysis to determine the present value of future cash flows. The discount rate in DCF analysis takes into account</w:t>
      </w:r>
      <w:r w:rsidR="00F4258D">
        <w:t>,</w:t>
      </w:r>
      <w:r w:rsidRPr="00E069AC">
        <w:t xml:space="preserve"> not just the time value of money, but also the risk or uncertainty of future cash flows; the greater the uncertainty of future cash flows, the </w:t>
      </w:r>
      <w:r w:rsidR="00F4258D">
        <w:t>higher the discount rate.</w:t>
      </w:r>
      <w:r w:rsidRPr="00E069AC">
        <w:t xml:space="preserve"> Most importantly, the greater the discount rate, the more the future savings are devalued (which impacts the financial but not the climate impacts of the solution).  </w:t>
      </w:r>
    </w:p>
    <w:p w14:paraId="59D5AC90" w14:textId="77777777" w:rsidR="006745FF" w:rsidRPr="00E069AC" w:rsidRDefault="006745FF" w:rsidP="00996E91">
      <w:r w:rsidRPr="00E069AC">
        <w:rPr>
          <w:b/>
        </w:rPr>
        <w:t>Emissions</w:t>
      </w:r>
      <w:r w:rsidRPr="00E069AC">
        <w:t xml:space="preserve"> </w:t>
      </w:r>
      <w:r w:rsidRPr="00E069AC">
        <w:rPr>
          <w:b/>
        </w:rPr>
        <w:t>Factor</w:t>
      </w:r>
      <w:r w:rsidRPr="00E069AC">
        <w:t>– the average normalized emissions resulting from consumption of a unit of electricity across the global grid. Typical units are kg CO</w:t>
      </w:r>
      <w:r w:rsidRPr="00E069AC">
        <w:rPr>
          <w:vertAlign w:val="subscript"/>
        </w:rPr>
        <w:t>2</w:t>
      </w:r>
      <w:r w:rsidRPr="00E069AC">
        <w:t>e/kWh.</w:t>
      </w:r>
    </w:p>
    <w:p w14:paraId="754A056C" w14:textId="77777777" w:rsidR="006745FF" w:rsidRPr="00E069AC" w:rsidRDefault="006745FF" w:rsidP="00996E91">
      <w:r w:rsidRPr="00E069AC">
        <w:rPr>
          <w:b/>
        </w:rPr>
        <w:t>First Cost</w:t>
      </w:r>
      <w:r w:rsidRPr="00E069AC">
        <w:t xml:space="preserve">- the investment cost per </w:t>
      </w:r>
      <w:r w:rsidRPr="00E069AC">
        <w:rPr>
          <w:b/>
        </w:rPr>
        <w:t>Implementation Unit</w:t>
      </w:r>
      <w:r w:rsidRPr="00E069AC">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3E85B31" w:rsidR="006745FF" w:rsidRPr="00E069AC" w:rsidRDefault="006745FF" w:rsidP="00996E91">
      <w:r w:rsidRPr="00E069AC">
        <w:rPr>
          <w:b/>
        </w:rPr>
        <w:t>Functional Unit</w:t>
      </w:r>
      <w:r w:rsidRPr="00E069AC">
        <w:t xml:space="preserve"> – a measurement unit that represents the value, provided to the world, of the function that the solution performs. This depends on the solution. Therefore, LED Lighting provides petalumen-hours of light, Biomass provides tera-watt-hours of electricity and</w:t>
      </w:r>
      <w:r w:rsidR="00F4258D">
        <w:t xml:space="preserve"> high-</w:t>
      </w:r>
      <w:r w:rsidRPr="00E069AC">
        <w:t>speed rail provides billions of passenger-km of mobility.</w:t>
      </w:r>
    </w:p>
    <w:p w14:paraId="40F3C0D9" w14:textId="29A617B7" w:rsidR="006745FF" w:rsidRPr="00E069AC" w:rsidRDefault="006745FF" w:rsidP="00996E91">
      <w:r w:rsidRPr="00E069AC">
        <w:rPr>
          <w:b/>
        </w:rPr>
        <w:t>Grid Emissions</w:t>
      </w:r>
      <w:r w:rsidRPr="00E069AC">
        <w:t xml:space="preserve"> – emissions caused by </w:t>
      </w:r>
      <w:r w:rsidR="00F4258D">
        <w:t xml:space="preserve">the </w:t>
      </w:r>
      <w:r w:rsidRPr="00E069AC">
        <w:t>use of the electricity grid in supplying power to any operation associated with a solution. They should be in the units described below each variable entry cell. Drawdown models assume that the global electric grid, even in a Reference Sce</w:t>
      </w:r>
      <w:r w:rsidR="00F4258D">
        <w:t>nario, is slowly getting cleaner</w:t>
      </w:r>
      <w:r w:rsidRPr="00E069AC">
        <w:t xml:space="preserve"> and that emissions factors fall over time resulting in lower grid emissions for the same electricity demand.</w:t>
      </w:r>
    </w:p>
    <w:p w14:paraId="623A0FE9" w14:textId="77777777" w:rsidR="006745FF" w:rsidRPr="00E069AC" w:rsidRDefault="006745FF" w:rsidP="00996E91">
      <w:r w:rsidRPr="00E069AC">
        <w:rPr>
          <w:b/>
        </w:rPr>
        <w:t>Implementation Unit</w:t>
      </w:r>
      <w:r w:rsidRPr="00E069AC">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E069AC" w:rsidRDefault="006745FF" w:rsidP="00996E91">
      <w:r w:rsidRPr="00E069AC">
        <w:rPr>
          <w:b/>
        </w:rPr>
        <w:t>Indirect Emissions</w:t>
      </w:r>
      <w:r w:rsidRPr="00E069AC">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32E7830A" w:rsidR="006745FF" w:rsidRPr="00E069AC" w:rsidRDefault="006745FF" w:rsidP="00996E91">
      <w:r w:rsidRPr="00E069AC">
        <w:rPr>
          <w:b/>
        </w:rPr>
        <w:t>Learning Rate/Learning Curve</w:t>
      </w:r>
      <w:r w:rsidRPr="00E069AC">
        <w:t xml:space="preserve"> - Learning curves (sometimes called experience curves) are used to analyze a well-known and easily observed phenomenon: humans become increasingly efficient with experience. The first time a product is manufactured, or a service </w:t>
      </w:r>
      <w:r w:rsidR="00A84924">
        <w:t xml:space="preserve">is </w:t>
      </w:r>
      <w:r w:rsidRPr="00E069AC">
        <w:t xml:space="preserve">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A84924">
        <w:t>good</w:t>
      </w:r>
      <w:r w:rsidRPr="00E069AC">
        <w:t xml:space="preserve"> drops by 2% every time total production doubles.</w:t>
      </w:r>
    </w:p>
    <w:p w14:paraId="77507D03" w14:textId="77777777" w:rsidR="006745FF" w:rsidRPr="00E069AC" w:rsidRDefault="006745FF" w:rsidP="00996E91">
      <w:r w:rsidRPr="00E069AC">
        <w:rPr>
          <w:b/>
        </w:rPr>
        <w:t>Lifetime Capacity</w:t>
      </w:r>
      <w:r w:rsidRPr="00E069AC">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E069AC">
        <w:rPr>
          <w:b/>
        </w:rPr>
        <w:t>Replacement Time</w:t>
      </w:r>
      <w:r w:rsidRPr="00E069AC">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E069AC" w:rsidRDefault="006745FF" w:rsidP="00996E91">
      <w:r w:rsidRPr="00E069AC">
        <w:rPr>
          <w:b/>
        </w:rPr>
        <w:t>Lifetime Operating Savings</w:t>
      </w:r>
      <w:r w:rsidRPr="00E069AC">
        <w:t>–the operating cost in the PDS versus the REF scenarios over the lifetime of the implementation units purchased during the model period regardless of when their useful life ends.</w:t>
      </w:r>
    </w:p>
    <w:p w14:paraId="49E72DD2" w14:textId="77777777" w:rsidR="006745FF" w:rsidRPr="00E069AC" w:rsidRDefault="006745FF" w:rsidP="00996E91">
      <w:r w:rsidRPr="00E069AC">
        <w:rPr>
          <w:b/>
        </w:rPr>
        <w:t>Lifetime Cashflow NPV</w:t>
      </w:r>
      <w:r w:rsidRPr="00E069AC">
        <w:t xml:space="preserve">-the present value (PV) of the net cash flows (PDS versus REF) in each year of the model period (2015-2060). The net cash flows include net operating costs and first costs. There are two results in the model: Lifetime Cashflow NPV for a Single </w:t>
      </w:r>
      <w:r w:rsidRPr="00E069AC">
        <w:rPr>
          <w:b/>
        </w:rPr>
        <w:t>Implementation Unit</w:t>
      </w:r>
      <w:r w:rsidRPr="00E069AC">
        <w:t xml:space="preserve">, which refers to the installation of one </w:t>
      </w:r>
      <w:r w:rsidRPr="00E069AC">
        <w:rPr>
          <w:b/>
        </w:rPr>
        <w:t>Implementation Unit</w:t>
      </w:r>
      <w:r w:rsidRPr="00E069AC">
        <w:t xml:space="preserve">, and Lifetime Cashflow NPV of All Units, which refers to all </w:t>
      </w:r>
      <w:r w:rsidRPr="00E069AC">
        <w:rPr>
          <w:b/>
        </w:rPr>
        <w:t>Implementation Units</w:t>
      </w:r>
      <w:r w:rsidRPr="00E069AC">
        <w:t xml:space="preserve"> installed in a particular scenario. These calculations are also available using profit inputs instead of operating costs.</w:t>
      </w:r>
    </w:p>
    <w:p w14:paraId="44D5A85B" w14:textId="77777777" w:rsidR="006745FF" w:rsidRPr="00E069AC" w:rsidRDefault="006745FF" w:rsidP="00996E91">
      <w:r w:rsidRPr="00E069AC">
        <w:rPr>
          <w:b/>
        </w:rPr>
        <w:t>Marginal First Cost</w:t>
      </w:r>
      <w:r w:rsidRPr="00E069AC">
        <w:t xml:space="preserve"> – the difference between the </w:t>
      </w:r>
      <w:r w:rsidRPr="00E069AC">
        <w:rPr>
          <w:b/>
        </w:rPr>
        <w:t>First Cost</w:t>
      </w:r>
      <w:r w:rsidRPr="00E069AC">
        <w:t xml:space="preserve"> of all units (solution and conventional) installed in the </w:t>
      </w:r>
      <w:r w:rsidRPr="00E069AC">
        <w:rPr>
          <w:b/>
        </w:rPr>
        <w:t>PDS Scenario</w:t>
      </w:r>
      <w:r w:rsidRPr="00E069AC">
        <w:t xml:space="preserve"> and the </w:t>
      </w:r>
      <w:r w:rsidRPr="00E069AC">
        <w:rPr>
          <w:b/>
        </w:rPr>
        <w:t>First Cost</w:t>
      </w:r>
      <w:r w:rsidRPr="00E069AC">
        <w:t xml:space="preserve"> of all units installed in the </w:t>
      </w:r>
      <w:r w:rsidRPr="00E069AC">
        <w:rPr>
          <w:b/>
        </w:rPr>
        <w:t>REF Scenario</w:t>
      </w:r>
      <w:r w:rsidRPr="00E069AC">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E069AC" w:rsidRDefault="006745FF" w:rsidP="00996E91">
      <w:r w:rsidRPr="00E069AC">
        <w:rPr>
          <w:b/>
        </w:rPr>
        <w:t>Net Annual Functional Units (NAFU)</w:t>
      </w:r>
      <w:r w:rsidRPr="00E069AC">
        <w:t xml:space="preserve"> – the adoption in the PDS minus the adoption in the REF in each year of analysis. In the model, this represents the additional annual functional demand captured either by the solution in the </w:t>
      </w:r>
      <w:r w:rsidRPr="00E069AC">
        <w:rPr>
          <w:b/>
        </w:rPr>
        <w:t>PDS Scenario</w:t>
      </w:r>
      <w:r w:rsidRPr="00E069AC">
        <w:t xml:space="preserve"> or the conventional in the </w:t>
      </w:r>
      <w:r w:rsidRPr="00E069AC">
        <w:rPr>
          <w:b/>
        </w:rPr>
        <w:t>REF Scenario</w:t>
      </w:r>
      <w:r w:rsidRPr="00E069AC">
        <w:t>.</w:t>
      </w:r>
    </w:p>
    <w:p w14:paraId="0360F8D5" w14:textId="77777777" w:rsidR="006745FF" w:rsidRPr="00E069AC" w:rsidRDefault="006745FF" w:rsidP="00996E91">
      <w:r w:rsidRPr="00E069AC">
        <w:rPr>
          <w:b/>
        </w:rPr>
        <w:t>Net Annual Implementation Units (NAIU)</w:t>
      </w:r>
      <w:r w:rsidRPr="00E069AC">
        <w:t xml:space="preserve"> – the number of </w:t>
      </w:r>
      <w:r w:rsidRPr="00E069AC">
        <w:rPr>
          <w:b/>
        </w:rPr>
        <w:t>Implementation Units</w:t>
      </w:r>
      <w:r w:rsidRPr="00E069AC">
        <w:t xml:space="preserve"> of the solution that are needed in the PDS to supply the </w:t>
      </w:r>
      <w:r w:rsidRPr="00E069AC">
        <w:rPr>
          <w:b/>
        </w:rPr>
        <w:t>Net Annual Functional Units (NAFU).</w:t>
      </w:r>
      <w:r w:rsidRPr="00E069AC">
        <w:t xml:space="preserve"> This equals the adoption in the PDS minus the adoption in the REF in each year of analysis divided by the average annual use.</w:t>
      </w:r>
    </w:p>
    <w:p w14:paraId="3A36C3BE" w14:textId="77777777" w:rsidR="006745FF" w:rsidRPr="00E069AC" w:rsidRDefault="006745FF" w:rsidP="00996E91">
      <w:r w:rsidRPr="00E069AC">
        <w:rPr>
          <w:b/>
        </w:rPr>
        <w:t>Net Operating Savings</w:t>
      </w:r>
      <w:r w:rsidRPr="00E069AC">
        <w:t xml:space="preserve"> – The undiscounted difference between the operating cost of all units (solution and conventional) in the </w:t>
      </w:r>
      <w:r w:rsidRPr="00E069AC">
        <w:rPr>
          <w:b/>
        </w:rPr>
        <w:t>PDS Scenario</w:t>
      </w:r>
      <w:r w:rsidRPr="00E069AC">
        <w:t xml:space="preserve"> minus that of all units in the </w:t>
      </w:r>
      <w:r w:rsidRPr="00E069AC">
        <w:rPr>
          <w:b/>
        </w:rPr>
        <w:t>REF Scenario</w:t>
      </w:r>
      <w:r w:rsidRPr="00E069AC">
        <w:t>.</w:t>
      </w:r>
    </w:p>
    <w:p w14:paraId="62002AFC" w14:textId="769AE42E" w:rsidR="006745FF" w:rsidRPr="00E069AC" w:rsidRDefault="006745FF" w:rsidP="00996E91">
      <w:r w:rsidRPr="00E069AC">
        <w:rPr>
          <w:b/>
        </w:rPr>
        <w:t xml:space="preserve">Operating Costs </w:t>
      </w:r>
      <w:r w:rsidRPr="00E069AC">
        <w:t xml:space="preserve">– the average cost to ensure </w:t>
      </w:r>
      <w:r w:rsidR="00A84924">
        <w:t xml:space="preserve">the </w:t>
      </w:r>
      <w:r w:rsidRPr="00E069AC">
        <w:t>operation of an activity (conventional or solution) which is measured in 2014$US/</w:t>
      </w:r>
      <w:r w:rsidRPr="00E069AC">
        <w:rPr>
          <w:b/>
        </w:rPr>
        <w:t>Functional Unit</w:t>
      </w:r>
      <w:r w:rsidRPr="00E069AC">
        <w:t xml:space="preserve">.  This is needed to estimate how much it would cost to achieve the adoption projected when compared to the </w:t>
      </w:r>
      <w:r w:rsidRPr="00E069AC">
        <w:rPr>
          <w:b/>
        </w:rPr>
        <w:t>REF Case</w:t>
      </w:r>
      <w:r w:rsidRPr="00E069AC">
        <w:t xml:space="preserve">. Note that this excludes </w:t>
      </w:r>
      <w:r w:rsidRPr="00E069AC">
        <w:rPr>
          <w:b/>
        </w:rPr>
        <w:t>First Costs</w:t>
      </w:r>
      <w:r w:rsidRPr="00E069AC">
        <w:t xml:space="preserve"> for implementing the solution.</w:t>
      </w:r>
    </w:p>
    <w:p w14:paraId="3B7DF305" w14:textId="77777777" w:rsidR="006745FF" w:rsidRPr="00E069AC" w:rsidRDefault="006745FF" w:rsidP="00996E91">
      <w:r w:rsidRPr="00E069AC">
        <w:rPr>
          <w:b/>
        </w:rPr>
        <w:t>Payback Period</w:t>
      </w:r>
      <w:r w:rsidRPr="00E069AC">
        <w:t xml:space="preserve"> – the number of years required to pay all the </w:t>
      </w:r>
      <w:r w:rsidRPr="00E069AC">
        <w:rPr>
          <w:b/>
        </w:rPr>
        <w:t>First Costs</w:t>
      </w:r>
      <w:r w:rsidRPr="00E069AC">
        <w:t xml:space="preserve"> of the solution using </w:t>
      </w:r>
      <w:r w:rsidRPr="00E069AC">
        <w:rPr>
          <w:b/>
        </w:rPr>
        <w:t>Net Operating Savings</w:t>
      </w:r>
      <w:r w:rsidRPr="00E069AC">
        <w:t xml:space="preserve">. There are four specific metrics each with one of </w:t>
      </w:r>
      <w:r w:rsidRPr="00E069AC">
        <w:rPr>
          <w:b/>
        </w:rPr>
        <w:t>Marginal First Costs</w:t>
      </w:r>
      <w:r w:rsidRPr="00E069AC">
        <w:t xml:space="preserve"> or </w:t>
      </w:r>
      <w:r w:rsidRPr="00E069AC">
        <w:rPr>
          <w:b/>
        </w:rPr>
        <w:t>First Costs</w:t>
      </w:r>
      <w:r w:rsidRPr="00E069AC">
        <w:t xml:space="preserve"> of the solution only combined with either discounted or non-discounted values. All four are in the model. Additionally, the four outputs are calculated using the increased profit estimation instead of </w:t>
      </w:r>
      <w:r w:rsidRPr="00E069AC">
        <w:rPr>
          <w:b/>
        </w:rPr>
        <w:t>Net Operating Savings</w:t>
      </w:r>
      <w:r w:rsidRPr="00E069AC">
        <w:t>.</w:t>
      </w:r>
    </w:p>
    <w:p w14:paraId="69E0C8C0" w14:textId="7B2FDAF5" w:rsidR="006745FF" w:rsidRPr="00E069AC" w:rsidRDefault="006745FF" w:rsidP="00996E91">
      <w:r w:rsidRPr="00E069AC">
        <w:rPr>
          <w:b/>
        </w:rPr>
        <w:t>PDS/ Project Drawdown Scenario</w:t>
      </w:r>
      <w:r w:rsidRPr="00E069AC">
        <w:t xml:space="preserve"> – this is the high growth scenario for </w:t>
      </w:r>
      <w:r w:rsidR="00A84924">
        <w:t xml:space="preserve">the </w:t>
      </w:r>
      <w:r w:rsidRPr="00E069AC">
        <w:t>adoption of the solution</w:t>
      </w:r>
      <w:r w:rsidR="00A84924">
        <w:t>.</w:t>
      </w:r>
    </w:p>
    <w:p w14:paraId="6F8267F5" w14:textId="77777777" w:rsidR="006745FF" w:rsidRPr="00E069AC" w:rsidRDefault="006745FF" w:rsidP="00996E91">
      <w:r w:rsidRPr="00E069AC">
        <w:rPr>
          <w:b/>
        </w:rPr>
        <w:t>PPB/ Parts per Billion</w:t>
      </w:r>
      <w:r w:rsidRPr="00E069AC">
        <w:t xml:space="preserve"> – a measure of concentration for atmospheric gases. 10 million PPB = 1%.</w:t>
      </w:r>
    </w:p>
    <w:p w14:paraId="78DB05A8" w14:textId="77777777" w:rsidR="006745FF" w:rsidRPr="00E069AC" w:rsidRDefault="006745FF" w:rsidP="00996E91">
      <w:r w:rsidRPr="00E069AC">
        <w:rPr>
          <w:b/>
        </w:rPr>
        <w:t>PPM/ Parts per Million</w:t>
      </w:r>
      <w:r w:rsidRPr="00E069AC">
        <w:t xml:space="preserve"> – a measure of concentration for atmospheric gases. 10 thousand PPM = 1%.</w:t>
      </w:r>
    </w:p>
    <w:p w14:paraId="0574EE5A" w14:textId="75EFD473" w:rsidR="006745FF" w:rsidRPr="00E069AC" w:rsidRDefault="006745FF" w:rsidP="00996E91">
      <w:r w:rsidRPr="00E069AC">
        <w:rPr>
          <w:b/>
        </w:rPr>
        <w:t>REF/ Reference Scenario</w:t>
      </w:r>
      <w:r w:rsidRPr="00E069AC">
        <w:t xml:space="preserve"> – this is the low growth scenario for </w:t>
      </w:r>
      <w:r w:rsidR="00A84924">
        <w:t xml:space="preserve">the </w:t>
      </w:r>
      <w:r w:rsidRPr="00E069AC">
        <w:t xml:space="preserve">adoption of the solution against which all </w:t>
      </w:r>
      <w:r w:rsidRPr="00E069AC">
        <w:rPr>
          <w:b/>
        </w:rPr>
        <w:t>PDS scenarios</w:t>
      </w:r>
      <w:r w:rsidRPr="00E069AC">
        <w:t xml:space="preserve"> are compared.</w:t>
      </w:r>
    </w:p>
    <w:p w14:paraId="71E8B0F5" w14:textId="77777777" w:rsidR="006745FF" w:rsidRPr="00E069AC" w:rsidRDefault="006745FF" w:rsidP="00996E91">
      <w:r w:rsidRPr="00E069AC">
        <w:rPr>
          <w:b/>
        </w:rPr>
        <w:t>Replacement Time</w:t>
      </w:r>
      <w:r w:rsidRPr="00E069AC">
        <w:t xml:space="preserve">- the length of time in years, from installation/acquisition/setup of the solution through usage until a new installation/acquisition/setup is required to replace the earlier one.  This is calculated as the ratio of </w:t>
      </w:r>
      <w:r w:rsidRPr="00E069AC">
        <w:rPr>
          <w:b/>
        </w:rPr>
        <w:t>Lifetime Capacity</w:t>
      </w:r>
      <w:r w:rsidRPr="00E069AC">
        <w:t xml:space="preserve"> and the </w:t>
      </w:r>
      <w:r w:rsidRPr="00E069AC">
        <w:rPr>
          <w:b/>
        </w:rPr>
        <w:t>Average Annual Use</w:t>
      </w:r>
      <w:r w:rsidRPr="00E069AC">
        <w:t>.</w:t>
      </w:r>
    </w:p>
    <w:p w14:paraId="013DD235" w14:textId="71FC070D" w:rsidR="00D25FC7" w:rsidRPr="00E069AC" w:rsidRDefault="001759D2" w:rsidP="00996E91">
      <w:r w:rsidRPr="00E069AC">
        <w:rPr>
          <w:b/>
        </w:rPr>
        <w:t xml:space="preserve">TAM/ Total Addressable Market </w:t>
      </w:r>
      <w:r w:rsidRPr="00E069AC">
        <w:t>–</w:t>
      </w:r>
      <w:r w:rsidR="00D25FC7" w:rsidRPr="00E069AC">
        <w:t xml:space="preserve"> represents the total potential market of functional demand provided by the technologies and practices under investigation, adjusting for estimated economic and population growth. For this solutions sector, it represents </w:t>
      </w:r>
      <w:r w:rsidR="00A84924">
        <w:t xml:space="preserve">the </w:t>
      </w:r>
      <w:r w:rsidRPr="00E069AC">
        <w:t>world and regional total addressable markets for electricity generation technologies in which the solutions are considered.</w:t>
      </w:r>
    </w:p>
    <w:p w14:paraId="06D9A50A" w14:textId="0FBA1D20" w:rsidR="006745FF" w:rsidRPr="00E069AC" w:rsidRDefault="006745FF" w:rsidP="00996E91">
      <w:r w:rsidRPr="00E069AC">
        <w:rPr>
          <w:b/>
        </w:rPr>
        <w:t>Total Emissions Reduction</w:t>
      </w:r>
      <w:r w:rsidRPr="00E069AC">
        <w:t xml:space="preserve"> – the sum of </w:t>
      </w:r>
      <w:r w:rsidR="00A84924">
        <w:t xml:space="preserve">the </w:t>
      </w:r>
      <w:r w:rsidRPr="00E069AC">
        <w:t xml:space="preserve">grid, fuel, indirect, and other direct emissions reductions over the analysis period. The emissions reduction of each of these is the difference between the emissions that would have resulted in the </w:t>
      </w:r>
      <w:r w:rsidRPr="00E069AC">
        <w:rPr>
          <w:b/>
        </w:rPr>
        <w:t>REF Scenario</w:t>
      </w:r>
      <w:r w:rsidRPr="00E069AC">
        <w:t xml:space="preserve"> (from both solution and conventional) and the emissions that would result in the </w:t>
      </w:r>
      <w:r w:rsidRPr="00E069AC">
        <w:rPr>
          <w:b/>
        </w:rPr>
        <w:t>PDS Scenario</w:t>
      </w:r>
      <w:r w:rsidRPr="00E069AC">
        <w:t>. These may also be considered as “emissions avoided” as they may have occurred in the REF Scenario, but not in the PDS Scenario.</w:t>
      </w:r>
    </w:p>
    <w:p w14:paraId="512C529B" w14:textId="2DAF5158" w:rsidR="001759D2" w:rsidRPr="00E069AC" w:rsidRDefault="001759D2" w:rsidP="00996E91">
      <w:pPr>
        <w:rPr>
          <w:rFonts w:cstheme="minorHAnsi"/>
        </w:rPr>
      </w:pPr>
      <w:r w:rsidRPr="00E069AC">
        <w:rPr>
          <w:rFonts w:cstheme="minorHAnsi"/>
          <w:b/>
        </w:rPr>
        <w:t>Transition solutions</w:t>
      </w:r>
      <w:r w:rsidRPr="00E069AC">
        <w:rPr>
          <w:rFonts w:cstheme="minorHAnsi"/>
        </w:rPr>
        <w:t xml:space="preserve"> </w:t>
      </w:r>
      <w:r w:rsidR="00A84924">
        <w:rPr>
          <w:rFonts w:cstheme="minorHAnsi"/>
        </w:rPr>
        <w:t xml:space="preserve">- </w:t>
      </w:r>
      <w:r w:rsidRPr="00E069AC">
        <w:rPr>
          <w:rFonts w:cstheme="minorHAnsi"/>
        </w:rPr>
        <w:t>are considered till better technologies a</w:t>
      </w:r>
      <w:r w:rsidR="00A84924">
        <w:rPr>
          <w:rFonts w:cstheme="minorHAnsi"/>
        </w:rPr>
        <w:t>nd less impactful are more cost-</w:t>
      </w:r>
      <w:r w:rsidRPr="00E069AC">
        <w:rPr>
          <w:rFonts w:cstheme="minorHAnsi"/>
        </w:rPr>
        <w:t xml:space="preserve">effective and mature. </w:t>
      </w:r>
    </w:p>
    <w:p w14:paraId="57B3845F" w14:textId="50903586" w:rsidR="006745FF" w:rsidRPr="00996E91" w:rsidRDefault="006745FF" w:rsidP="00EB247F">
      <w:r w:rsidRPr="00E069AC">
        <w:rPr>
          <w:b/>
        </w:rPr>
        <w:t>TWh/ Terawatt-hour</w:t>
      </w:r>
      <w:r w:rsidRPr="00E069AC">
        <w:t xml:space="preserve"> – A unit of energy equal to 1 billion kilowatt-hours</w:t>
      </w:r>
      <w:r w:rsidR="0087599B">
        <w:t>.</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1D8E0" w14:textId="77777777" w:rsidR="000F3F47" w:rsidRDefault="000F3F47" w:rsidP="00D26F59">
      <w:pPr>
        <w:spacing w:after="0"/>
      </w:pPr>
      <w:r>
        <w:separator/>
      </w:r>
    </w:p>
  </w:endnote>
  <w:endnote w:type="continuationSeparator" w:id="0">
    <w:p w14:paraId="50CA86D7" w14:textId="77777777" w:rsidR="000F3F47" w:rsidRDefault="000F3F47"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Ebrima">
    <w:panose1 w:val="02000000000000000000"/>
    <w:charset w:val="00"/>
    <w:family w:val="auto"/>
    <w:pitch w:val="variable"/>
    <w:sig w:usb0="A000005F" w:usb1="02000041" w:usb2="00000800" w:usb3="00000000" w:csb0="00000093" w:csb1="00000000"/>
  </w:font>
  <w:font w:name="Helvetica">
    <w:panose1 w:val="00000000000000000000"/>
    <w:charset w:val="00"/>
    <w:family w:val="auto"/>
    <w:pitch w:val="variable"/>
    <w:sig w:usb0="E00002FF" w:usb1="5000785B" w:usb2="00000000" w:usb3="00000000" w:csb0="0000019F" w:csb1="00000000"/>
  </w:font>
  <w:font w:name="Helvetica,Times New Roman">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ED2CDC" w:rsidRDefault="00ED2CDC"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ED2CDC" w:rsidRDefault="00ED2CDC"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E7D4" w14:textId="182B7111" w:rsidR="00ED2CDC" w:rsidRPr="00F53F75" w:rsidRDefault="00ED2CDC" w:rsidP="00F53F75">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1421" w14:textId="77777777" w:rsidR="000F3F47" w:rsidRDefault="000F3F47" w:rsidP="00D26F59">
      <w:pPr>
        <w:spacing w:after="0"/>
      </w:pPr>
      <w:r>
        <w:separator/>
      </w:r>
    </w:p>
  </w:footnote>
  <w:footnote w:type="continuationSeparator" w:id="0">
    <w:p w14:paraId="43F6FF49" w14:textId="77777777" w:rsidR="000F3F47" w:rsidRDefault="000F3F47" w:rsidP="00D26F59">
      <w:pPr>
        <w:spacing w:after="0"/>
      </w:pPr>
      <w:r>
        <w:continuationSeparator/>
      </w:r>
    </w:p>
  </w:footnote>
  <w:footnote w:id="1">
    <w:p w14:paraId="6C8902A7" w14:textId="2BFA732C" w:rsidR="00ED2CDC" w:rsidRDefault="00ED2CDC" w:rsidP="00767F96">
      <w:pPr>
        <w:pStyle w:val="FootnoteText"/>
      </w:pPr>
      <w:r w:rsidRPr="009A4D96">
        <w:rPr>
          <w:rStyle w:val="FootnoteReference"/>
        </w:rPr>
        <w:footnoteRef/>
      </w:r>
      <w:r w:rsidRPr="009A4D96">
        <w:t xml:space="preserve"> The IPCC’s 5</w:t>
      </w:r>
      <w:r w:rsidRPr="009A4D96">
        <w:rPr>
          <w:vertAlign w:val="superscript"/>
        </w:rPr>
        <w:t>th</w:t>
      </w:r>
      <w:r w:rsidRPr="009A4D96">
        <w:t xml:space="preserve"> Assessment Report analyzes the following sources: </w:t>
      </w:r>
      <w:r w:rsidRPr="009A4D96">
        <w:rPr>
          <w:u w:val="single"/>
        </w:rPr>
        <w:t>Coal:</w:t>
      </w:r>
      <w:r w:rsidRPr="009A4D96">
        <w:t xml:space="preserve"> Black and Veatch (2012), DEA (2012), IEA/NEA (2010), IEA (2013a), IEA-RETD (2013), Schmidt et al. (2012), US EIA (2013). </w:t>
      </w:r>
      <w:r w:rsidRPr="009A4D96">
        <w:rPr>
          <w:u w:val="single"/>
        </w:rPr>
        <w:t>Gas Combined Cycle:</w:t>
      </w:r>
      <w:r w:rsidRPr="009A4D96">
        <w:t xml:space="preserve"> Black and Veatch (2012), DEA </w:t>
      </w:r>
      <w:r>
        <w:t xml:space="preserve">(2012), </w:t>
      </w:r>
      <w:r w:rsidRPr="00E069AC">
        <w:t>IEA/NEA (2010), IEA (2011),</w:t>
      </w:r>
      <w:r>
        <w:t xml:space="preserve"> </w:t>
      </w:r>
      <w:r w:rsidRPr="00E069AC">
        <w:t xml:space="preserve">IEA (2013a), IEA-RETD (2013), Schmidt </w:t>
      </w:r>
      <w:r w:rsidRPr="00E069AC">
        <w:rPr>
          <w:i/>
        </w:rPr>
        <w:t>et al.</w:t>
      </w:r>
      <w:r w:rsidRPr="00E069AC">
        <w:t xml:space="preserve"> (2012), US EIA (2013).</w:t>
      </w:r>
    </w:p>
  </w:footnote>
  <w:footnote w:id="2">
    <w:p w14:paraId="73480CD1" w14:textId="2B0E957E" w:rsidR="00ED2CDC" w:rsidRPr="008F4829" w:rsidRDefault="00ED2CDC" w:rsidP="008F4829">
      <w:pPr>
        <w:spacing w:after="0" w:line="240" w:lineRule="auto"/>
        <w:jc w:val="left"/>
        <w:rPr>
          <w:rFonts w:eastAsia="Times New Roman" w:cs="Times New Roman"/>
          <w:sz w:val="18"/>
          <w:szCs w:val="18"/>
          <w:lang w:eastAsia="en-US"/>
        </w:rPr>
      </w:pPr>
      <w:r>
        <w:rPr>
          <w:rStyle w:val="FootnoteReference"/>
        </w:rPr>
        <w:footnoteRef/>
      </w:r>
      <w:r>
        <w:t xml:space="preserve"> </w:t>
      </w:r>
      <w:r w:rsidRPr="002971A6">
        <w:rPr>
          <w:rFonts w:eastAsia="Times New Roman" w:cs="Times New Roman"/>
          <w:sz w:val="18"/>
          <w:szCs w:val="18"/>
          <w:lang w:eastAsia="en-US"/>
        </w:rPr>
        <w:t>Current adoption is defined as the amount of functional demand supplied by the solution in 2018. This study uses 2014 as the base year due to the availability of global adoption data for all Project Drawdown solutions evaluated</w:t>
      </w:r>
    </w:p>
  </w:footnote>
  <w:footnote w:id="3">
    <w:p w14:paraId="7183C9BF" w14:textId="77777777" w:rsidR="00ED2CDC" w:rsidRDefault="00ED2CDC" w:rsidP="00A04734">
      <w:pPr>
        <w:pStyle w:val="FootnoteText"/>
      </w:pPr>
      <w:r>
        <w:rPr>
          <w:rStyle w:val="FootnoteReference"/>
        </w:rPr>
        <w:footnoteRef/>
      </w:r>
      <w:r>
        <w:t xml:space="preserve"> In some cases, the low boundary is negative for a variable that can only be positive, and in these cases the lowest collected data point is used as the “low” boundary.</w:t>
      </w:r>
    </w:p>
  </w:footnote>
  <w:footnote w:id="4">
    <w:p w14:paraId="418B24EF" w14:textId="0799230B" w:rsidR="00ED2CDC" w:rsidRPr="00DA06FE" w:rsidRDefault="00ED2CDC" w:rsidP="00290D71">
      <w:pPr>
        <w:pStyle w:val="FootnoteText"/>
      </w:pPr>
      <w:r w:rsidRPr="00DA06FE">
        <w:rPr>
          <w:rStyle w:val="FootnoteReference"/>
        </w:rPr>
        <w:footnoteRef/>
      </w:r>
      <w:r w:rsidRPr="00DA06FE">
        <w:t xml:space="preserve"> </w:t>
      </w:r>
      <w:r w:rsidRPr="00DA06FE">
        <w:rPr>
          <w:rFonts w:eastAsia="Times New Roman" w:cs="Times New Roman"/>
          <w:lang w:eastAsia="en-US"/>
        </w:rPr>
        <w:t>All monetary values are prese</w:t>
      </w:r>
      <w:r>
        <w:rPr>
          <w:rFonts w:eastAsia="Times New Roman" w:cs="Times New Roman"/>
          <w:lang w:eastAsia="en-US"/>
        </w:rPr>
        <w:t>nted in US$2014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11E58CC"/>
    <w:multiLevelType w:val="hybridMultilevel"/>
    <w:tmpl w:val="5C884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DAA1B42"/>
    <w:multiLevelType w:val="hybridMultilevel"/>
    <w:tmpl w:val="E6DC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E94073E"/>
    <w:multiLevelType w:val="multilevel"/>
    <w:tmpl w:val="D1485712"/>
    <w:lvl w:ilvl="0">
      <w:start w:val="1"/>
      <w:numFmt w:val="decimal"/>
      <w:pStyle w:val="Heading1"/>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7B3B6857"/>
    <w:multiLevelType w:val="hybridMultilevel"/>
    <w:tmpl w:val="5568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6"/>
  </w:num>
  <w:num w:numId="5">
    <w:abstractNumId w:val="6"/>
    <w:lvlOverride w:ilvl="0">
      <w:startOverride w:val="2"/>
    </w:lvlOverride>
    <w:lvlOverride w:ilvl="1">
      <w:startOverride w:val="1"/>
    </w:lvlOverride>
  </w:num>
  <w:num w:numId="6">
    <w:abstractNumId w:val="6"/>
    <w:lvlOverride w:ilvl="0">
      <w:startOverride w:val="4"/>
    </w:lvlOverride>
    <w:lvlOverride w:ilvl="1">
      <w:startOverride w:val="1"/>
    </w:lvlOverride>
  </w:num>
  <w:num w:numId="7">
    <w:abstractNumId w:val="6"/>
    <w:lvlOverride w:ilvl="0">
      <w:startOverride w:val="3"/>
    </w:lvlOverride>
    <w:lvlOverride w:ilvl="1">
      <w:startOverride w:val="1"/>
    </w:lvlOverride>
  </w:num>
  <w:num w:numId="8">
    <w:abstractNumId w:val="8"/>
  </w:num>
  <w:num w:numId="9">
    <w:abstractNumId w:val="6"/>
    <w:lvlOverride w:ilvl="0">
      <w:startOverride w:val="1"/>
    </w:lvlOverride>
    <w:lvlOverride w:ilvl="1">
      <w:startOverride w:val="3"/>
    </w:lvlOverride>
  </w:num>
  <w:num w:numId="10">
    <w:abstractNumId w:val="2"/>
  </w:num>
  <w:num w:numId="11">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10170"/>
    <w:rsid w:val="00013820"/>
    <w:rsid w:val="00014CE5"/>
    <w:rsid w:val="000172BF"/>
    <w:rsid w:val="000178CE"/>
    <w:rsid w:val="00024F11"/>
    <w:rsid w:val="00027B88"/>
    <w:rsid w:val="000330C6"/>
    <w:rsid w:val="00043527"/>
    <w:rsid w:val="00054158"/>
    <w:rsid w:val="00056ED1"/>
    <w:rsid w:val="00057050"/>
    <w:rsid w:val="000629D3"/>
    <w:rsid w:val="000644FB"/>
    <w:rsid w:val="0006552B"/>
    <w:rsid w:val="00067F7F"/>
    <w:rsid w:val="00073852"/>
    <w:rsid w:val="00075F31"/>
    <w:rsid w:val="00076FE1"/>
    <w:rsid w:val="0007700B"/>
    <w:rsid w:val="00081FF5"/>
    <w:rsid w:val="000828F9"/>
    <w:rsid w:val="000829DC"/>
    <w:rsid w:val="00082CA8"/>
    <w:rsid w:val="00084460"/>
    <w:rsid w:val="00084478"/>
    <w:rsid w:val="000856B7"/>
    <w:rsid w:val="000875B5"/>
    <w:rsid w:val="0009232E"/>
    <w:rsid w:val="0009271D"/>
    <w:rsid w:val="00093DD1"/>
    <w:rsid w:val="0009541F"/>
    <w:rsid w:val="000A0BED"/>
    <w:rsid w:val="000A337B"/>
    <w:rsid w:val="000A6F40"/>
    <w:rsid w:val="000B1609"/>
    <w:rsid w:val="000B1918"/>
    <w:rsid w:val="000B3EE3"/>
    <w:rsid w:val="000B73D8"/>
    <w:rsid w:val="000B7FEC"/>
    <w:rsid w:val="000C0C6B"/>
    <w:rsid w:val="000C0FD7"/>
    <w:rsid w:val="000C3205"/>
    <w:rsid w:val="000C3F49"/>
    <w:rsid w:val="000C5CE7"/>
    <w:rsid w:val="000C64DC"/>
    <w:rsid w:val="000C7A55"/>
    <w:rsid w:val="000D0F41"/>
    <w:rsid w:val="000D1E17"/>
    <w:rsid w:val="000D30DE"/>
    <w:rsid w:val="000D3855"/>
    <w:rsid w:val="000D6780"/>
    <w:rsid w:val="000D7BC5"/>
    <w:rsid w:val="000E07BA"/>
    <w:rsid w:val="000E594F"/>
    <w:rsid w:val="000E597C"/>
    <w:rsid w:val="000F131E"/>
    <w:rsid w:val="000F24D4"/>
    <w:rsid w:val="000F3F47"/>
    <w:rsid w:val="00101263"/>
    <w:rsid w:val="00101408"/>
    <w:rsid w:val="001073C8"/>
    <w:rsid w:val="00110734"/>
    <w:rsid w:val="00111A62"/>
    <w:rsid w:val="00112479"/>
    <w:rsid w:val="001169AF"/>
    <w:rsid w:val="00123A28"/>
    <w:rsid w:val="00124262"/>
    <w:rsid w:val="00124C49"/>
    <w:rsid w:val="00125B80"/>
    <w:rsid w:val="001264F7"/>
    <w:rsid w:val="00131A8B"/>
    <w:rsid w:val="001322CD"/>
    <w:rsid w:val="00135E31"/>
    <w:rsid w:val="00136093"/>
    <w:rsid w:val="00140811"/>
    <w:rsid w:val="00140F1E"/>
    <w:rsid w:val="00143B11"/>
    <w:rsid w:val="00151238"/>
    <w:rsid w:val="00152E5D"/>
    <w:rsid w:val="001534F5"/>
    <w:rsid w:val="00155D2B"/>
    <w:rsid w:val="00170AB7"/>
    <w:rsid w:val="00175761"/>
    <w:rsid w:val="001759D2"/>
    <w:rsid w:val="001767A7"/>
    <w:rsid w:val="001767E2"/>
    <w:rsid w:val="00176B3E"/>
    <w:rsid w:val="001829DB"/>
    <w:rsid w:val="001914AB"/>
    <w:rsid w:val="001A1AB8"/>
    <w:rsid w:val="001A2387"/>
    <w:rsid w:val="001A463C"/>
    <w:rsid w:val="001A6953"/>
    <w:rsid w:val="001A6EB0"/>
    <w:rsid w:val="001A7073"/>
    <w:rsid w:val="001A79A8"/>
    <w:rsid w:val="001B07CC"/>
    <w:rsid w:val="001B1300"/>
    <w:rsid w:val="001B245B"/>
    <w:rsid w:val="001B3003"/>
    <w:rsid w:val="001B58F5"/>
    <w:rsid w:val="001B5DE3"/>
    <w:rsid w:val="001B6745"/>
    <w:rsid w:val="001C0E4A"/>
    <w:rsid w:val="001C2B6F"/>
    <w:rsid w:val="001C3DC0"/>
    <w:rsid w:val="001C49CB"/>
    <w:rsid w:val="001C5872"/>
    <w:rsid w:val="001C5F17"/>
    <w:rsid w:val="001D039B"/>
    <w:rsid w:val="001D17E8"/>
    <w:rsid w:val="001D7FF6"/>
    <w:rsid w:val="001E0FF2"/>
    <w:rsid w:val="001E19DA"/>
    <w:rsid w:val="001E6747"/>
    <w:rsid w:val="001F281D"/>
    <w:rsid w:val="001F2EFC"/>
    <w:rsid w:val="001F4D42"/>
    <w:rsid w:val="001F6FB0"/>
    <w:rsid w:val="00201DA6"/>
    <w:rsid w:val="00202788"/>
    <w:rsid w:val="00204311"/>
    <w:rsid w:val="002054FC"/>
    <w:rsid w:val="00205560"/>
    <w:rsid w:val="00206D3C"/>
    <w:rsid w:val="0021082B"/>
    <w:rsid w:val="00215F04"/>
    <w:rsid w:val="00216B08"/>
    <w:rsid w:val="00216CA1"/>
    <w:rsid w:val="00221954"/>
    <w:rsid w:val="00222F4D"/>
    <w:rsid w:val="00226618"/>
    <w:rsid w:val="00227A4A"/>
    <w:rsid w:val="0023178B"/>
    <w:rsid w:val="00232AAA"/>
    <w:rsid w:val="00233C0E"/>
    <w:rsid w:val="00236F7E"/>
    <w:rsid w:val="002415D6"/>
    <w:rsid w:val="002476A8"/>
    <w:rsid w:val="00247E05"/>
    <w:rsid w:val="00254B2A"/>
    <w:rsid w:val="00255D19"/>
    <w:rsid w:val="00256188"/>
    <w:rsid w:val="00260326"/>
    <w:rsid w:val="002603E9"/>
    <w:rsid w:val="0026327C"/>
    <w:rsid w:val="0026403F"/>
    <w:rsid w:val="00264D1A"/>
    <w:rsid w:val="00266635"/>
    <w:rsid w:val="00267294"/>
    <w:rsid w:val="00270442"/>
    <w:rsid w:val="00272912"/>
    <w:rsid w:val="00272ACD"/>
    <w:rsid w:val="00274B56"/>
    <w:rsid w:val="00275B05"/>
    <w:rsid w:val="00276E19"/>
    <w:rsid w:val="00290D71"/>
    <w:rsid w:val="00291D3C"/>
    <w:rsid w:val="00295E78"/>
    <w:rsid w:val="002A4E84"/>
    <w:rsid w:val="002A62C7"/>
    <w:rsid w:val="002A755C"/>
    <w:rsid w:val="002B4E23"/>
    <w:rsid w:val="002C0282"/>
    <w:rsid w:val="002C4CB1"/>
    <w:rsid w:val="002C62B6"/>
    <w:rsid w:val="002C6C04"/>
    <w:rsid w:val="002C6D20"/>
    <w:rsid w:val="002D402C"/>
    <w:rsid w:val="002D4B9E"/>
    <w:rsid w:val="002D5311"/>
    <w:rsid w:val="002D5C14"/>
    <w:rsid w:val="002D6588"/>
    <w:rsid w:val="002D691A"/>
    <w:rsid w:val="002D69DE"/>
    <w:rsid w:val="002E135F"/>
    <w:rsid w:val="002E1776"/>
    <w:rsid w:val="002E49AA"/>
    <w:rsid w:val="002E61D0"/>
    <w:rsid w:val="002E69FF"/>
    <w:rsid w:val="002E7BAB"/>
    <w:rsid w:val="002F4053"/>
    <w:rsid w:val="002F4D9C"/>
    <w:rsid w:val="002F6D06"/>
    <w:rsid w:val="0030075F"/>
    <w:rsid w:val="0030099E"/>
    <w:rsid w:val="00300CEE"/>
    <w:rsid w:val="0030218A"/>
    <w:rsid w:val="00303670"/>
    <w:rsid w:val="00306358"/>
    <w:rsid w:val="003069EE"/>
    <w:rsid w:val="00314306"/>
    <w:rsid w:val="00315101"/>
    <w:rsid w:val="0032069E"/>
    <w:rsid w:val="0032594C"/>
    <w:rsid w:val="00325AF7"/>
    <w:rsid w:val="003260E9"/>
    <w:rsid w:val="00327196"/>
    <w:rsid w:val="00327B08"/>
    <w:rsid w:val="0033196F"/>
    <w:rsid w:val="00333492"/>
    <w:rsid w:val="00333748"/>
    <w:rsid w:val="00333B71"/>
    <w:rsid w:val="003354B7"/>
    <w:rsid w:val="00342842"/>
    <w:rsid w:val="00343215"/>
    <w:rsid w:val="00344262"/>
    <w:rsid w:val="0034746E"/>
    <w:rsid w:val="003478E7"/>
    <w:rsid w:val="0035263F"/>
    <w:rsid w:val="003576F6"/>
    <w:rsid w:val="003612A7"/>
    <w:rsid w:val="00367667"/>
    <w:rsid w:val="0037089C"/>
    <w:rsid w:val="003712DC"/>
    <w:rsid w:val="003727F8"/>
    <w:rsid w:val="00374564"/>
    <w:rsid w:val="00381ACA"/>
    <w:rsid w:val="0038334F"/>
    <w:rsid w:val="003922A1"/>
    <w:rsid w:val="0039391D"/>
    <w:rsid w:val="00395868"/>
    <w:rsid w:val="00396031"/>
    <w:rsid w:val="003961DA"/>
    <w:rsid w:val="003A0C18"/>
    <w:rsid w:val="003A2697"/>
    <w:rsid w:val="003A4CBC"/>
    <w:rsid w:val="003A634E"/>
    <w:rsid w:val="003A7929"/>
    <w:rsid w:val="003A7FE2"/>
    <w:rsid w:val="003B1B77"/>
    <w:rsid w:val="003B2BDF"/>
    <w:rsid w:val="003B420B"/>
    <w:rsid w:val="003B4C27"/>
    <w:rsid w:val="003C025A"/>
    <w:rsid w:val="003C04AF"/>
    <w:rsid w:val="003C3271"/>
    <w:rsid w:val="003C67AB"/>
    <w:rsid w:val="003C69B0"/>
    <w:rsid w:val="003D2C47"/>
    <w:rsid w:val="003D452F"/>
    <w:rsid w:val="003E0AE3"/>
    <w:rsid w:val="004057C8"/>
    <w:rsid w:val="00412C27"/>
    <w:rsid w:val="004141E4"/>
    <w:rsid w:val="00416A4B"/>
    <w:rsid w:val="004215F3"/>
    <w:rsid w:val="004223A6"/>
    <w:rsid w:val="004272D2"/>
    <w:rsid w:val="00433358"/>
    <w:rsid w:val="00434AB2"/>
    <w:rsid w:val="00434F61"/>
    <w:rsid w:val="0043701E"/>
    <w:rsid w:val="0044137C"/>
    <w:rsid w:val="00442F4B"/>
    <w:rsid w:val="00443591"/>
    <w:rsid w:val="00443FE8"/>
    <w:rsid w:val="00445A6E"/>
    <w:rsid w:val="0045087B"/>
    <w:rsid w:val="00451EB8"/>
    <w:rsid w:val="0045270E"/>
    <w:rsid w:val="00454FA1"/>
    <w:rsid w:val="0045676A"/>
    <w:rsid w:val="004575C6"/>
    <w:rsid w:val="00461E21"/>
    <w:rsid w:val="004630E9"/>
    <w:rsid w:val="00464CA9"/>
    <w:rsid w:val="0046511D"/>
    <w:rsid w:val="00473E04"/>
    <w:rsid w:val="00481F8C"/>
    <w:rsid w:val="00483FFA"/>
    <w:rsid w:val="004858E0"/>
    <w:rsid w:val="00486C75"/>
    <w:rsid w:val="00487017"/>
    <w:rsid w:val="00487156"/>
    <w:rsid w:val="00490F36"/>
    <w:rsid w:val="00492F5E"/>
    <w:rsid w:val="00495960"/>
    <w:rsid w:val="00496526"/>
    <w:rsid w:val="004A08D6"/>
    <w:rsid w:val="004A1856"/>
    <w:rsid w:val="004A2827"/>
    <w:rsid w:val="004A327B"/>
    <w:rsid w:val="004A4DFA"/>
    <w:rsid w:val="004A6074"/>
    <w:rsid w:val="004B0AC7"/>
    <w:rsid w:val="004B1A0B"/>
    <w:rsid w:val="004B45D0"/>
    <w:rsid w:val="004B4859"/>
    <w:rsid w:val="004B4939"/>
    <w:rsid w:val="004B75B7"/>
    <w:rsid w:val="004C1461"/>
    <w:rsid w:val="004C19BA"/>
    <w:rsid w:val="004D345F"/>
    <w:rsid w:val="004D5520"/>
    <w:rsid w:val="004E23CB"/>
    <w:rsid w:val="004E354E"/>
    <w:rsid w:val="004E3583"/>
    <w:rsid w:val="004E4047"/>
    <w:rsid w:val="004E4194"/>
    <w:rsid w:val="004F1696"/>
    <w:rsid w:val="004F5425"/>
    <w:rsid w:val="005008C6"/>
    <w:rsid w:val="00503F11"/>
    <w:rsid w:val="00505A3E"/>
    <w:rsid w:val="0050624E"/>
    <w:rsid w:val="005145A0"/>
    <w:rsid w:val="00514C48"/>
    <w:rsid w:val="00522CF9"/>
    <w:rsid w:val="005242D0"/>
    <w:rsid w:val="0052438E"/>
    <w:rsid w:val="005251A9"/>
    <w:rsid w:val="0053240D"/>
    <w:rsid w:val="005341AC"/>
    <w:rsid w:val="00535AC0"/>
    <w:rsid w:val="00540434"/>
    <w:rsid w:val="00540530"/>
    <w:rsid w:val="0054134F"/>
    <w:rsid w:val="00541CDA"/>
    <w:rsid w:val="00541D39"/>
    <w:rsid w:val="00545B2D"/>
    <w:rsid w:val="00553CB7"/>
    <w:rsid w:val="00556B09"/>
    <w:rsid w:val="00557A3B"/>
    <w:rsid w:val="00561650"/>
    <w:rsid w:val="00562B72"/>
    <w:rsid w:val="00564C96"/>
    <w:rsid w:val="00570C51"/>
    <w:rsid w:val="00571C64"/>
    <w:rsid w:val="00571DDD"/>
    <w:rsid w:val="00573B48"/>
    <w:rsid w:val="005770C7"/>
    <w:rsid w:val="005823D5"/>
    <w:rsid w:val="00584CBD"/>
    <w:rsid w:val="00584ECC"/>
    <w:rsid w:val="00586AA5"/>
    <w:rsid w:val="00592C39"/>
    <w:rsid w:val="00592D80"/>
    <w:rsid w:val="00593C74"/>
    <w:rsid w:val="005962A1"/>
    <w:rsid w:val="005A311A"/>
    <w:rsid w:val="005A6986"/>
    <w:rsid w:val="005A6C2A"/>
    <w:rsid w:val="005B5E02"/>
    <w:rsid w:val="005B7A11"/>
    <w:rsid w:val="005C6EC2"/>
    <w:rsid w:val="005C77F5"/>
    <w:rsid w:val="005D026A"/>
    <w:rsid w:val="005D2C9C"/>
    <w:rsid w:val="005D49A8"/>
    <w:rsid w:val="005D7734"/>
    <w:rsid w:val="005E40E9"/>
    <w:rsid w:val="005F1E2F"/>
    <w:rsid w:val="005F38E3"/>
    <w:rsid w:val="005F56BB"/>
    <w:rsid w:val="005F6F5D"/>
    <w:rsid w:val="006018A8"/>
    <w:rsid w:val="00602911"/>
    <w:rsid w:val="00602DF7"/>
    <w:rsid w:val="006035E9"/>
    <w:rsid w:val="0060500B"/>
    <w:rsid w:val="0060672D"/>
    <w:rsid w:val="00607F34"/>
    <w:rsid w:val="0061349B"/>
    <w:rsid w:val="00613608"/>
    <w:rsid w:val="006140B3"/>
    <w:rsid w:val="00625988"/>
    <w:rsid w:val="006261F6"/>
    <w:rsid w:val="00626C1F"/>
    <w:rsid w:val="00627843"/>
    <w:rsid w:val="00630CD1"/>
    <w:rsid w:val="00631D39"/>
    <w:rsid w:val="00635618"/>
    <w:rsid w:val="00640665"/>
    <w:rsid w:val="00645782"/>
    <w:rsid w:val="00652B00"/>
    <w:rsid w:val="00654D87"/>
    <w:rsid w:val="0065579A"/>
    <w:rsid w:val="00664DA4"/>
    <w:rsid w:val="00666AAB"/>
    <w:rsid w:val="0066753A"/>
    <w:rsid w:val="0066787A"/>
    <w:rsid w:val="006745FF"/>
    <w:rsid w:val="00683100"/>
    <w:rsid w:val="00684852"/>
    <w:rsid w:val="0068745C"/>
    <w:rsid w:val="0069333A"/>
    <w:rsid w:val="0069370D"/>
    <w:rsid w:val="00695682"/>
    <w:rsid w:val="00695B1B"/>
    <w:rsid w:val="00695E13"/>
    <w:rsid w:val="00696A8C"/>
    <w:rsid w:val="006A106E"/>
    <w:rsid w:val="006A20B1"/>
    <w:rsid w:val="006A3CB8"/>
    <w:rsid w:val="006A4A08"/>
    <w:rsid w:val="006A4E9C"/>
    <w:rsid w:val="006A7503"/>
    <w:rsid w:val="006B0BCF"/>
    <w:rsid w:val="006B267A"/>
    <w:rsid w:val="006C058D"/>
    <w:rsid w:val="006C273F"/>
    <w:rsid w:val="006C5C3B"/>
    <w:rsid w:val="006D529E"/>
    <w:rsid w:val="006D6012"/>
    <w:rsid w:val="006D6758"/>
    <w:rsid w:val="006E1FE4"/>
    <w:rsid w:val="006E32FC"/>
    <w:rsid w:val="006E6C65"/>
    <w:rsid w:val="006E7C83"/>
    <w:rsid w:val="006F19EC"/>
    <w:rsid w:val="006F22B6"/>
    <w:rsid w:val="006F2600"/>
    <w:rsid w:val="006F505C"/>
    <w:rsid w:val="006F6334"/>
    <w:rsid w:val="006F7408"/>
    <w:rsid w:val="00704156"/>
    <w:rsid w:val="007102BE"/>
    <w:rsid w:val="00711B72"/>
    <w:rsid w:val="00716957"/>
    <w:rsid w:val="00716DF3"/>
    <w:rsid w:val="00717861"/>
    <w:rsid w:val="00720F3A"/>
    <w:rsid w:val="00721C7F"/>
    <w:rsid w:val="00723D59"/>
    <w:rsid w:val="00724051"/>
    <w:rsid w:val="0072604F"/>
    <w:rsid w:val="0072606A"/>
    <w:rsid w:val="00727903"/>
    <w:rsid w:val="00730406"/>
    <w:rsid w:val="0073345A"/>
    <w:rsid w:val="00736DF2"/>
    <w:rsid w:val="00740504"/>
    <w:rsid w:val="00740DE4"/>
    <w:rsid w:val="00740DEF"/>
    <w:rsid w:val="00742E81"/>
    <w:rsid w:val="007500D3"/>
    <w:rsid w:val="007511C3"/>
    <w:rsid w:val="007528C2"/>
    <w:rsid w:val="00752C71"/>
    <w:rsid w:val="00753F11"/>
    <w:rsid w:val="007546AE"/>
    <w:rsid w:val="007546C9"/>
    <w:rsid w:val="007551F2"/>
    <w:rsid w:val="007576C6"/>
    <w:rsid w:val="00761959"/>
    <w:rsid w:val="00762877"/>
    <w:rsid w:val="00762C90"/>
    <w:rsid w:val="00763931"/>
    <w:rsid w:val="007648FB"/>
    <w:rsid w:val="00765150"/>
    <w:rsid w:val="00767F79"/>
    <w:rsid w:val="00767F96"/>
    <w:rsid w:val="007837F0"/>
    <w:rsid w:val="00785354"/>
    <w:rsid w:val="007864AB"/>
    <w:rsid w:val="00791571"/>
    <w:rsid w:val="0079350D"/>
    <w:rsid w:val="00794375"/>
    <w:rsid w:val="007968E6"/>
    <w:rsid w:val="007A58F9"/>
    <w:rsid w:val="007C28E3"/>
    <w:rsid w:val="007C3E89"/>
    <w:rsid w:val="007C645A"/>
    <w:rsid w:val="007C6B6F"/>
    <w:rsid w:val="007C776E"/>
    <w:rsid w:val="007D1608"/>
    <w:rsid w:val="007D2058"/>
    <w:rsid w:val="007D2C50"/>
    <w:rsid w:val="007D2C6A"/>
    <w:rsid w:val="007D4C43"/>
    <w:rsid w:val="007D6308"/>
    <w:rsid w:val="007E2B40"/>
    <w:rsid w:val="007E3431"/>
    <w:rsid w:val="007F1A54"/>
    <w:rsid w:val="007F218C"/>
    <w:rsid w:val="007F3C7B"/>
    <w:rsid w:val="007F5AB1"/>
    <w:rsid w:val="007F6D7C"/>
    <w:rsid w:val="008006D0"/>
    <w:rsid w:val="00801004"/>
    <w:rsid w:val="00807D37"/>
    <w:rsid w:val="008113FA"/>
    <w:rsid w:val="00812165"/>
    <w:rsid w:val="00814EF4"/>
    <w:rsid w:val="008203FB"/>
    <w:rsid w:val="008209C2"/>
    <w:rsid w:val="0082588A"/>
    <w:rsid w:val="00826C41"/>
    <w:rsid w:val="008274C2"/>
    <w:rsid w:val="008332CA"/>
    <w:rsid w:val="00833C33"/>
    <w:rsid w:val="0083647A"/>
    <w:rsid w:val="008368CA"/>
    <w:rsid w:val="008370C3"/>
    <w:rsid w:val="00837784"/>
    <w:rsid w:val="00842B09"/>
    <w:rsid w:val="00843EFF"/>
    <w:rsid w:val="00843F48"/>
    <w:rsid w:val="00844AD6"/>
    <w:rsid w:val="0084641A"/>
    <w:rsid w:val="00847D79"/>
    <w:rsid w:val="0085242E"/>
    <w:rsid w:val="0085286D"/>
    <w:rsid w:val="00855D68"/>
    <w:rsid w:val="0086178A"/>
    <w:rsid w:val="008627CC"/>
    <w:rsid w:val="008710A2"/>
    <w:rsid w:val="00874C4E"/>
    <w:rsid w:val="0087599B"/>
    <w:rsid w:val="008763A4"/>
    <w:rsid w:val="008806DE"/>
    <w:rsid w:val="0088635D"/>
    <w:rsid w:val="008907A3"/>
    <w:rsid w:val="00891C6A"/>
    <w:rsid w:val="008A485E"/>
    <w:rsid w:val="008A5CF3"/>
    <w:rsid w:val="008A6035"/>
    <w:rsid w:val="008A7F61"/>
    <w:rsid w:val="008C2666"/>
    <w:rsid w:val="008C74A4"/>
    <w:rsid w:val="008D1491"/>
    <w:rsid w:val="008D55BF"/>
    <w:rsid w:val="008D6D1A"/>
    <w:rsid w:val="008E46AE"/>
    <w:rsid w:val="008E500A"/>
    <w:rsid w:val="008E6B1D"/>
    <w:rsid w:val="008F003C"/>
    <w:rsid w:val="008F2ACC"/>
    <w:rsid w:val="008F35DA"/>
    <w:rsid w:val="008F4829"/>
    <w:rsid w:val="009018C4"/>
    <w:rsid w:val="00902078"/>
    <w:rsid w:val="00903640"/>
    <w:rsid w:val="00903C32"/>
    <w:rsid w:val="00905FBB"/>
    <w:rsid w:val="009061E5"/>
    <w:rsid w:val="00907957"/>
    <w:rsid w:val="00907B1B"/>
    <w:rsid w:val="00910DE0"/>
    <w:rsid w:val="00912CC8"/>
    <w:rsid w:val="0091496E"/>
    <w:rsid w:val="00921A82"/>
    <w:rsid w:val="00923F5D"/>
    <w:rsid w:val="0093067B"/>
    <w:rsid w:val="00930874"/>
    <w:rsid w:val="00930DE7"/>
    <w:rsid w:val="009323F1"/>
    <w:rsid w:val="00933FD7"/>
    <w:rsid w:val="00936B09"/>
    <w:rsid w:val="00937CEB"/>
    <w:rsid w:val="00941CE1"/>
    <w:rsid w:val="00941EA8"/>
    <w:rsid w:val="0094349E"/>
    <w:rsid w:val="00945DEE"/>
    <w:rsid w:val="009470AC"/>
    <w:rsid w:val="00951B63"/>
    <w:rsid w:val="0095297A"/>
    <w:rsid w:val="00954872"/>
    <w:rsid w:val="00954CF1"/>
    <w:rsid w:val="00960C68"/>
    <w:rsid w:val="0096211B"/>
    <w:rsid w:val="00962201"/>
    <w:rsid w:val="00966563"/>
    <w:rsid w:val="00967E71"/>
    <w:rsid w:val="009717D9"/>
    <w:rsid w:val="00971BA5"/>
    <w:rsid w:val="00972080"/>
    <w:rsid w:val="00973452"/>
    <w:rsid w:val="00975091"/>
    <w:rsid w:val="009777E1"/>
    <w:rsid w:val="00977F6D"/>
    <w:rsid w:val="00981A95"/>
    <w:rsid w:val="00982379"/>
    <w:rsid w:val="00982C65"/>
    <w:rsid w:val="00983E39"/>
    <w:rsid w:val="00987B6E"/>
    <w:rsid w:val="00992B8D"/>
    <w:rsid w:val="00996E91"/>
    <w:rsid w:val="009A269A"/>
    <w:rsid w:val="009A4537"/>
    <w:rsid w:val="009A4633"/>
    <w:rsid w:val="009A4D96"/>
    <w:rsid w:val="009B72E7"/>
    <w:rsid w:val="009B7C4C"/>
    <w:rsid w:val="009C0F77"/>
    <w:rsid w:val="009C30A8"/>
    <w:rsid w:val="009C30D4"/>
    <w:rsid w:val="009C57FB"/>
    <w:rsid w:val="009D118F"/>
    <w:rsid w:val="009D23CA"/>
    <w:rsid w:val="009D2CFB"/>
    <w:rsid w:val="009D3B78"/>
    <w:rsid w:val="009D6CE4"/>
    <w:rsid w:val="009E4975"/>
    <w:rsid w:val="009E6074"/>
    <w:rsid w:val="009E6E89"/>
    <w:rsid w:val="009E7990"/>
    <w:rsid w:val="009E79B6"/>
    <w:rsid w:val="009F306A"/>
    <w:rsid w:val="009F4361"/>
    <w:rsid w:val="009F4D05"/>
    <w:rsid w:val="009F5599"/>
    <w:rsid w:val="00A0321D"/>
    <w:rsid w:val="00A0399A"/>
    <w:rsid w:val="00A03D82"/>
    <w:rsid w:val="00A04734"/>
    <w:rsid w:val="00A07B5E"/>
    <w:rsid w:val="00A11E75"/>
    <w:rsid w:val="00A15761"/>
    <w:rsid w:val="00A2204D"/>
    <w:rsid w:val="00A26505"/>
    <w:rsid w:val="00A30010"/>
    <w:rsid w:val="00A34C76"/>
    <w:rsid w:val="00A35BB5"/>
    <w:rsid w:val="00A366F6"/>
    <w:rsid w:val="00A410EC"/>
    <w:rsid w:val="00A43F28"/>
    <w:rsid w:val="00A44819"/>
    <w:rsid w:val="00A50800"/>
    <w:rsid w:val="00A52E22"/>
    <w:rsid w:val="00A53CDF"/>
    <w:rsid w:val="00A5758D"/>
    <w:rsid w:val="00A63C99"/>
    <w:rsid w:val="00A65656"/>
    <w:rsid w:val="00A67518"/>
    <w:rsid w:val="00A7030F"/>
    <w:rsid w:val="00A706C6"/>
    <w:rsid w:val="00A70D18"/>
    <w:rsid w:val="00A7525B"/>
    <w:rsid w:val="00A76723"/>
    <w:rsid w:val="00A81D63"/>
    <w:rsid w:val="00A83ACB"/>
    <w:rsid w:val="00A84924"/>
    <w:rsid w:val="00A8560C"/>
    <w:rsid w:val="00A856E2"/>
    <w:rsid w:val="00A87030"/>
    <w:rsid w:val="00A87D0F"/>
    <w:rsid w:val="00A95567"/>
    <w:rsid w:val="00A957B7"/>
    <w:rsid w:val="00AA0E95"/>
    <w:rsid w:val="00AA0F57"/>
    <w:rsid w:val="00AA228F"/>
    <w:rsid w:val="00AA61A7"/>
    <w:rsid w:val="00AB01A1"/>
    <w:rsid w:val="00AB052D"/>
    <w:rsid w:val="00AB39F9"/>
    <w:rsid w:val="00AB71E0"/>
    <w:rsid w:val="00AC03CB"/>
    <w:rsid w:val="00AC07CF"/>
    <w:rsid w:val="00AC4490"/>
    <w:rsid w:val="00AC493E"/>
    <w:rsid w:val="00AD0A44"/>
    <w:rsid w:val="00AD303B"/>
    <w:rsid w:val="00AD39A7"/>
    <w:rsid w:val="00AD3ABE"/>
    <w:rsid w:val="00AE1910"/>
    <w:rsid w:val="00AE1C1F"/>
    <w:rsid w:val="00AE1ED1"/>
    <w:rsid w:val="00AE2474"/>
    <w:rsid w:val="00AE3F8B"/>
    <w:rsid w:val="00AE749D"/>
    <w:rsid w:val="00AE7A86"/>
    <w:rsid w:val="00AF0AA6"/>
    <w:rsid w:val="00AF1049"/>
    <w:rsid w:val="00AF49D1"/>
    <w:rsid w:val="00AF6179"/>
    <w:rsid w:val="00AF78D3"/>
    <w:rsid w:val="00AF7DA5"/>
    <w:rsid w:val="00B00BC0"/>
    <w:rsid w:val="00B06DD9"/>
    <w:rsid w:val="00B11785"/>
    <w:rsid w:val="00B144E5"/>
    <w:rsid w:val="00B20FA0"/>
    <w:rsid w:val="00B21C1F"/>
    <w:rsid w:val="00B23A74"/>
    <w:rsid w:val="00B24F59"/>
    <w:rsid w:val="00B261E0"/>
    <w:rsid w:val="00B26215"/>
    <w:rsid w:val="00B26968"/>
    <w:rsid w:val="00B278C5"/>
    <w:rsid w:val="00B30C7D"/>
    <w:rsid w:val="00B333FB"/>
    <w:rsid w:val="00B35084"/>
    <w:rsid w:val="00B36063"/>
    <w:rsid w:val="00B36958"/>
    <w:rsid w:val="00B404A4"/>
    <w:rsid w:val="00B421EC"/>
    <w:rsid w:val="00B4256A"/>
    <w:rsid w:val="00B43493"/>
    <w:rsid w:val="00B43EF7"/>
    <w:rsid w:val="00B44C50"/>
    <w:rsid w:val="00B502A3"/>
    <w:rsid w:val="00B51ACB"/>
    <w:rsid w:val="00B52CC0"/>
    <w:rsid w:val="00B5320C"/>
    <w:rsid w:val="00B533CC"/>
    <w:rsid w:val="00B5371E"/>
    <w:rsid w:val="00B53F9B"/>
    <w:rsid w:val="00B54259"/>
    <w:rsid w:val="00B6002C"/>
    <w:rsid w:val="00B6183A"/>
    <w:rsid w:val="00B6531B"/>
    <w:rsid w:val="00B65A3B"/>
    <w:rsid w:val="00B70BD2"/>
    <w:rsid w:val="00B7202B"/>
    <w:rsid w:val="00B76D3C"/>
    <w:rsid w:val="00B826D7"/>
    <w:rsid w:val="00B828A7"/>
    <w:rsid w:val="00B86FD0"/>
    <w:rsid w:val="00B903FC"/>
    <w:rsid w:val="00B91B90"/>
    <w:rsid w:val="00B945AD"/>
    <w:rsid w:val="00B94F2A"/>
    <w:rsid w:val="00B952BF"/>
    <w:rsid w:val="00B96AE0"/>
    <w:rsid w:val="00BA3CC9"/>
    <w:rsid w:val="00BA75A7"/>
    <w:rsid w:val="00BA7F0A"/>
    <w:rsid w:val="00BB17AC"/>
    <w:rsid w:val="00BB79D6"/>
    <w:rsid w:val="00BB7FD5"/>
    <w:rsid w:val="00BC2219"/>
    <w:rsid w:val="00BC6B34"/>
    <w:rsid w:val="00BD136D"/>
    <w:rsid w:val="00BD4917"/>
    <w:rsid w:val="00BD5090"/>
    <w:rsid w:val="00BD6604"/>
    <w:rsid w:val="00BD662B"/>
    <w:rsid w:val="00BE1B0D"/>
    <w:rsid w:val="00BE2EE4"/>
    <w:rsid w:val="00BE47A4"/>
    <w:rsid w:val="00BF6EA7"/>
    <w:rsid w:val="00C002D1"/>
    <w:rsid w:val="00C005BE"/>
    <w:rsid w:val="00C04501"/>
    <w:rsid w:val="00C057BF"/>
    <w:rsid w:val="00C110B5"/>
    <w:rsid w:val="00C14CD2"/>
    <w:rsid w:val="00C15067"/>
    <w:rsid w:val="00C230EE"/>
    <w:rsid w:val="00C23CAC"/>
    <w:rsid w:val="00C35ADD"/>
    <w:rsid w:val="00C441E7"/>
    <w:rsid w:val="00C53A13"/>
    <w:rsid w:val="00C54478"/>
    <w:rsid w:val="00C569DB"/>
    <w:rsid w:val="00C57FAA"/>
    <w:rsid w:val="00C61C88"/>
    <w:rsid w:val="00C63BDA"/>
    <w:rsid w:val="00C65D8A"/>
    <w:rsid w:val="00C66A16"/>
    <w:rsid w:val="00C66E46"/>
    <w:rsid w:val="00C70809"/>
    <w:rsid w:val="00C712F7"/>
    <w:rsid w:val="00C759E2"/>
    <w:rsid w:val="00C81936"/>
    <w:rsid w:val="00C81D94"/>
    <w:rsid w:val="00C904CD"/>
    <w:rsid w:val="00C91B6B"/>
    <w:rsid w:val="00C92BED"/>
    <w:rsid w:val="00C95A3D"/>
    <w:rsid w:val="00C97599"/>
    <w:rsid w:val="00CA2D78"/>
    <w:rsid w:val="00CA2EB1"/>
    <w:rsid w:val="00CA6119"/>
    <w:rsid w:val="00CB0C88"/>
    <w:rsid w:val="00CB1AE2"/>
    <w:rsid w:val="00CB603A"/>
    <w:rsid w:val="00CC33CF"/>
    <w:rsid w:val="00CC33E6"/>
    <w:rsid w:val="00CC3B2F"/>
    <w:rsid w:val="00CD1975"/>
    <w:rsid w:val="00CD1B2B"/>
    <w:rsid w:val="00CD4F43"/>
    <w:rsid w:val="00CD6401"/>
    <w:rsid w:val="00CE1DC3"/>
    <w:rsid w:val="00CE2FEA"/>
    <w:rsid w:val="00CE38A3"/>
    <w:rsid w:val="00CE4280"/>
    <w:rsid w:val="00CE56ED"/>
    <w:rsid w:val="00CF3E02"/>
    <w:rsid w:val="00CF47FF"/>
    <w:rsid w:val="00CF6B3C"/>
    <w:rsid w:val="00D03463"/>
    <w:rsid w:val="00D046FC"/>
    <w:rsid w:val="00D058B5"/>
    <w:rsid w:val="00D1007B"/>
    <w:rsid w:val="00D118D9"/>
    <w:rsid w:val="00D13E6D"/>
    <w:rsid w:val="00D14B14"/>
    <w:rsid w:val="00D1508C"/>
    <w:rsid w:val="00D158BC"/>
    <w:rsid w:val="00D201BF"/>
    <w:rsid w:val="00D2050B"/>
    <w:rsid w:val="00D25FC7"/>
    <w:rsid w:val="00D26F59"/>
    <w:rsid w:val="00D27C35"/>
    <w:rsid w:val="00D30E16"/>
    <w:rsid w:val="00D31090"/>
    <w:rsid w:val="00D32835"/>
    <w:rsid w:val="00D34DF6"/>
    <w:rsid w:val="00D35569"/>
    <w:rsid w:val="00D36E1E"/>
    <w:rsid w:val="00D43208"/>
    <w:rsid w:val="00D4582D"/>
    <w:rsid w:val="00D46F45"/>
    <w:rsid w:val="00D47E71"/>
    <w:rsid w:val="00D51372"/>
    <w:rsid w:val="00D541B8"/>
    <w:rsid w:val="00D6471D"/>
    <w:rsid w:val="00D7180F"/>
    <w:rsid w:val="00D73895"/>
    <w:rsid w:val="00D823C4"/>
    <w:rsid w:val="00D85366"/>
    <w:rsid w:val="00D9073E"/>
    <w:rsid w:val="00D93BC3"/>
    <w:rsid w:val="00D93DCF"/>
    <w:rsid w:val="00D93E4B"/>
    <w:rsid w:val="00D94D4D"/>
    <w:rsid w:val="00DA012E"/>
    <w:rsid w:val="00DA06FE"/>
    <w:rsid w:val="00DA1303"/>
    <w:rsid w:val="00DA1392"/>
    <w:rsid w:val="00DA34A7"/>
    <w:rsid w:val="00DA3F8A"/>
    <w:rsid w:val="00DA4099"/>
    <w:rsid w:val="00DA44EB"/>
    <w:rsid w:val="00DB08C8"/>
    <w:rsid w:val="00DC1888"/>
    <w:rsid w:val="00DC2859"/>
    <w:rsid w:val="00DC4A84"/>
    <w:rsid w:val="00DC63BE"/>
    <w:rsid w:val="00DD2BFC"/>
    <w:rsid w:val="00DD34C2"/>
    <w:rsid w:val="00DD3752"/>
    <w:rsid w:val="00DD43B9"/>
    <w:rsid w:val="00DD560C"/>
    <w:rsid w:val="00DE09EB"/>
    <w:rsid w:val="00DE1E78"/>
    <w:rsid w:val="00DE33AF"/>
    <w:rsid w:val="00DF42E4"/>
    <w:rsid w:val="00DF4904"/>
    <w:rsid w:val="00E00A37"/>
    <w:rsid w:val="00E069AC"/>
    <w:rsid w:val="00E107D0"/>
    <w:rsid w:val="00E116B4"/>
    <w:rsid w:val="00E11CD2"/>
    <w:rsid w:val="00E131B4"/>
    <w:rsid w:val="00E13C85"/>
    <w:rsid w:val="00E14F94"/>
    <w:rsid w:val="00E16357"/>
    <w:rsid w:val="00E22136"/>
    <w:rsid w:val="00E23241"/>
    <w:rsid w:val="00E2663F"/>
    <w:rsid w:val="00E27226"/>
    <w:rsid w:val="00E2775F"/>
    <w:rsid w:val="00E30692"/>
    <w:rsid w:val="00E33621"/>
    <w:rsid w:val="00E33850"/>
    <w:rsid w:val="00E339DF"/>
    <w:rsid w:val="00E36AAB"/>
    <w:rsid w:val="00E439FB"/>
    <w:rsid w:val="00E43BA9"/>
    <w:rsid w:val="00E43DEA"/>
    <w:rsid w:val="00E46095"/>
    <w:rsid w:val="00E4695B"/>
    <w:rsid w:val="00E50E55"/>
    <w:rsid w:val="00E54FE0"/>
    <w:rsid w:val="00E62D9D"/>
    <w:rsid w:val="00E67BB8"/>
    <w:rsid w:val="00E73FE0"/>
    <w:rsid w:val="00E747B4"/>
    <w:rsid w:val="00E74BD5"/>
    <w:rsid w:val="00E74EAF"/>
    <w:rsid w:val="00E75C47"/>
    <w:rsid w:val="00E76E21"/>
    <w:rsid w:val="00E805A1"/>
    <w:rsid w:val="00E815C8"/>
    <w:rsid w:val="00E82CC9"/>
    <w:rsid w:val="00E82D62"/>
    <w:rsid w:val="00E8320F"/>
    <w:rsid w:val="00E844EA"/>
    <w:rsid w:val="00E87E82"/>
    <w:rsid w:val="00E9270B"/>
    <w:rsid w:val="00E92C1D"/>
    <w:rsid w:val="00E9782A"/>
    <w:rsid w:val="00E978D4"/>
    <w:rsid w:val="00E97B6E"/>
    <w:rsid w:val="00EA0EA7"/>
    <w:rsid w:val="00EA34EF"/>
    <w:rsid w:val="00EB247F"/>
    <w:rsid w:val="00EB2946"/>
    <w:rsid w:val="00EC3115"/>
    <w:rsid w:val="00EC57B8"/>
    <w:rsid w:val="00ED2CDC"/>
    <w:rsid w:val="00ED7489"/>
    <w:rsid w:val="00EE0272"/>
    <w:rsid w:val="00EE1ABE"/>
    <w:rsid w:val="00EE274A"/>
    <w:rsid w:val="00EE3E4B"/>
    <w:rsid w:val="00EE4FA3"/>
    <w:rsid w:val="00EE7C64"/>
    <w:rsid w:val="00EF02D3"/>
    <w:rsid w:val="00EF21F4"/>
    <w:rsid w:val="00EF2247"/>
    <w:rsid w:val="00EF3277"/>
    <w:rsid w:val="00EF5091"/>
    <w:rsid w:val="00F01DC8"/>
    <w:rsid w:val="00F046E5"/>
    <w:rsid w:val="00F05491"/>
    <w:rsid w:val="00F0595F"/>
    <w:rsid w:val="00F0598F"/>
    <w:rsid w:val="00F06F88"/>
    <w:rsid w:val="00F11C39"/>
    <w:rsid w:val="00F120D5"/>
    <w:rsid w:val="00F131EB"/>
    <w:rsid w:val="00F1479C"/>
    <w:rsid w:val="00F15AEE"/>
    <w:rsid w:val="00F23178"/>
    <w:rsid w:val="00F239BA"/>
    <w:rsid w:val="00F346F2"/>
    <w:rsid w:val="00F3700C"/>
    <w:rsid w:val="00F41671"/>
    <w:rsid w:val="00F4258D"/>
    <w:rsid w:val="00F43A6D"/>
    <w:rsid w:val="00F4595C"/>
    <w:rsid w:val="00F46737"/>
    <w:rsid w:val="00F52264"/>
    <w:rsid w:val="00F52595"/>
    <w:rsid w:val="00F53092"/>
    <w:rsid w:val="00F530FC"/>
    <w:rsid w:val="00F53F75"/>
    <w:rsid w:val="00F54BF1"/>
    <w:rsid w:val="00F6146F"/>
    <w:rsid w:val="00F61DCA"/>
    <w:rsid w:val="00F63E1B"/>
    <w:rsid w:val="00F651E1"/>
    <w:rsid w:val="00F65A3C"/>
    <w:rsid w:val="00F66767"/>
    <w:rsid w:val="00F66D25"/>
    <w:rsid w:val="00F713A2"/>
    <w:rsid w:val="00F72504"/>
    <w:rsid w:val="00F73235"/>
    <w:rsid w:val="00F73DA7"/>
    <w:rsid w:val="00F74517"/>
    <w:rsid w:val="00F7691B"/>
    <w:rsid w:val="00F84DB6"/>
    <w:rsid w:val="00F85FFB"/>
    <w:rsid w:val="00F90D56"/>
    <w:rsid w:val="00F96A82"/>
    <w:rsid w:val="00F97D58"/>
    <w:rsid w:val="00FA2194"/>
    <w:rsid w:val="00FA5114"/>
    <w:rsid w:val="00FA6897"/>
    <w:rsid w:val="00FA7C26"/>
    <w:rsid w:val="00FB2D9F"/>
    <w:rsid w:val="00FB2DC0"/>
    <w:rsid w:val="00FB3AB3"/>
    <w:rsid w:val="00FB55AF"/>
    <w:rsid w:val="00FB5832"/>
    <w:rsid w:val="00FB5911"/>
    <w:rsid w:val="00FB6286"/>
    <w:rsid w:val="00FB649C"/>
    <w:rsid w:val="00FB7A4A"/>
    <w:rsid w:val="00FC2C8B"/>
    <w:rsid w:val="00FC304E"/>
    <w:rsid w:val="00FD0E76"/>
    <w:rsid w:val="00FD2788"/>
    <w:rsid w:val="00FD5DFF"/>
    <w:rsid w:val="00FD77AF"/>
    <w:rsid w:val="00FE1411"/>
    <w:rsid w:val="00FE53D4"/>
    <w:rsid w:val="00FE78B3"/>
    <w:rsid w:val="00FF038A"/>
    <w:rsid w:val="00FF47F5"/>
    <w:rsid w:val="00FF5986"/>
    <w:rsid w:val="00FF5ABA"/>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81F7E750-8557-4B3C-899D-1AB8406B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842B09"/>
    <w:pPr>
      <w:keepNext/>
      <w:keepLines/>
      <w:numPr>
        <w:numId w:val="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3"/>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4"/>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unhideWhenUsed/>
    <w:qFormat/>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842B09"/>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842B09"/>
    <w:pPr>
      <w:tabs>
        <w:tab w:val="right" w:leader="dot" w:pos="9350"/>
      </w:tabs>
      <w:spacing w:after="100"/>
    </w:pPr>
  </w:style>
  <w:style w:type="paragraph" w:styleId="TOC2">
    <w:name w:val="toc 2"/>
    <w:basedOn w:val="Normal"/>
    <w:next w:val="Normal"/>
    <w:autoRedefine/>
    <w:uiPriority w:val="39"/>
    <w:unhideWhenUsed/>
    <w:rsid w:val="00842B09"/>
    <w:pPr>
      <w:tabs>
        <w:tab w:val="left" w:pos="960"/>
        <w:tab w:val="right" w:leader="dot" w:pos="9350"/>
      </w:tabs>
      <w:spacing w:after="100"/>
      <w:ind w:left="220"/>
    </w:pPr>
  </w:style>
  <w:style w:type="paragraph" w:styleId="TOC3">
    <w:name w:val="toc 3"/>
    <w:basedOn w:val="Normal"/>
    <w:next w:val="Normal"/>
    <w:autoRedefine/>
    <w:uiPriority w:val="39"/>
    <w:unhideWhenUsed/>
    <w:rsid w:val="00D058B5"/>
    <w:pPr>
      <w:tabs>
        <w:tab w:val="left" w:pos="1200"/>
        <w:tab w:val="right" w:leader="dot" w:pos="9350"/>
      </w:tabs>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character" w:customStyle="1" w:styleId="apple-converted-space">
    <w:name w:val="apple-converted-space"/>
    <w:basedOn w:val="DefaultParagraphFont"/>
    <w:rsid w:val="00B20FA0"/>
  </w:style>
  <w:style w:type="character" w:customStyle="1" w:styleId="textexposedshow">
    <w:name w:val="text_exposed_show"/>
    <w:basedOn w:val="DefaultParagraphFont"/>
    <w:rsid w:val="0050624E"/>
  </w:style>
  <w:style w:type="table" w:styleId="ListTable6Colorful">
    <w:name w:val="List Table 6 Colorful"/>
    <w:basedOn w:val="TableNormal"/>
    <w:uiPriority w:val="51"/>
    <w:rsid w:val="001C0E4A"/>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18969">
      <w:bodyDiv w:val="1"/>
      <w:marLeft w:val="0"/>
      <w:marRight w:val="0"/>
      <w:marTop w:val="0"/>
      <w:marBottom w:val="0"/>
      <w:divBdr>
        <w:top w:val="none" w:sz="0" w:space="0" w:color="auto"/>
        <w:left w:val="none" w:sz="0" w:space="0" w:color="auto"/>
        <w:bottom w:val="none" w:sz="0" w:space="0" w:color="auto"/>
        <w:right w:val="none" w:sz="0" w:space="0" w:color="auto"/>
      </w:divBdr>
    </w:div>
    <w:div w:id="57411680">
      <w:bodyDiv w:val="1"/>
      <w:marLeft w:val="0"/>
      <w:marRight w:val="0"/>
      <w:marTop w:val="0"/>
      <w:marBottom w:val="0"/>
      <w:divBdr>
        <w:top w:val="none" w:sz="0" w:space="0" w:color="auto"/>
        <w:left w:val="none" w:sz="0" w:space="0" w:color="auto"/>
        <w:bottom w:val="none" w:sz="0" w:space="0" w:color="auto"/>
        <w:right w:val="none" w:sz="0" w:space="0" w:color="auto"/>
      </w:divBdr>
    </w:div>
    <w:div w:id="64576780">
      <w:bodyDiv w:val="1"/>
      <w:marLeft w:val="0"/>
      <w:marRight w:val="0"/>
      <w:marTop w:val="0"/>
      <w:marBottom w:val="0"/>
      <w:divBdr>
        <w:top w:val="none" w:sz="0" w:space="0" w:color="auto"/>
        <w:left w:val="none" w:sz="0" w:space="0" w:color="auto"/>
        <w:bottom w:val="none" w:sz="0" w:space="0" w:color="auto"/>
        <w:right w:val="none" w:sz="0" w:space="0" w:color="auto"/>
      </w:divBdr>
    </w:div>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1840987">
      <w:bodyDiv w:val="1"/>
      <w:marLeft w:val="0"/>
      <w:marRight w:val="0"/>
      <w:marTop w:val="0"/>
      <w:marBottom w:val="0"/>
      <w:divBdr>
        <w:top w:val="none" w:sz="0" w:space="0" w:color="auto"/>
        <w:left w:val="none" w:sz="0" w:space="0" w:color="auto"/>
        <w:bottom w:val="none" w:sz="0" w:space="0" w:color="auto"/>
        <w:right w:val="none" w:sz="0" w:space="0" w:color="auto"/>
      </w:divBdr>
      <w:divsChild>
        <w:div w:id="1286815085">
          <w:marLeft w:val="480"/>
          <w:marRight w:val="0"/>
          <w:marTop w:val="0"/>
          <w:marBottom w:val="0"/>
          <w:divBdr>
            <w:top w:val="none" w:sz="0" w:space="0" w:color="auto"/>
            <w:left w:val="none" w:sz="0" w:space="0" w:color="auto"/>
            <w:bottom w:val="none" w:sz="0" w:space="0" w:color="auto"/>
            <w:right w:val="none" w:sz="0" w:space="0" w:color="auto"/>
          </w:divBdr>
          <w:divsChild>
            <w:div w:id="24631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07836791">
      <w:bodyDiv w:val="1"/>
      <w:marLeft w:val="0"/>
      <w:marRight w:val="0"/>
      <w:marTop w:val="0"/>
      <w:marBottom w:val="0"/>
      <w:divBdr>
        <w:top w:val="none" w:sz="0" w:space="0" w:color="auto"/>
        <w:left w:val="none" w:sz="0" w:space="0" w:color="auto"/>
        <w:bottom w:val="none" w:sz="0" w:space="0" w:color="auto"/>
        <w:right w:val="none" w:sz="0" w:space="0" w:color="auto"/>
      </w:divBdr>
    </w:div>
    <w:div w:id="271598012">
      <w:bodyDiv w:val="1"/>
      <w:marLeft w:val="0"/>
      <w:marRight w:val="0"/>
      <w:marTop w:val="0"/>
      <w:marBottom w:val="0"/>
      <w:divBdr>
        <w:top w:val="none" w:sz="0" w:space="0" w:color="auto"/>
        <w:left w:val="none" w:sz="0" w:space="0" w:color="auto"/>
        <w:bottom w:val="none" w:sz="0" w:space="0" w:color="auto"/>
        <w:right w:val="none" w:sz="0" w:space="0" w:color="auto"/>
      </w:divBdr>
      <w:divsChild>
        <w:div w:id="1370036419">
          <w:marLeft w:val="480"/>
          <w:marRight w:val="0"/>
          <w:marTop w:val="0"/>
          <w:marBottom w:val="0"/>
          <w:divBdr>
            <w:top w:val="none" w:sz="0" w:space="0" w:color="auto"/>
            <w:left w:val="none" w:sz="0" w:space="0" w:color="auto"/>
            <w:bottom w:val="none" w:sz="0" w:space="0" w:color="auto"/>
            <w:right w:val="none" w:sz="0" w:space="0" w:color="auto"/>
          </w:divBdr>
          <w:divsChild>
            <w:div w:id="34016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13430892">
      <w:bodyDiv w:val="1"/>
      <w:marLeft w:val="0"/>
      <w:marRight w:val="0"/>
      <w:marTop w:val="0"/>
      <w:marBottom w:val="0"/>
      <w:divBdr>
        <w:top w:val="none" w:sz="0" w:space="0" w:color="auto"/>
        <w:left w:val="none" w:sz="0" w:space="0" w:color="auto"/>
        <w:bottom w:val="none" w:sz="0" w:space="0" w:color="auto"/>
        <w:right w:val="none" w:sz="0" w:space="0" w:color="auto"/>
      </w:divBdr>
    </w:div>
    <w:div w:id="448863688">
      <w:bodyDiv w:val="1"/>
      <w:marLeft w:val="0"/>
      <w:marRight w:val="0"/>
      <w:marTop w:val="0"/>
      <w:marBottom w:val="0"/>
      <w:divBdr>
        <w:top w:val="none" w:sz="0" w:space="0" w:color="auto"/>
        <w:left w:val="none" w:sz="0" w:space="0" w:color="auto"/>
        <w:bottom w:val="none" w:sz="0" w:space="0" w:color="auto"/>
        <w:right w:val="none" w:sz="0" w:space="0" w:color="auto"/>
      </w:divBdr>
      <w:divsChild>
        <w:div w:id="1316033074">
          <w:marLeft w:val="480"/>
          <w:marRight w:val="0"/>
          <w:marTop w:val="0"/>
          <w:marBottom w:val="0"/>
          <w:divBdr>
            <w:top w:val="none" w:sz="0" w:space="0" w:color="auto"/>
            <w:left w:val="none" w:sz="0" w:space="0" w:color="auto"/>
            <w:bottom w:val="none" w:sz="0" w:space="0" w:color="auto"/>
            <w:right w:val="none" w:sz="0" w:space="0" w:color="auto"/>
          </w:divBdr>
          <w:divsChild>
            <w:div w:id="81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539246186">
      <w:bodyDiv w:val="1"/>
      <w:marLeft w:val="0"/>
      <w:marRight w:val="0"/>
      <w:marTop w:val="0"/>
      <w:marBottom w:val="0"/>
      <w:divBdr>
        <w:top w:val="none" w:sz="0" w:space="0" w:color="auto"/>
        <w:left w:val="none" w:sz="0" w:space="0" w:color="auto"/>
        <w:bottom w:val="none" w:sz="0" w:space="0" w:color="auto"/>
        <w:right w:val="none" w:sz="0" w:space="0" w:color="auto"/>
      </w:divBdr>
    </w:div>
    <w:div w:id="554894987">
      <w:bodyDiv w:val="1"/>
      <w:marLeft w:val="0"/>
      <w:marRight w:val="0"/>
      <w:marTop w:val="0"/>
      <w:marBottom w:val="0"/>
      <w:divBdr>
        <w:top w:val="none" w:sz="0" w:space="0" w:color="auto"/>
        <w:left w:val="none" w:sz="0" w:space="0" w:color="auto"/>
        <w:bottom w:val="none" w:sz="0" w:space="0" w:color="auto"/>
        <w:right w:val="none" w:sz="0" w:space="0" w:color="auto"/>
      </w:divBdr>
      <w:divsChild>
        <w:div w:id="400717313">
          <w:marLeft w:val="480"/>
          <w:marRight w:val="0"/>
          <w:marTop w:val="0"/>
          <w:marBottom w:val="0"/>
          <w:divBdr>
            <w:top w:val="none" w:sz="0" w:space="0" w:color="auto"/>
            <w:left w:val="none" w:sz="0" w:space="0" w:color="auto"/>
            <w:bottom w:val="none" w:sz="0" w:space="0" w:color="auto"/>
            <w:right w:val="none" w:sz="0" w:space="0" w:color="auto"/>
          </w:divBdr>
          <w:divsChild>
            <w:div w:id="91504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67541">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62603709">
      <w:bodyDiv w:val="1"/>
      <w:marLeft w:val="0"/>
      <w:marRight w:val="0"/>
      <w:marTop w:val="0"/>
      <w:marBottom w:val="0"/>
      <w:divBdr>
        <w:top w:val="none" w:sz="0" w:space="0" w:color="auto"/>
        <w:left w:val="none" w:sz="0" w:space="0" w:color="auto"/>
        <w:bottom w:val="none" w:sz="0" w:space="0" w:color="auto"/>
        <w:right w:val="none" w:sz="0" w:space="0" w:color="auto"/>
      </w:divBdr>
      <w:divsChild>
        <w:div w:id="8222734">
          <w:marLeft w:val="0"/>
          <w:marRight w:val="0"/>
          <w:marTop w:val="0"/>
          <w:marBottom w:val="0"/>
          <w:divBdr>
            <w:top w:val="none" w:sz="0" w:space="0" w:color="auto"/>
            <w:left w:val="none" w:sz="0" w:space="0" w:color="auto"/>
            <w:bottom w:val="none" w:sz="0" w:space="0" w:color="auto"/>
            <w:right w:val="none" w:sz="0" w:space="0" w:color="auto"/>
          </w:divBdr>
        </w:div>
        <w:div w:id="9331939">
          <w:marLeft w:val="0"/>
          <w:marRight w:val="0"/>
          <w:marTop w:val="0"/>
          <w:marBottom w:val="0"/>
          <w:divBdr>
            <w:top w:val="none" w:sz="0" w:space="0" w:color="auto"/>
            <w:left w:val="none" w:sz="0" w:space="0" w:color="auto"/>
            <w:bottom w:val="none" w:sz="0" w:space="0" w:color="auto"/>
            <w:right w:val="none" w:sz="0" w:space="0" w:color="auto"/>
          </w:divBdr>
        </w:div>
        <w:div w:id="21131172">
          <w:marLeft w:val="0"/>
          <w:marRight w:val="0"/>
          <w:marTop w:val="0"/>
          <w:marBottom w:val="0"/>
          <w:divBdr>
            <w:top w:val="none" w:sz="0" w:space="0" w:color="auto"/>
            <w:left w:val="none" w:sz="0" w:space="0" w:color="auto"/>
            <w:bottom w:val="none" w:sz="0" w:space="0" w:color="auto"/>
            <w:right w:val="none" w:sz="0" w:space="0" w:color="auto"/>
          </w:divBdr>
        </w:div>
        <w:div w:id="21440714">
          <w:marLeft w:val="0"/>
          <w:marRight w:val="0"/>
          <w:marTop w:val="0"/>
          <w:marBottom w:val="0"/>
          <w:divBdr>
            <w:top w:val="none" w:sz="0" w:space="0" w:color="auto"/>
            <w:left w:val="none" w:sz="0" w:space="0" w:color="auto"/>
            <w:bottom w:val="none" w:sz="0" w:space="0" w:color="auto"/>
            <w:right w:val="none" w:sz="0" w:space="0" w:color="auto"/>
          </w:divBdr>
        </w:div>
        <w:div w:id="25521458">
          <w:marLeft w:val="0"/>
          <w:marRight w:val="0"/>
          <w:marTop w:val="0"/>
          <w:marBottom w:val="0"/>
          <w:divBdr>
            <w:top w:val="none" w:sz="0" w:space="0" w:color="auto"/>
            <w:left w:val="none" w:sz="0" w:space="0" w:color="auto"/>
            <w:bottom w:val="none" w:sz="0" w:space="0" w:color="auto"/>
            <w:right w:val="none" w:sz="0" w:space="0" w:color="auto"/>
          </w:divBdr>
        </w:div>
        <w:div w:id="26150387">
          <w:marLeft w:val="0"/>
          <w:marRight w:val="0"/>
          <w:marTop w:val="0"/>
          <w:marBottom w:val="0"/>
          <w:divBdr>
            <w:top w:val="none" w:sz="0" w:space="0" w:color="auto"/>
            <w:left w:val="none" w:sz="0" w:space="0" w:color="auto"/>
            <w:bottom w:val="none" w:sz="0" w:space="0" w:color="auto"/>
            <w:right w:val="none" w:sz="0" w:space="0" w:color="auto"/>
          </w:divBdr>
        </w:div>
        <w:div w:id="29573289">
          <w:marLeft w:val="0"/>
          <w:marRight w:val="0"/>
          <w:marTop w:val="0"/>
          <w:marBottom w:val="0"/>
          <w:divBdr>
            <w:top w:val="none" w:sz="0" w:space="0" w:color="auto"/>
            <w:left w:val="none" w:sz="0" w:space="0" w:color="auto"/>
            <w:bottom w:val="none" w:sz="0" w:space="0" w:color="auto"/>
            <w:right w:val="none" w:sz="0" w:space="0" w:color="auto"/>
          </w:divBdr>
        </w:div>
        <w:div w:id="34700634">
          <w:marLeft w:val="0"/>
          <w:marRight w:val="0"/>
          <w:marTop w:val="0"/>
          <w:marBottom w:val="0"/>
          <w:divBdr>
            <w:top w:val="none" w:sz="0" w:space="0" w:color="auto"/>
            <w:left w:val="none" w:sz="0" w:space="0" w:color="auto"/>
            <w:bottom w:val="none" w:sz="0" w:space="0" w:color="auto"/>
            <w:right w:val="none" w:sz="0" w:space="0" w:color="auto"/>
          </w:divBdr>
        </w:div>
        <w:div w:id="37703789">
          <w:marLeft w:val="0"/>
          <w:marRight w:val="0"/>
          <w:marTop w:val="0"/>
          <w:marBottom w:val="0"/>
          <w:divBdr>
            <w:top w:val="none" w:sz="0" w:space="0" w:color="auto"/>
            <w:left w:val="none" w:sz="0" w:space="0" w:color="auto"/>
            <w:bottom w:val="none" w:sz="0" w:space="0" w:color="auto"/>
            <w:right w:val="none" w:sz="0" w:space="0" w:color="auto"/>
          </w:divBdr>
        </w:div>
        <w:div w:id="45644273">
          <w:marLeft w:val="0"/>
          <w:marRight w:val="0"/>
          <w:marTop w:val="0"/>
          <w:marBottom w:val="0"/>
          <w:divBdr>
            <w:top w:val="none" w:sz="0" w:space="0" w:color="auto"/>
            <w:left w:val="none" w:sz="0" w:space="0" w:color="auto"/>
            <w:bottom w:val="none" w:sz="0" w:space="0" w:color="auto"/>
            <w:right w:val="none" w:sz="0" w:space="0" w:color="auto"/>
          </w:divBdr>
        </w:div>
        <w:div w:id="46414626">
          <w:marLeft w:val="0"/>
          <w:marRight w:val="0"/>
          <w:marTop w:val="0"/>
          <w:marBottom w:val="0"/>
          <w:divBdr>
            <w:top w:val="none" w:sz="0" w:space="0" w:color="auto"/>
            <w:left w:val="none" w:sz="0" w:space="0" w:color="auto"/>
            <w:bottom w:val="none" w:sz="0" w:space="0" w:color="auto"/>
            <w:right w:val="none" w:sz="0" w:space="0" w:color="auto"/>
          </w:divBdr>
        </w:div>
        <w:div w:id="53890597">
          <w:marLeft w:val="0"/>
          <w:marRight w:val="0"/>
          <w:marTop w:val="0"/>
          <w:marBottom w:val="0"/>
          <w:divBdr>
            <w:top w:val="none" w:sz="0" w:space="0" w:color="auto"/>
            <w:left w:val="none" w:sz="0" w:space="0" w:color="auto"/>
            <w:bottom w:val="none" w:sz="0" w:space="0" w:color="auto"/>
            <w:right w:val="none" w:sz="0" w:space="0" w:color="auto"/>
          </w:divBdr>
        </w:div>
        <w:div w:id="56897506">
          <w:marLeft w:val="0"/>
          <w:marRight w:val="0"/>
          <w:marTop w:val="0"/>
          <w:marBottom w:val="0"/>
          <w:divBdr>
            <w:top w:val="none" w:sz="0" w:space="0" w:color="auto"/>
            <w:left w:val="none" w:sz="0" w:space="0" w:color="auto"/>
            <w:bottom w:val="none" w:sz="0" w:space="0" w:color="auto"/>
            <w:right w:val="none" w:sz="0" w:space="0" w:color="auto"/>
          </w:divBdr>
        </w:div>
        <w:div w:id="58796994">
          <w:marLeft w:val="0"/>
          <w:marRight w:val="0"/>
          <w:marTop w:val="0"/>
          <w:marBottom w:val="0"/>
          <w:divBdr>
            <w:top w:val="none" w:sz="0" w:space="0" w:color="auto"/>
            <w:left w:val="none" w:sz="0" w:space="0" w:color="auto"/>
            <w:bottom w:val="none" w:sz="0" w:space="0" w:color="auto"/>
            <w:right w:val="none" w:sz="0" w:space="0" w:color="auto"/>
          </w:divBdr>
        </w:div>
        <w:div w:id="62027822">
          <w:marLeft w:val="0"/>
          <w:marRight w:val="0"/>
          <w:marTop w:val="0"/>
          <w:marBottom w:val="0"/>
          <w:divBdr>
            <w:top w:val="none" w:sz="0" w:space="0" w:color="auto"/>
            <w:left w:val="none" w:sz="0" w:space="0" w:color="auto"/>
            <w:bottom w:val="none" w:sz="0" w:space="0" w:color="auto"/>
            <w:right w:val="none" w:sz="0" w:space="0" w:color="auto"/>
          </w:divBdr>
        </w:div>
        <w:div w:id="69429649">
          <w:marLeft w:val="0"/>
          <w:marRight w:val="0"/>
          <w:marTop w:val="0"/>
          <w:marBottom w:val="0"/>
          <w:divBdr>
            <w:top w:val="none" w:sz="0" w:space="0" w:color="auto"/>
            <w:left w:val="none" w:sz="0" w:space="0" w:color="auto"/>
            <w:bottom w:val="none" w:sz="0" w:space="0" w:color="auto"/>
            <w:right w:val="none" w:sz="0" w:space="0" w:color="auto"/>
          </w:divBdr>
        </w:div>
        <w:div w:id="70473587">
          <w:marLeft w:val="0"/>
          <w:marRight w:val="0"/>
          <w:marTop w:val="0"/>
          <w:marBottom w:val="0"/>
          <w:divBdr>
            <w:top w:val="none" w:sz="0" w:space="0" w:color="auto"/>
            <w:left w:val="none" w:sz="0" w:space="0" w:color="auto"/>
            <w:bottom w:val="none" w:sz="0" w:space="0" w:color="auto"/>
            <w:right w:val="none" w:sz="0" w:space="0" w:color="auto"/>
          </w:divBdr>
        </w:div>
        <w:div w:id="79565437">
          <w:marLeft w:val="0"/>
          <w:marRight w:val="0"/>
          <w:marTop w:val="0"/>
          <w:marBottom w:val="0"/>
          <w:divBdr>
            <w:top w:val="none" w:sz="0" w:space="0" w:color="auto"/>
            <w:left w:val="none" w:sz="0" w:space="0" w:color="auto"/>
            <w:bottom w:val="none" w:sz="0" w:space="0" w:color="auto"/>
            <w:right w:val="none" w:sz="0" w:space="0" w:color="auto"/>
          </w:divBdr>
        </w:div>
        <w:div w:id="81344671">
          <w:marLeft w:val="0"/>
          <w:marRight w:val="0"/>
          <w:marTop w:val="0"/>
          <w:marBottom w:val="0"/>
          <w:divBdr>
            <w:top w:val="none" w:sz="0" w:space="0" w:color="auto"/>
            <w:left w:val="none" w:sz="0" w:space="0" w:color="auto"/>
            <w:bottom w:val="none" w:sz="0" w:space="0" w:color="auto"/>
            <w:right w:val="none" w:sz="0" w:space="0" w:color="auto"/>
          </w:divBdr>
        </w:div>
        <w:div w:id="82457573">
          <w:marLeft w:val="0"/>
          <w:marRight w:val="0"/>
          <w:marTop w:val="0"/>
          <w:marBottom w:val="0"/>
          <w:divBdr>
            <w:top w:val="none" w:sz="0" w:space="0" w:color="auto"/>
            <w:left w:val="none" w:sz="0" w:space="0" w:color="auto"/>
            <w:bottom w:val="none" w:sz="0" w:space="0" w:color="auto"/>
            <w:right w:val="none" w:sz="0" w:space="0" w:color="auto"/>
          </w:divBdr>
        </w:div>
        <w:div w:id="82915047">
          <w:marLeft w:val="0"/>
          <w:marRight w:val="0"/>
          <w:marTop w:val="0"/>
          <w:marBottom w:val="0"/>
          <w:divBdr>
            <w:top w:val="none" w:sz="0" w:space="0" w:color="auto"/>
            <w:left w:val="none" w:sz="0" w:space="0" w:color="auto"/>
            <w:bottom w:val="none" w:sz="0" w:space="0" w:color="auto"/>
            <w:right w:val="none" w:sz="0" w:space="0" w:color="auto"/>
          </w:divBdr>
        </w:div>
        <w:div w:id="84620214">
          <w:marLeft w:val="0"/>
          <w:marRight w:val="0"/>
          <w:marTop w:val="0"/>
          <w:marBottom w:val="0"/>
          <w:divBdr>
            <w:top w:val="none" w:sz="0" w:space="0" w:color="auto"/>
            <w:left w:val="none" w:sz="0" w:space="0" w:color="auto"/>
            <w:bottom w:val="none" w:sz="0" w:space="0" w:color="auto"/>
            <w:right w:val="none" w:sz="0" w:space="0" w:color="auto"/>
          </w:divBdr>
        </w:div>
        <w:div w:id="92896310">
          <w:marLeft w:val="0"/>
          <w:marRight w:val="0"/>
          <w:marTop w:val="0"/>
          <w:marBottom w:val="0"/>
          <w:divBdr>
            <w:top w:val="none" w:sz="0" w:space="0" w:color="auto"/>
            <w:left w:val="none" w:sz="0" w:space="0" w:color="auto"/>
            <w:bottom w:val="none" w:sz="0" w:space="0" w:color="auto"/>
            <w:right w:val="none" w:sz="0" w:space="0" w:color="auto"/>
          </w:divBdr>
        </w:div>
        <w:div w:id="96216725">
          <w:marLeft w:val="0"/>
          <w:marRight w:val="0"/>
          <w:marTop w:val="0"/>
          <w:marBottom w:val="0"/>
          <w:divBdr>
            <w:top w:val="none" w:sz="0" w:space="0" w:color="auto"/>
            <w:left w:val="none" w:sz="0" w:space="0" w:color="auto"/>
            <w:bottom w:val="none" w:sz="0" w:space="0" w:color="auto"/>
            <w:right w:val="none" w:sz="0" w:space="0" w:color="auto"/>
          </w:divBdr>
        </w:div>
        <w:div w:id="109935063">
          <w:marLeft w:val="0"/>
          <w:marRight w:val="0"/>
          <w:marTop w:val="0"/>
          <w:marBottom w:val="0"/>
          <w:divBdr>
            <w:top w:val="none" w:sz="0" w:space="0" w:color="auto"/>
            <w:left w:val="none" w:sz="0" w:space="0" w:color="auto"/>
            <w:bottom w:val="none" w:sz="0" w:space="0" w:color="auto"/>
            <w:right w:val="none" w:sz="0" w:space="0" w:color="auto"/>
          </w:divBdr>
        </w:div>
        <w:div w:id="111826153">
          <w:marLeft w:val="0"/>
          <w:marRight w:val="0"/>
          <w:marTop w:val="0"/>
          <w:marBottom w:val="0"/>
          <w:divBdr>
            <w:top w:val="none" w:sz="0" w:space="0" w:color="auto"/>
            <w:left w:val="none" w:sz="0" w:space="0" w:color="auto"/>
            <w:bottom w:val="none" w:sz="0" w:space="0" w:color="auto"/>
            <w:right w:val="none" w:sz="0" w:space="0" w:color="auto"/>
          </w:divBdr>
        </w:div>
        <w:div w:id="112360798">
          <w:marLeft w:val="0"/>
          <w:marRight w:val="0"/>
          <w:marTop w:val="0"/>
          <w:marBottom w:val="0"/>
          <w:divBdr>
            <w:top w:val="none" w:sz="0" w:space="0" w:color="auto"/>
            <w:left w:val="none" w:sz="0" w:space="0" w:color="auto"/>
            <w:bottom w:val="none" w:sz="0" w:space="0" w:color="auto"/>
            <w:right w:val="none" w:sz="0" w:space="0" w:color="auto"/>
          </w:divBdr>
        </w:div>
        <w:div w:id="114063895">
          <w:marLeft w:val="0"/>
          <w:marRight w:val="0"/>
          <w:marTop w:val="0"/>
          <w:marBottom w:val="0"/>
          <w:divBdr>
            <w:top w:val="none" w:sz="0" w:space="0" w:color="auto"/>
            <w:left w:val="none" w:sz="0" w:space="0" w:color="auto"/>
            <w:bottom w:val="none" w:sz="0" w:space="0" w:color="auto"/>
            <w:right w:val="none" w:sz="0" w:space="0" w:color="auto"/>
          </w:divBdr>
        </w:div>
        <w:div w:id="119962992">
          <w:marLeft w:val="0"/>
          <w:marRight w:val="0"/>
          <w:marTop w:val="0"/>
          <w:marBottom w:val="0"/>
          <w:divBdr>
            <w:top w:val="none" w:sz="0" w:space="0" w:color="auto"/>
            <w:left w:val="none" w:sz="0" w:space="0" w:color="auto"/>
            <w:bottom w:val="none" w:sz="0" w:space="0" w:color="auto"/>
            <w:right w:val="none" w:sz="0" w:space="0" w:color="auto"/>
          </w:divBdr>
        </w:div>
        <w:div w:id="124467694">
          <w:marLeft w:val="0"/>
          <w:marRight w:val="0"/>
          <w:marTop w:val="0"/>
          <w:marBottom w:val="0"/>
          <w:divBdr>
            <w:top w:val="none" w:sz="0" w:space="0" w:color="auto"/>
            <w:left w:val="none" w:sz="0" w:space="0" w:color="auto"/>
            <w:bottom w:val="none" w:sz="0" w:space="0" w:color="auto"/>
            <w:right w:val="none" w:sz="0" w:space="0" w:color="auto"/>
          </w:divBdr>
        </w:div>
        <w:div w:id="127363558">
          <w:marLeft w:val="0"/>
          <w:marRight w:val="0"/>
          <w:marTop w:val="0"/>
          <w:marBottom w:val="0"/>
          <w:divBdr>
            <w:top w:val="none" w:sz="0" w:space="0" w:color="auto"/>
            <w:left w:val="none" w:sz="0" w:space="0" w:color="auto"/>
            <w:bottom w:val="none" w:sz="0" w:space="0" w:color="auto"/>
            <w:right w:val="none" w:sz="0" w:space="0" w:color="auto"/>
          </w:divBdr>
        </w:div>
        <w:div w:id="131943729">
          <w:marLeft w:val="0"/>
          <w:marRight w:val="0"/>
          <w:marTop w:val="0"/>
          <w:marBottom w:val="0"/>
          <w:divBdr>
            <w:top w:val="none" w:sz="0" w:space="0" w:color="auto"/>
            <w:left w:val="none" w:sz="0" w:space="0" w:color="auto"/>
            <w:bottom w:val="none" w:sz="0" w:space="0" w:color="auto"/>
            <w:right w:val="none" w:sz="0" w:space="0" w:color="auto"/>
          </w:divBdr>
        </w:div>
        <w:div w:id="134228181">
          <w:marLeft w:val="0"/>
          <w:marRight w:val="0"/>
          <w:marTop w:val="0"/>
          <w:marBottom w:val="0"/>
          <w:divBdr>
            <w:top w:val="none" w:sz="0" w:space="0" w:color="auto"/>
            <w:left w:val="none" w:sz="0" w:space="0" w:color="auto"/>
            <w:bottom w:val="none" w:sz="0" w:space="0" w:color="auto"/>
            <w:right w:val="none" w:sz="0" w:space="0" w:color="auto"/>
          </w:divBdr>
        </w:div>
        <w:div w:id="135298320">
          <w:marLeft w:val="0"/>
          <w:marRight w:val="0"/>
          <w:marTop w:val="0"/>
          <w:marBottom w:val="0"/>
          <w:divBdr>
            <w:top w:val="none" w:sz="0" w:space="0" w:color="auto"/>
            <w:left w:val="none" w:sz="0" w:space="0" w:color="auto"/>
            <w:bottom w:val="none" w:sz="0" w:space="0" w:color="auto"/>
            <w:right w:val="none" w:sz="0" w:space="0" w:color="auto"/>
          </w:divBdr>
        </w:div>
        <w:div w:id="137378652">
          <w:marLeft w:val="0"/>
          <w:marRight w:val="0"/>
          <w:marTop w:val="0"/>
          <w:marBottom w:val="0"/>
          <w:divBdr>
            <w:top w:val="none" w:sz="0" w:space="0" w:color="auto"/>
            <w:left w:val="none" w:sz="0" w:space="0" w:color="auto"/>
            <w:bottom w:val="none" w:sz="0" w:space="0" w:color="auto"/>
            <w:right w:val="none" w:sz="0" w:space="0" w:color="auto"/>
          </w:divBdr>
        </w:div>
        <w:div w:id="138496416">
          <w:marLeft w:val="0"/>
          <w:marRight w:val="0"/>
          <w:marTop w:val="0"/>
          <w:marBottom w:val="0"/>
          <w:divBdr>
            <w:top w:val="none" w:sz="0" w:space="0" w:color="auto"/>
            <w:left w:val="none" w:sz="0" w:space="0" w:color="auto"/>
            <w:bottom w:val="none" w:sz="0" w:space="0" w:color="auto"/>
            <w:right w:val="none" w:sz="0" w:space="0" w:color="auto"/>
          </w:divBdr>
        </w:div>
        <w:div w:id="139157348">
          <w:marLeft w:val="0"/>
          <w:marRight w:val="0"/>
          <w:marTop w:val="0"/>
          <w:marBottom w:val="0"/>
          <w:divBdr>
            <w:top w:val="none" w:sz="0" w:space="0" w:color="auto"/>
            <w:left w:val="none" w:sz="0" w:space="0" w:color="auto"/>
            <w:bottom w:val="none" w:sz="0" w:space="0" w:color="auto"/>
            <w:right w:val="none" w:sz="0" w:space="0" w:color="auto"/>
          </w:divBdr>
        </w:div>
        <w:div w:id="140460727">
          <w:marLeft w:val="0"/>
          <w:marRight w:val="0"/>
          <w:marTop w:val="0"/>
          <w:marBottom w:val="0"/>
          <w:divBdr>
            <w:top w:val="none" w:sz="0" w:space="0" w:color="auto"/>
            <w:left w:val="none" w:sz="0" w:space="0" w:color="auto"/>
            <w:bottom w:val="none" w:sz="0" w:space="0" w:color="auto"/>
            <w:right w:val="none" w:sz="0" w:space="0" w:color="auto"/>
          </w:divBdr>
        </w:div>
        <w:div w:id="141391851">
          <w:marLeft w:val="0"/>
          <w:marRight w:val="0"/>
          <w:marTop w:val="0"/>
          <w:marBottom w:val="0"/>
          <w:divBdr>
            <w:top w:val="none" w:sz="0" w:space="0" w:color="auto"/>
            <w:left w:val="none" w:sz="0" w:space="0" w:color="auto"/>
            <w:bottom w:val="none" w:sz="0" w:space="0" w:color="auto"/>
            <w:right w:val="none" w:sz="0" w:space="0" w:color="auto"/>
          </w:divBdr>
        </w:div>
        <w:div w:id="141430681">
          <w:marLeft w:val="0"/>
          <w:marRight w:val="0"/>
          <w:marTop w:val="0"/>
          <w:marBottom w:val="0"/>
          <w:divBdr>
            <w:top w:val="none" w:sz="0" w:space="0" w:color="auto"/>
            <w:left w:val="none" w:sz="0" w:space="0" w:color="auto"/>
            <w:bottom w:val="none" w:sz="0" w:space="0" w:color="auto"/>
            <w:right w:val="none" w:sz="0" w:space="0" w:color="auto"/>
          </w:divBdr>
        </w:div>
        <w:div w:id="141895436">
          <w:marLeft w:val="0"/>
          <w:marRight w:val="0"/>
          <w:marTop w:val="0"/>
          <w:marBottom w:val="0"/>
          <w:divBdr>
            <w:top w:val="none" w:sz="0" w:space="0" w:color="auto"/>
            <w:left w:val="none" w:sz="0" w:space="0" w:color="auto"/>
            <w:bottom w:val="none" w:sz="0" w:space="0" w:color="auto"/>
            <w:right w:val="none" w:sz="0" w:space="0" w:color="auto"/>
          </w:divBdr>
        </w:div>
        <w:div w:id="147525779">
          <w:marLeft w:val="0"/>
          <w:marRight w:val="0"/>
          <w:marTop w:val="0"/>
          <w:marBottom w:val="0"/>
          <w:divBdr>
            <w:top w:val="none" w:sz="0" w:space="0" w:color="auto"/>
            <w:left w:val="none" w:sz="0" w:space="0" w:color="auto"/>
            <w:bottom w:val="none" w:sz="0" w:space="0" w:color="auto"/>
            <w:right w:val="none" w:sz="0" w:space="0" w:color="auto"/>
          </w:divBdr>
        </w:div>
        <w:div w:id="149178095">
          <w:marLeft w:val="0"/>
          <w:marRight w:val="0"/>
          <w:marTop w:val="0"/>
          <w:marBottom w:val="0"/>
          <w:divBdr>
            <w:top w:val="none" w:sz="0" w:space="0" w:color="auto"/>
            <w:left w:val="none" w:sz="0" w:space="0" w:color="auto"/>
            <w:bottom w:val="none" w:sz="0" w:space="0" w:color="auto"/>
            <w:right w:val="none" w:sz="0" w:space="0" w:color="auto"/>
          </w:divBdr>
        </w:div>
        <w:div w:id="155804599">
          <w:marLeft w:val="0"/>
          <w:marRight w:val="0"/>
          <w:marTop w:val="0"/>
          <w:marBottom w:val="0"/>
          <w:divBdr>
            <w:top w:val="none" w:sz="0" w:space="0" w:color="auto"/>
            <w:left w:val="none" w:sz="0" w:space="0" w:color="auto"/>
            <w:bottom w:val="none" w:sz="0" w:space="0" w:color="auto"/>
            <w:right w:val="none" w:sz="0" w:space="0" w:color="auto"/>
          </w:divBdr>
        </w:div>
        <w:div w:id="156849261">
          <w:marLeft w:val="0"/>
          <w:marRight w:val="0"/>
          <w:marTop w:val="0"/>
          <w:marBottom w:val="0"/>
          <w:divBdr>
            <w:top w:val="none" w:sz="0" w:space="0" w:color="auto"/>
            <w:left w:val="none" w:sz="0" w:space="0" w:color="auto"/>
            <w:bottom w:val="none" w:sz="0" w:space="0" w:color="auto"/>
            <w:right w:val="none" w:sz="0" w:space="0" w:color="auto"/>
          </w:divBdr>
        </w:div>
        <w:div w:id="159320028">
          <w:marLeft w:val="0"/>
          <w:marRight w:val="0"/>
          <w:marTop w:val="0"/>
          <w:marBottom w:val="0"/>
          <w:divBdr>
            <w:top w:val="none" w:sz="0" w:space="0" w:color="auto"/>
            <w:left w:val="none" w:sz="0" w:space="0" w:color="auto"/>
            <w:bottom w:val="none" w:sz="0" w:space="0" w:color="auto"/>
            <w:right w:val="none" w:sz="0" w:space="0" w:color="auto"/>
          </w:divBdr>
        </w:div>
        <w:div w:id="159780911">
          <w:marLeft w:val="0"/>
          <w:marRight w:val="0"/>
          <w:marTop w:val="0"/>
          <w:marBottom w:val="0"/>
          <w:divBdr>
            <w:top w:val="none" w:sz="0" w:space="0" w:color="auto"/>
            <w:left w:val="none" w:sz="0" w:space="0" w:color="auto"/>
            <w:bottom w:val="none" w:sz="0" w:space="0" w:color="auto"/>
            <w:right w:val="none" w:sz="0" w:space="0" w:color="auto"/>
          </w:divBdr>
        </w:div>
        <w:div w:id="165413033">
          <w:marLeft w:val="0"/>
          <w:marRight w:val="0"/>
          <w:marTop w:val="0"/>
          <w:marBottom w:val="0"/>
          <w:divBdr>
            <w:top w:val="none" w:sz="0" w:space="0" w:color="auto"/>
            <w:left w:val="none" w:sz="0" w:space="0" w:color="auto"/>
            <w:bottom w:val="none" w:sz="0" w:space="0" w:color="auto"/>
            <w:right w:val="none" w:sz="0" w:space="0" w:color="auto"/>
          </w:divBdr>
        </w:div>
        <w:div w:id="167183438">
          <w:marLeft w:val="0"/>
          <w:marRight w:val="0"/>
          <w:marTop w:val="0"/>
          <w:marBottom w:val="0"/>
          <w:divBdr>
            <w:top w:val="none" w:sz="0" w:space="0" w:color="auto"/>
            <w:left w:val="none" w:sz="0" w:space="0" w:color="auto"/>
            <w:bottom w:val="none" w:sz="0" w:space="0" w:color="auto"/>
            <w:right w:val="none" w:sz="0" w:space="0" w:color="auto"/>
          </w:divBdr>
        </w:div>
        <w:div w:id="169562410">
          <w:marLeft w:val="0"/>
          <w:marRight w:val="0"/>
          <w:marTop w:val="0"/>
          <w:marBottom w:val="0"/>
          <w:divBdr>
            <w:top w:val="none" w:sz="0" w:space="0" w:color="auto"/>
            <w:left w:val="none" w:sz="0" w:space="0" w:color="auto"/>
            <w:bottom w:val="none" w:sz="0" w:space="0" w:color="auto"/>
            <w:right w:val="none" w:sz="0" w:space="0" w:color="auto"/>
          </w:divBdr>
        </w:div>
        <w:div w:id="171994797">
          <w:marLeft w:val="0"/>
          <w:marRight w:val="0"/>
          <w:marTop w:val="0"/>
          <w:marBottom w:val="0"/>
          <w:divBdr>
            <w:top w:val="none" w:sz="0" w:space="0" w:color="auto"/>
            <w:left w:val="none" w:sz="0" w:space="0" w:color="auto"/>
            <w:bottom w:val="none" w:sz="0" w:space="0" w:color="auto"/>
            <w:right w:val="none" w:sz="0" w:space="0" w:color="auto"/>
          </w:divBdr>
        </w:div>
        <w:div w:id="172688014">
          <w:marLeft w:val="0"/>
          <w:marRight w:val="0"/>
          <w:marTop w:val="0"/>
          <w:marBottom w:val="0"/>
          <w:divBdr>
            <w:top w:val="none" w:sz="0" w:space="0" w:color="auto"/>
            <w:left w:val="none" w:sz="0" w:space="0" w:color="auto"/>
            <w:bottom w:val="none" w:sz="0" w:space="0" w:color="auto"/>
            <w:right w:val="none" w:sz="0" w:space="0" w:color="auto"/>
          </w:divBdr>
        </w:div>
        <w:div w:id="174736215">
          <w:marLeft w:val="0"/>
          <w:marRight w:val="0"/>
          <w:marTop w:val="0"/>
          <w:marBottom w:val="0"/>
          <w:divBdr>
            <w:top w:val="none" w:sz="0" w:space="0" w:color="auto"/>
            <w:left w:val="none" w:sz="0" w:space="0" w:color="auto"/>
            <w:bottom w:val="none" w:sz="0" w:space="0" w:color="auto"/>
            <w:right w:val="none" w:sz="0" w:space="0" w:color="auto"/>
          </w:divBdr>
        </w:div>
        <w:div w:id="176962323">
          <w:marLeft w:val="0"/>
          <w:marRight w:val="0"/>
          <w:marTop w:val="0"/>
          <w:marBottom w:val="0"/>
          <w:divBdr>
            <w:top w:val="none" w:sz="0" w:space="0" w:color="auto"/>
            <w:left w:val="none" w:sz="0" w:space="0" w:color="auto"/>
            <w:bottom w:val="none" w:sz="0" w:space="0" w:color="auto"/>
            <w:right w:val="none" w:sz="0" w:space="0" w:color="auto"/>
          </w:divBdr>
        </w:div>
        <w:div w:id="180047013">
          <w:marLeft w:val="0"/>
          <w:marRight w:val="0"/>
          <w:marTop w:val="0"/>
          <w:marBottom w:val="0"/>
          <w:divBdr>
            <w:top w:val="none" w:sz="0" w:space="0" w:color="auto"/>
            <w:left w:val="none" w:sz="0" w:space="0" w:color="auto"/>
            <w:bottom w:val="none" w:sz="0" w:space="0" w:color="auto"/>
            <w:right w:val="none" w:sz="0" w:space="0" w:color="auto"/>
          </w:divBdr>
        </w:div>
        <w:div w:id="180120977">
          <w:marLeft w:val="0"/>
          <w:marRight w:val="0"/>
          <w:marTop w:val="0"/>
          <w:marBottom w:val="0"/>
          <w:divBdr>
            <w:top w:val="none" w:sz="0" w:space="0" w:color="auto"/>
            <w:left w:val="none" w:sz="0" w:space="0" w:color="auto"/>
            <w:bottom w:val="none" w:sz="0" w:space="0" w:color="auto"/>
            <w:right w:val="none" w:sz="0" w:space="0" w:color="auto"/>
          </w:divBdr>
        </w:div>
        <w:div w:id="180246819">
          <w:marLeft w:val="0"/>
          <w:marRight w:val="0"/>
          <w:marTop w:val="0"/>
          <w:marBottom w:val="0"/>
          <w:divBdr>
            <w:top w:val="none" w:sz="0" w:space="0" w:color="auto"/>
            <w:left w:val="none" w:sz="0" w:space="0" w:color="auto"/>
            <w:bottom w:val="none" w:sz="0" w:space="0" w:color="auto"/>
            <w:right w:val="none" w:sz="0" w:space="0" w:color="auto"/>
          </w:divBdr>
        </w:div>
        <w:div w:id="185482693">
          <w:marLeft w:val="0"/>
          <w:marRight w:val="0"/>
          <w:marTop w:val="0"/>
          <w:marBottom w:val="0"/>
          <w:divBdr>
            <w:top w:val="none" w:sz="0" w:space="0" w:color="auto"/>
            <w:left w:val="none" w:sz="0" w:space="0" w:color="auto"/>
            <w:bottom w:val="none" w:sz="0" w:space="0" w:color="auto"/>
            <w:right w:val="none" w:sz="0" w:space="0" w:color="auto"/>
          </w:divBdr>
        </w:div>
        <w:div w:id="188488647">
          <w:marLeft w:val="0"/>
          <w:marRight w:val="0"/>
          <w:marTop w:val="0"/>
          <w:marBottom w:val="0"/>
          <w:divBdr>
            <w:top w:val="none" w:sz="0" w:space="0" w:color="auto"/>
            <w:left w:val="none" w:sz="0" w:space="0" w:color="auto"/>
            <w:bottom w:val="none" w:sz="0" w:space="0" w:color="auto"/>
            <w:right w:val="none" w:sz="0" w:space="0" w:color="auto"/>
          </w:divBdr>
        </w:div>
        <w:div w:id="193930207">
          <w:marLeft w:val="0"/>
          <w:marRight w:val="0"/>
          <w:marTop w:val="0"/>
          <w:marBottom w:val="0"/>
          <w:divBdr>
            <w:top w:val="none" w:sz="0" w:space="0" w:color="auto"/>
            <w:left w:val="none" w:sz="0" w:space="0" w:color="auto"/>
            <w:bottom w:val="none" w:sz="0" w:space="0" w:color="auto"/>
            <w:right w:val="none" w:sz="0" w:space="0" w:color="auto"/>
          </w:divBdr>
        </w:div>
        <w:div w:id="208804465">
          <w:marLeft w:val="0"/>
          <w:marRight w:val="0"/>
          <w:marTop w:val="0"/>
          <w:marBottom w:val="0"/>
          <w:divBdr>
            <w:top w:val="none" w:sz="0" w:space="0" w:color="auto"/>
            <w:left w:val="none" w:sz="0" w:space="0" w:color="auto"/>
            <w:bottom w:val="none" w:sz="0" w:space="0" w:color="auto"/>
            <w:right w:val="none" w:sz="0" w:space="0" w:color="auto"/>
          </w:divBdr>
        </w:div>
        <w:div w:id="210196370">
          <w:marLeft w:val="0"/>
          <w:marRight w:val="0"/>
          <w:marTop w:val="0"/>
          <w:marBottom w:val="0"/>
          <w:divBdr>
            <w:top w:val="none" w:sz="0" w:space="0" w:color="auto"/>
            <w:left w:val="none" w:sz="0" w:space="0" w:color="auto"/>
            <w:bottom w:val="none" w:sz="0" w:space="0" w:color="auto"/>
            <w:right w:val="none" w:sz="0" w:space="0" w:color="auto"/>
          </w:divBdr>
        </w:div>
        <w:div w:id="212814028">
          <w:marLeft w:val="0"/>
          <w:marRight w:val="0"/>
          <w:marTop w:val="0"/>
          <w:marBottom w:val="0"/>
          <w:divBdr>
            <w:top w:val="none" w:sz="0" w:space="0" w:color="auto"/>
            <w:left w:val="none" w:sz="0" w:space="0" w:color="auto"/>
            <w:bottom w:val="none" w:sz="0" w:space="0" w:color="auto"/>
            <w:right w:val="none" w:sz="0" w:space="0" w:color="auto"/>
          </w:divBdr>
        </w:div>
        <w:div w:id="214120593">
          <w:marLeft w:val="0"/>
          <w:marRight w:val="0"/>
          <w:marTop w:val="0"/>
          <w:marBottom w:val="0"/>
          <w:divBdr>
            <w:top w:val="none" w:sz="0" w:space="0" w:color="auto"/>
            <w:left w:val="none" w:sz="0" w:space="0" w:color="auto"/>
            <w:bottom w:val="none" w:sz="0" w:space="0" w:color="auto"/>
            <w:right w:val="none" w:sz="0" w:space="0" w:color="auto"/>
          </w:divBdr>
        </w:div>
        <w:div w:id="215315675">
          <w:marLeft w:val="0"/>
          <w:marRight w:val="0"/>
          <w:marTop w:val="0"/>
          <w:marBottom w:val="0"/>
          <w:divBdr>
            <w:top w:val="none" w:sz="0" w:space="0" w:color="auto"/>
            <w:left w:val="none" w:sz="0" w:space="0" w:color="auto"/>
            <w:bottom w:val="none" w:sz="0" w:space="0" w:color="auto"/>
            <w:right w:val="none" w:sz="0" w:space="0" w:color="auto"/>
          </w:divBdr>
        </w:div>
        <w:div w:id="216015502">
          <w:marLeft w:val="0"/>
          <w:marRight w:val="0"/>
          <w:marTop w:val="0"/>
          <w:marBottom w:val="0"/>
          <w:divBdr>
            <w:top w:val="none" w:sz="0" w:space="0" w:color="auto"/>
            <w:left w:val="none" w:sz="0" w:space="0" w:color="auto"/>
            <w:bottom w:val="none" w:sz="0" w:space="0" w:color="auto"/>
            <w:right w:val="none" w:sz="0" w:space="0" w:color="auto"/>
          </w:divBdr>
        </w:div>
        <w:div w:id="216206741">
          <w:marLeft w:val="0"/>
          <w:marRight w:val="0"/>
          <w:marTop w:val="0"/>
          <w:marBottom w:val="0"/>
          <w:divBdr>
            <w:top w:val="none" w:sz="0" w:space="0" w:color="auto"/>
            <w:left w:val="none" w:sz="0" w:space="0" w:color="auto"/>
            <w:bottom w:val="none" w:sz="0" w:space="0" w:color="auto"/>
            <w:right w:val="none" w:sz="0" w:space="0" w:color="auto"/>
          </w:divBdr>
        </w:div>
        <w:div w:id="217791200">
          <w:marLeft w:val="0"/>
          <w:marRight w:val="0"/>
          <w:marTop w:val="0"/>
          <w:marBottom w:val="0"/>
          <w:divBdr>
            <w:top w:val="none" w:sz="0" w:space="0" w:color="auto"/>
            <w:left w:val="none" w:sz="0" w:space="0" w:color="auto"/>
            <w:bottom w:val="none" w:sz="0" w:space="0" w:color="auto"/>
            <w:right w:val="none" w:sz="0" w:space="0" w:color="auto"/>
          </w:divBdr>
        </w:div>
        <w:div w:id="227156693">
          <w:marLeft w:val="0"/>
          <w:marRight w:val="0"/>
          <w:marTop w:val="0"/>
          <w:marBottom w:val="0"/>
          <w:divBdr>
            <w:top w:val="none" w:sz="0" w:space="0" w:color="auto"/>
            <w:left w:val="none" w:sz="0" w:space="0" w:color="auto"/>
            <w:bottom w:val="none" w:sz="0" w:space="0" w:color="auto"/>
            <w:right w:val="none" w:sz="0" w:space="0" w:color="auto"/>
          </w:divBdr>
        </w:div>
        <w:div w:id="230121469">
          <w:marLeft w:val="0"/>
          <w:marRight w:val="0"/>
          <w:marTop w:val="0"/>
          <w:marBottom w:val="0"/>
          <w:divBdr>
            <w:top w:val="none" w:sz="0" w:space="0" w:color="auto"/>
            <w:left w:val="none" w:sz="0" w:space="0" w:color="auto"/>
            <w:bottom w:val="none" w:sz="0" w:space="0" w:color="auto"/>
            <w:right w:val="none" w:sz="0" w:space="0" w:color="auto"/>
          </w:divBdr>
        </w:div>
        <w:div w:id="230968871">
          <w:marLeft w:val="0"/>
          <w:marRight w:val="0"/>
          <w:marTop w:val="0"/>
          <w:marBottom w:val="0"/>
          <w:divBdr>
            <w:top w:val="none" w:sz="0" w:space="0" w:color="auto"/>
            <w:left w:val="none" w:sz="0" w:space="0" w:color="auto"/>
            <w:bottom w:val="none" w:sz="0" w:space="0" w:color="auto"/>
            <w:right w:val="none" w:sz="0" w:space="0" w:color="auto"/>
          </w:divBdr>
        </w:div>
        <w:div w:id="238834504">
          <w:marLeft w:val="0"/>
          <w:marRight w:val="0"/>
          <w:marTop w:val="0"/>
          <w:marBottom w:val="0"/>
          <w:divBdr>
            <w:top w:val="none" w:sz="0" w:space="0" w:color="auto"/>
            <w:left w:val="none" w:sz="0" w:space="0" w:color="auto"/>
            <w:bottom w:val="none" w:sz="0" w:space="0" w:color="auto"/>
            <w:right w:val="none" w:sz="0" w:space="0" w:color="auto"/>
          </w:divBdr>
        </w:div>
        <w:div w:id="244535848">
          <w:marLeft w:val="0"/>
          <w:marRight w:val="0"/>
          <w:marTop w:val="0"/>
          <w:marBottom w:val="0"/>
          <w:divBdr>
            <w:top w:val="none" w:sz="0" w:space="0" w:color="auto"/>
            <w:left w:val="none" w:sz="0" w:space="0" w:color="auto"/>
            <w:bottom w:val="none" w:sz="0" w:space="0" w:color="auto"/>
            <w:right w:val="none" w:sz="0" w:space="0" w:color="auto"/>
          </w:divBdr>
        </w:div>
        <w:div w:id="248318404">
          <w:marLeft w:val="0"/>
          <w:marRight w:val="0"/>
          <w:marTop w:val="0"/>
          <w:marBottom w:val="0"/>
          <w:divBdr>
            <w:top w:val="none" w:sz="0" w:space="0" w:color="auto"/>
            <w:left w:val="none" w:sz="0" w:space="0" w:color="auto"/>
            <w:bottom w:val="none" w:sz="0" w:space="0" w:color="auto"/>
            <w:right w:val="none" w:sz="0" w:space="0" w:color="auto"/>
          </w:divBdr>
        </w:div>
        <w:div w:id="252014709">
          <w:marLeft w:val="0"/>
          <w:marRight w:val="0"/>
          <w:marTop w:val="0"/>
          <w:marBottom w:val="0"/>
          <w:divBdr>
            <w:top w:val="none" w:sz="0" w:space="0" w:color="auto"/>
            <w:left w:val="none" w:sz="0" w:space="0" w:color="auto"/>
            <w:bottom w:val="none" w:sz="0" w:space="0" w:color="auto"/>
            <w:right w:val="none" w:sz="0" w:space="0" w:color="auto"/>
          </w:divBdr>
        </w:div>
        <w:div w:id="257837158">
          <w:marLeft w:val="0"/>
          <w:marRight w:val="0"/>
          <w:marTop w:val="0"/>
          <w:marBottom w:val="0"/>
          <w:divBdr>
            <w:top w:val="none" w:sz="0" w:space="0" w:color="auto"/>
            <w:left w:val="none" w:sz="0" w:space="0" w:color="auto"/>
            <w:bottom w:val="none" w:sz="0" w:space="0" w:color="auto"/>
            <w:right w:val="none" w:sz="0" w:space="0" w:color="auto"/>
          </w:divBdr>
        </w:div>
        <w:div w:id="258147259">
          <w:marLeft w:val="0"/>
          <w:marRight w:val="0"/>
          <w:marTop w:val="0"/>
          <w:marBottom w:val="0"/>
          <w:divBdr>
            <w:top w:val="none" w:sz="0" w:space="0" w:color="auto"/>
            <w:left w:val="none" w:sz="0" w:space="0" w:color="auto"/>
            <w:bottom w:val="none" w:sz="0" w:space="0" w:color="auto"/>
            <w:right w:val="none" w:sz="0" w:space="0" w:color="auto"/>
          </w:divBdr>
        </w:div>
        <w:div w:id="259144052">
          <w:marLeft w:val="0"/>
          <w:marRight w:val="0"/>
          <w:marTop w:val="0"/>
          <w:marBottom w:val="0"/>
          <w:divBdr>
            <w:top w:val="none" w:sz="0" w:space="0" w:color="auto"/>
            <w:left w:val="none" w:sz="0" w:space="0" w:color="auto"/>
            <w:bottom w:val="none" w:sz="0" w:space="0" w:color="auto"/>
            <w:right w:val="none" w:sz="0" w:space="0" w:color="auto"/>
          </w:divBdr>
        </w:div>
        <w:div w:id="268511799">
          <w:marLeft w:val="0"/>
          <w:marRight w:val="0"/>
          <w:marTop w:val="0"/>
          <w:marBottom w:val="0"/>
          <w:divBdr>
            <w:top w:val="none" w:sz="0" w:space="0" w:color="auto"/>
            <w:left w:val="none" w:sz="0" w:space="0" w:color="auto"/>
            <w:bottom w:val="none" w:sz="0" w:space="0" w:color="auto"/>
            <w:right w:val="none" w:sz="0" w:space="0" w:color="auto"/>
          </w:divBdr>
        </w:div>
        <w:div w:id="269238796">
          <w:marLeft w:val="0"/>
          <w:marRight w:val="0"/>
          <w:marTop w:val="0"/>
          <w:marBottom w:val="0"/>
          <w:divBdr>
            <w:top w:val="none" w:sz="0" w:space="0" w:color="auto"/>
            <w:left w:val="none" w:sz="0" w:space="0" w:color="auto"/>
            <w:bottom w:val="none" w:sz="0" w:space="0" w:color="auto"/>
            <w:right w:val="none" w:sz="0" w:space="0" w:color="auto"/>
          </w:divBdr>
        </w:div>
        <w:div w:id="273828570">
          <w:marLeft w:val="0"/>
          <w:marRight w:val="0"/>
          <w:marTop w:val="0"/>
          <w:marBottom w:val="0"/>
          <w:divBdr>
            <w:top w:val="none" w:sz="0" w:space="0" w:color="auto"/>
            <w:left w:val="none" w:sz="0" w:space="0" w:color="auto"/>
            <w:bottom w:val="none" w:sz="0" w:space="0" w:color="auto"/>
            <w:right w:val="none" w:sz="0" w:space="0" w:color="auto"/>
          </w:divBdr>
        </w:div>
        <w:div w:id="279267613">
          <w:marLeft w:val="0"/>
          <w:marRight w:val="0"/>
          <w:marTop w:val="0"/>
          <w:marBottom w:val="0"/>
          <w:divBdr>
            <w:top w:val="none" w:sz="0" w:space="0" w:color="auto"/>
            <w:left w:val="none" w:sz="0" w:space="0" w:color="auto"/>
            <w:bottom w:val="none" w:sz="0" w:space="0" w:color="auto"/>
            <w:right w:val="none" w:sz="0" w:space="0" w:color="auto"/>
          </w:divBdr>
        </w:div>
        <w:div w:id="286470767">
          <w:marLeft w:val="0"/>
          <w:marRight w:val="0"/>
          <w:marTop w:val="0"/>
          <w:marBottom w:val="0"/>
          <w:divBdr>
            <w:top w:val="none" w:sz="0" w:space="0" w:color="auto"/>
            <w:left w:val="none" w:sz="0" w:space="0" w:color="auto"/>
            <w:bottom w:val="none" w:sz="0" w:space="0" w:color="auto"/>
            <w:right w:val="none" w:sz="0" w:space="0" w:color="auto"/>
          </w:divBdr>
        </w:div>
        <w:div w:id="288827207">
          <w:marLeft w:val="0"/>
          <w:marRight w:val="0"/>
          <w:marTop w:val="0"/>
          <w:marBottom w:val="0"/>
          <w:divBdr>
            <w:top w:val="none" w:sz="0" w:space="0" w:color="auto"/>
            <w:left w:val="none" w:sz="0" w:space="0" w:color="auto"/>
            <w:bottom w:val="none" w:sz="0" w:space="0" w:color="auto"/>
            <w:right w:val="none" w:sz="0" w:space="0" w:color="auto"/>
          </w:divBdr>
        </w:div>
        <w:div w:id="290984022">
          <w:marLeft w:val="0"/>
          <w:marRight w:val="0"/>
          <w:marTop w:val="0"/>
          <w:marBottom w:val="0"/>
          <w:divBdr>
            <w:top w:val="none" w:sz="0" w:space="0" w:color="auto"/>
            <w:left w:val="none" w:sz="0" w:space="0" w:color="auto"/>
            <w:bottom w:val="none" w:sz="0" w:space="0" w:color="auto"/>
            <w:right w:val="none" w:sz="0" w:space="0" w:color="auto"/>
          </w:divBdr>
        </w:div>
        <w:div w:id="291712527">
          <w:marLeft w:val="0"/>
          <w:marRight w:val="0"/>
          <w:marTop w:val="0"/>
          <w:marBottom w:val="0"/>
          <w:divBdr>
            <w:top w:val="none" w:sz="0" w:space="0" w:color="auto"/>
            <w:left w:val="none" w:sz="0" w:space="0" w:color="auto"/>
            <w:bottom w:val="none" w:sz="0" w:space="0" w:color="auto"/>
            <w:right w:val="none" w:sz="0" w:space="0" w:color="auto"/>
          </w:divBdr>
        </w:div>
        <w:div w:id="296492166">
          <w:marLeft w:val="0"/>
          <w:marRight w:val="0"/>
          <w:marTop w:val="0"/>
          <w:marBottom w:val="0"/>
          <w:divBdr>
            <w:top w:val="none" w:sz="0" w:space="0" w:color="auto"/>
            <w:left w:val="none" w:sz="0" w:space="0" w:color="auto"/>
            <w:bottom w:val="none" w:sz="0" w:space="0" w:color="auto"/>
            <w:right w:val="none" w:sz="0" w:space="0" w:color="auto"/>
          </w:divBdr>
        </w:div>
        <w:div w:id="298998092">
          <w:marLeft w:val="0"/>
          <w:marRight w:val="0"/>
          <w:marTop w:val="0"/>
          <w:marBottom w:val="0"/>
          <w:divBdr>
            <w:top w:val="none" w:sz="0" w:space="0" w:color="auto"/>
            <w:left w:val="none" w:sz="0" w:space="0" w:color="auto"/>
            <w:bottom w:val="none" w:sz="0" w:space="0" w:color="auto"/>
            <w:right w:val="none" w:sz="0" w:space="0" w:color="auto"/>
          </w:divBdr>
        </w:div>
        <w:div w:id="299073422">
          <w:marLeft w:val="0"/>
          <w:marRight w:val="0"/>
          <w:marTop w:val="0"/>
          <w:marBottom w:val="0"/>
          <w:divBdr>
            <w:top w:val="none" w:sz="0" w:space="0" w:color="auto"/>
            <w:left w:val="none" w:sz="0" w:space="0" w:color="auto"/>
            <w:bottom w:val="none" w:sz="0" w:space="0" w:color="auto"/>
            <w:right w:val="none" w:sz="0" w:space="0" w:color="auto"/>
          </w:divBdr>
        </w:div>
        <w:div w:id="300383933">
          <w:marLeft w:val="0"/>
          <w:marRight w:val="0"/>
          <w:marTop w:val="0"/>
          <w:marBottom w:val="0"/>
          <w:divBdr>
            <w:top w:val="none" w:sz="0" w:space="0" w:color="auto"/>
            <w:left w:val="none" w:sz="0" w:space="0" w:color="auto"/>
            <w:bottom w:val="none" w:sz="0" w:space="0" w:color="auto"/>
            <w:right w:val="none" w:sz="0" w:space="0" w:color="auto"/>
          </w:divBdr>
        </w:div>
        <w:div w:id="305667262">
          <w:marLeft w:val="0"/>
          <w:marRight w:val="0"/>
          <w:marTop w:val="0"/>
          <w:marBottom w:val="0"/>
          <w:divBdr>
            <w:top w:val="none" w:sz="0" w:space="0" w:color="auto"/>
            <w:left w:val="none" w:sz="0" w:space="0" w:color="auto"/>
            <w:bottom w:val="none" w:sz="0" w:space="0" w:color="auto"/>
            <w:right w:val="none" w:sz="0" w:space="0" w:color="auto"/>
          </w:divBdr>
        </w:div>
        <w:div w:id="314534558">
          <w:marLeft w:val="0"/>
          <w:marRight w:val="0"/>
          <w:marTop w:val="0"/>
          <w:marBottom w:val="0"/>
          <w:divBdr>
            <w:top w:val="none" w:sz="0" w:space="0" w:color="auto"/>
            <w:left w:val="none" w:sz="0" w:space="0" w:color="auto"/>
            <w:bottom w:val="none" w:sz="0" w:space="0" w:color="auto"/>
            <w:right w:val="none" w:sz="0" w:space="0" w:color="auto"/>
          </w:divBdr>
        </w:div>
        <w:div w:id="321782205">
          <w:marLeft w:val="0"/>
          <w:marRight w:val="0"/>
          <w:marTop w:val="0"/>
          <w:marBottom w:val="0"/>
          <w:divBdr>
            <w:top w:val="none" w:sz="0" w:space="0" w:color="auto"/>
            <w:left w:val="none" w:sz="0" w:space="0" w:color="auto"/>
            <w:bottom w:val="none" w:sz="0" w:space="0" w:color="auto"/>
            <w:right w:val="none" w:sz="0" w:space="0" w:color="auto"/>
          </w:divBdr>
        </w:div>
        <w:div w:id="322010738">
          <w:marLeft w:val="0"/>
          <w:marRight w:val="0"/>
          <w:marTop w:val="0"/>
          <w:marBottom w:val="0"/>
          <w:divBdr>
            <w:top w:val="none" w:sz="0" w:space="0" w:color="auto"/>
            <w:left w:val="none" w:sz="0" w:space="0" w:color="auto"/>
            <w:bottom w:val="none" w:sz="0" w:space="0" w:color="auto"/>
            <w:right w:val="none" w:sz="0" w:space="0" w:color="auto"/>
          </w:divBdr>
        </w:div>
        <w:div w:id="335226354">
          <w:marLeft w:val="0"/>
          <w:marRight w:val="0"/>
          <w:marTop w:val="0"/>
          <w:marBottom w:val="0"/>
          <w:divBdr>
            <w:top w:val="none" w:sz="0" w:space="0" w:color="auto"/>
            <w:left w:val="none" w:sz="0" w:space="0" w:color="auto"/>
            <w:bottom w:val="none" w:sz="0" w:space="0" w:color="auto"/>
            <w:right w:val="none" w:sz="0" w:space="0" w:color="auto"/>
          </w:divBdr>
        </w:div>
        <w:div w:id="344017025">
          <w:marLeft w:val="0"/>
          <w:marRight w:val="0"/>
          <w:marTop w:val="0"/>
          <w:marBottom w:val="0"/>
          <w:divBdr>
            <w:top w:val="none" w:sz="0" w:space="0" w:color="auto"/>
            <w:left w:val="none" w:sz="0" w:space="0" w:color="auto"/>
            <w:bottom w:val="none" w:sz="0" w:space="0" w:color="auto"/>
            <w:right w:val="none" w:sz="0" w:space="0" w:color="auto"/>
          </w:divBdr>
        </w:div>
        <w:div w:id="347174550">
          <w:marLeft w:val="0"/>
          <w:marRight w:val="0"/>
          <w:marTop w:val="0"/>
          <w:marBottom w:val="0"/>
          <w:divBdr>
            <w:top w:val="none" w:sz="0" w:space="0" w:color="auto"/>
            <w:left w:val="none" w:sz="0" w:space="0" w:color="auto"/>
            <w:bottom w:val="none" w:sz="0" w:space="0" w:color="auto"/>
            <w:right w:val="none" w:sz="0" w:space="0" w:color="auto"/>
          </w:divBdr>
        </w:div>
        <w:div w:id="347223053">
          <w:marLeft w:val="0"/>
          <w:marRight w:val="0"/>
          <w:marTop w:val="0"/>
          <w:marBottom w:val="0"/>
          <w:divBdr>
            <w:top w:val="none" w:sz="0" w:space="0" w:color="auto"/>
            <w:left w:val="none" w:sz="0" w:space="0" w:color="auto"/>
            <w:bottom w:val="none" w:sz="0" w:space="0" w:color="auto"/>
            <w:right w:val="none" w:sz="0" w:space="0" w:color="auto"/>
          </w:divBdr>
        </w:div>
        <w:div w:id="352457966">
          <w:marLeft w:val="0"/>
          <w:marRight w:val="0"/>
          <w:marTop w:val="0"/>
          <w:marBottom w:val="0"/>
          <w:divBdr>
            <w:top w:val="none" w:sz="0" w:space="0" w:color="auto"/>
            <w:left w:val="none" w:sz="0" w:space="0" w:color="auto"/>
            <w:bottom w:val="none" w:sz="0" w:space="0" w:color="auto"/>
            <w:right w:val="none" w:sz="0" w:space="0" w:color="auto"/>
          </w:divBdr>
        </w:div>
        <w:div w:id="352998571">
          <w:marLeft w:val="0"/>
          <w:marRight w:val="0"/>
          <w:marTop w:val="0"/>
          <w:marBottom w:val="0"/>
          <w:divBdr>
            <w:top w:val="none" w:sz="0" w:space="0" w:color="auto"/>
            <w:left w:val="none" w:sz="0" w:space="0" w:color="auto"/>
            <w:bottom w:val="none" w:sz="0" w:space="0" w:color="auto"/>
            <w:right w:val="none" w:sz="0" w:space="0" w:color="auto"/>
          </w:divBdr>
        </w:div>
        <w:div w:id="353119512">
          <w:marLeft w:val="0"/>
          <w:marRight w:val="0"/>
          <w:marTop w:val="0"/>
          <w:marBottom w:val="0"/>
          <w:divBdr>
            <w:top w:val="none" w:sz="0" w:space="0" w:color="auto"/>
            <w:left w:val="none" w:sz="0" w:space="0" w:color="auto"/>
            <w:bottom w:val="none" w:sz="0" w:space="0" w:color="auto"/>
            <w:right w:val="none" w:sz="0" w:space="0" w:color="auto"/>
          </w:divBdr>
        </w:div>
        <w:div w:id="354157086">
          <w:marLeft w:val="0"/>
          <w:marRight w:val="0"/>
          <w:marTop w:val="0"/>
          <w:marBottom w:val="0"/>
          <w:divBdr>
            <w:top w:val="none" w:sz="0" w:space="0" w:color="auto"/>
            <w:left w:val="none" w:sz="0" w:space="0" w:color="auto"/>
            <w:bottom w:val="none" w:sz="0" w:space="0" w:color="auto"/>
            <w:right w:val="none" w:sz="0" w:space="0" w:color="auto"/>
          </w:divBdr>
        </w:div>
        <w:div w:id="356003402">
          <w:marLeft w:val="0"/>
          <w:marRight w:val="0"/>
          <w:marTop w:val="0"/>
          <w:marBottom w:val="0"/>
          <w:divBdr>
            <w:top w:val="none" w:sz="0" w:space="0" w:color="auto"/>
            <w:left w:val="none" w:sz="0" w:space="0" w:color="auto"/>
            <w:bottom w:val="none" w:sz="0" w:space="0" w:color="auto"/>
            <w:right w:val="none" w:sz="0" w:space="0" w:color="auto"/>
          </w:divBdr>
        </w:div>
        <w:div w:id="356128476">
          <w:marLeft w:val="0"/>
          <w:marRight w:val="0"/>
          <w:marTop w:val="0"/>
          <w:marBottom w:val="0"/>
          <w:divBdr>
            <w:top w:val="none" w:sz="0" w:space="0" w:color="auto"/>
            <w:left w:val="none" w:sz="0" w:space="0" w:color="auto"/>
            <w:bottom w:val="none" w:sz="0" w:space="0" w:color="auto"/>
            <w:right w:val="none" w:sz="0" w:space="0" w:color="auto"/>
          </w:divBdr>
        </w:div>
        <w:div w:id="360477369">
          <w:marLeft w:val="0"/>
          <w:marRight w:val="0"/>
          <w:marTop w:val="0"/>
          <w:marBottom w:val="0"/>
          <w:divBdr>
            <w:top w:val="none" w:sz="0" w:space="0" w:color="auto"/>
            <w:left w:val="none" w:sz="0" w:space="0" w:color="auto"/>
            <w:bottom w:val="none" w:sz="0" w:space="0" w:color="auto"/>
            <w:right w:val="none" w:sz="0" w:space="0" w:color="auto"/>
          </w:divBdr>
        </w:div>
        <w:div w:id="360670335">
          <w:marLeft w:val="0"/>
          <w:marRight w:val="0"/>
          <w:marTop w:val="0"/>
          <w:marBottom w:val="0"/>
          <w:divBdr>
            <w:top w:val="none" w:sz="0" w:space="0" w:color="auto"/>
            <w:left w:val="none" w:sz="0" w:space="0" w:color="auto"/>
            <w:bottom w:val="none" w:sz="0" w:space="0" w:color="auto"/>
            <w:right w:val="none" w:sz="0" w:space="0" w:color="auto"/>
          </w:divBdr>
        </w:div>
        <w:div w:id="361519484">
          <w:marLeft w:val="0"/>
          <w:marRight w:val="0"/>
          <w:marTop w:val="0"/>
          <w:marBottom w:val="0"/>
          <w:divBdr>
            <w:top w:val="none" w:sz="0" w:space="0" w:color="auto"/>
            <w:left w:val="none" w:sz="0" w:space="0" w:color="auto"/>
            <w:bottom w:val="none" w:sz="0" w:space="0" w:color="auto"/>
            <w:right w:val="none" w:sz="0" w:space="0" w:color="auto"/>
          </w:divBdr>
        </w:div>
        <w:div w:id="361828554">
          <w:marLeft w:val="0"/>
          <w:marRight w:val="0"/>
          <w:marTop w:val="0"/>
          <w:marBottom w:val="0"/>
          <w:divBdr>
            <w:top w:val="none" w:sz="0" w:space="0" w:color="auto"/>
            <w:left w:val="none" w:sz="0" w:space="0" w:color="auto"/>
            <w:bottom w:val="none" w:sz="0" w:space="0" w:color="auto"/>
            <w:right w:val="none" w:sz="0" w:space="0" w:color="auto"/>
          </w:divBdr>
        </w:div>
        <w:div w:id="367416015">
          <w:marLeft w:val="0"/>
          <w:marRight w:val="0"/>
          <w:marTop w:val="0"/>
          <w:marBottom w:val="0"/>
          <w:divBdr>
            <w:top w:val="none" w:sz="0" w:space="0" w:color="auto"/>
            <w:left w:val="none" w:sz="0" w:space="0" w:color="auto"/>
            <w:bottom w:val="none" w:sz="0" w:space="0" w:color="auto"/>
            <w:right w:val="none" w:sz="0" w:space="0" w:color="auto"/>
          </w:divBdr>
        </w:div>
        <w:div w:id="367609867">
          <w:marLeft w:val="0"/>
          <w:marRight w:val="0"/>
          <w:marTop w:val="0"/>
          <w:marBottom w:val="0"/>
          <w:divBdr>
            <w:top w:val="none" w:sz="0" w:space="0" w:color="auto"/>
            <w:left w:val="none" w:sz="0" w:space="0" w:color="auto"/>
            <w:bottom w:val="none" w:sz="0" w:space="0" w:color="auto"/>
            <w:right w:val="none" w:sz="0" w:space="0" w:color="auto"/>
          </w:divBdr>
        </w:div>
        <w:div w:id="368144448">
          <w:marLeft w:val="0"/>
          <w:marRight w:val="0"/>
          <w:marTop w:val="0"/>
          <w:marBottom w:val="0"/>
          <w:divBdr>
            <w:top w:val="none" w:sz="0" w:space="0" w:color="auto"/>
            <w:left w:val="none" w:sz="0" w:space="0" w:color="auto"/>
            <w:bottom w:val="none" w:sz="0" w:space="0" w:color="auto"/>
            <w:right w:val="none" w:sz="0" w:space="0" w:color="auto"/>
          </w:divBdr>
        </w:div>
        <w:div w:id="369762787">
          <w:marLeft w:val="0"/>
          <w:marRight w:val="0"/>
          <w:marTop w:val="0"/>
          <w:marBottom w:val="0"/>
          <w:divBdr>
            <w:top w:val="none" w:sz="0" w:space="0" w:color="auto"/>
            <w:left w:val="none" w:sz="0" w:space="0" w:color="auto"/>
            <w:bottom w:val="none" w:sz="0" w:space="0" w:color="auto"/>
            <w:right w:val="none" w:sz="0" w:space="0" w:color="auto"/>
          </w:divBdr>
        </w:div>
        <w:div w:id="369844661">
          <w:marLeft w:val="0"/>
          <w:marRight w:val="0"/>
          <w:marTop w:val="0"/>
          <w:marBottom w:val="0"/>
          <w:divBdr>
            <w:top w:val="none" w:sz="0" w:space="0" w:color="auto"/>
            <w:left w:val="none" w:sz="0" w:space="0" w:color="auto"/>
            <w:bottom w:val="none" w:sz="0" w:space="0" w:color="auto"/>
            <w:right w:val="none" w:sz="0" w:space="0" w:color="auto"/>
          </w:divBdr>
        </w:div>
        <w:div w:id="370299756">
          <w:marLeft w:val="0"/>
          <w:marRight w:val="0"/>
          <w:marTop w:val="0"/>
          <w:marBottom w:val="0"/>
          <w:divBdr>
            <w:top w:val="none" w:sz="0" w:space="0" w:color="auto"/>
            <w:left w:val="none" w:sz="0" w:space="0" w:color="auto"/>
            <w:bottom w:val="none" w:sz="0" w:space="0" w:color="auto"/>
            <w:right w:val="none" w:sz="0" w:space="0" w:color="auto"/>
          </w:divBdr>
        </w:div>
        <w:div w:id="384648219">
          <w:marLeft w:val="0"/>
          <w:marRight w:val="0"/>
          <w:marTop w:val="0"/>
          <w:marBottom w:val="0"/>
          <w:divBdr>
            <w:top w:val="none" w:sz="0" w:space="0" w:color="auto"/>
            <w:left w:val="none" w:sz="0" w:space="0" w:color="auto"/>
            <w:bottom w:val="none" w:sz="0" w:space="0" w:color="auto"/>
            <w:right w:val="none" w:sz="0" w:space="0" w:color="auto"/>
          </w:divBdr>
        </w:div>
        <w:div w:id="385564429">
          <w:marLeft w:val="0"/>
          <w:marRight w:val="0"/>
          <w:marTop w:val="0"/>
          <w:marBottom w:val="0"/>
          <w:divBdr>
            <w:top w:val="none" w:sz="0" w:space="0" w:color="auto"/>
            <w:left w:val="none" w:sz="0" w:space="0" w:color="auto"/>
            <w:bottom w:val="none" w:sz="0" w:space="0" w:color="auto"/>
            <w:right w:val="none" w:sz="0" w:space="0" w:color="auto"/>
          </w:divBdr>
        </w:div>
        <w:div w:id="390347455">
          <w:marLeft w:val="0"/>
          <w:marRight w:val="0"/>
          <w:marTop w:val="0"/>
          <w:marBottom w:val="0"/>
          <w:divBdr>
            <w:top w:val="none" w:sz="0" w:space="0" w:color="auto"/>
            <w:left w:val="none" w:sz="0" w:space="0" w:color="auto"/>
            <w:bottom w:val="none" w:sz="0" w:space="0" w:color="auto"/>
            <w:right w:val="none" w:sz="0" w:space="0" w:color="auto"/>
          </w:divBdr>
        </w:div>
        <w:div w:id="390419835">
          <w:marLeft w:val="0"/>
          <w:marRight w:val="0"/>
          <w:marTop w:val="0"/>
          <w:marBottom w:val="0"/>
          <w:divBdr>
            <w:top w:val="none" w:sz="0" w:space="0" w:color="auto"/>
            <w:left w:val="none" w:sz="0" w:space="0" w:color="auto"/>
            <w:bottom w:val="none" w:sz="0" w:space="0" w:color="auto"/>
            <w:right w:val="none" w:sz="0" w:space="0" w:color="auto"/>
          </w:divBdr>
        </w:div>
        <w:div w:id="391851623">
          <w:marLeft w:val="0"/>
          <w:marRight w:val="0"/>
          <w:marTop w:val="0"/>
          <w:marBottom w:val="0"/>
          <w:divBdr>
            <w:top w:val="none" w:sz="0" w:space="0" w:color="auto"/>
            <w:left w:val="none" w:sz="0" w:space="0" w:color="auto"/>
            <w:bottom w:val="none" w:sz="0" w:space="0" w:color="auto"/>
            <w:right w:val="none" w:sz="0" w:space="0" w:color="auto"/>
          </w:divBdr>
        </w:div>
        <w:div w:id="394160180">
          <w:marLeft w:val="0"/>
          <w:marRight w:val="0"/>
          <w:marTop w:val="0"/>
          <w:marBottom w:val="0"/>
          <w:divBdr>
            <w:top w:val="none" w:sz="0" w:space="0" w:color="auto"/>
            <w:left w:val="none" w:sz="0" w:space="0" w:color="auto"/>
            <w:bottom w:val="none" w:sz="0" w:space="0" w:color="auto"/>
            <w:right w:val="none" w:sz="0" w:space="0" w:color="auto"/>
          </w:divBdr>
        </w:div>
        <w:div w:id="394552749">
          <w:marLeft w:val="0"/>
          <w:marRight w:val="0"/>
          <w:marTop w:val="0"/>
          <w:marBottom w:val="0"/>
          <w:divBdr>
            <w:top w:val="none" w:sz="0" w:space="0" w:color="auto"/>
            <w:left w:val="none" w:sz="0" w:space="0" w:color="auto"/>
            <w:bottom w:val="none" w:sz="0" w:space="0" w:color="auto"/>
            <w:right w:val="none" w:sz="0" w:space="0" w:color="auto"/>
          </w:divBdr>
        </w:div>
        <w:div w:id="400716234">
          <w:marLeft w:val="0"/>
          <w:marRight w:val="0"/>
          <w:marTop w:val="0"/>
          <w:marBottom w:val="0"/>
          <w:divBdr>
            <w:top w:val="none" w:sz="0" w:space="0" w:color="auto"/>
            <w:left w:val="none" w:sz="0" w:space="0" w:color="auto"/>
            <w:bottom w:val="none" w:sz="0" w:space="0" w:color="auto"/>
            <w:right w:val="none" w:sz="0" w:space="0" w:color="auto"/>
          </w:divBdr>
        </w:div>
        <w:div w:id="406611790">
          <w:marLeft w:val="0"/>
          <w:marRight w:val="0"/>
          <w:marTop w:val="0"/>
          <w:marBottom w:val="0"/>
          <w:divBdr>
            <w:top w:val="none" w:sz="0" w:space="0" w:color="auto"/>
            <w:left w:val="none" w:sz="0" w:space="0" w:color="auto"/>
            <w:bottom w:val="none" w:sz="0" w:space="0" w:color="auto"/>
            <w:right w:val="none" w:sz="0" w:space="0" w:color="auto"/>
          </w:divBdr>
        </w:div>
        <w:div w:id="415170985">
          <w:marLeft w:val="0"/>
          <w:marRight w:val="0"/>
          <w:marTop w:val="0"/>
          <w:marBottom w:val="0"/>
          <w:divBdr>
            <w:top w:val="none" w:sz="0" w:space="0" w:color="auto"/>
            <w:left w:val="none" w:sz="0" w:space="0" w:color="auto"/>
            <w:bottom w:val="none" w:sz="0" w:space="0" w:color="auto"/>
            <w:right w:val="none" w:sz="0" w:space="0" w:color="auto"/>
          </w:divBdr>
        </w:div>
        <w:div w:id="416710264">
          <w:marLeft w:val="0"/>
          <w:marRight w:val="0"/>
          <w:marTop w:val="0"/>
          <w:marBottom w:val="0"/>
          <w:divBdr>
            <w:top w:val="none" w:sz="0" w:space="0" w:color="auto"/>
            <w:left w:val="none" w:sz="0" w:space="0" w:color="auto"/>
            <w:bottom w:val="none" w:sz="0" w:space="0" w:color="auto"/>
            <w:right w:val="none" w:sz="0" w:space="0" w:color="auto"/>
          </w:divBdr>
        </w:div>
        <w:div w:id="418672514">
          <w:marLeft w:val="0"/>
          <w:marRight w:val="0"/>
          <w:marTop w:val="0"/>
          <w:marBottom w:val="0"/>
          <w:divBdr>
            <w:top w:val="none" w:sz="0" w:space="0" w:color="auto"/>
            <w:left w:val="none" w:sz="0" w:space="0" w:color="auto"/>
            <w:bottom w:val="none" w:sz="0" w:space="0" w:color="auto"/>
            <w:right w:val="none" w:sz="0" w:space="0" w:color="auto"/>
          </w:divBdr>
        </w:div>
        <w:div w:id="423843300">
          <w:marLeft w:val="0"/>
          <w:marRight w:val="0"/>
          <w:marTop w:val="0"/>
          <w:marBottom w:val="0"/>
          <w:divBdr>
            <w:top w:val="none" w:sz="0" w:space="0" w:color="auto"/>
            <w:left w:val="none" w:sz="0" w:space="0" w:color="auto"/>
            <w:bottom w:val="none" w:sz="0" w:space="0" w:color="auto"/>
            <w:right w:val="none" w:sz="0" w:space="0" w:color="auto"/>
          </w:divBdr>
        </w:div>
        <w:div w:id="425032252">
          <w:marLeft w:val="0"/>
          <w:marRight w:val="0"/>
          <w:marTop w:val="0"/>
          <w:marBottom w:val="0"/>
          <w:divBdr>
            <w:top w:val="none" w:sz="0" w:space="0" w:color="auto"/>
            <w:left w:val="none" w:sz="0" w:space="0" w:color="auto"/>
            <w:bottom w:val="none" w:sz="0" w:space="0" w:color="auto"/>
            <w:right w:val="none" w:sz="0" w:space="0" w:color="auto"/>
          </w:divBdr>
        </w:div>
        <w:div w:id="431122733">
          <w:marLeft w:val="0"/>
          <w:marRight w:val="0"/>
          <w:marTop w:val="0"/>
          <w:marBottom w:val="0"/>
          <w:divBdr>
            <w:top w:val="none" w:sz="0" w:space="0" w:color="auto"/>
            <w:left w:val="none" w:sz="0" w:space="0" w:color="auto"/>
            <w:bottom w:val="none" w:sz="0" w:space="0" w:color="auto"/>
            <w:right w:val="none" w:sz="0" w:space="0" w:color="auto"/>
          </w:divBdr>
        </w:div>
        <w:div w:id="432480596">
          <w:marLeft w:val="0"/>
          <w:marRight w:val="0"/>
          <w:marTop w:val="0"/>
          <w:marBottom w:val="0"/>
          <w:divBdr>
            <w:top w:val="none" w:sz="0" w:space="0" w:color="auto"/>
            <w:left w:val="none" w:sz="0" w:space="0" w:color="auto"/>
            <w:bottom w:val="none" w:sz="0" w:space="0" w:color="auto"/>
            <w:right w:val="none" w:sz="0" w:space="0" w:color="auto"/>
          </w:divBdr>
        </w:div>
        <w:div w:id="433942662">
          <w:marLeft w:val="0"/>
          <w:marRight w:val="0"/>
          <w:marTop w:val="0"/>
          <w:marBottom w:val="0"/>
          <w:divBdr>
            <w:top w:val="none" w:sz="0" w:space="0" w:color="auto"/>
            <w:left w:val="none" w:sz="0" w:space="0" w:color="auto"/>
            <w:bottom w:val="none" w:sz="0" w:space="0" w:color="auto"/>
            <w:right w:val="none" w:sz="0" w:space="0" w:color="auto"/>
          </w:divBdr>
        </w:div>
        <w:div w:id="440800373">
          <w:marLeft w:val="0"/>
          <w:marRight w:val="0"/>
          <w:marTop w:val="0"/>
          <w:marBottom w:val="0"/>
          <w:divBdr>
            <w:top w:val="none" w:sz="0" w:space="0" w:color="auto"/>
            <w:left w:val="none" w:sz="0" w:space="0" w:color="auto"/>
            <w:bottom w:val="none" w:sz="0" w:space="0" w:color="auto"/>
            <w:right w:val="none" w:sz="0" w:space="0" w:color="auto"/>
          </w:divBdr>
        </w:div>
        <w:div w:id="448821004">
          <w:marLeft w:val="0"/>
          <w:marRight w:val="0"/>
          <w:marTop w:val="0"/>
          <w:marBottom w:val="0"/>
          <w:divBdr>
            <w:top w:val="none" w:sz="0" w:space="0" w:color="auto"/>
            <w:left w:val="none" w:sz="0" w:space="0" w:color="auto"/>
            <w:bottom w:val="none" w:sz="0" w:space="0" w:color="auto"/>
            <w:right w:val="none" w:sz="0" w:space="0" w:color="auto"/>
          </w:divBdr>
        </w:div>
        <w:div w:id="450974887">
          <w:marLeft w:val="0"/>
          <w:marRight w:val="0"/>
          <w:marTop w:val="0"/>
          <w:marBottom w:val="0"/>
          <w:divBdr>
            <w:top w:val="none" w:sz="0" w:space="0" w:color="auto"/>
            <w:left w:val="none" w:sz="0" w:space="0" w:color="auto"/>
            <w:bottom w:val="none" w:sz="0" w:space="0" w:color="auto"/>
            <w:right w:val="none" w:sz="0" w:space="0" w:color="auto"/>
          </w:divBdr>
        </w:div>
        <w:div w:id="451170936">
          <w:marLeft w:val="0"/>
          <w:marRight w:val="0"/>
          <w:marTop w:val="0"/>
          <w:marBottom w:val="0"/>
          <w:divBdr>
            <w:top w:val="none" w:sz="0" w:space="0" w:color="auto"/>
            <w:left w:val="none" w:sz="0" w:space="0" w:color="auto"/>
            <w:bottom w:val="none" w:sz="0" w:space="0" w:color="auto"/>
            <w:right w:val="none" w:sz="0" w:space="0" w:color="auto"/>
          </w:divBdr>
        </w:div>
        <w:div w:id="451175083">
          <w:marLeft w:val="0"/>
          <w:marRight w:val="0"/>
          <w:marTop w:val="0"/>
          <w:marBottom w:val="0"/>
          <w:divBdr>
            <w:top w:val="none" w:sz="0" w:space="0" w:color="auto"/>
            <w:left w:val="none" w:sz="0" w:space="0" w:color="auto"/>
            <w:bottom w:val="none" w:sz="0" w:space="0" w:color="auto"/>
            <w:right w:val="none" w:sz="0" w:space="0" w:color="auto"/>
          </w:divBdr>
        </w:div>
        <w:div w:id="454755183">
          <w:marLeft w:val="0"/>
          <w:marRight w:val="0"/>
          <w:marTop w:val="0"/>
          <w:marBottom w:val="0"/>
          <w:divBdr>
            <w:top w:val="none" w:sz="0" w:space="0" w:color="auto"/>
            <w:left w:val="none" w:sz="0" w:space="0" w:color="auto"/>
            <w:bottom w:val="none" w:sz="0" w:space="0" w:color="auto"/>
            <w:right w:val="none" w:sz="0" w:space="0" w:color="auto"/>
          </w:divBdr>
        </w:div>
        <w:div w:id="455024452">
          <w:marLeft w:val="0"/>
          <w:marRight w:val="0"/>
          <w:marTop w:val="0"/>
          <w:marBottom w:val="0"/>
          <w:divBdr>
            <w:top w:val="none" w:sz="0" w:space="0" w:color="auto"/>
            <w:left w:val="none" w:sz="0" w:space="0" w:color="auto"/>
            <w:bottom w:val="none" w:sz="0" w:space="0" w:color="auto"/>
            <w:right w:val="none" w:sz="0" w:space="0" w:color="auto"/>
          </w:divBdr>
        </w:div>
        <w:div w:id="457643754">
          <w:marLeft w:val="0"/>
          <w:marRight w:val="0"/>
          <w:marTop w:val="0"/>
          <w:marBottom w:val="0"/>
          <w:divBdr>
            <w:top w:val="none" w:sz="0" w:space="0" w:color="auto"/>
            <w:left w:val="none" w:sz="0" w:space="0" w:color="auto"/>
            <w:bottom w:val="none" w:sz="0" w:space="0" w:color="auto"/>
            <w:right w:val="none" w:sz="0" w:space="0" w:color="auto"/>
          </w:divBdr>
        </w:div>
        <w:div w:id="458643205">
          <w:marLeft w:val="0"/>
          <w:marRight w:val="0"/>
          <w:marTop w:val="0"/>
          <w:marBottom w:val="0"/>
          <w:divBdr>
            <w:top w:val="none" w:sz="0" w:space="0" w:color="auto"/>
            <w:left w:val="none" w:sz="0" w:space="0" w:color="auto"/>
            <w:bottom w:val="none" w:sz="0" w:space="0" w:color="auto"/>
            <w:right w:val="none" w:sz="0" w:space="0" w:color="auto"/>
          </w:divBdr>
        </w:div>
        <w:div w:id="462961469">
          <w:marLeft w:val="0"/>
          <w:marRight w:val="0"/>
          <w:marTop w:val="0"/>
          <w:marBottom w:val="0"/>
          <w:divBdr>
            <w:top w:val="none" w:sz="0" w:space="0" w:color="auto"/>
            <w:left w:val="none" w:sz="0" w:space="0" w:color="auto"/>
            <w:bottom w:val="none" w:sz="0" w:space="0" w:color="auto"/>
            <w:right w:val="none" w:sz="0" w:space="0" w:color="auto"/>
          </w:divBdr>
        </w:div>
        <w:div w:id="462966736">
          <w:marLeft w:val="0"/>
          <w:marRight w:val="0"/>
          <w:marTop w:val="0"/>
          <w:marBottom w:val="0"/>
          <w:divBdr>
            <w:top w:val="none" w:sz="0" w:space="0" w:color="auto"/>
            <w:left w:val="none" w:sz="0" w:space="0" w:color="auto"/>
            <w:bottom w:val="none" w:sz="0" w:space="0" w:color="auto"/>
            <w:right w:val="none" w:sz="0" w:space="0" w:color="auto"/>
          </w:divBdr>
        </w:div>
        <w:div w:id="465003510">
          <w:marLeft w:val="0"/>
          <w:marRight w:val="0"/>
          <w:marTop w:val="0"/>
          <w:marBottom w:val="0"/>
          <w:divBdr>
            <w:top w:val="none" w:sz="0" w:space="0" w:color="auto"/>
            <w:left w:val="none" w:sz="0" w:space="0" w:color="auto"/>
            <w:bottom w:val="none" w:sz="0" w:space="0" w:color="auto"/>
            <w:right w:val="none" w:sz="0" w:space="0" w:color="auto"/>
          </w:divBdr>
        </w:div>
        <w:div w:id="481120490">
          <w:marLeft w:val="0"/>
          <w:marRight w:val="0"/>
          <w:marTop w:val="0"/>
          <w:marBottom w:val="0"/>
          <w:divBdr>
            <w:top w:val="none" w:sz="0" w:space="0" w:color="auto"/>
            <w:left w:val="none" w:sz="0" w:space="0" w:color="auto"/>
            <w:bottom w:val="none" w:sz="0" w:space="0" w:color="auto"/>
            <w:right w:val="none" w:sz="0" w:space="0" w:color="auto"/>
          </w:divBdr>
        </w:div>
        <w:div w:id="487476025">
          <w:marLeft w:val="0"/>
          <w:marRight w:val="0"/>
          <w:marTop w:val="0"/>
          <w:marBottom w:val="0"/>
          <w:divBdr>
            <w:top w:val="none" w:sz="0" w:space="0" w:color="auto"/>
            <w:left w:val="none" w:sz="0" w:space="0" w:color="auto"/>
            <w:bottom w:val="none" w:sz="0" w:space="0" w:color="auto"/>
            <w:right w:val="none" w:sz="0" w:space="0" w:color="auto"/>
          </w:divBdr>
        </w:div>
        <w:div w:id="487864473">
          <w:marLeft w:val="0"/>
          <w:marRight w:val="0"/>
          <w:marTop w:val="0"/>
          <w:marBottom w:val="0"/>
          <w:divBdr>
            <w:top w:val="none" w:sz="0" w:space="0" w:color="auto"/>
            <w:left w:val="none" w:sz="0" w:space="0" w:color="auto"/>
            <w:bottom w:val="none" w:sz="0" w:space="0" w:color="auto"/>
            <w:right w:val="none" w:sz="0" w:space="0" w:color="auto"/>
          </w:divBdr>
        </w:div>
        <w:div w:id="488641648">
          <w:marLeft w:val="0"/>
          <w:marRight w:val="0"/>
          <w:marTop w:val="0"/>
          <w:marBottom w:val="0"/>
          <w:divBdr>
            <w:top w:val="none" w:sz="0" w:space="0" w:color="auto"/>
            <w:left w:val="none" w:sz="0" w:space="0" w:color="auto"/>
            <w:bottom w:val="none" w:sz="0" w:space="0" w:color="auto"/>
            <w:right w:val="none" w:sz="0" w:space="0" w:color="auto"/>
          </w:divBdr>
        </w:div>
        <w:div w:id="490410751">
          <w:marLeft w:val="0"/>
          <w:marRight w:val="0"/>
          <w:marTop w:val="0"/>
          <w:marBottom w:val="0"/>
          <w:divBdr>
            <w:top w:val="none" w:sz="0" w:space="0" w:color="auto"/>
            <w:left w:val="none" w:sz="0" w:space="0" w:color="auto"/>
            <w:bottom w:val="none" w:sz="0" w:space="0" w:color="auto"/>
            <w:right w:val="none" w:sz="0" w:space="0" w:color="auto"/>
          </w:divBdr>
        </w:div>
        <w:div w:id="490492013">
          <w:marLeft w:val="0"/>
          <w:marRight w:val="0"/>
          <w:marTop w:val="0"/>
          <w:marBottom w:val="0"/>
          <w:divBdr>
            <w:top w:val="none" w:sz="0" w:space="0" w:color="auto"/>
            <w:left w:val="none" w:sz="0" w:space="0" w:color="auto"/>
            <w:bottom w:val="none" w:sz="0" w:space="0" w:color="auto"/>
            <w:right w:val="none" w:sz="0" w:space="0" w:color="auto"/>
          </w:divBdr>
        </w:div>
        <w:div w:id="491868318">
          <w:marLeft w:val="0"/>
          <w:marRight w:val="0"/>
          <w:marTop w:val="0"/>
          <w:marBottom w:val="0"/>
          <w:divBdr>
            <w:top w:val="none" w:sz="0" w:space="0" w:color="auto"/>
            <w:left w:val="none" w:sz="0" w:space="0" w:color="auto"/>
            <w:bottom w:val="none" w:sz="0" w:space="0" w:color="auto"/>
            <w:right w:val="none" w:sz="0" w:space="0" w:color="auto"/>
          </w:divBdr>
        </w:div>
        <w:div w:id="494997274">
          <w:marLeft w:val="0"/>
          <w:marRight w:val="0"/>
          <w:marTop w:val="0"/>
          <w:marBottom w:val="0"/>
          <w:divBdr>
            <w:top w:val="none" w:sz="0" w:space="0" w:color="auto"/>
            <w:left w:val="none" w:sz="0" w:space="0" w:color="auto"/>
            <w:bottom w:val="none" w:sz="0" w:space="0" w:color="auto"/>
            <w:right w:val="none" w:sz="0" w:space="0" w:color="auto"/>
          </w:divBdr>
        </w:div>
        <w:div w:id="496531088">
          <w:marLeft w:val="0"/>
          <w:marRight w:val="0"/>
          <w:marTop w:val="0"/>
          <w:marBottom w:val="0"/>
          <w:divBdr>
            <w:top w:val="none" w:sz="0" w:space="0" w:color="auto"/>
            <w:left w:val="none" w:sz="0" w:space="0" w:color="auto"/>
            <w:bottom w:val="none" w:sz="0" w:space="0" w:color="auto"/>
            <w:right w:val="none" w:sz="0" w:space="0" w:color="auto"/>
          </w:divBdr>
        </w:div>
        <w:div w:id="501314000">
          <w:marLeft w:val="0"/>
          <w:marRight w:val="0"/>
          <w:marTop w:val="0"/>
          <w:marBottom w:val="0"/>
          <w:divBdr>
            <w:top w:val="none" w:sz="0" w:space="0" w:color="auto"/>
            <w:left w:val="none" w:sz="0" w:space="0" w:color="auto"/>
            <w:bottom w:val="none" w:sz="0" w:space="0" w:color="auto"/>
            <w:right w:val="none" w:sz="0" w:space="0" w:color="auto"/>
          </w:divBdr>
        </w:div>
        <w:div w:id="502162430">
          <w:marLeft w:val="0"/>
          <w:marRight w:val="0"/>
          <w:marTop w:val="0"/>
          <w:marBottom w:val="0"/>
          <w:divBdr>
            <w:top w:val="none" w:sz="0" w:space="0" w:color="auto"/>
            <w:left w:val="none" w:sz="0" w:space="0" w:color="auto"/>
            <w:bottom w:val="none" w:sz="0" w:space="0" w:color="auto"/>
            <w:right w:val="none" w:sz="0" w:space="0" w:color="auto"/>
          </w:divBdr>
        </w:div>
        <w:div w:id="505170742">
          <w:marLeft w:val="0"/>
          <w:marRight w:val="0"/>
          <w:marTop w:val="0"/>
          <w:marBottom w:val="0"/>
          <w:divBdr>
            <w:top w:val="none" w:sz="0" w:space="0" w:color="auto"/>
            <w:left w:val="none" w:sz="0" w:space="0" w:color="auto"/>
            <w:bottom w:val="none" w:sz="0" w:space="0" w:color="auto"/>
            <w:right w:val="none" w:sz="0" w:space="0" w:color="auto"/>
          </w:divBdr>
        </w:div>
        <w:div w:id="508839184">
          <w:marLeft w:val="0"/>
          <w:marRight w:val="0"/>
          <w:marTop w:val="0"/>
          <w:marBottom w:val="0"/>
          <w:divBdr>
            <w:top w:val="none" w:sz="0" w:space="0" w:color="auto"/>
            <w:left w:val="none" w:sz="0" w:space="0" w:color="auto"/>
            <w:bottom w:val="none" w:sz="0" w:space="0" w:color="auto"/>
            <w:right w:val="none" w:sz="0" w:space="0" w:color="auto"/>
          </w:divBdr>
        </w:div>
        <w:div w:id="510805430">
          <w:marLeft w:val="0"/>
          <w:marRight w:val="0"/>
          <w:marTop w:val="0"/>
          <w:marBottom w:val="0"/>
          <w:divBdr>
            <w:top w:val="none" w:sz="0" w:space="0" w:color="auto"/>
            <w:left w:val="none" w:sz="0" w:space="0" w:color="auto"/>
            <w:bottom w:val="none" w:sz="0" w:space="0" w:color="auto"/>
            <w:right w:val="none" w:sz="0" w:space="0" w:color="auto"/>
          </w:divBdr>
        </w:div>
        <w:div w:id="511382755">
          <w:marLeft w:val="0"/>
          <w:marRight w:val="0"/>
          <w:marTop w:val="0"/>
          <w:marBottom w:val="0"/>
          <w:divBdr>
            <w:top w:val="none" w:sz="0" w:space="0" w:color="auto"/>
            <w:left w:val="none" w:sz="0" w:space="0" w:color="auto"/>
            <w:bottom w:val="none" w:sz="0" w:space="0" w:color="auto"/>
            <w:right w:val="none" w:sz="0" w:space="0" w:color="auto"/>
          </w:divBdr>
        </w:div>
        <w:div w:id="512454190">
          <w:marLeft w:val="0"/>
          <w:marRight w:val="0"/>
          <w:marTop w:val="0"/>
          <w:marBottom w:val="0"/>
          <w:divBdr>
            <w:top w:val="none" w:sz="0" w:space="0" w:color="auto"/>
            <w:left w:val="none" w:sz="0" w:space="0" w:color="auto"/>
            <w:bottom w:val="none" w:sz="0" w:space="0" w:color="auto"/>
            <w:right w:val="none" w:sz="0" w:space="0" w:color="auto"/>
          </w:divBdr>
        </w:div>
        <w:div w:id="512456853">
          <w:marLeft w:val="0"/>
          <w:marRight w:val="0"/>
          <w:marTop w:val="0"/>
          <w:marBottom w:val="0"/>
          <w:divBdr>
            <w:top w:val="none" w:sz="0" w:space="0" w:color="auto"/>
            <w:left w:val="none" w:sz="0" w:space="0" w:color="auto"/>
            <w:bottom w:val="none" w:sz="0" w:space="0" w:color="auto"/>
            <w:right w:val="none" w:sz="0" w:space="0" w:color="auto"/>
          </w:divBdr>
        </w:div>
        <w:div w:id="515655578">
          <w:marLeft w:val="0"/>
          <w:marRight w:val="0"/>
          <w:marTop w:val="0"/>
          <w:marBottom w:val="0"/>
          <w:divBdr>
            <w:top w:val="none" w:sz="0" w:space="0" w:color="auto"/>
            <w:left w:val="none" w:sz="0" w:space="0" w:color="auto"/>
            <w:bottom w:val="none" w:sz="0" w:space="0" w:color="auto"/>
            <w:right w:val="none" w:sz="0" w:space="0" w:color="auto"/>
          </w:divBdr>
        </w:div>
        <w:div w:id="520507871">
          <w:marLeft w:val="0"/>
          <w:marRight w:val="0"/>
          <w:marTop w:val="0"/>
          <w:marBottom w:val="0"/>
          <w:divBdr>
            <w:top w:val="none" w:sz="0" w:space="0" w:color="auto"/>
            <w:left w:val="none" w:sz="0" w:space="0" w:color="auto"/>
            <w:bottom w:val="none" w:sz="0" w:space="0" w:color="auto"/>
            <w:right w:val="none" w:sz="0" w:space="0" w:color="auto"/>
          </w:divBdr>
        </w:div>
        <w:div w:id="521627814">
          <w:marLeft w:val="0"/>
          <w:marRight w:val="0"/>
          <w:marTop w:val="0"/>
          <w:marBottom w:val="0"/>
          <w:divBdr>
            <w:top w:val="none" w:sz="0" w:space="0" w:color="auto"/>
            <w:left w:val="none" w:sz="0" w:space="0" w:color="auto"/>
            <w:bottom w:val="none" w:sz="0" w:space="0" w:color="auto"/>
            <w:right w:val="none" w:sz="0" w:space="0" w:color="auto"/>
          </w:divBdr>
        </w:div>
        <w:div w:id="524178175">
          <w:marLeft w:val="0"/>
          <w:marRight w:val="0"/>
          <w:marTop w:val="0"/>
          <w:marBottom w:val="0"/>
          <w:divBdr>
            <w:top w:val="none" w:sz="0" w:space="0" w:color="auto"/>
            <w:left w:val="none" w:sz="0" w:space="0" w:color="auto"/>
            <w:bottom w:val="none" w:sz="0" w:space="0" w:color="auto"/>
            <w:right w:val="none" w:sz="0" w:space="0" w:color="auto"/>
          </w:divBdr>
        </w:div>
        <w:div w:id="532158118">
          <w:marLeft w:val="0"/>
          <w:marRight w:val="0"/>
          <w:marTop w:val="0"/>
          <w:marBottom w:val="0"/>
          <w:divBdr>
            <w:top w:val="none" w:sz="0" w:space="0" w:color="auto"/>
            <w:left w:val="none" w:sz="0" w:space="0" w:color="auto"/>
            <w:bottom w:val="none" w:sz="0" w:space="0" w:color="auto"/>
            <w:right w:val="none" w:sz="0" w:space="0" w:color="auto"/>
          </w:divBdr>
        </w:div>
        <w:div w:id="551162128">
          <w:marLeft w:val="0"/>
          <w:marRight w:val="0"/>
          <w:marTop w:val="0"/>
          <w:marBottom w:val="0"/>
          <w:divBdr>
            <w:top w:val="none" w:sz="0" w:space="0" w:color="auto"/>
            <w:left w:val="none" w:sz="0" w:space="0" w:color="auto"/>
            <w:bottom w:val="none" w:sz="0" w:space="0" w:color="auto"/>
            <w:right w:val="none" w:sz="0" w:space="0" w:color="auto"/>
          </w:divBdr>
        </w:div>
        <w:div w:id="551236698">
          <w:marLeft w:val="0"/>
          <w:marRight w:val="0"/>
          <w:marTop w:val="0"/>
          <w:marBottom w:val="0"/>
          <w:divBdr>
            <w:top w:val="none" w:sz="0" w:space="0" w:color="auto"/>
            <w:left w:val="none" w:sz="0" w:space="0" w:color="auto"/>
            <w:bottom w:val="none" w:sz="0" w:space="0" w:color="auto"/>
            <w:right w:val="none" w:sz="0" w:space="0" w:color="auto"/>
          </w:divBdr>
        </w:div>
        <w:div w:id="555360884">
          <w:marLeft w:val="0"/>
          <w:marRight w:val="0"/>
          <w:marTop w:val="0"/>
          <w:marBottom w:val="0"/>
          <w:divBdr>
            <w:top w:val="none" w:sz="0" w:space="0" w:color="auto"/>
            <w:left w:val="none" w:sz="0" w:space="0" w:color="auto"/>
            <w:bottom w:val="none" w:sz="0" w:space="0" w:color="auto"/>
            <w:right w:val="none" w:sz="0" w:space="0" w:color="auto"/>
          </w:divBdr>
        </w:div>
        <w:div w:id="561909179">
          <w:marLeft w:val="0"/>
          <w:marRight w:val="0"/>
          <w:marTop w:val="0"/>
          <w:marBottom w:val="0"/>
          <w:divBdr>
            <w:top w:val="none" w:sz="0" w:space="0" w:color="auto"/>
            <w:left w:val="none" w:sz="0" w:space="0" w:color="auto"/>
            <w:bottom w:val="none" w:sz="0" w:space="0" w:color="auto"/>
            <w:right w:val="none" w:sz="0" w:space="0" w:color="auto"/>
          </w:divBdr>
        </w:div>
        <w:div w:id="564797679">
          <w:marLeft w:val="0"/>
          <w:marRight w:val="0"/>
          <w:marTop w:val="0"/>
          <w:marBottom w:val="0"/>
          <w:divBdr>
            <w:top w:val="none" w:sz="0" w:space="0" w:color="auto"/>
            <w:left w:val="none" w:sz="0" w:space="0" w:color="auto"/>
            <w:bottom w:val="none" w:sz="0" w:space="0" w:color="auto"/>
            <w:right w:val="none" w:sz="0" w:space="0" w:color="auto"/>
          </w:divBdr>
        </w:div>
        <w:div w:id="567229630">
          <w:marLeft w:val="0"/>
          <w:marRight w:val="0"/>
          <w:marTop w:val="0"/>
          <w:marBottom w:val="0"/>
          <w:divBdr>
            <w:top w:val="none" w:sz="0" w:space="0" w:color="auto"/>
            <w:left w:val="none" w:sz="0" w:space="0" w:color="auto"/>
            <w:bottom w:val="none" w:sz="0" w:space="0" w:color="auto"/>
            <w:right w:val="none" w:sz="0" w:space="0" w:color="auto"/>
          </w:divBdr>
        </w:div>
        <w:div w:id="567306559">
          <w:marLeft w:val="0"/>
          <w:marRight w:val="0"/>
          <w:marTop w:val="0"/>
          <w:marBottom w:val="0"/>
          <w:divBdr>
            <w:top w:val="none" w:sz="0" w:space="0" w:color="auto"/>
            <w:left w:val="none" w:sz="0" w:space="0" w:color="auto"/>
            <w:bottom w:val="none" w:sz="0" w:space="0" w:color="auto"/>
            <w:right w:val="none" w:sz="0" w:space="0" w:color="auto"/>
          </w:divBdr>
        </w:div>
        <w:div w:id="573928422">
          <w:marLeft w:val="0"/>
          <w:marRight w:val="0"/>
          <w:marTop w:val="0"/>
          <w:marBottom w:val="0"/>
          <w:divBdr>
            <w:top w:val="none" w:sz="0" w:space="0" w:color="auto"/>
            <w:left w:val="none" w:sz="0" w:space="0" w:color="auto"/>
            <w:bottom w:val="none" w:sz="0" w:space="0" w:color="auto"/>
            <w:right w:val="none" w:sz="0" w:space="0" w:color="auto"/>
          </w:divBdr>
        </w:div>
        <w:div w:id="577322160">
          <w:marLeft w:val="0"/>
          <w:marRight w:val="0"/>
          <w:marTop w:val="0"/>
          <w:marBottom w:val="0"/>
          <w:divBdr>
            <w:top w:val="none" w:sz="0" w:space="0" w:color="auto"/>
            <w:left w:val="none" w:sz="0" w:space="0" w:color="auto"/>
            <w:bottom w:val="none" w:sz="0" w:space="0" w:color="auto"/>
            <w:right w:val="none" w:sz="0" w:space="0" w:color="auto"/>
          </w:divBdr>
        </w:div>
        <w:div w:id="581455004">
          <w:marLeft w:val="0"/>
          <w:marRight w:val="0"/>
          <w:marTop w:val="0"/>
          <w:marBottom w:val="0"/>
          <w:divBdr>
            <w:top w:val="none" w:sz="0" w:space="0" w:color="auto"/>
            <w:left w:val="none" w:sz="0" w:space="0" w:color="auto"/>
            <w:bottom w:val="none" w:sz="0" w:space="0" w:color="auto"/>
            <w:right w:val="none" w:sz="0" w:space="0" w:color="auto"/>
          </w:divBdr>
        </w:div>
        <w:div w:id="581716700">
          <w:marLeft w:val="0"/>
          <w:marRight w:val="0"/>
          <w:marTop w:val="0"/>
          <w:marBottom w:val="0"/>
          <w:divBdr>
            <w:top w:val="none" w:sz="0" w:space="0" w:color="auto"/>
            <w:left w:val="none" w:sz="0" w:space="0" w:color="auto"/>
            <w:bottom w:val="none" w:sz="0" w:space="0" w:color="auto"/>
            <w:right w:val="none" w:sz="0" w:space="0" w:color="auto"/>
          </w:divBdr>
        </w:div>
        <w:div w:id="583731567">
          <w:marLeft w:val="0"/>
          <w:marRight w:val="0"/>
          <w:marTop w:val="0"/>
          <w:marBottom w:val="0"/>
          <w:divBdr>
            <w:top w:val="none" w:sz="0" w:space="0" w:color="auto"/>
            <w:left w:val="none" w:sz="0" w:space="0" w:color="auto"/>
            <w:bottom w:val="none" w:sz="0" w:space="0" w:color="auto"/>
            <w:right w:val="none" w:sz="0" w:space="0" w:color="auto"/>
          </w:divBdr>
        </w:div>
        <w:div w:id="586303178">
          <w:marLeft w:val="0"/>
          <w:marRight w:val="0"/>
          <w:marTop w:val="0"/>
          <w:marBottom w:val="0"/>
          <w:divBdr>
            <w:top w:val="none" w:sz="0" w:space="0" w:color="auto"/>
            <w:left w:val="none" w:sz="0" w:space="0" w:color="auto"/>
            <w:bottom w:val="none" w:sz="0" w:space="0" w:color="auto"/>
            <w:right w:val="none" w:sz="0" w:space="0" w:color="auto"/>
          </w:divBdr>
        </w:div>
        <w:div w:id="591351904">
          <w:marLeft w:val="0"/>
          <w:marRight w:val="0"/>
          <w:marTop w:val="0"/>
          <w:marBottom w:val="0"/>
          <w:divBdr>
            <w:top w:val="none" w:sz="0" w:space="0" w:color="auto"/>
            <w:left w:val="none" w:sz="0" w:space="0" w:color="auto"/>
            <w:bottom w:val="none" w:sz="0" w:space="0" w:color="auto"/>
            <w:right w:val="none" w:sz="0" w:space="0" w:color="auto"/>
          </w:divBdr>
        </w:div>
        <w:div w:id="597370859">
          <w:marLeft w:val="0"/>
          <w:marRight w:val="0"/>
          <w:marTop w:val="0"/>
          <w:marBottom w:val="0"/>
          <w:divBdr>
            <w:top w:val="none" w:sz="0" w:space="0" w:color="auto"/>
            <w:left w:val="none" w:sz="0" w:space="0" w:color="auto"/>
            <w:bottom w:val="none" w:sz="0" w:space="0" w:color="auto"/>
            <w:right w:val="none" w:sz="0" w:space="0" w:color="auto"/>
          </w:divBdr>
        </w:div>
        <w:div w:id="600189537">
          <w:marLeft w:val="0"/>
          <w:marRight w:val="0"/>
          <w:marTop w:val="0"/>
          <w:marBottom w:val="0"/>
          <w:divBdr>
            <w:top w:val="none" w:sz="0" w:space="0" w:color="auto"/>
            <w:left w:val="none" w:sz="0" w:space="0" w:color="auto"/>
            <w:bottom w:val="none" w:sz="0" w:space="0" w:color="auto"/>
            <w:right w:val="none" w:sz="0" w:space="0" w:color="auto"/>
          </w:divBdr>
        </w:div>
        <w:div w:id="605232117">
          <w:marLeft w:val="0"/>
          <w:marRight w:val="0"/>
          <w:marTop w:val="0"/>
          <w:marBottom w:val="0"/>
          <w:divBdr>
            <w:top w:val="none" w:sz="0" w:space="0" w:color="auto"/>
            <w:left w:val="none" w:sz="0" w:space="0" w:color="auto"/>
            <w:bottom w:val="none" w:sz="0" w:space="0" w:color="auto"/>
            <w:right w:val="none" w:sz="0" w:space="0" w:color="auto"/>
          </w:divBdr>
        </w:div>
        <w:div w:id="605385783">
          <w:marLeft w:val="0"/>
          <w:marRight w:val="0"/>
          <w:marTop w:val="0"/>
          <w:marBottom w:val="0"/>
          <w:divBdr>
            <w:top w:val="none" w:sz="0" w:space="0" w:color="auto"/>
            <w:left w:val="none" w:sz="0" w:space="0" w:color="auto"/>
            <w:bottom w:val="none" w:sz="0" w:space="0" w:color="auto"/>
            <w:right w:val="none" w:sz="0" w:space="0" w:color="auto"/>
          </w:divBdr>
        </w:div>
        <w:div w:id="616956258">
          <w:marLeft w:val="0"/>
          <w:marRight w:val="0"/>
          <w:marTop w:val="0"/>
          <w:marBottom w:val="0"/>
          <w:divBdr>
            <w:top w:val="none" w:sz="0" w:space="0" w:color="auto"/>
            <w:left w:val="none" w:sz="0" w:space="0" w:color="auto"/>
            <w:bottom w:val="none" w:sz="0" w:space="0" w:color="auto"/>
            <w:right w:val="none" w:sz="0" w:space="0" w:color="auto"/>
          </w:divBdr>
        </w:div>
        <w:div w:id="621427609">
          <w:marLeft w:val="0"/>
          <w:marRight w:val="0"/>
          <w:marTop w:val="0"/>
          <w:marBottom w:val="0"/>
          <w:divBdr>
            <w:top w:val="none" w:sz="0" w:space="0" w:color="auto"/>
            <w:left w:val="none" w:sz="0" w:space="0" w:color="auto"/>
            <w:bottom w:val="none" w:sz="0" w:space="0" w:color="auto"/>
            <w:right w:val="none" w:sz="0" w:space="0" w:color="auto"/>
          </w:divBdr>
        </w:div>
        <w:div w:id="622419937">
          <w:marLeft w:val="0"/>
          <w:marRight w:val="0"/>
          <w:marTop w:val="0"/>
          <w:marBottom w:val="0"/>
          <w:divBdr>
            <w:top w:val="none" w:sz="0" w:space="0" w:color="auto"/>
            <w:left w:val="none" w:sz="0" w:space="0" w:color="auto"/>
            <w:bottom w:val="none" w:sz="0" w:space="0" w:color="auto"/>
            <w:right w:val="none" w:sz="0" w:space="0" w:color="auto"/>
          </w:divBdr>
        </w:div>
        <w:div w:id="629282645">
          <w:marLeft w:val="0"/>
          <w:marRight w:val="0"/>
          <w:marTop w:val="0"/>
          <w:marBottom w:val="0"/>
          <w:divBdr>
            <w:top w:val="none" w:sz="0" w:space="0" w:color="auto"/>
            <w:left w:val="none" w:sz="0" w:space="0" w:color="auto"/>
            <w:bottom w:val="none" w:sz="0" w:space="0" w:color="auto"/>
            <w:right w:val="none" w:sz="0" w:space="0" w:color="auto"/>
          </w:divBdr>
        </w:div>
        <w:div w:id="632642477">
          <w:marLeft w:val="0"/>
          <w:marRight w:val="0"/>
          <w:marTop w:val="0"/>
          <w:marBottom w:val="0"/>
          <w:divBdr>
            <w:top w:val="none" w:sz="0" w:space="0" w:color="auto"/>
            <w:left w:val="none" w:sz="0" w:space="0" w:color="auto"/>
            <w:bottom w:val="none" w:sz="0" w:space="0" w:color="auto"/>
            <w:right w:val="none" w:sz="0" w:space="0" w:color="auto"/>
          </w:divBdr>
        </w:div>
        <w:div w:id="635183080">
          <w:marLeft w:val="0"/>
          <w:marRight w:val="0"/>
          <w:marTop w:val="0"/>
          <w:marBottom w:val="0"/>
          <w:divBdr>
            <w:top w:val="none" w:sz="0" w:space="0" w:color="auto"/>
            <w:left w:val="none" w:sz="0" w:space="0" w:color="auto"/>
            <w:bottom w:val="none" w:sz="0" w:space="0" w:color="auto"/>
            <w:right w:val="none" w:sz="0" w:space="0" w:color="auto"/>
          </w:divBdr>
        </w:div>
        <w:div w:id="636686958">
          <w:marLeft w:val="0"/>
          <w:marRight w:val="0"/>
          <w:marTop w:val="0"/>
          <w:marBottom w:val="0"/>
          <w:divBdr>
            <w:top w:val="none" w:sz="0" w:space="0" w:color="auto"/>
            <w:left w:val="none" w:sz="0" w:space="0" w:color="auto"/>
            <w:bottom w:val="none" w:sz="0" w:space="0" w:color="auto"/>
            <w:right w:val="none" w:sz="0" w:space="0" w:color="auto"/>
          </w:divBdr>
        </w:div>
        <w:div w:id="640695086">
          <w:marLeft w:val="0"/>
          <w:marRight w:val="0"/>
          <w:marTop w:val="0"/>
          <w:marBottom w:val="0"/>
          <w:divBdr>
            <w:top w:val="none" w:sz="0" w:space="0" w:color="auto"/>
            <w:left w:val="none" w:sz="0" w:space="0" w:color="auto"/>
            <w:bottom w:val="none" w:sz="0" w:space="0" w:color="auto"/>
            <w:right w:val="none" w:sz="0" w:space="0" w:color="auto"/>
          </w:divBdr>
        </w:div>
        <w:div w:id="642850626">
          <w:marLeft w:val="0"/>
          <w:marRight w:val="0"/>
          <w:marTop w:val="0"/>
          <w:marBottom w:val="0"/>
          <w:divBdr>
            <w:top w:val="none" w:sz="0" w:space="0" w:color="auto"/>
            <w:left w:val="none" w:sz="0" w:space="0" w:color="auto"/>
            <w:bottom w:val="none" w:sz="0" w:space="0" w:color="auto"/>
            <w:right w:val="none" w:sz="0" w:space="0" w:color="auto"/>
          </w:divBdr>
        </w:div>
        <w:div w:id="646591808">
          <w:marLeft w:val="0"/>
          <w:marRight w:val="0"/>
          <w:marTop w:val="0"/>
          <w:marBottom w:val="0"/>
          <w:divBdr>
            <w:top w:val="none" w:sz="0" w:space="0" w:color="auto"/>
            <w:left w:val="none" w:sz="0" w:space="0" w:color="auto"/>
            <w:bottom w:val="none" w:sz="0" w:space="0" w:color="auto"/>
            <w:right w:val="none" w:sz="0" w:space="0" w:color="auto"/>
          </w:divBdr>
        </w:div>
        <w:div w:id="653145148">
          <w:marLeft w:val="0"/>
          <w:marRight w:val="0"/>
          <w:marTop w:val="0"/>
          <w:marBottom w:val="0"/>
          <w:divBdr>
            <w:top w:val="none" w:sz="0" w:space="0" w:color="auto"/>
            <w:left w:val="none" w:sz="0" w:space="0" w:color="auto"/>
            <w:bottom w:val="none" w:sz="0" w:space="0" w:color="auto"/>
            <w:right w:val="none" w:sz="0" w:space="0" w:color="auto"/>
          </w:divBdr>
        </w:div>
        <w:div w:id="654721672">
          <w:marLeft w:val="0"/>
          <w:marRight w:val="0"/>
          <w:marTop w:val="0"/>
          <w:marBottom w:val="0"/>
          <w:divBdr>
            <w:top w:val="none" w:sz="0" w:space="0" w:color="auto"/>
            <w:left w:val="none" w:sz="0" w:space="0" w:color="auto"/>
            <w:bottom w:val="none" w:sz="0" w:space="0" w:color="auto"/>
            <w:right w:val="none" w:sz="0" w:space="0" w:color="auto"/>
          </w:divBdr>
        </w:div>
        <w:div w:id="658384061">
          <w:marLeft w:val="0"/>
          <w:marRight w:val="0"/>
          <w:marTop w:val="0"/>
          <w:marBottom w:val="0"/>
          <w:divBdr>
            <w:top w:val="none" w:sz="0" w:space="0" w:color="auto"/>
            <w:left w:val="none" w:sz="0" w:space="0" w:color="auto"/>
            <w:bottom w:val="none" w:sz="0" w:space="0" w:color="auto"/>
            <w:right w:val="none" w:sz="0" w:space="0" w:color="auto"/>
          </w:divBdr>
        </w:div>
        <w:div w:id="663245262">
          <w:marLeft w:val="0"/>
          <w:marRight w:val="0"/>
          <w:marTop w:val="0"/>
          <w:marBottom w:val="0"/>
          <w:divBdr>
            <w:top w:val="none" w:sz="0" w:space="0" w:color="auto"/>
            <w:left w:val="none" w:sz="0" w:space="0" w:color="auto"/>
            <w:bottom w:val="none" w:sz="0" w:space="0" w:color="auto"/>
            <w:right w:val="none" w:sz="0" w:space="0" w:color="auto"/>
          </w:divBdr>
        </w:div>
        <w:div w:id="670718964">
          <w:marLeft w:val="0"/>
          <w:marRight w:val="0"/>
          <w:marTop w:val="0"/>
          <w:marBottom w:val="0"/>
          <w:divBdr>
            <w:top w:val="none" w:sz="0" w:space="0" w:color="auto"/>
            <w:left w:val="none" w:sz="0" w:space="0" w:color="auto"/>
            <w:bottom w:val="none" w:sz="0" w:space="0" w:color="auto"/>
            <w:right w:val="none" w:sz="0" w:space="0" w:color="auto"/>
          </w:divBdr>
        </w:div>
        <w:div w:id="670983504">
          <w:marLeft w:val="0"/>
          <w:marRight w:val="0"/>
          <w:marTop w:val="0"/>
          <w:marBottom w:val="0"/>
          <w:divBdr>
            <w:top w:val="none" w:sz="0" w:space="0" w:color="auto"/>
            <w:left w:val="none" w:sz="0" w:space="0" w:color="auto"/>
            <w:bottom w:val="none" w:sz="0" w:space="0" w:color="auto"/>
            <w:right w:val="none" w:sz="0" w:space="0" w:color="auto"/>
          </w:divBdr>
        </w:div>
        <w:div w:id="673993711">
          <w:marLeft w:val="0"/>
          <w:marRight w:val="0"/>
          <w:marTop w:val="0"/>
          <w:marBottom w:val="0"/>
          <w:divBdr>
            <w:top w:val="none" w:sz="0" w:space="0" w:color="auto"/>
            <w:left w:val="none" w:sz="0" w:space="0" w:color="auto"/>
            <w:bottom w:val="none" w:sz="0" w:space="0" w:color="auto"/>
            <w:right w:val="none" w:sz="0" w:space="0" w:color="auto"/>
          </w:divBdr>
        </w:div>
        <w:div w:id="674307523">
          <w:marLeft w:val="0"/>
          <w:marRight w:val="0"/>
          <w:marTop w:val="0"/>
          <w:marBottom w:val="0"/>
          <w:divBdr>
            <w:top w:val="none" w:sz="0" w:space="0" w:color="auto"/>
            <w:left w:val="none" w:sz="0" w:space="0" w:color="auto"/>
            <w:bottom w:val="none" w:sz="0" w:space="0" w:color="auto"/>
            <w:right w:val="none" w:sz="0" w:space="0" w:color="auto"/>
          </w:divBdr>
        </w:div>
        <w:div w:id="678653954">
          <w:marLeft w:val="0"/>
          <w:marRight w:val="0"/>
          <w:marTop w:val="0"/>
          <w:marBottom w:val="0"/>
          <w:divBdr>
            <w:top w:val="none" w:sz="0" w:space="0" w:color="auto"/>
            <w:left w:val="none" w:sz="0" w:space="0" w:color="auto"/>
            <w:bottom w:val="none" w:sz="0" w:space="0" w:color="auto"/>
            <w:right w:val="none" w:sz="0" w:space="0" w:color="auto"/>
          </w:divBdr>
        </w:div>
        <w:div w:id="679509032">
          <w:marLeft w:val="0"/>
          <w:marRight w:val="0"/>
          <w:marTop w:val="0"/>
          <w:marBottom w:val="0"/>
          <w:divBdr>
            <w:top w:val="none" w:sz="0" w:space="0" w:color="auto"/>
            <w:left w:val="none" w:sz="0" w:space="0" w:color="auto"/>
            <w:bottom w:val="none" w:sz="0" w:space="0" w:color="auto"/>
            <w:right w:val="none" w:sz="0" w:space="0" w:color="auto"/>
          </w:divBdr>
        </w:div>
        <w:div w:id="681977898">
          <w:marLeft w:val="0"/>
          <w:marRight w:val="0"/>
          <w:marTop w:val="0"/>
          <w:marBottom w:val="0"/>
          <w:divBdr>
            <w:top w:val="none" w:sz="0" w:space="0" w:color="auto"/>
            <w:left w:val="none" w:sz="0" w:space="0" w:color="auto"/>
            <w:bottom w:val="none" w:sz="0" w:space="0" w:color="auto"/>
            <w:right w:val="none" w:sz="0" w:space="0" w:color="auto"/>
          </w:divBdr>
        </w:div>
        <w:div w:id="689186712">
          <w:marLeft w:val="0"/>
          <w:marRight w:val="0"/>
          <w:marTop w:val="0"/>
          <w:marBottom w:val="0"/>
          <w:divBdr>
            <w:top w:val="none" w:sz="0" w:space="0" w:color="auto"/>
            <w:left w:val="none" w:sz="0" w:space="0" w:color="auto"/>
            <w:bottom w:val="none" w:sz="0" w:space="0" w:color="auto"/>
            <w:right w:val="none" w:sz="0" w:space="0" w:color="auto"/>
          </w:divBdr>
        </w:div>
        <w:div w:id="692072293">
          <w:marLeft w:val="0"/>
          <w:marRight w:val="0"/>
          <w:marTop w:val="0"/>
          <w:marBottom w:val="0"/>
          <w:divBdr>
            <w:top w:val="none" w:sz="0" w:space="0" w:color="auto"/>
            <w:left w:val="none" w:sz="0" w:space="0" w:color="auto"/>
            <w:bottom w:val="none" w:sz="0" w:space="0" w:color="auto"/>
            <w:right w:val="none" w:sz="0" w:space="0" w:color="auto"/>
          </w:divBdr>
        </w:div>
        <w:div w:id="692731184">
          <w:marLeft w:val="0"/>
          <w:marRight w:val="0"/>
          <w:marTop w:val="0"/>
          <w:marBottom w:val="0"/>
          <w:divBdr>
            <w:top w:val="none" w:sz="0" w:space="0" w:color="auto"/>
            <w:left w:val="none" w:sz="0" w:space="0" w:color="auto"/>
            <w:bottom w:val="none" w:sz="0" w:space="0" w:color="auto"/>
            <w:right w:val="none" w:sz="0" w:space="0" w:color="auto"/>
          </w:divBdr>
        </w:div>
        <w:div w:id="695228452">
          <w:marLeft w:val="0"/>
          <w:marRight w:val="0"/>
          <w:marTop w:val="0"/>
          <w:marBottom w:val="0"/>
          <w:divBdr>
            <w:top w:val="none" w:sz="0" w:space="0" w:color="auto"/>
            <w:left w:val="none" w:sz="0" w:space="0" w:color="auto"/>
            <w:bottom w:val="none" w:sz="0" w:space="0" w:color="auto"/>
            <w:right w:val="none" w:sz="0" w:space="0" w:color="auto"/>
          </w:divBdr>
        </w:div>
        <w:div w:id="698966432">
          <w:marLeft w:val="0"/>
          <w:marRight w:val="0"/>
          <w:marTop w:val="0"/>
          <w:marBottom w:val="0"/>
          <w:divBdr>
            <w:top w:val="none" w:sz="0" w:space="0" w:color="auto"/>
            <w:left w:val="none" w:sz="0" w:space="0" w:color="auto"/>
            <w:bottom w:val="none" w:sz="0" w:space="0" w:color="auto"/>
            <w:right w:val="none" w:sz="0" w:space="0" w:color="auto"/>
          </w:divBdr>
        </w:div>
        <w:div w:id="706025368">
          <w:marLeft w:val="0"/>
          <w:marRight w:val="0"/>
          <w:marTop w:val="0"/>
          <w:marBottom w:val="0"/>
          <w:divBdr>
            <w:top w:val="none" w:sz="0" w:space="0" w:color="auto"/>
            <w:left w:val="none" w:sz="0" w:space="0" w:color="auto"/>
            <w:bottom w:val="none" w:sz="0" w:space="0" w:color="auto"/>
            <w:right w:val="none" w:sz="0" w:space="0" w:color="auto"/>
          </w:divBdr>
        </w:div>
        <w:div w:id="717819590">
          <w:marLeft w:val="0"/>
          <w:marRight w:val="0"/>
          <w:marTop w:val="0"/>
          <w:marBottom w:val="0"/>
          <w:divBdr>
            <w:top w:val="none" w:sz="0" w:space="0" w:color="auto"/>
            <w:left w:val="none" w:sz="0" w:space="0" w:color="auto"/>
            <w:bottom w:val="none" w:sz="0" w:space="0" w:color="auto"/>
            <w:right w:val="none" w:sz="0" w:space="0" w:color="auto"/>
          </w:divBdr>
        </w:div>
        <w:div w:id="726956891">
          <w:marLeft w:val="0"/>
          <w:marRight w:val="0"/>
          <w:marTop w:val="0"/>
          <w:marBottom w:val="0"/>
          <w:divBdr>
            <w:top w:val="none" w:sz="0" w:space="0" w:color="auto"/>
            <w:left w:val="none" w:sz="0" w:space="0" w:color="auto"/>
            <w:bottom w:val="none" w:sz="0" w:space="0" w:color="auto"/>
            <w:right w:val="none" w:sz="0" w:space="0" w:color="auto"/>
          </w:divBdr>
        </w:div>
        <w:div w:id="735905554">
          <w:marLeft w:val="0"/>
          <w:marRight w:val="0"/>
          <w:marTop w:val="0"/>
          <w:marBottom w:val="0"/>
          <w:divBdr>
            <w:top w:val="none" w:sz="0" w:space="0" w:color="auto"/>
            <w:left w:val="none" w:sz="0" w:space="0" w:color="auto"/>
            <w:bottom w:val="none" w:sz="0" w:space="0" w:color="auto"/>
            <w:right w:val="none" w:sz="0" w:space="0" w:color="auto"/>
          </w:divBdr>
        </w:div>
        <w:div w:id="737171473">
          <w:marLeft w:val="0"/>
          <w:marRight w:val="0"/>
          <w:marTop w:val="0"/>
          <w:marBottom w:val="0"/>
          <w:divBdr>
            <w:top w:val="none" w:sz="0" w:space="0" w:color="auto"/>
            <w:left w:val="none" w:sz="0" w:space="0" w:color="auto"/>
            <w:bottom w:val="none" w:sz="0" w:space="0" w:color="auto"/>
            <w:right w:val="none" w:sz="0" w:space="0" w:color="auto"/>
          </w:divBdr>
        </w:div>
        <w:div w:id="737439569">
          <w:marLeft w:val="0"/>
          <w:marRight w:val="0"/>
          <w:marTop w:val="0"/>
          <w:marBottom w:val="0"/>
          <w:divBdr>
            <w:top w:val="none" w:sz="0" w:space="0" w:color="auto"/>
            <w:left w:val="none" w:sz="0" w:space="0" w:color="auto"/>
            <w:bottom w:val="none" w:sz="0" w:space="0" w:color="auto"/>
            <w:right w:val="none" w:sz="0" w:space="0" w:color="auto"/>
          </w:divBdr>
        </w:div>
        <w:div w:id="739207924">
          <w:marLeft w:val="0"/>
          <w:marRight w:val="0"/>
          <w:marTop w:val="0"/>
          <w:marBottom w:val="0"/>
          <w:divBdr>
            <w:top w:val="none" w:sz="0" w:space="0" w:color="auto"/>
            <w:left w:val="none" w:sz="0" w:space="0" w:color="auto"/>
            <w:bottom w:val="none" w:sz="0" w:space="0" w:color="auto"/>
            <w:right w:val="none" w:sz="0" w:space="0" w:color="auto"/>
          </w:divBdr>
        </w:div>
        <w:div w:id="740180556">
          <w:marLeft w:val="0"/>
          <w:marRight w:val="0"/>
          <w:marTop w:val="0"/>
          <w:marBottom w:val="0"/>
          <w:divBdr>
            <w:top w:val="none" w:sz="0" w:space="0" w:color="auto"/>
            <w:left w:val="none" w:sz="0" w:space="0" w:color="auto"/>
            <w:bottom w:val="none" w:sz="0" w:space="0" w:color="auto"/>
            <w:right w:val="none" w:sz="0" w:space="0" w:color="auto"/>
          </w:divBdr>
        </w:div>
        <w:div w:id="742336169">
          <w:marLeft w:val="0"/>
          <w:marRight w:val="0"/>
          <w:marTop w:val="0"/>
          <w:marBottom w:val="0"/>
          <w:divBdr>
            <w:top w:val="none" w:sz="0" w:space="0" w:color="auto"/>
            <w:left w:val="none" w:sz="0" w:space="0" w:color="auto"/>
            <w:bottom w:val="none" w:sz="0" w:space="0" w:color="auto"/>
            <w:right w:val="none" w:sz="0" w:space="0" w:color="auto"/>
          </w:divBdr>
        </w:div>
        <w:div w:id="752699169">
          <w:marLeft w:val="0"/>
          <w:marRight w:val="0"/>
          <w:marTop w:val="0"/>
          <w:marBottom w:val="0"/>
          <w:divBdr>
            <w:top w:val="none" w:sz="0" w:space="0" w:color="auto"/>
            <w:left w:val="none" w:sz="0" w:space="0" w:color="auto"/>
            <w:bottom w:val="none" w:sz="0" w:space="0" w:color="auto"/>
            <w:right w:val="none" w:sz="0" w:space="0" w:color="auto"/>
          </w:divBdr>
        </w:div>
        <w:div w:id="755439415">
          <w:marLeft w:val="0"/>
          <w:marRight w:val="0"/>
          <w:marTop w:val="0"/>
          <w:marBottom w:val="0"/>
          <w:divBdr>
            <w:top w:val="none" w:sz="0" w:space="0" w:color="auto"/>
            <w:left w:val="none" w:sz="0" w:space="0" w:color="auto"/>
            <w:bottom w:val="none" w:sz="0" w:space="0" w:color="auto"/>
            <w:right w:val="none" w:sz="0" w:space="0" w:color="auto"/>
          </w:divBdr>
        </w:div>
        <w:div w:id="757212299">
          <w:marLeft w:val="0"/>
          <w:marRight w:val="0"/>
          <w:marTop w:val="0"/>
          <w:marBottom w:val="0"/>
          <w:divBdr>
            <w:top w:val="none" w:sz="0" w:space="0" w:color="auto"/>
            <w:left w:val="none" w:sz="0" w:space="0" w:color="auto"/>
            <w:bottom w:val="none" w:sz="0" w:space="0" w:color="auto"/>
            <w:right w:val="none" w:sz="0" w:space="0" w:color="auto"/>
          </w:divBdr>
        </w:div>
        <w:div w:id="764575498">
          <w:marLeft w:val="0"/>
          <w:marRight w:val="0"/>
          <w:marTop w:val="0"/>
          <w:marBottom w:val="0"/>
          <w:divBdr>
            <w:top w:val="none" w:sz="0" w:space="0" w:color="auto"/>
            <w:left w:val="none" w:sz="0" w:space="0" w:color="auto"/>
            <w:bottom w:val="none" w:sz="0" w:space="0" w:color="auto"/>
            <w:right w:val="none" w:sz="0" w:space="0" w:color="auto"/>
          </w:divBdr>
        </w:div>
        <w:div w:id="768938437">
          <w:marLeft w:val="0"/>
          <w:marRight w:val="0"/>
          <w:marTop w:val="0"/>
          <w:marBottom w:val="0"/>
          <w:divBdr>
            <w:top w:val="none" w:sz="0" w:space="0" w:color="auto"/>
            <w:left w:val="none" w:sz="0" w:space="0" w:color="auto"/>
            <w:bottom w:val="none" w:sz="0" w:space="0" w:color="auto"/>
            <w:right w:val="none" w:sz="0" w:space="0" w:color="auto"/>
          </w:divBdr>
        </w:div>
        <w:div w:id="769590531">
          <w:marLeft w:val="0"/>
          <w:marRight w:val="0"/>
          <w:marTop w:val="0"/>
          <w:marBottom w:val="0"/>
          <w:divBdr>
            <w:top w:val="none" w:sz="0" w:space="0" w:color="auto"/>
            <w:left w:val="none" w:sz="0" w:space="0" w:color="auto"/>
            <w:bottom w:val="none" w:sz="0" w:space="0" w:color="auto"/>
            <w:right w:val="none" w:sz="0" w:space="0" w:color="auto"/>
          </w:divBdr>
        </w:div>
        <w:div w:id="773326508">
          <w:marLeft w:val="0"/>
          <w:marRight w:val="0"/>
          <w:marTop w:val="0"/>
          <w:marBottom w:val="0"/>
          <w:divBdr>
            <w:top w:val="none" w:sz="0" w:space="0" w:color="auto"/>
            <w:left w:val="none" w:sz="0" w:space="0" w:color="auto"/>
            <w:bottom w:val="none" w:sz="0" w:space="0" w:color="auto"/>
            <w:right w:val="none" w:sz="0" w:space="0" w:color="auto"/>
          </w:divBdr>
        </w:div>
        <w:div w:id="775709953">
          <w:marLeft w:val="0"/>
          <w:marRight w:val="0"/>
          <w:marTop w:val="0"/>
          <w:marBottom w:val="0"/>
          <w:divBdr>
            <w:top w:val="none" w:sz="0" w:space="0" w:color="auto"/>
            <w:left w:val="none" w:sz="0" w:space="0" w:color="auto"/>
            <w:bottom w:val="none" w:sz="0" w:space="0" w:color="auto"/>
            <w:right w:val="none" w:sz="0" w:space="0" w:color="auto"/>
          </w:divBdr>
        </w:div>
        <w:div w:id="776407476">
          <w:marLeft w:val="0"/>
          <w:marRight w:val="0"/>
          <w:marTop w:val="0"/>
          <w:marBottom w:val="0"/>
          <w:divBdr>
            <w:top w:val="none" w:sz="0" w:space="0" w:color="auto"/>
            <w:left w:val="none" w:sz="0" w:space="0" w:color="auto"/>
            <w:bottom w:val="none" w:sz="0" w:space="0" w:color="auto"/>
            <w:right w:val="none" w:sz="0" w:space="0" w:color="auto"/>
          </w:divBdr>
        </w:div>
        <w:div w:id="783886564">
          <w:marLeft w:val="0"/>
          <w:marRight w:val="0"/>
          <w:marTop w:val="0"/>
          <w:marBottom w:val="0"/>
          <w:divBdr>
            <w:top w:val="none" w:sz="0" w:space="0" w:color="auto"/>
            <w:left w:val="none" w:sz="0" w:space="0" w:color="auto"/>
            <w:bottom w:val="none" w:sz="0" w:space="0" w:color="auto"/>
            <w:right w:val="none" w:sz="0" w:space="0" w:color="auto"/>
          </w:divBdr>
        </w:div>
        <w:div w:id="784497592">
          <w:marLeft w:val="0"/>
          <w:marRight w:val="0"/>
          <w:marTop w:val="0"/>
          <w:marBottom w:val="0"/>
          <w:divBdr>
            <w:top w:val="none" w:sz="0" w:space="0" w:color="auto"/>
            <w:left w:val="none" w:sz="0" w:space="0" w:color="auto"/>
            <w:bottom w:val="none" w:sz="0" w:space="0" w:color="auto"/>
            <w:right w:val="none" w:sz="0" w:space="0" w:color="auto"/>
          </w:divBdr>
        </w:div>
        <w:div w:id="786242815">
          <w:marLeft w:val="0"/>
          <w:marRight w:val="0"/>
          <w:marTop w:val="0"/>
          <w:marBottom w:val="0"/>
          <w:divBdr>
            <w:top w:val="none" w:sz="0" w:space="0" w:color="auto"/>
            <w:left w:val="none" w:sz="0" w:space="0" w:color="auto"/>
            <w:bottom w:val="none" w:sz="0" w:space="0" w:color="auto"/>
            <w:right w:val="none" w:sz="0" w:space="0" w:color="auto"/>
          </w:divBdr>
        </w:div>
        <w:div w:id="789396361">
          <w:marLeft w:val="0"/>
          <w:marRight w:val="0"/>
          <w:marTop w:val="0"/>
          <w:marBottom w:val="0"/>
          <w:divBdr>
            <w:top w:val="none" w:sz="0" w:space="0" w:color="auto"/>
            <w:left w:val="none" w:sz="0" w:space="0" w:color="auto"/>
            <w:bottom w:val="none" w:sz="0" w:space="0" w:color="auto"/>
            <w:right w:val="none" w:sz="0" w:space="0" w:color="auto"/>
          </w:divBdr>
        </w:div>
        <w:div w:id="793906653">
          <w:marLeft w:val="0"/>
          <w:marRight w:val="0"/>
          <w:marTop w:val="0"/>
          <w:marBottom w:val="0"/>
          <w:divBdr>
            <w:top w:val="none" w:sz="0" w:space="0" w:color="auto"/>
            <w:left w:val="none" w:sz="0" w:space="0" w:color="auto"/>
            <w:bottom w:val="none" w:sz="0" w:space="0" w:color="auto"/>
            <w:right w:val="none" w:sz="0" w:space="0" w:color="auto"/>
          </w:divBdr>
        </w:div>
        <w:div w:id="795679645">
          <w:marLeft w:val="0"/>
          <w:marRight w:val="0"/>
          <w:marTop w:val="0"/>
          <w:marBottom w:val="0"/>
          <w:divBdr>
            <w:top w:val="none" w:sz="0" w:space="0" w:color="auto"/>
            <w:left w:val="none" w:sz="0" w:space="0" w:color="auto"/>
            <w:bottom w:val="none" w:sz="0" w:space="0" w:color="auto"/>
            <w:right w:val="none" w:sz="0" w:space="0" w:color="auto"/>
          </w:divBdr>
        </w:div>
        <w:div w:id="797842269">
          <w:marLeft w:val="0"/>
          <w:marRight w:val="0"/>
          <w:marTop w:val="0"/>
          <w:marBottom w:val="0"/>
          <w:divBdr>
            <w:top w:val="none" w:sz="0" w:space="0" w:color="auto"/>
            <w:left w:val="none" w:sz="0" w:space="0" w:color="auto"/>
            <w:bottom w:val="none" w:sz="0" w:space="0" w:color="auto"/>
            <w:right w:val="none" w:sz="0" w:space="0" w:color="auto"/>
          </w:divBdr>
        </w:div>
        <w:div w:id="804465990">
          <w:marLeft w:val="0"/>
          <w:marRight w:val="0"/>
          <w:marTop w:val="0"/>
          <w:marBottom w:val="0"/>
          <w:divBdr>
            <w:top w:val="none" w:sz="0" w:space="0" w:color="auto"/>
            <w:left w:val="none" w:sz="0" w:space="0" w:color="auto"/>
            <w:bottom w:val="none" w:sz="0" w:space="0" w:color="auto"/>
            <w:right w:val="none" w:sz="0" w:space="0" w:color="auto"/>
          </w:divBdr>
        </w:div>
        <w:div w:id="805128169">
          <w:marLeft w:val="0"/>
          <w:marRight w:val="0"/>
          <w:marTop w:val="0"/>
          <w:marBottom w:val="0"/>
          <w:divBdr>
            <w:top w:val="none" w:sz="0" w:space="0" w:color="auto"/>
            <w:left w:val="none" w:sz="0" w:space="0" w:color="auto"/>
            <w:bottom w:val="none" w:sz="0" w:space="0" w:color="auto"/>
            <w:right w:val="none" w:sz="0" w:space="0" w:color="auto"/>
          </w:divBdr>
        </w:div>
        <w:div w:id="807816052">
          <w:marLeft w:val="0"/>
          <w:marRight w:val="0"/>
          <w:marTop w:val="0"/>
          <w:marBottom w:val="0"/>
          <w:divBdr>
            <w:top w:val="none" w:sz="0" w:space="0" w:color="auto"/>
            <w:left w:val="none" w:sz="0" w:space="0" w:color="auto"/>
            <w:bottom w:val="none" w:sz="0" w:space="0" w:color="auto"/>
            <w:right w:val="none" w:sz="0" w:space="0" w:color="auto"/>
          </w:divBdr>
        </w:div>
        <w:div w:id="810561863">
          <w:marLeft w:val="0"/>
          <w:marRight w:val="0"/>
          <w:marTop w:val="0"/>
          <w:marBottom w:val="0"/>
          <w:divBdr>
            <w:top w:val="none" w:sz="0" w:space="0" w:color="auto"/>
            <w:left w:val="none" w:sz="0" w:space="0" w:color="auto"/>
            <w:bottom w:val="none" w:sz="0" w:space="0" w:color="auto"/>
            <w:right w:val="none" w:sz="0" w:space="0" w:color="auto"/>
          </w:divBdr>
        </w:div>
        <w:div w:id="814300207">
          <w:marLeft w:val="0"/>
          <w:marRight w:val="0"/>
          <w:marTop w:val="0"/>
          <w:marBottom w:val="0"/>
          <w:divBdr>
            <w:top w:val="none" w:sz="0" w:space="0" w:color="auto"/>
            <w:left w:val="none" w:sz="0" w:space="0" w:color="auto"/>
            <w:bottom w:val="none" w:sz="0" w:space="0" w:color="auto"/>
            <w:right w:val="none" w:sz="0" w:space="0" w:color="auto"/>
          </w:divBdr>
        </w:div>
        <w:div w:id="821964744">
          <w:marLeft w:val="0"/>
          <w:marRight w:val="0"/>
          <w:marTop w:val="0"/>
          <w:marBottom w:val="0"/>
          <w:divBdr>
            <w:top w:val="none" w:sz="0" w:space="0" w:color="auto"/>
            <w:left w:val="none" w:sz="0" w:space="0" w:color="auto"/>
            <w:bottom w:val="none" w:sz="0" w:space="0" w:color="auto"/>
            <w:right w:val="none" w:sz="0" w:space="0" w:color="auto"/>
          </w:divBdr>
        </w:div>
        <w:div w:id="825167766">
          <w:marLeft w:val="0"/>
          <w:marRight w:val="0"/>
          <w:marTop w:val="0"/>
          <w:marBottom w:val="0"/>
          <w:divBdr>
            <w:top w:val="none" w:sz="0" w:space="0" w:color="auto"/>
            <w:left w:val="none" w:sz="0" w:space="0" w:color="auto"/>
            <w:bottom w:val="none" w:sz="0" w:space="0" w:color="auto"/>
            <w:right w:val="none" w:sz="0" w:space="0" w:color="auto"/>
          </w:divBdr>
        </w:div>
        <w:div w:id="825360496">
          <w:marLeft w:val="0"/>
          <w:marRight w:val="0"/>
          <w:marTop w:val="0"/>
          <w:marBottom w:val="0"/>
          <w:divBdr>
            <w:top w:val="none" w:sz="0" w:space="0" w:color="auto"/>
            <w:left w:val="none" w:sz="0" w:space="0" w:color="auto"/>
            <w:bottom w:val="none" w:sz="0" w:space="0" w:color="auto"/>
            <w:right w:val="none" w:sz="0" w:space="0" w:color="auto"/>
          </w:divBdr>
        </w:div>
        <w:div w:id="832455633">
          <w:marLeft w:val="0"/>
          <w:marRight w:val="0"/>
          <w:marTop w:val="0"/>
          <w:marBottom w:val="0"/>
          <w:divBdr>
            <w:top w:val="none" w:sz="0" w:space="0" w:color="auto"/>
            <w:left w:val="none" w:sz="0" w:space="0" w:color="auto"/>
            <w:bottom w:val="none" w:sz="0" w:space="0" w:color="auto"/>
            <w:right w:val="none" w:sz="0" w:space="0" w:color="auto"/>
          </w:divBdr>
        </w:div>
        <w:div w:id="834151842">
          <w:marLeft w:val="0"/>
          <w:marRight w:val="0"/>
          <w:marTop w:val="0"/>
          <w:marBottom w:val="0"/>
          <w:divBdr>
            <w:top w:val="none" w:sz="0" w:space="0" w:color="auto"/>
            <w:left w:val="none" w:sz="0" w:space="0" w:color="auto"/>
            <w:bottom w:val="none" w:sz="0" w:space="0" w:color="auto"/>
            <w:right w:val="none" w:sz="0" w:space="0" w:color="auto"/>
          </w:divBdr>
        </w:div>
        <w:div w:id="840200060">
          <w:marLeft w:val="0"/>
          <w:marRight w:val="0"/>
          <w:marTop w:val="0"/>
          <w:marBottom w:val="0"/>
          <w:divBdr>
            <w:top w:val="none" w:sz="0" w:space="0" w:color="auto"/>
            <w:left w:val="none" w:sz="0" w:space="0" w:color="auto"/>
            <w:bottom w:val="none" w:sz="0" w:space="0" w:color="auto"/>
            <w:right w:val="none" w:sz="0" w:space="0" w:color="auto"/>
          </w:divBdr>
        </w:div>
        <w:div w:id="845706793">
          <w:marLeft w:val="0"/>
          <w:marRight w:val="0"/>
          <w:marTop w:val="0"/>
          <w:marBottom w:val="0"/>
          <w:divBdr>
            <w:top w:val="none" w:sz="0" w:space="0" w:color="auto"/>
            <w:left w:val="none" w:sz="0" w:space="0" w:color="auto"/>
            <w:bottom w:val="none" w:sz="0" w:space="0" w:color="auto"/>
            <w:right w:val="none" w:sz="0" w:space="0" w:color="auto"/>
          </w:divBdr>
        </w:div>
        <w:div w:id="848448158">
          <w:marLeft w:val="0"/>
          <w:marRight w:val="0"/>
          <w:marTop w:val="0"/>
          <w:marBottom w:val="0"/>
          <w:divBdr>
            <w:top w:val="none" w:sz="0" w:space="0" w:color="auto"/>
            <w:left w:val="none" w:sz="0" w:space="0" w:color="auto"/>
            <w:bottom w:val="none" w:sz="0" w:space="0" w:color="auto"/>
            <w:right w:val="none" w:sz="0" w:space="0" w:color="auto"/>
          </w:divBdr>
        </w:div>
        <w:div w:id="848757848">
          <w:marLeft w:val="0"/>
          <w:marRight w:val="0"/>
          <w:marTop w:val="0"/>
          <w:marBottom w:val="0"/>
          <w:divBdr>
            <w:top w:val="none" w:sz="0" w:space="0" w:color="auto"/>
            <w:left w:val="none" w:sz="0" w:space="0" w:color="auto"/>
            <w:bottom w:val="none" w:sz="0" w:space="0" w:color="auto"/>
            <w:right w:val="none" w:sz="0" w:space="0" w:color="auto"/>
          </w:divBdr>
        </w:div>
        <w:div w:id="853765240">
          <w:marLeft w:val="0"/>
          <w:marRight w:val="0"/>
          <w:marTop w:val="0"/>
          <w:marBottom w:val="0"/>
          <w:divBdr>
            <w:top w:val="none" w:sz="0" w:space="0" w:color="auto"/>
            <w:left w:val="none" w:sz="0" w:space="0" w:color="auto"/>
            <w:bottom w:val="none" w:sz="0" w:space="0" w:color="auto"/>
            <w:right w:val="none" w:sz="0" w:space="0" w:color="auto"/>
          </w:divBdr>
        </w:div>
        <w:div w:id="854882450">
          <w:marLeft w:val="0"/>
          <w:marRight w:val="0"/>
          <w:marTop w:val="0"/>
          <w:marBottom w:val="0"/>
          <w:divBdr>
            <w:top w:val="none" w:sz="0" w:space="0" w:color="auto"/>
            <w:left w:val="none" w:sz="0" w:space="0" w:color="auto"/>
            <w:bottom w:val="none" w:sz="0" w:space="0" w:color="auto"/>
            <w:right w:val="none" w:sz="0" w:space="0" w:color="auto"/>
          </w:divBdr>
        </w:div>
        <w:div w:id="857623966">
          <w:marLeft w:val="0"/>
          <w:marRight w:val="0"/>
          <w:marTop w:val="0"/>
          <w:marBottom w:val="0"/>
          <w:divBdr>
            <w:top w:val="none" w:sz="0" w:space="0" w:color="auto"/>
            <w:left w:val="none" w:sz="0" w:space="0" w:color="auto"/>
            <w:bottom w:val="none" w:sz="0" w:space="0" w:color="auto"/>
            <w:right w:val="none" w:sz="0" w:space="0" w:color="auto"/>
          </w:divBdr>
        </w:div>
        <w:div w:id="869344942">
          <w:marLeft w:val="0"/>
          <w:marRight w:val="0"/>
          <w:marTop w:val="0"/>
          <w:marBottom w:val="0"/>
          <w:divBdr>
            <w:top w:val="none" w:sz="0" w:space="0" w:color="auto"/>
            <w:left w:val="none" w:sz="0" w:space="0" w:color="auto"/>
            <w:bottom w:val="none" w:sz="0" w:space="0" w:color="auto"/>
            <w:right w:val="none" w:sz="0" w:space="0" w:color="auto"/>
          </w:divBdr>
        </w:div>
        <w:div w:id="875505529">
          <w:marLeft w:val="0"/>
          <w:marRight w:val="0"/>
          <w:marTop w:val="0"/>
          <w:marBottom w:val="0"/>
          <w:divBdr>
            <w:top w:val="none" w:sz="0" w:space="0" w:color="auto"/>
            <w:left w:val="none" w:sz="0" w:space="0" w:color="auto"/>
            <w:bottom w:val="none" w:sz="0" w:space="0" w:color="auto"/>
            <w:right w:val="none" w:sz="0" w:space="0" w:color="auto"/>
          </w:divBdr>
        </w:div>
        <w:div w:id="876433210">
          <w:marLeft w:val="0"/>
          <w:marRight w:val="0"/>
          <w:marTop w:val="0"/>
          <w:marBottom w:val="0"/>
          <w:divBdr>
            <w:top w:val="none" w:sz="0" w:space="0" w:color="auto"/>
            <w:left w:val="none" w:sz="0" w:space="0" w:color="auto"/>
            <w:bottom w:val="none" w:sz="0" w:space="0" w:color="auto"/>
            <w:right w:val="none" w:sz="0" w:space="0" w:color="auto"/>
          </w:divBdr>
        </w:div>
        <w:div w:id="880365308">
          <w:marLeft w:val="0"/>
          <w:marRight w:val="0"/>
          <w:marTop w:val="0"/>
          <w:marBottom w:val="0"/>
          <w:divBdr>
            <w:top w:val="none" w:sz="0" w:space="0" w:color="auto"/>
            <w:left w:val="none" w:sz="0" w:space="0" w:color="auto"/>
            <w:bottom w:val="none" w:sz="0" w:space="0" w:color="auto"/>
            <w:right w:val="none" w:sz="0" w:space="0" w:color="auto"/>
          </w:divBdr>
        </w:div>
        <w:div w:id="885873567">
          <w:marLeft w:val="0"/>
          <w:marRight w:val="0"/>
          <w:marTop w:val="0"/>
          <w:marBottom w:val="0"/>
          <w:divBdr>
            <w:top w:val="none" w:sz="0" w:space="0" w:color="auto"/>
            <w:left w:val="none" w:sz="0" w:space="0" w:color="auto"/>
            <w:bottom w:val="none" w:sz="0" w:space="0" w:color="auto"/>
            <w:right w:val="none" w:sz="0" w:space="0" w:color="auto"/>
          </w:divBdr>
        </w:div>
        <w:div w:id="886994054">
          <w:marLeft w:val="0"/>
          <w:marRight w:val="0"/>
          <w:marTop w:val="0"/>
          <w:marBottom w:val="0"/>
          <w:divBdr>
            <w:top w:val="none" w:sz="0" w:space="0" w:color="auto"/>
            <w:left w:val="none" w:sz="0" w:space="0" w:color="auto"/>
            <w:bottom w:val="none" w:sz="0" w:space="0" w:color="auto"/>
            <w:right w:val="none" w:sz="0" w:space="0" w:color="auto"/>
          </w:divBdr>
        </w:div>
        <w:div w:id="897401277">
          <w:marLeft w:val="0"/>
          <w:marRight w:val="0"/>
          <w:marTop w:val="0"/>
          <w:marBottom w:val="0"/>
          <w:divBdr>
            <w:top w:val="none" w:sz="0" w:space="0" w:color="auto"/>
            <w:left w:val="none" w:sz="0" w:space="0" w:color="auto"/>
            <w:bottom w:val="none" w:sz="0" w:space="0" w:color="auto"/>
            <w:right w:val="none" w:sz="0" w:space="0" w:color="auto"/>
          </w:divBdr>
        </w:div>
        <w:div w:id="898321870">
          <w:marLeft w:val="0"/>
          <w:marRight w:val="0"/>
          <w:marTop w:val="0"/>
          <w:marBottom w:val="0"/>
          <w:divBdr>
            <w:top w:val="none" w:sz="0" w:space="0" w:color="auto"/>
            <w:left w:val="none" w:sz="0" w:space="0" w:color="auto"/>
            <w:bottom w:val="none" w:sz="0" w:space="0" w:color="auto"/>
            <w:right w:val="none" w:sz="0" w:space="0" w:color="auto"/>
          </w:divBdr>
        </w:div>
        <w:div w:id="904877429">
          <w:marLeft w:val="0"/>
          <w:marRight w:val="0"/>
          <w:marTop w:val="0"/>
          <w:marBottom w:val="0"/>
          <w:divBdr>
            <w:top w:val="none" w:sz="0" w:space="0" w:color="auto"/>
            <w:left w:val="none" w:sz="0" w:space="0" w:color="auto"/>
            <w:bottom w:val="none" w:sz="0" w:space="0" w:color="auto"/>
            <w:right w:val="none" w:sz="0" w:space="0" w:color="auto"/>
          </w:divBdr>
        </w:div>
        <w:div w:id="909853392">
          <w:marLeft w:val="0"/>
          <w:marRight w:val="0"/>
          <w:marTop w:val="0"/>
          <w:marBottom w:val="0"/>
          <w:divBdr>
            <w:top w:val="none" w:sz="0" w:space="0" w:color="auto"/>
            <w:left w:val="none" w:sz="0" w:space="0" w:color="auto"/>
            <w:bottom w:val="none" w:sz="0" w:space="0" w:color="auto"/>
            <w:right w:val="none" w:sz="0" w:space="0" w:color="auto"/>
          </w:divBdr>
        </w:div>
        <w:div w:id="916478659">
          <w:marLeft w:val="0"/>
          <w:marRight w:val="0"/>
          <w:marTop w:val="0"/>
          <w:marBottom w:val="0"/>
          <w:divBdr>
            <w:top w:val="none" w:sz="0" w:space="0" w:color="auto"/>
            <w:left w:val="none" w:sz="0" w:space="0" w:color="auto"/>
            <w:bottom w:val="none" w:sz="0" w:space="0" w:color="auto"/>
            <w:right w:val="none" w:sz="0" w:space="0" w:color="auto"/>
          </w:divBdr>
        </w:div>
        <w:div w:id="935672572">
          <w:marLeft w:val="0"/>
          <w:marRight w:val="0"/>
          <w:marTop w:val="0"/>
          <w:marBottom w:val="0"/>
          <w:divBdr>
            <w:top w:val="none" w:sz="0" w:space="0" w:color="auto"/>
            <w:left w:val="none" w:sz="0" w:space="0" w:color="auto"/>
            <w:bottom w:val="none" w:sz="0" w:space="0" w:color="auto"/>
            <w:right w:val="none" w:sz="0" w:space="0" w:color="auto"/>
          </w:divBdr>
        </w:div>
        <w:div w:id="936064634">
          <w:marLeft w:val="0"/>
          <w:marRight w:val="0"/>
          <w:marTop w:val="0"/>
          <w:marBottom w:val="0"/>
          <w:divBdr>
            <w:top w:val="none" w:sz="0" w:space="0" w:color="auto"/>
            <w:left w:val="none" w:sz="0" w:space="0" w:color="auto"/>
            <w:bottom w:val="none" w:sz="0" w:space="0" w:color="auto"/>
            <w:right w:val="none" w:sz="0" w:space="0" w:color="auto"/>
          </w:divBdr>
        </w:div>
        <w:div w:id="936521520">
          <w:marLeft w:val="0"/>
          <w:marRight w:val="0"/>
          <w:marTop w:val="0"/>
          <w:marBottom w:val="0"/>
          <w:divBdr>
            <w:top w:val="none" w:sz="0" w:space="0" w:color="auto"/>
            <w:left w:val="none" w:sz="0" w:space="0" w:color="auto"/>
            <w:bottom w:val="none" w:sz="0" w:space="0" w:color="auto"/>
            <w:right w:val="none" w:sz="0" w:space="0" w:color="auto"/>
          </w:divBdr>
        </w:div>
        <w:div w:id="944003129">
          <w:marLeft w:val="0"/>
          <w:marRight w:val="0"/>
          <w:marTop w:val="0"/>
          <w:marBottom w:val="0"/>
          <w:divBdr>
            <w:top w:val="none" w:sz="0" w:space="0" w:color="auto"/>
            <w:left w:val="none" w:sz="0" w:space="0" w:color="auto"/>
            <w:bottom w:val="none" w:sz="0" w:space="0" w:color="auto"/>
            <w:right w:val="none" w:sz="0" w:space="0" w:color="auto"/>
          </w:divBdr>
        </w:div>
        <w:div w:id="945502938">
          <w:marLeft w:val="0"/>
          <w:marRight w:val="0"/>
          <w:marTop w:val="0"/>
          <w:marBottom w:val="0"/>
          <w:divBdr>
            <w:top w:val="none" w:sz="0" w:space="0" w:color="auto"/>
            <w:left w:val="none" w:sz="0" w:space="0" w:color="auto"/>
            <w:bottom w:val="none" w:sz="0" w:space="0" w:color="auto"/>
            <w:right w:val="none" w:sz="0" w:space="0" w:color="auto"/>
          </w:divBdr>
        </w:div>
        <w:div w:id="949168423">
          <w:marLeft w:val="0"/>
          <w:marRight w:val="0"/>
          <w:marTop w:val="0"/>
          <w:marBottom w:val="0"/>
          <w:divBdr>
            <w:top w:val="none" w:sz="0" w:space="0" w:color="auto"/>
            <w:left w:val="none" w:sz="0" w:space="0" w:color="auto"/>
            <w:bottom w:val="none" w:sz="0" w:space="0" w:color="auto"/>
            <w:right w:val="none" w:sz="0" w:space="0" w:color="auto"/>
          </w:divBdr>
        </w:div>
        <w:div w:id="959609182">
          <w:marLeft w:val="0"/>
          <w:marRight w:val="0"/>
          <w:marTop w:val="0"/>
          <w:marBottom w:val="0"/>
          <w:divBdr>
            <w:top w:val="none" w:sz="0" w:space="0" w:color="auto"/>
            <w:left w:val="none" w:sz="0" w:space="0" w:color="auto"/>
            <w:bottom w:val="none" w:sz="0" w:space="0" w:color="auto"/>
            <w:right w:val="none" w:sz="0" w:space="0" w:color="auto"/>
          </w:divBdr>
        </w:div>
        <w:div w:id="967858543">
          <w:marLeft w:val="0"/>
          <w:marRight w:val="0"/>
          <w:marTop w:val="0"/>
          <w:marBottom w:val="0"/>
          <w:divBdr>
            <w:top w:val="none" w:sz="0" w:space="0" w:color="auto"/>
            <w:left w:val="none" w:sz="0" w:space="0" w:color="auto"/>
            <w:bottom w:val="none" w:sz="0" w:space="0" w:color="auto"/>
            <w:right w:val="none" w:sz="0" w:space="0" w:color="auto"/>
          </w:divBdr>
        </w:div>
        <w:div w:id="975718439">
          <w:marLeft w:val="0"/>
          <w:marRight w:val="0"/>
          <w:marTop w:val="0"/>
          <w:marBottom w:val="0"/>
          <w:divBdr>
            <w:top w:val="none" w:sz="0" w:space="0" w:color="auto"/>
            <w:left w:val="none" w:sz="0" w:space="0" w:color="auto"/>
            <w:bottom w:val="none" w:sz="0" w:space="0" w:color="auto"/>
            <w:right w:val="none" w:sz="0" w:space="0" w:color="auto"/>
          </w:divBdr>
        </w:div>
        <w:div w:id="989864251">
          <w:marLeft w:val="0"/>
          <w:marRight w:val="0"/>
          <w:marTop w:val="0"/>
          <w:marBottom w:val="0"/>
          <w:divBdr>
            <w:top w:val="none" w:sz="0" w:space="0" w:color="auto"/>
            <w:left w:val="none" w:sz="0" w:space="0" w:color="auto"/>
            <w:bottom w:val="none" w:sz="0" w:space="0" w:color="auto"/>
            <w:right w:val="none" w:sz="0" w:space="0" w:color="auto"/>
          </w:divBdr>
        </w:div>
        <w:div w:id="995956594">
          <w:marLeft w:val="0"/>
          <w:marRight w:val="0"/>
          <w:marTop w:val="0"/>
          <w:marBottom w:val="0"/>
          <w:divBdr>
            <w:top w:val="none" w:sz="0" w:space="0" w:color="auto"/>
            <w:left w:val="none" w:sz="0" w:space="0" w:color="auto"/>
            <w:bottom w:val="none" w:sz="0" w:space="0" w:color="auto"/>
            <w:right w:val="none" w:sz="0" w:space="0" w:color="auto"/>
          </w:divBdr>
        </w:div>
        <w:div w:id="999425674">
          <w:marLeft w:val="0"/>
          <w:marRight w:val="0"/>
          <w:marTop w:val="0"/>
          <w:marBottom w:val="0"/>
          <w:divBdr>
            <w:top w:val="none" w:sz="0" w:space="0" w:color="auto"/>
            <w:left w:val="none" w:sz="0" w:space="0" w:color="auto"/>
            <w:bottom w:val="none" w:sz="0" w:space="0" w:color="auto"/>
            <w:right w:val="none" w:sz="0" w:space="0" w:color="auto"/>
          </w:divBdr>
        </w:div>
        <w:div w:id="999577589">
          <w:marLeft w:val="0"/>
          <w:marRight w:val="0"/>
          <w:marTop w:val="0"/>
          <w:marBottom w:val="0"/>
          <w:divBdr>
            <w:top w:val="none" w:sz="0" w:space="0" w:color="auto"/>
            <w:left w:val="none" w:sz="0" w:space="0" w:color="auto"/>
            <w:bottom w:val="none" w:sz="0" w:space="0" w:color="auto"/>
            <w:right w:val="none" w:sz="0" w:space="0" w:color="auto"/>
          </w:divBdr>
        </w:div>
        <w:div w:id="1009330236">
          <w:marLeft w:val="0"/>
          <w:marRight w:val="0"/>
          <w:marTop w:val="0"/>
          <w:marBottom w:val="0"/>
          <w:divBdr>
            <w:top w:val="none" w:sz="0" w:space="0" w:color="auto"/>
            <w:left w:val="none" w:sz="0" w:space="0" w:color="auto"/>
            <w:bottom w:val="none" w:sz="0" w:space="0" w:color="auto"/>
            <w:right w:val="none" w:sz="0" w:space="0" w:color="auto"/>
          </w:divBdr>
        </w:div>
        <w:div w:id="1010138733">
          <w:marLeft w:val="0"/>
          <w:marRight w:val="0"/>
          <w:marTop w:val="0"/>
          <w:marBottom w:val="0"/>
          <w:divBdr>
            <w:top w:val="none" w:sz="0" w:space="0" w:color="auto"/>
            <w:left w:val="none" w:sz="0" w:space="0" w:color="auto"/>
            <w:bottom w:val="none" w:sz="0" w:space="0" w:color="auto"/>
            <w:right w:val="none" w:sz="0" w:space="0" w:color="auto"/>
          </w:divBdr>
        </w:div>
        <w:div w:id="1017654421">
          <w:marLeft w:val="0"/>
          <w:marRight w:val="0"/>
          <w:marTop w:val="0"/>
          <w:marBottom w:val="0"/>
          <w:divBdr>
            <w:top w:val="none" w:sz="0" w:space="0" w:color="auto"/>
            <w:left w:val="none" w:sz="0" w:space="0" w:color="auto"/>
            <w:bottom w:val="none" w:sz="0" w:space="0" w:color="auto"/>
            <w:right w:val="none" w:sz="0" w:space="0" w:color="auto"/>
          </w:divBdr>
        </w:div>
        <w:div w:id="1019625681">
          <w:marLeft w:val="0"/>
          <w:marRight w:val="0"/>
          <w:marTop w:val="0"/>
          <w:marBottom w:val="0"/>
          <w:divBdr>
            <w:top w:val="none" w:sz="0" w:space="0" w:color="auto"/>
            <w:left w:val="none" w:sz="0" w:space="0" w:color="auto"/>
            <w:bottom w:val="none" w:sz="0" w:space="0" w:color="auto"/>
            <w:right w:val="none" w:sz="0" w:space="0" w:color="auto"/>
          </w:divBdr>
        </w:div>
        <w:div w:id="1030912927">
          <w:marLeft w:val="0"/>
          <w:marRight w:val="0"/>
          <w:marTop w:val="0"/>
          <w:marBottom w:val="0"/>
          <w:divBdr>
            <w:top w:val="none" w:sz="0" w:space="0" w:color="auto"/>
            <w:left w:val="none" w:sz="0" w:space="0" w:color="auto"/>
            <w:bottom w:val="none" w:sz="0" w:space="0" w:color="auto"/>
            <w:right w:val="none" w:sz="0" w:space="0" w:color="auto"/>
          </w:divBdr>
        </w:div>
        <w:div w:id="1041057279">
          <w:marLeft w:val="0"/>
          <w:marRight w:val="0"/>
          <w:marTop w:val="0"/>
          <w:marBottom w:val="0"/>
          <w:divBdr>
            <w:top w:val="none" w:sz="0" w:space="0" w:color="auto"/>
            <w:left w:val="none" w:sz="0" w:space="0" w:color="auto"/>
            <w:bottom w:val="none" w:sz="0" w:space="0" w:color="auto"/>
            <w:right w:val="none" w:sz="0" w:space="0" w:color="auto"/>
          </w:divBdr>
        </w:div>
        <w:div w:id="1042023175">
          <w:marLeft w:val="0"/>
          <w:marRight w:val="0"/>
          <w:marTop w:val="0"/>
          <w:marBottom w:val="0"/>
          <w:divBdr>
            <w:top w:val="none" w:sz="0" w:space="0" w:color="auto"/>
            <w:left w:val="none" w:sz="0" w:space="0" w:color="auto"/>
            <w:bottom w:val="none" w:sz="0" w:space="0" w:color="auto"/>
            <w:right w:val="none" w:sz="0" w:space="0" w:color="auto"/>
          </w:divBdr>
        </w:div>
        <w:div w:id="1042826234">
          <w:marLeft w:val="0"/>
          <w:marRight w:val="0"/>
          <w:marTop w:val="0"/>
          <w:marBottom w:val="0"/>
          <w:divBdr>
            <w:top w:val="none" w:sz="0" w:space="0" w:color="auto"/>
            <w:left w:val="none" w:sz="0" w:space="0" w:color="auto"/>
            <w:bottom w:val="none" w:sz="0" w:space="0" w:color="auto"/>
            <w:right w:val="none" w:sz="0" w:space="0" w:color="auto"/>
          </w:divBdr>
        </w:div>
        <w:div w:id="1049035684">
          <w:marLeft w:val="0"/>
          <w:marRight w:val="0"/>
          <w:marTop w:val="0"/>
          <w:marBottom w:val="0"/>
          <w:divBdr>
            <w:top w:val="none" w:sz="0" w:space="0" w:color="auto"/>
            <w:left w:val="none" w:sz="0" w:space="0" w:color="auto"/>
            <w:bottom w:val="none" w:sz="0" w:space="0" w:color="auto"/>
            <w:right w:val="none" w:sz="0" w:space="0" w:color="auto"/>
          </w:divBdr>
        </w:div>
        <w:div w:id="1058288195">
          <w:marLeft w:val="0"/>
          <w:marRight w:val="0"/>
          <w:marTop w:val="0"/>
          <w:marBottom w:val="0"/>
          <w:divBdr>
            <w:top w:val="none" w:sz="0" w:space="0" w:color="auto"/>
            <w:left w:val="none" w:sz="0" w:space="0" w:color="auto"/>
            <w:bottom w:val="none" w:sz="0" w:space="0" w:color="auto"/>
            <w:right w:val="none" w:sz="0" w:space="0" w:color="auto"/>
          </w:divBdr>
        </w:div>
        <w:div w:id="1059062405">
          <w:marLeft w:val="0"/>
          <w:marRight w:val="0"/>
          <w:marTop w:val="0"/>
          <w:marBottom w:val="0"/>
          <w:divBdr>
            <w:top w:val="none" w:sz="0" w:space="0" w:color="auto"/>
            <w:left w:val="none" w:sz="0" w:space="0" w:color="auto"/>
            <w:bottom w:val="none" w:sz="0" w:space="0" w:color="auto"/>
            <w:right w:val="none" w:sz="0" w:space="0" w:color="auto"/>
          </w:divBdr>
        </w:div>
        <w:div w:id="1065877510">
          <w:marLeft w:val="0"/>
          <w:marRight w:val="0"/>
          <w:marTop w:val="0"/>
          <w:marBottom w:val="0"/>
          <w:divBdr>
            <w:top w:val="none" w:sz="0" w:space="0" w:color="auto"/>
            <w:left w:val="none" w:sz="0" w:space="0" w:color="auto"/>
            <w:bottom w:val="none" w:sz="0" w:space="0" w:color="auto"/>
            <w:right w:val="none" w:sz="0" w:space="0" w:color="auto"/>
          </w:divBdr>
        </w:div>
        <w:div w:id="1074621251">
          <w:marLeft w:val="0"/>
          <w:marRight w:val="0"/>
          <w:marTop w:val="0"/>
          <w:marBottom w:val="0"/>
          <w:divBdr>
            <w:top w:val="none" w:sz="0" w:space="0" w:color="auto"/>
            <w:left w:val="none" w:sz="0" w:space="0" w:color="auto"/>
            <w:bottom w:val="none" w:sz="0" w:space="0" w:color="auto"/>
            <w:right w:val="none" w:sz="0" w:space="0" w:color="auto"/>
          </w:divBdr>
        </w:div>
        <w:div w:id="1083914383">
          <w:marLeft w:val="0"/>
          <w:marRight w:val="0"/>
          <w:marTop w:val="0"/>
          <w:marBottom w:val="0"/>
          <w:divBdr>
            <w:top w:val="none" w:sz="0" w:space="0" w:color="auto"/>
            <w:left w:val="none" w:sz="0" w:space="0" w:color="auto"/>
            <w:bottom w:val="none" w:sz="0" w:space="0" w:color="auto"/>
            <w:right w:val="none" w:sz="0" w:space="0" w:color="auto"/>
          </w:divBdr>
        </w:div>
        <w:div w:id="1084062822">
          <w:marLeft w:val="0"/>
          <w:marRight w:val="0"/>
          <w:marTop w:val="0"/>
          <w:marBottom w:val="0"/>
          <w:divBdr>
            <w:top w:val="none" w:sz="0" w:space="0" w:color="auto"/>
            <w:left w:val="none" w:sz="0" w:space="0" w:color="auto"/>
            <w:bottom w:val="none" w:sz="0" w:space="0" w:color="auto"/>
            <w:right w:val="none" w:sz="0" w:space="0" w:color="auto"/>
          </w:divBdr>
        </w:div>
        <w:div w:id="1084690624">
          <w:marLeft w:val="0"/>
          <w:marRight w:val="0"/>
          <w:marTop w:val="0"/>
          <w:marBottom w:val="0"/>
          <w:divBdr>
            <w:top w:val="none" w:sz="0" w:space="0" w:color="auto"/>
            <w:left w:val="none" w:sz="0" w:space="0" w:color="auto"/>
            <w:bottom w:val="none" w:sz="0" w:space="0" w:color="auto"/>
            <w:right w:val="none" w:sz="0" w:space="0" w:color="auto"/>
          </w:divBdr>
        </w:div>
        <w:div w:id="1085296278">
          <w:marLeft w:val="0"/>
          <w:marRight w:val="0"/>
          <w:marTop w:val="0"/>
          <w:marBottom w:val="0"/>
          <w:divBdr>
            <w:top w:val="none" w:sz="0" w:space="0" w:color="auto"/>
            <w:left w:val="none" w:sz="0" w:space="0" w:color="auto"/>
            <w:bottom w:val="none" w:sz="0" w:space="0" w:color="auto"/>
            <w:right w:val="none" w:sz="0" w:space="0" w:color="auto"/>
          </w:divBdr>
        </w:div>
        <w:div w:id="1086656911">
          <w:marLeft w:val="0"/>
          <w:marRight w:val="0"/>
          <w:marTop w:val="0"/>
          <w:marBottom w:val="0"/>
          <w:divBdr>
            <w:top w:val="none" w:sz="0" w:space="0" w:color="auto"/>
            <w:left w:val="none" w:sz="0" w:space="0" w:color="auto"/>
            <w:bottom w:val="none" w:sz="0" w:space="0" w:color="auto"/>
            <w:right w:val="none" w:sz="0" w:space="0" w:color="auto"/>
          </w:divBdr>
        </w:div>
        <w:div w:id="1101797604">
          <w:marLeft w:val="0"/>
          <w:marRight w:val="0"/>
          <w:marTop w:val="0"/>
          <w:marBottom w:val="0"/>
          <w:divBdr>
            <w:top w:val="none" w:sz="0" w:space="0" w:color="auto"/>
            <w:left w:val="none" w:sz="0" w:space="0" w:color="auto"/>
            <w:bottom w:val="none" w:sz="0" w:space="0" w:color="auto"/>
            <w:right w:val="none" w:sz="0" w:space="0" w:color="auto"/>
          </w:divBdr>
        </w:div>
        <w:div w:id="1105886576">
          <w:marLeft w:val="0"/>
          <w:marRight w:val="0"/>
          <w:marTop w:val="0"/>
          <w:marBottom w:val="0"/>
          <w:divBdr>
            <w:top w:val="none" w:sz="0" w:space="0" w:color="auto"/>
            <w:left w:val="none" w:sz="0" w:space="0" w:color="auto"/>
            <w:bottom w:val="none" w:sz="0" w:space="0" w:color="auto"/>
            <w:right w:val="none" w:sz="0" w:space="0" w:color="auto"/>
          </w:divBdr>
        </w:div>
        <w:div w:id="1108744723">
          <w:marLeft w:val="0"/>
          <w:marRight w:val="0"/>
          <w:marTop w:val="0"/>
          <w:marBottom w:val="0"/>
          <w:divBdr>
            <w:top w:val="none" w:sz="0" w:space="0" w:color="auto"/>
            <w:left w:val="none" w:sz="0" w:space="0" w:color="auto"/>
            <w:bottom w:val="none" w:sz="0" w:space="0" w:color="auto"/>
            <w:right w:val="none" w:sz="0" w:space="0" w:color="auto"/>
          </w:divBdr>
        </w:div>
        <w:div w:id="1113357586">
          <w:marLeft w:val="0"/>
          <w:marRight w:val="0"/>
          <w:marTop w:val="0"/>
          <w:marBottom w:val="0"/>
          <w:divBdr>
            <w:top w:val="none" w:sz="0" w:space="0" w:color="auto"/>
            <w:left w:val="none" w:sz="0" w:space="0" w:color="auto"/>
            <w:bottom w:val="none" w:sz="0" w:space="0" w:color="auto"/>
            <w:right w:val="none" w:sz="0" w:space="0" w:color="auto"/>
          </w:divBdr>
        </w:div>
        <w:div w:id="1114249358">
          <w:marLeft w:val="0"/>
          <w:marRight w:val="0"/>
          <w:marTop w:val="0"/>
          <w:marBottom w:val="0"/>
          <w:divBdr>
            <w:top w:val="none" w:sz="0" w:space="0" w:color="auto"/>
            <w:left w:val="none" w:sz="0" w:space="0" w:color="auto"/>
            <w:bottom w:val="none" w:sz="0" w:space="0" w:color="auto"/>
            <w:right w:val="none" w:sz="0" w:space="0" w:color="auto"/>
          </w:divBdr>
        </w:div>
        <w:div w:id="1119373588">
          <w:marLeft w:val="0"/>
          <w:marRight w:val="0"/>
          <w:marTop w:val="0"/>
          <w:marBottom w:val="0"/>
          <w:divBdr>
            <w:top w:val="none" w:sz="0" w:space="0" w:color="auto"/>
            <w:left w:val="none" w:sz="0" w:space="0" w:color="auto"/>
            <w:bottom w:val="none" w:sz="0" w:space="0" w:color="auto"/>
            <w:right w:val="none" w:sz="0" w:space="0" w:color="auto"/>
          </w:divBdr>
        </w:div>
        <w:div w:id="1121994704">
          <w:marLeft w:val="0"/>
          <w:marRight w:val="0"/>
          <w:marTop w:val="0"/>
          <w:marBottom w:val="0"/>
          <w:divBdr>
            <w:top w:val="none" w:sz="0" w:space="0" w:color="auto"/>
            <w:left w:val="none" w:sz="0" w:space="0" w:color="auto"/>
            <w:bottom w:val="none" w:sz="0" w:space="0" w:color="auto"/>
            <w:right w:val="none" w:sz="0" w:space="0" w:color="auto"/>
          </w:divBdr>
        </w:div>
        <w:div w:id="1129130274">
          <w:marLeft w:val="0"/>
          <w:marRight w:val="0"/>
          <w:marTop w:val="0"/>
          <w:marBottom w:val="0"/>
          <w:divBdr>
            <w:top w:val="none" w:sz="0" w:space="0" w:color="auto"/>
            <w:left w:val="none" w:sz="0" w:space="0" w:color="auto"/>
            <w:bottom w:val="none" w:sz="0" w:space="0" w:color="auto"/>
            <w:right w:val="none" w:sz="0" w:space="0" w:color="auto"/>
          </w:divBdr>
        </w:div>
        <w:div w:id="1131287841">
          <w:marLeft w:val="0"/>
          <w:marRight w:val="0"/>
          <w:marTop w:val="0"/>
          <w:marBottom w:val="0"/>
          <w:divBdr>
            <w:top w:val="none" w:sz="0" w:space="0" w:color="auto"/>
            <w:left w:val="none" w:sz="0" w:space="0" w:color="auto"/>
            <w:bottom w:val="none" w:sz="0" w:space="0" w:color="auto"/>
            <w:right w:val="none" w:sz="0" w:space="0" w:color="auto"/>
          </w:divBdr>
        </w:div>
        <w:div w:id="1140267277">
          <w:marLeft w:val="0"/>
          <w:marRight w:val="0"/>
          <w:marTop w:val="0"/>
          <w:marBottom w:val="0"/>
          <w:divBdr>
            <w:top w:val="none" w:sz="0" w:space="0" w:color="auto"/>
            <w:left w:val="none" w:sz="0" w:space="0" w:color="auto"/>
            <w:bottom w:val="none" w:sz="0" w:space="0" w:color="auto"/>
            <w:right w:val="none" w:sz="0" w:space="0" w:color="auto"/>
          </w:divBdr>
        </w:div>
        <w:div w:id="1143043074">
          <w:marLeft w:val="0"/>
          <w:marRight w:val="0"/>
          <w:marTop w:val="0"/>
          <w:marBottom w:val="0"/>
          <w:divBdr>
            <w:top w:val="none" w:sz="0" w:space="0" w:color="auto"/>
            <w:left w:val="none" w:sz="0" w:space="0" w:color="auto"/>
            <w:bottom w:val="none" w:sz="0" w:space="0" w:color="auto"/>
            <w:right w:val="none" w:sz="0" w:space="0" w:color="auto"/>
          </w:divBdr>
        </w:div>
        <w:div w:id="1148596033">
          <w:marLeft w:val="0"/>
          <w:marRight w:val="0"/>
          <w:marTop w:val="0"/>
          <w:marBottom w:val="0"/>
          <w:divBdr>
            <w:top w:val="none" w:sz="0" w:space="0" w:color="auto"/>
            <w:left w:val="none" w:sz="0" w:space="0" w:color="auto"/>
            <w:bottom w:val="none" w:sz="0" w:space="0" w:color="auto"/>
            <w:right w:val="none" w:sz="0" w:space="0" w:color="auto"/>
          </w:divBdr>
        </w:div>
        <w:div w:id="1149781631">
          <w:marLeft w:val="0"/>
          <w:marRight w:val="0"/>
          <w:marTop w:val="0"/>
          <w:marBottom w:val="0"/>
          <w:divBdr>
            <w:top w:val="none" w:sz="0" w:space="0" w:color="auto"/>
            <w:left w:val="none" w:sz="0" w:space="0" w:color="auto"/>
            <w:bottom w:val="none" w:sz="0" w:space="0" w:color="auto"/>
            <w:right w:val="none" w:sz="0" w:space="0" w:color="auto"/>
          </w:divBdr>
        </w:div>
        <w:div w:id="1150249965">
          <w:marLeft w:val="0"/>
          <w:marRight w:val="0"/>
          <w:marTop w:val="0"/>
          <w:marBottom w:val="0"/>
          <w:divBdr>
            <w:top w:val="none" w:sz="0" w:space="0" w:color="auto"/>
            <w:left w:val="none" w:sz="0" w:space="0" w:color="auto"/>
            <w:bottom w:val="none" w:sz="0" w:space="0" w:color="auto"/>
            <w:right w:val="none" w:sz="0" w:space="0" w:color="auto"/>
          </w:divBdr>
        </w:div>
        <w:div w:id="1152870858">
          <w:marLeft w:val="0"/>
          <w:marRight w:val="0"/>
          <w:marTop w:val="0"/>
          <w:marBottom w:val="0"/>
          <w:divBdr>
            <w:top w:val="none" w:sz="0" w:space="0" w:color="auto"/>
            <w:left w:val="none" w:sz="0" w:space="0" w:color="auto"/>
            <w:bottom w:val="none" w:sz="0" w:space="0" w:color="auto"/>
            <w:right w:val="none" w:sz="0" w:space="0" w:color="auto"/>
          </w:divBdr>
        </w:div>
        <w:div w:id="1166747485">
          <w:marLeft w:val="0"/>
          <w:marRight w:val="0"/>
          <w:marTop w:val="0"/>
          <w:marBottom w:val="0"/>
          <w:divBdr>
            <w:top w:val="none" w:sz="0" w:space="0" w:color="auto"/>
            <w:left w:val="none" w:sz="0" w:space="0" w:color="auto"/>
            <w:bottom w:val="none" w:sz="0" w:space="0" w:color="auto"/>
            <w:right w:val="none" w:sz="0" w:space="0" w:color="auto"/>
          </w:divBdr>
        </w:div>
        <w:div w:id="1166941357">
          <w:marLeft w:val="0"/>
          <w:marRight w:val="0"/>
          <w:marTop w:val="0"/>
          <w:marBottom w:val="0"/>
          <w:divBdr>
            <w:top w:val="none" w:sz="0" w:space="0" w:color="auto"/>
            <w:left w:val="none" w:sz="0" w:space="0" w:color="auto"/>
            <w:bottom w:val="none" w:sz="0" w:space="0" w:color="auto"/>
            <w:right w:val="none" w:sz="0" w:space="0" w:color="auto"/>
          </w:divBdr>
        </w:div>
        <w:div w:id="1171993957">
          <w:marLeft w:val="0"/>
          <w:marRight w:val="0"/>
          <w:marTop w:val="0"/>
          <w:marBottom w:val="0"/>
          <w:divBdr>
            <w:top w:val="none" w:sz="0" w:space="0" w:color="auto"/>
            <w:left w:val="none" w:sz="0" w:space="0" w:color="auto"/>
            <w:bottom w:val="none" w:sz="0" w:space="0" w:color="auto"/>
            <w:right w:val="none" w:sz="0" w:space="0" w:color="auto"/>
          </w:divBdr>
        </w:div>
        <w:div w:id="1172178713">
          <w:marLeft w:val="0"/>
          <w:marRight w:val="0"/>
          <w:marTop w:val="0"/>
          <w:marBottom w:val="0"/>
          <w:divBdr>
            <w:top w:val="none" w:sz="0" w:space="0" w:color="auto"/>
            <w:left w:val="none" w:sz="0" w:space="0" w:color="auto"/>
            <w:bottom w:val="none" w:sz="0" w:space="0" w:color="auto"/>
            <w:right w:val="none" w:sz="0" w:space="0" w:color="auto"/>
          </w:divBdr>
        </w:div>
        <w:div w:id="1172188097">
          <w:marLeft w:val="0"/>
          <w:marRight w:val="0"/>
          <w:marTop w:val="0"/>
          <w:marBottom w:val="0"/>
          <w:divBdr>
            <w:top w:val="none" w:sz="0" w:space="0" w:color="auto"/>
            <w:left w:val="none" w:sz="0" w:space="0" w:color="auto"/>
            <w:bottom w:val="none" w:sz="0" w:space="0" w:color="auto"/>
            <w:right w:val="none" w:sz="0" w:space="0" w:color="auto"/>
          </w:divBdr>
        </w:div>
        <w:div w:id="1173643729">
          <w:marLeft w:val="0"/>
          <w:marRight w:val="0"/>
          <w:marTop w:val="0"/>
          <w:marBottom w:val="0"/>
          <w:divBdr>
            <w:top w:val="none" w:sz="0" w:space="0" w:color="auto"/>
            <w:left w:val="none" w:sz="0" w:space="0" w:color="auto"/>
            <w:bottom w:val="none" w:sz="0" w:space="0" w:color="auto"/>
            <w:right w:val="none" w:sz="0" w:space="0" w:color="auto"/>
          </w:divBdr>
        </w:div>
        <w:div w:id="1175261613">
          <w:marLeft w:val="0"/>
          <w:marRight w:val="0"/>
          <w:marTop w:val="0"/>
          <w:marBottom w:val="0"/>
          <w:divBdr>
            <w:top w:val="none" w:sz="0" w:space="0" w:color="auto"/>
            <w:left w:val="none" w:sz="0" w:space="0" w:color="auto"/>
            <w:bottom w:val="none" w:sz="0" w:space="0" w:color="auto"/>
            <w:right w:val="none" w:sz="0" w:space="0" w:color="auto"/>
          </w:divBdr>
        </w:div>
        <w:div w:id="1176460579">
          <w:marLeft w:val="0"/>
          <w:marRight w:val="0"/>
          <w:marTop w:val="0"/>
          <w:marBottom w:val="0"/>
          <w:divBdr>
            <w:top w:val="none" w:sz="0" w:space="0" w:color="auto"/>
            <w:left w:val="none" w:sz="0" w:space="0" w:color="auto"/>
            <w:bottom w:val="none" w:sz="0" w:space="0" w:color="auto"/>
            <w:right w:val="none" w:sz="0" w:space="0" w:color="auto"/>
          </w:divBdr>
        </w:div>
        <w:div w:id="1184367645">
          <w:marLeft w:val="0"/>
          <w:marRight w:val="0"/>
          <w:marTop w:val="0"/>
          <w:marBottom w:val="0"/>
          <w:divBdr>
            <w:top w:val="none" w:sz="0" w:space="0" w:color="auto"/>
            <w:left w:val="none" w:sz="0" w:space="0" w:color="auto"/>
            <w:bottom w:val="none" w:sz="0" w:space="0" w:color="auto"/>
            <w:right w:val="none" w:sz="0" w:space="0" w:color="auto"/>
          </w:divBdr>
        </w:div>
        <w:div w:id="1190417644">
          <w:marLeft w:val="0"/>
          <w:marRight w:val="0"/>
          <w:marTop w:val="0"/>
          <w:marBottom w:val="0"/>
          <w:divBdr>
            <w:top w:val="none" w:sz="0" w:space="0" w:color="auto"/>
            <w:left w:val="none" w:sz="0" w:space="0" w:color="auto"/>
            <w:bottom w:val="none" w:sz="0" w:space="0" w:color="auto"/>
            <w:right w:val="none" w:sz="0" w:space="0" w:color="auto"/>
          </w:divBdr>
        </w:div>
        <w:div w:id="1198468994">
          <w:marLeft w:val="0"/>
          <w:marRight w:val="0"/>
          <w:marTop w:val="0"/>
          <w:marBottom w:val="0"/>
          <w:divBdr>
            <w:top w:val="none" w:sz="0" w:space="0" w:color="auto"/>
            <w:left w:val="none" w:sz="0" w:space="0" w:color="auto"/>
            <w:bottom w:val="none" w:sz="0" w:space="0" w:color="auto"/>
            <w:right w:val="none" w:sz="0" w:space="0" w:color="auto"/>
          </w:divBdr>
        </w:div>
        <w:div w:id="1201280455">
          <w:marLeft w:val="0"/>
          <w:marRight w:val="0"/>
          <w:marTop w:val="0"/>
          <w:marBottom w:val="0"/>
          <w:divBdr>
            <w:top w:val="none" w:sz="0" w:space="0" w:color="auto"/>
            <w:left w:val="none" w:sz="0" w:space="0" w:color="auto"/>
            <w:bottom w:val="none" w:sz="0" w:space="0" w:color="auto"/>
            <w:right w:val="none" w:sz="0" w:space="0" w:color="auto"/>
          </w:divBdr>
        </w:div>
        <w:div w:id="1202862418">
          <w:marLeft w:val="0"/>
          <w:marRight w:val="0"/>
          <w:marTop w:val="0"/>
          <w:marBottom w:val="0"/>
          <w:divBdr>
            <w:top w:val="none" w:sz="0" w:space="0" w:color="auto"/>
            <w:left w:val="none" w:sz="0" w:space="0" w:color="auto"/>
            <w:bottom w:val="none" w:sz="0" w:space="0" w:color="auto"/>
            <w:right w:val="none" w:sz="0" w:space="0" w:color="auto"/>
          </w:divBdr>
        </w:div>
        <w:div w:id="1202981062">
          <w:marLeft w:val="0"/>
          <w:marRight w:val="0"/>
          <w:marTop w:val="0"/>
          <w:marBottom w:val="0"/>
          <w:divBdr>
            <w:top w:val="none" w:sz="0" w:space="0" w:color="auto"/>
            <w:left w:val="none" w:sz="0" w:space="0" w:color="auto"/>
            <w:bottom w:val="none" w:sz="0" w:space="0" w:color="auto"/>
            <w:right w:val="none" w:sz="0" w:space="0" w:color="auto"/>
          </w:divBdr>
        </w:div>
        <w:div w:id="1209755549">
          <w:marLeft w:val="0"/>
          <w:marRight w:val="0"/>
          <w:marTop w:val="0"/>
          <w:marBottom w:val="0"/>
          <w:divBdr>
            <w:top w:val="none" w:sz="0" w:space="0" w:color="auto"/>
            <w:left w:val="none" w:sz="0" w:space="0" w:color="auto"/>
            <w:bottom w:val="none" w:sz="0" w:space="0" w:color="auto"/>
            <w:right w:val="none" w:sz="0" w:space="0" w:color="auto"/>
          </w:divBdr>
        </w:div>
        <w:div w:id="1211646049">
          <w:marLeft w:val="0"/>
          <w:marRight w:val="0"/>
          <w:marTop w:val="0"/>
          <w:marBottom w:val="0"/>
          <w:divBdr>
            <w:top w:val="none" w:sz="0" w:space="0" w:color="auto"/>
            <w:left w:val="none" w:sz="0" w:space="0" w:color="auto"/>
            <w:bottom w:val="none" w:sz="0" w:space="0" w:color="auto"/>
            <w:right w:val="none" w:sz="0" w:space="0" w:color="auto"/>
          </w:divBdr>
        </w:div>
        <w:div w:id="1227566795">
          <w:marLeft w:val="0"/>
          <w:marRight w:val="0"/>
          <w:marTop w:val="0"/>
          <w:marBottom w:val="0"/>
          <w:divBdr>
            <w:top w:val="none" w:sz="0" w:space="0" w:color="auto"/>
            <w:left w:val="none" w:sz="0" w:space="0" w:color="auto"/>
            <w:bottom w:val="none" w:sz="0" w:space="0" w:color="auto"/>
            <w:right w:val="none" w:sz="0" w:space="0" w:color="auto"/>
          </w:divBdr>
        </w:div>
        <w:div w:id="1227958538">
          <w:marLeft w:val="0"/>
          <w:marRight w:val="0"/>
          <w:marTop w:val="0"/>
          <w:marBottom w:val="0"/>
          <w:divBdr>
            <w:top w:val="none" w:sz="0" w:space="0" w:color="auto"/>
            <w:left w:val="none" w:sz="0" w:space="0" w:color="auto"/>
            <w:bottom w:val="none" w:sz="0" w:space="0" w:color="auto"/>
            <w:right w:val="none" w:sz="0" w:space="0" w:color="auto"/>
          </w:divBdr>
        </w:div>
        <w:div w:id="1228108050">
          <w:marLeft w:val="0"/>
          <w:marRight w:val="0"/>
          <w:marTop w:val="0"/>
          <w:marBottom w:val="0"/>
          <w:divBdr>
            <w:top w:val="none" w:sz="0" w:space="0" w:color="auto"/>
            <w:left w:val="none" w:sz="0" w:space="0" w:color="auto"/>
            <w:bottom w:val="none" w:sz="0" w:space="0" w:color="auto"/>
            <w:right w:val="none" w:sz="0" w:space="0" w:color="auto"/>
          </w:divBdr>
        </w:div>
        <w:div w:id="1228221373">
          <w:marLeft w:val="0"/>
          <w:marRight w:val="0"/>
          <w:marTop w:val="0"/>
          <w:marBottom w:val="0"/>
          <w:divBdr>
            <w:top w:val="none" w:sz="0" w:space="0" w:color="auto"/>
            <w:left w:val="none" w:sz="0" w:space="0" w:color="auto"/>
            <w:bottom w:val="none" w:sz="0" w:space="0" w:color="auto"/>
            <w:right w:val="none" w:sz="0" w:space="0" w:color="auto"/>
          </w:divBdr>
        </w:div>
        <w:div w:id="1228885222">
          <w:marLeft w:val="0"/>
          <w:marRight w:val="0"/>
          <w:marTop w:val="0"/>
          <w:marBottom w:val="0"/>
          <w:divBdr>
            <w:top w:val="none" w:sz="0" w:space="0" w:color="auto"/>
            <w:left w:val="none" w:sz="0" w:space="0" w:color="auto"/>
            <w:bottom w:val="none" w:sz="0" w:space="0" w:color="auto"/>
            <w:right w:val="none" w:sz="0" w:space="0" w:color="auto"/>
          </w:divBdr>
        </w:div>
        <w:div w:id="1230265715">
          <w:marLeft w:val="0"/>
          <w:marRight w:val="0"/>
          <w:marTop w:val="0"/>
          <w:marBottom w:val="0"/>
          <w:divBdr>
            <w:top w:val="none" w:sz="0" w:space="0" w:color="auto"/>
            <w:left w:val="none" w:sz="0" w:space="0" w:color="auto"/>
            <w:bottom w:val="none" w:sz="0" w:space="0" w:color="auto"/>
            <w:right w:val="none" w:sz="0" w:space="0" w:color="auto"/>
          </w:divBdr>
        </w:div>
        <w:div w:id="1232278908">
          <w:marLeft w:val="0"/>
          <w:marRight w:val="0"/>
          <w:marTop w:val="0"/>
          <w:marBottom w:val="0"/>
          <w:divBdr>
            <w:top w:val="none" w:sz="0" w:space="0" w:color="auto"/>
            <w:left w:val="none" w:sz="0" w:space="0" w:color="auto"/>
            <w:bottom w:val="none" w:sz="0" w:space="0" w:color="auto"/>
            <w:right w:val="none" w:sz="0" w:space="0" w:color="auto"/>
          </w:divBdr>
        </w:div>
        <w:div w:id="1234462282">
          <w:marLeft w:val="0"/>
          <w:marRight w:val="0"/>
          <w:marTop w:val="0"/>
          <w:marBottom w:val="0"/>
          <w:divBdr>
            <w:top w:val="none" w:sz="0" w:space="0" w:color="auto"/>
            <w:left w:val="none" w:sz="0" w:space="0" w:color="auto"/>
            <w:bottom w:val="none" w:sz="0" w:space="0" w:color="auto"/>
            <w:right w:val="none" w:sz="0" w:space="0" w:color="auto"/>
          </w:divBdr>
        </w:div>
        <w:div w:id="1243491643">
          <w:marLeft w:val="0"/>
          <w:marRight w:val="0"/>
          <w:marTop w:val="0"/>
          <w:marBottom w:val="0"/>
          <w:divBdr>
            <w:top w:val="none" w:sz="0" w:space="0" w:color="auto"/>
            <w:left w:val="none" w:sz="0" w:space="0" w:color="auto"/>
            <w:bottom w:val="none" w:sz="0" w:space="0" w:color="auto"/>
            <w:right w:val="none" w:sz="0" w:space="0" w:color="auto"/>
          </w:divBdr>
        </w:div>
        <w:div w:id="1245526656">
          <w:marLeft w:val="0"/>
          <w:marRight w:val="0"/>
          <w:marTop w:val="0"/>
          <w:marBottom w:val="0"/>
          <w:divBdr>
            <w:top w:val="none" w:sz="0" w:space="0" w:color="auto"/>
            <w:left w:val="none" w:sz="0" w:space="0" w:color="auto"/>
            <w:bottom w:val="none" w:sz="0" w:space="0" w:color="auto"/>
            <w:right w:val="none" w:sz="0" w:space="0" w:color="auto"/>
          </w:divBdr>
        </w:div>
        <w:div w:id="1250650612">
          <w:marLeft w:val="0"/>
          <w:marRight w:val="0"/>
          <w:marTop w:val="0"/>
          <w:marBottom w:val="0"/>
          <w:divBdr>
            <w:top w:val="none" w:sz="0" w:space="0" w:color="auto"/>
            <w:left w:val="none" w:sz="0" w:space="0" w:color="auto"/>
            <w:bottom w:val="none" w:sz="0" w:space="0" w:color="auto"/>
            <w:right w:val="none" w:sz="0" w:space="0" w:color="auto"/>
          </w:divBdr>
        </w:div>
        <w:div w:id="1251282092">
          <w:marLeft w:val="0"/>
          <w:marRight w:val="0"/>
          <w:marTop w:val="0"/>
          <w:marBottom w:val="0"/>
          <w:divBdr>
            <w:top w:val="none" w:sz="0" w:space="0" w:color="auto"/>
            <w:left w:val="none" w:sz="0" w:space="0" w:color="auto"/>
            <w:bottom w:val="none" w:sz="0" w:space="0" w:color="auto"/>
            <w:right w:val="none" w:sz="0" w:space="0" w:color="auto"/>
          </w:divBdr>
        </w:div>
        <w:div w:id="1257471787">
          <w:marLeft w:val="0"/>
          <w:marRight w:val="0"/>
          <w:marTop w:val="0"/>
          <w:marBottom w:val="0"/>
          <w:divBdr>
            <w:top w:val="none" w:sz="0" w:space="0" w:color="auto"/>
            <w:left w:val="none" w:sz="0" w:space="0" w:color="auto"/>
            <w:bottom w:val="none" w:sz="0" w:space="0" w:color="auto"/>
            <w:right w:val="none" w:sz="0" w:space="0" w:color="auto"/>
          </w:divBdr>
        </w:div>
        <w:div w:id="1257710507">
          <w:marLeft w:val="0"/>
          <w:marRight w:val="0"/>
          <w:marTop w:val="0"/>
          <w:marBottom w:val="0"/>
          <w:divBdr>
            <w:top w:val="none" w:sz="0" w:space="0" w:color="auto"/>
            <w:left w:val="none" w:sz="0" w:space="0" w:color="auto"/>
            <w:bottom w:val="none" w:sz="0" w:space="0" w:color="auto"/>
            <w:right w:val="none" w:sz="0" w:space="0" w:color="auto"/>
          </w:divBdr>
        </w:div>
        <w:div w:id="1264533678">
          <w:marLeft w:val="0"/>
          <w:marRight w:val="0"/>
          <w:marTop w:val="0"/>
          <w:marBottom w:val="0"/>
          <w:divBdr>
            <w:top w:val="none" w:sz="0" w:space="0" w:color="auto"/>
            <w:left w:val="none" w:sz="0" w:space="0" w:color="auto"/>
            <w:bottom w:val="none" w:sz="0" w:space="0" w:color="auto"/>
            <w:right w:val="none" w:sz="0" w:space="0" w:color="auto"/>
          </w:divBdr>
        </w:div>
        <w:div w:id="1274554842">
          <w:marLeft w:val="0"/>
          <w:marRight w:val="0"/>
          <w:marTop w:val="0"/>
          <w:marBottom w:val="0"/>
          <w:divBdr>
            <w:top w:val="none" w:sz="0" w:space="0" w:color="auto"/>
            <w:left w:val="none" w:sz="0" w:space="0" w:color="auto"/>
            <w:bottom w:val="none" w:sz="0" w:space="0" w:color="auto"/>
            <w:right w:val="none" w:sz="0" w:space="0" w:color="auto"/>
          </w:divBdr>
        </w:div>
        <w:div w:id="1274558807">
          <w:marLeft w:val="0"/>
          <w:marRight w:val="0"/>
          <w:marTop w:val="0"/>
          <w:marBottom w:val="0"/>
          <w:divBdr>
            <w:top w:val="none" w:sz="0" w:space="0" w:color="auto"/>
            <w:left w:val="none" w:sz="0" w:space="0" w:color="auto"/>
            <w:bottom w:val="none" w:sz="0" w:space="0" w:color="auto"/>
            <w:right w:val="none" w:sz="0" w:space="0" w:color="auto"/>
          </w:divBdr>
        </w:div>
        <w:div w:id="1276912766">
          <w:marLeft w:val="0"/>
          <w:marRight w:val="0"/>
          <w:marTop w:val="0"/>
          <w:marBottom w:val="0"/>
          <w:divBdr>
            <w:top w:val="none" w:sz="0" w:space="0" w:color="auto"/>
            <w:left w:val="none" w:sz="0" w:space="0" w:color="auto"/>
            <w:bottom w:val="none" w:sz="0" w:space="0" w:color="auto"/>
            <w:right w:val="none" w:sz="0" w:space="0" w:color="auto"/>
          </w:divBdr>
        </w:div>
        <w:div w:id="1280600523">
          <w:marLeft w:val="0"/>
          <w:marRight w:val="0"/>
          <w:marTop w:val="0"/>
          <w:marBottom w:val="0"/>
          <w:divBdr>
            <w:top w:val="none" w:sz="0" w:space="0" w:color="auto"/>
            <w:left w:val="none" w:sz="0" w:space="0" w:color="auto"/>
            <w:bottom w:val="none" w:sz="0" w:space="0" w:color="auto"/>
            <w:right w:val="none" w:sz="0" w:space="0" w:color="auto"/>
          </w:divBdr>
        </w:div>
        <w:div w:id="1284574795">
          <w:marLeft w:val="0"/>
          <w:marRight w:val="0"/>
          <w:marTop w:val="0"/>
          <w:marBottom w:val="0"/>
          <w:divBdr>
            <w:top w:val="none" w:sz="0" w:space="0" w:color="auto"/>
            <w:left w:val="none" w:sz="0" w:space="0" w:color="auto"/>
            <w:bottom w:val="none" w:sz="0" w:space="0" w:color="auto"/>
            <w:right w:val="none" w:sz="0" w:space="0" w:color="auto"/>
          </w:divBdr>
        </w:div>
        <w:div w:id="1286079079">
          <w:marLeft w:val="0"/>
          <w:marRight w:val="0"/>
          <w:marTop w:val="0"/>
          <w:marBottom w:val="0"/>
          <w:divBdr>
            <w:top w:val="none" w:sz="0" w:space="0" w:color="auto"/>
            <w:left w:val="none" w:sz="0" w:space="0" w:color="auto"/>
            <w:bottom w:val="none" w:sz="0" w:space="0" w:color="auto"/>
            <w:right w:val="none" w:sz="0" w:space="0" w:color="auto"/>
          </w:divBdr>
        </w:div>
        <w:div w:id="1290696880">
          <w:marLeft w:val="0"/>
          <w:marRight w:val="0"/>
          <w:marTop w:val="0"/>
          <w:marBottom w:val="0"/>
          <w:divBdr>
            <w:top w:val="none" w:sz="0" w:space="0" w:color="auto"/>
            <w:left w:val="none" w:sz="0" w:space="0" w:color="auto"/>
            <w:bottom w:val="none" w:sz="0" w:space="0" w:color="auto"/>
            <w:right w:val="none" w:sz="0" w:space="0" w:color="auto"/>
          </w:divBdr>
        </w:div>
        <w:div w:id="1305968158">
          <w:marLeft w:val="0"/>
          <w:marRight w:val="0"/>
          <w:marTop w:val="0"/>
          <w:marBottom w:val="0"/>
          <w:divBdr>
            <w:top w:val="none" w:sz="0" w:space="0" w:color="auto"/>
            <w:left w:val="none" w:sz="0" w:space="0" w:color="auto"/>
            <w:bottom w:val="none" w:sz="0" w:space="0" w:color="auto"/>
            <w:right w:val="none" w:sz="0" w:space="0" w:color="auto"/>
          </w:divBdr>
        </w:div>
        <w:div w:id="1312099262">
          <w:marLeft w:val="0"/>
          <w:marRight w:val="0"/>
          <w:marTop w:val="0"/>
          <w:marBottom w:val="0"/>
          <w:divBdr>
            <w:top w:val="none" w:sz="0" w:space="0" w:color="auto"/>
            <w:left w:val="none" w:sz="0" w:space="0" w:color="auto"/>
            <w:bottom w:val="none" w:sz="0" w:space="0" w:color="auto"/>
            <w:right w:val="none" w:sz="0" w:space="0" w:color="auto"/>
          </w:divBdr>
        </w:div>
        <w:div w:id="1313294835">
          <w:marLeft w:val="0"/>
          <w:marRight w:val="0"/>
          <w:marTop w:val="0"/>
          <w:marBottom w:val="0"/>
          <w:divBdr>
            <w:top w:val="none" w:sz="0" w:space="0" w:color="auto"/>
            <w:left w:val="none" w:sz="0" w:space="0" w:color="auto"/>
            <w:bottom w:val="none" w:sz="0" w:space="0" w:color="auto"/>
            <w:right w:val="none" w:sz="0" w:space="0" w:color="auto"/>
          </w:divBdr>
        </w:div>
        <w:div w:id="1313561840">
          <w:marLeft w:val="0"/>
          <w:marRight w:val="0"/>
          <w:marTop w:val="0"/>
          <w:marBottom w:val="0"/>
          <w:divBdr>
            <w:top w:val="none" w:sz="0" w:space="0" w:color="auto"/>
            <w:left w:val="none" w:sz="0" w:space="0" w:color="auto"/>
            <w:bottom w:val="none" w:sz="0" w:space="0" w:color="auto"/>
            <w:right w:val="none" w:sz="0" w:space="0" w:color="auto"/>
          </w:divBdr>
        </w:div>
        <w:div w:id="1323241846">
          <w:marLeft w:val="0"/>
          <w:marRight w:val="0"/>
          <w:marTop w:val="0"/>
          <w:marBottom w:val="0"/>
          <w:divBdr>
            <w:top w:val="none" w:sz="0" w:space="0" w:color="auto"/>
            <w:left w:val="none" w:sz="0" w:space="0" w:color="auto"/>
            <w:bottom w:val="none" w:sz="0" w:space="0" w:color="auto"/>
            <w:right w:val="none" w:sz="0" w:space="0" w:color="auto"/>
          </w:divBdr>
        </w:div>
        <w:div w:id="1327779359">
          <w:marLeft w:val="0"/>
          <w:marRight w:val="0"/>
          <w:marTop w:val="0"/>
          <w:marBottom w:val="0"/>
          <w:divBdr>
            <w:top w:val="none" w:sz="0" w:space="0" w:color="auto"/>
            <w:left w:val="none" w:sz="0" w:space="0" w:color="auto"/>
            <w:bottom w:val="none" w:sz="0" w:space="0" w:color="auto"/>
            <w:right w:val="none" w:sz="0" w:space="0" w:color="auto"/>
          </w:divBdr>
        </w:div>
        <w:div w:id="1329284062">
          <w:marLeft w:val="0"/>
          <w:marRight w:val="0"/>
          <w:marTop w:val="0"/>
          <w:marBottom w:val="0"/>
          <w:divBdr>
            <w:top w:val="none" w:sz="0" w:space="0" w:color="auto"/>
            <w:left w:val="none" w:sz="0" w:space="0" w:color="auto"/>
            <w:bottom w:val="none" w:sz="0" w:space="0" w:color="auto"/>
            <w:right w:val="none" w:sz="0" w:space="0" w:color="auto"/>
          </w:divBdr>
        </w:div>
        <w:div w:id="1334912121">
          <w:marLeft w:val="0"/>
          <w:marRight w:val="0"/>
          <w:marTop w:val="0"/>
          <w:marBottom w:val="0"/>
          <w:divBdr>
            <w:top w:val="none" w:sz="0" w:space="0" w:color="auto"/>
            <w:left w:val="none" w:sz="0" w:space="0" w:color="auto"/>
            <w:bottom w:val="none" w:sz="0" w:space="0" w:color="auto"/>
            <w:right w:val="none" w:sz="0" w:space="0" w:color="auto"/>
          </w:divBdr>
        </w:div>
        <w:div w:id="1336615739">
          <w:marLeft w:val="0"/>
          <w:marRight w:val="0"/>
          <w:marTop w:val="0"/>
          <w:marBottom w:val="0"/>
          <w:divBdr>
            <w:top w:val="none" w:sz="0" w:space="0" w:color="auto"/>
            <w:left w:val="none" w:sz="0" w:space="0" w:color="auto"/>
            <w:bottom w:val="none" w:sz="0" w:space="0" w:color="auto"/>
            <w:right w:val="none" w:sz="0" w:space="0" w:color="auto"/>
          </w:divBdr>
        </w:div>
        <w:div w:id="1340237161">
          <w:marLeft w:val="0"/>
          <w:marRight w:val="0"/>
          <w:marTop w:val="0"/>
          <w:marBottom w:val="0"/>
          <w:divBdr>
            <w:top w:val="none" w:sz="0" w:space="0" w:color="auto"/>
            <w:left w:val="none" w:sz="0" w:space="0" w:color="auto"/>
            <w:bottom w:val="none" w:sz="0" w:space="0" w:color="auto"/>
            <w:right w:val="none" w:sz="0" w:space="0" w:color="auto"/>
          </w:divBdr>
        </w:div>
        <w:div w:id="1352148505">
          <w:marLeft w:val="0"/>
          <w:marRight w:val="0"/>
          <w:marTop w:val="0"/>
          <w:marBottom w:val="0"/>
          <w:divBdr>
            <w:top w:val="none" w:sz="0" w:space="0" w:color="auto"/>
            <w:left w:val="none" w:sz="0" w:space="0" w:color="auto"/>
            <w:bottom w:val="none" w:sz="0" w:space="0" w:color="auto"/>
            <w:right w:val="none" w:sz="0" w:space="0" w:color="auto"/>
          </w:divBdr>
        </w:div>
        <w:div w:id="1353995422">
          <w:marLeft w:val="0"/>
          <w:marRight w:val="0"/>
          <w:marTop w:val="0"/>
          <w:marBottom w:val="0"/>
          <w:divBdr>
            <w:top w:val="none" w:sz="0" w:space="0" w:color="auto"/>
            <w:left w:val="none" w:sz="0" w:space="0" w:color="auto"/>
            <w:bottom w:val="none" w:sz="0" w:space="0" w:color="auto"/>
            <w:right w:val="none" w:sz="0" w:space="0" w:color="auto"/>
          </w:divBdr>
        </w:div>
        <w:div w:id="1366173685">
          <w:marLeft w:val="0"/>
          <w:marRight w:val="0"/>
          <w:marTop w:val="0"/>
          <w:marBottom w:val="0"/>
          <w:divBdr>
            <w:top w:val="none" w:sz="0" w:space="0" w:color="auto"/>
            <w:left w:val="none" w:sz="0" w:space="0" w:color="auto"/>
            <w:bottom w:val="none" w:sz="0" w:space="0" w:color="auto"/>
            <w:right w:val="none" w:sz="0" w:space="0" w:color="auto"/>
          </w:divBdr>
        </w:div>
        <w:div w:id="1381400013">
          <w:marLeft w:val="0"/>
          <w:marRight w:val="0"/>
          <w:marTop w:val="0"/>
          <w:marBottom w:val="0"/>
          <w:divBdr>
            <w:top w:val="none" w:sz="0" w:space="0" w:color="auto"/>
            <w:left w:val="none" w:sz="0" w:space="0" w:color="auto"/>
            <w:bottom w:val="none" w:sz="0" w:space="0" w:color="auto"/>
            <w:right w:val="none" w:sz="0" w:space="0" w:color="auto"/>
          </w:divBdr>
        </w:div>
        <w:div w:id="1383168194">
          <w:marLeft w:val="0"/>
          <w:marRight w:val="0"/>
          <w:marTop w:val="0"/>
          <w:marBottom w:val="0"/>
          <w:divBdr>
            <w:top w:val="none" w:sz="0" w:space="0" w:color="auto"/>
            <w:left w:val="none" w:sz="0" w:space="0" w:color="auto"/>
            <w:bottom w:val="none" w:sz="0" w:space="0" w:color="auto"/>
            <w:right w:val="none" w:sz="0" w:space="0" w:color="auto"/>
          </w:divBdr>
        </w:div>
        <w:div w:id="1383360328">
          <w:marLeft w:val="0"/>
          <w:marRight w:val="0"/>
          <w:marTop w:val="0"/>
          <w:marBottom w:val="0"/>
          <w:divBdr>
            <w:top w:val="none" w:sz="0" w:space="0" w:color="auto"/>
            <w:left w:val="none" w:sz="0" w:space="0" w:color="auto"/>
            <w:bottom w:val="none" w:sz="0" w:space="0" w:color="auto"/>
            <w:right w:val="none" w:sz="0" w:space="0" w:color="auto"/>
          </w:divBdr>
        </w:div>
        <w:div w:id="1389068112">
          <w:marLeft w:val="0"/>
          <w:marRight w:val="0"/>
          <w:marTop w:val="0"/>
          <w:marBottom w:val="0"/>
          <w:divBdr>
            <w:top w:val="none" w:sz="0" w:space="0" w:color="auto"/>
            <w:left w:val="none" w:sz="0" w:space="0" w:color="auto"/>
            <w:bottom w:val="none" w:sz="0" w:space="0" w:color="auto"/>
            <w:right w:val="none" w:sz="0" w:space="0" w:color="auto"/>
          </w:divBdr>
        </w:div>
        <w:div w:id="1394423263">
          <w:marLeft w:val="0"/>
          <w:marRight w:val="0"/>
          <w:marTop w:val="0"/>
          <w:marBottom w:val="0"/>
          <w:divBdr>
            <w:top w:val="none" w:sz="0" w:space="0" w:color="auto"/>
            <w:left w:val="none" w:sz="0" w:space="0" w:color="auto"/>
            <w:bottom w:val="none" w:sz="0" w:space="0" w:color="auto"/>
            <w:right w:val="none" w:sz="0" w:space="0" w:color="auto"/>
          </w:divBdr>
        </w:div>
        <w:div w:id="1395663006">
          <w:marLeft w:val="0"/>
          <w:marRight w:val="0"/>
          <w:marTop w:val="0"/>
          <w:marBottom w:val="0"/>
          <w:divBdr>
            <w:top w:val="none" w:sz="0" w:space="0" w:color="auto"/>
            <w:left w:val="none" w:sz="0" w:space="0" w:color="auto"/>
            <w:bottom w:val="none" w:sz="0" w:space="0" w:color="auto"/>
            <w:right w:val="none" w:sz="0" w:space="0" w:color="auto"/>
          </w:divBdr>
        </w:div>
        <w:div w:id="1397821956">
          <w:marLeft w:val="0"/>
          <w:marRight w:val="0"/>
          <w:marTop w:val="0"/>
          <w:marBottom w:val="0"/>
          <w:divBdr>
            <w:top w:val="none" w:sz="0" w:space="0" w:color="auto"/>
            <w:left w:val="none" w:sz="0" w:space="0" w:color="auto"/>
            <w:bottom w:val="none" w:sz="0" w:space="0" w:color="auto"/>
            <w:right w:val="none" w:sz="0" w:space="0" w:color="auto"/>
          </w:divBdr>
        </w:div>
        <w:div w:id="1401053345">
          <w:marLeft w:val="0"/>
          <w:marRight w:val="0"/>
          <w:marTop w:val="0"/>
          <w:marBottom w:val="0"/>
          <w:divBdr>
            <w:top w:val="none" w:sz="0" w:space="0" w:color="auto"/>
            <w:left w:val="none" w:sz="0" w:space="0" w:color="auto"/>
            <w:bottom w:val="none" w:sz="0" w:space="0" w:color="auto"/>
            <w:right w:val="none" w:sz="0" w:space="0" w:color="auto"/>
          </w:divBdr>
        </w:div>
        <w:div w:id="1403913648">
          <w:marLeft w:val="0"/>
          <w:marRight w:val="0"/>
          <w:marTop w:val="0"/>
          <w:marBottom w:val="0"/>
          <w:divBdr>
            <w:top w:val="none" w:sz="0" w:space="0" w:color="auto"/>
            <w:left w:val="none" w:sz="0" w:space="0" w:color="auto"/>
            <w:bottom w:val="none" w:sz="0" w:space="0" w:color="auto"/>
            <w:right w:val="none" w:sz="0" w:space="0" w:color="auto"/>
          </w:divBdr>
        </w:div>
        <w:div w:id="1404253368">
          <w:marLeft w:val="0"/>
          <w:marRight w:val="0"/>
          <w:marTop w:val="0"/>
          <w:marBottom w:val="0"/>
          <w:divBdr>
            <w:top w:val="none" w:sz="0" w:space="0" w:color="auto"/>
            <w:left w:val="none" w:sz="0" w:space="0" w:color="auto"/>
            <w:bottom w:val="none" w:sz="0" w:space="0" w:color="auto"/>
            <w:right w:val="none" w:sz="0" w:space="0" w:color="auto"/>
          </w:divBdr>
        </w:div>
        <w:div w:id="1411662113">
          <w:marLeft w:val="0"/>
          <w:marRight w:val="0"/>
          <w:marTop w:val="0"/>
          <w:marBottom w:val="0"/>
          <w:divBdr>
            <w:top w:val="none" w:sz="0" w:space="0" w:color="auto"/>
            <w:left w:val="none" w:sz="0" w:space="0" w:color="auto"/>
            <w:bottom w:val="none" w:sz="0" w:space="0" w:color="auto"/>
            <w:right w:val="none" w:sz="0" w:space="0" w:color="auto"/>
          </w:divBdr>
        </w:div>
        <w:div w:id="1413157703">
          <w:marLeft w:val="0"/>
          <w:marRight w:val="0"/>
          <w:marTop w:val="0"/>
          <w:marBottom w:val="0"/>
          <w:divBdr>
            <w:top w:val="none" w:sz="0" w:space="0" w:color="auto"/>
            <w:left w:val="none" w:sz="0" w:space="0" w:color="auto"/>
            <w:bottom w:val="none" w:sz="0" w:space="0" w:color="auto"/>
            <w:right w:val="none" w:sz="0" w:space="0" w:color="auto"/>
          </w:divBdr>
        </w:div>
        <w:div w:id="1420253792">
          <w:marLeft w:val="0"/>
          <w:marRight w:val="0"/>
          <w:marTop w:val="0"/>
          <w:marBottom w:val="0"/>
          <w:divBdr>
            <w:top w:val="none" w:sz="0" w:space="0" w:color="auto"/>
            <w:left w:val="none" w:sz="0" w:space="0" w:color="auto"/>
            <w:bottom w:val="none" w:sz="0" w:space="0" w:color="auto"/>
            <w:right w:val="none" w:sz="0" w:space="0" w:color="auto"/>
          </w:divBdr>
        </w:div>
        <w:div w:id="1422801745">
          <w:marLeft w:val="0"/>
          <w:marRight w:val="0"/>
          <w:marTop w:val="0"/>
          <w:marBottom w:val="0"/>
          <w:divBdr>
            <w:top w:val="none" w:sz="0" w:space="0" w:color="auto"/>
            <w:left w:val="none" w:sz="0" w:space="0" w:color="auto"/>
            <w:bottom w:val="none" w:sz="0" w:space="0" w:color="auto"/>
            <w:right w:val="none" w:sz="0" w:space="0" w:color="auto"/>
          </w:divBdr>
        </w:div>
        <w:div w:id="1429160689">
          <w:marLeft w:val="0"/>
          <w:marRight w:val="0"/>
          <w:marTop w:val="0"/>
          <w:marBottom w:val="0"/>
          <w:divBdr>
            <w:top w:val="none" w:sz="0" w:space="0" w:color="auto"/>
            <w:left w:val="none" w:sz="0" w:space="0" w:color="auto"/>
            <w:bottom w:val="none" w:sz="0" w:space="0" w:color="auto"/>
            <w:right w:val="none" w:sz="0" w:space="0" w:color="auto"/>
          </w:divBdr>
        </w:div>
        <w:div w:id="1429619794">
          <w:marLeft w:val="0"/>
          <w:marRight w:val="0"/>
          <w:marTop w:val="0"/>
          <w:marBottom w:val="0"/>
          <w:divBdr>
            <w:top w:val="none" w:sz="0" w:space="0" w:color="auto"/>
            <w:left w:val="none" w:sz="0" w:space="0" w:color="auto"/>
            <w:bottom w:val="none" w:sz="0" w:space="0" w:color="auto"/>
            <w:right w:val="none" w:sz="0" w:space="0" w:color="auto"/>
          </w:divBdr>
        </w:div>
        <w:div w:id="1440683150">
          <w:marLeft w:val="0"/>
          <w:marRight w:val="0"/>
          <w:marTop w:val="0"/>
          <w:marBottom w:val="0"/>
          <w:divBdr>
            <w:top w:val="none" w:sz="0" w:space="0" w:color="auto"/>
            <w:left w:val="none" w:sz="0" w:space="0" w:color="auto"/>
            <w:bottom w:val="none" w:sz="0" w:space="0" w:color="auto"/>
            <w:right w:val="none" w:sz="0" w:space="0" w:color="auto"/>
          </w:divBdr>
        </w:div>
        <w:div w:id="1446580159">
          <w:marLeft w:val="0"/>
          <w:marRight w:val="0"/>
          <w:marTop w:val="0"/>
          <w:marBottom w:val="0"/>
          <w:divBdr>
            <w:top w:val="none" w:sz="0" w:space="0" w:color="auto"/>
            <w:left w:val="none" w:sz="0" w:space="0" w:color="auto"/>
            <w:bottom w:val="none" w:sz="0" w:space="0" w:color="auto"/>
            <w:right w:val="none" w:sz="0" w:space="0" w:color="auto"/>
          </w:divBdr>
        </w:div>
        <w:div w:id="1447582667">
          <w:marLeft w:val="0"/>
          <w:marRight w:val="0"/>
          <w:marTop w:val="0"/>
          <w:marBottom w:val="0"/>
          <w:divBdr>
            <w:top w:val="none" w:sz="0" w:space="0" w:color="auto"/>
            <w:left w:val="none" w:sz="0" w:space="0" w:color="auto"/>
            <w:bottom w:val="none" w:sz="0" w:space="0" w:color="auto"/>
            <w:right w:val="none" w:sz="0" w:space="0" w:color="auto"/>
          </w:divBdr>
        </w:div>
        <w:div w:id="1448769760">
          <w:marLeft w:val="0"/>
          <w:marRight w:val="0"/>
          <w:marTop w:val="0"/>
          <w:marBottom w:val="0"/>
          <w:divBdr>
            <w:top w:val="none" w:sz="0" w:space="0" w:color="auto"/>
            <w:left w:val="none" w:sz="0" w:space="0" w:color="auto"/>
            <w:bottom w:val="none" w:sz="0" w:space="0" w:color="auto"/>
            <w:right w:val="none" w:sz="0" w:space="0" w:color="auto"/>
          </w:divBdr>
        </w:div>
        <w:div w:id="1455513599">
          <w:marLeft w:val="0"/>
          <w:marRight w:val="0"/>
          <w:marTop w:val="0"/>
          <w:marBottom w:val="0"/>
          <w:divBdr>
            <w:top w:val="none" w:sz="0" w:space="0" w:color="auto"/>
            <w:left w:val="none" w:sz="0" w:space="0" w:color="auto"/>
            <w:bottom w:val="none" w:sz="0" w:space="0" w:color="auto"/>
            <w:right w:val="none" w:sz="0" w:space="0" w:color="auto"/>
          </w:divBdr>
        </w:div>
        <w:div w:id="1456676476">
          <w:marLeft w:val="0"/>
          <w:marRight w:val="0"/>
          <w:marTop w:val="0"/>
          <w:marBottom w:val="0"/>
          <w:divBdr>
            <w:top w:val="none" w:sz="0" w:space="0" w:color="auto"/>
            <w:left w:val="none" w:sz="0" w:space="0" w:color="auto"/>
            <w:bottom w:val="none" w:sz="0" w:space="0" w:color="auto"/>
            <w:right w:val="none" w:sz="0" w:space="0" w:color="auto"/>
          </w:divBdr>
        </w:div>
        <w:div w:id="1460487387">
          <w:marLeft w:val="0"/>
          <w:marRight w:val="0"/>
          <w:marTop w:val="0"/>
          <w:marBottom w:val="0"/>
          <w:divBdr>
            <w:top w:val="none" w:sz="0" w:space="0" w:color="auto"/>
            <w:left w:val="none" w:sz="0" w:space="0" w:color="auto"/>
            <w:bottom w:val="none" w:sz="0" w:space="0" w:color="auto"/>
            <w:right w:val="none" w:sz="0" w:space="0" w:color="auto"/>
          </w:divBdr>
        </w:div>
        <w:div w:id="1462115773">
          <w:marLeft w:val="0"/>
          <w:marRight w:val="0"/>
          <w:marTop w:val="0"/>
          <w:marBottom w:val="0"/>
          <w:divBdr>
            <w:top w:val="none" w:sz="0" w:space="0" w:color="auto"/>
            <w:left w:val="none" w:sz="0" w:space="0" w:color="auto"/>
            <w:bottom w:val="none" w:sz="0" w:space="0" w:color="auto"/>
            <w:right w:val="none" w:sz="0" w:space="0" w:color="auto"/>
          </w:divBdr>
        </w:div>
        <w:div w:id="1467313471">
          <w:marLeft w:val="0"/>
          <w:marRight w:val="0"/>
          <w:marTop w:val="0"/>
          <w:marBottom w:val="0"/>
          <w:divBdr>
            <w:top w:val="none" w:sz="0" w:space="0" w:color="auto"/>
            <w:left w:val="none" w:sz="0" w:space="0" w:color="auto"/>
            <w:bottom w:val="none" w:sz="0" w:space="0" w:color="auto"/>
            <w:right w:val="none" w:sz="0" w:space="0" w:color="auto"/>
          </w:divBdr>
        </w:div>
        <w:div w:id="1468930852">
          <w:marLeft w:val="0"/>
          <w:marRight w:val="0"/>
          <w:marTop w:val="0"/>
          <w:marBottom w:val="0"/>
          <w:divBdr>
            <w:top w:val="none" w:sz="0" w:space="0" w:color="auto"/>
            <w:left w:val="none" w:sz="0" w:space="0" w:color="auto"/>
            <w:bottom w:val="none" w:sz="0" w:space="0" w:color="auto"/>
            <w:right w:val="none" w:sz="0" w:space="0" w:color="auto"/>
          </w:divBdr>
        </w:div>
        <w:div w:id="1476068032">
          <w:marLeft w:val="0"/>
          <w:marRight w:val="0"/>
          <w:marTop w:val="0"/>
          <w:marBottom w:val="0"/>
          <w:divBdr>
            <w:top w:val="none" w:sz="0" w:space="0" w:color="auto"/>
            <w:left w:val="none" w:sz="0" w:space="0" w:color="auto"/>
            <w:bottom w:val="none" w:sz="0" w:space="0" w:color="auto"/>
            <w:right w:val="none" w:sz="0" w:space="0" w:color="auto"/>
          </w:divBdr>
        </w:div>
        <w:div w:id="1477183525">
          <w:marLeft w:val="0"/>
          <w:marRight w:val="0"/>
          <w:marTop w:val="0"/>
          <w:marBottom w:val="0"/>
          <w:divBdr>
            <w:top w:val="none" w:sz="0" w:space="0" w:color="auto"/>
            <w:left w:val="none" w:sz="0" w:space="0" w:color="auto"/>
            <w:bottom w:val="none" w:sz="0" w:space="0" w:color="auto"/>
            <w:right w:val="none" w:sz="0" w:space="0" w:color="auto"/>
          </w:divBdr>
        </w:div>
        <w:div w:id="1479953186">
          <w:marLeft w:val="0"/>
          <w:marRight w:val="0"/>
          <w:marTop w:val="0"/>
          <w:marBottom w:val="0"/>
          <w:divBdr>
            <w:top w:val="none" w:sz="0" w:space="0" w:color="auto"/>
            <w:left w:val="none" w:sz="0" w:space="0" w:color="auto"/>
            <w:bottom w:val="none" w:sz="0" w:space="0" w:color="auto"/>
            <w:right w:val="none" w:sz="0" w:space="0" w:color="auto"/>
          </w:divBdr>
        </w:div>
        <w:div w:id="1480879829">
          <w:marLeft w:val="0"/>
          <w:marRight w:val="0"/>
          <w:marTop w:val="0"/>
          <w:marBottom w:val="0"/>
          <w:divBdr>
            <w:top w:val="none" w:sz="0" w:space="0" w:color="auto"/>
            <w:left w:val="none" w:sz="0" w:space="0" w:color="auto"/>
            <w:bottom w:val="none" w:sz="0" w:space="0" w:color="auto"/>
            <w:right w:val="none" w:sz="0" w:space="0" w:color="auto"/>
          </w:divBdr>
        </w:div>
        <w:div w:id="1483158129">
          <w:marLeft w:val="0"/>
          <w:marRight w:val="0"/>
          <w:marTop w:val="0"/>
          <w:marBottom w:val="0"/>
          <w:divBdr>
            <w:top w:val="none" w:sz="0" w:space="0" w:color="auto"/>
            <w:left w:val="none" w:sz="0" w:space="0" w:color="auto"/>
            <w:bottom w:val="none" w:sz="0" w:space="0" w:color="auto"/>
            <w:right w:val="none" w:sz="0" w:space="0" w:color="auto"/>
          </w:divBdr>
        </w:div>
        <w:div w:id="1483500980">
          <w:marLeft w:val="0"/>
          <w:marRight w:val="0"/>
          <w:marTop w:val="0"/>
          <w:marBottom w:val="0"/>
          <w:divBdr>
            <w:top w:val="none" w:sz="0" w:space="0" w:color="auto"/>
            <w:left w:val="none" w:sz="0" w:space="0" w:color="auto"/>
            <w:bottom w:val="none" w:sz="0" w:space="0" w:color="auto"/>
            <w:right w:val="none" w:sz="0" w:space="0" w:color="auto"/>
          </w:divBdr>
        </w:div>
        <w:div w:id="1484395804">
          <w:marLeft w:val="0"/>
          <w:marRight w:val="0"/>
          <w:marTop w:val="0"/>
          <w:marBottom w:val="0"/>
          <w:divBdr>
            <w:top w:val="none" w:sz="0" w:space="0" w:color="auto"/>
            <w:left w:val="none" w:sz="0" w:space="0" w:color="auto"/>
            <w:bottom w:val="none" w:sz="0" w:space="0" w:color="auto"/>
            <w:right w:val="none" w:sz="0" w:space="0" w:color="auto"/>
          </w:divBdr>
        </w:div>
        <w:div w:id="1489444253">
          <w:marLeft w:val="0"/>
          <w:marRight w:val="0"/>
          <w:marTop w:val="0"/>
          <w:marBottom w:val="0"/>
          <w:divBdr>
            <w:top w:val="none" w:sz="0" w:space="0" w:color="auto"/>
            <w:left w:val="none" w:sz="0" w:space="0" w:color="auto"/>
            <w:bottom w:val="none" w:sz="0" w:space="0" w:color="auto"/>
            <w:right w:val="none" w:sz="0" w:space="0" w:color="auto"/>
          </w:divBdr>
        </w:div>
        <w:div w:id="1491750079">
          <w:marLeft w:val="0"/>
          <w:marRight w:val="0"/>
          <w:marTop w:val="0"/>
          <w:marBottom w:val="0"/>
          <w:divBdr>
            <w:top w:val="none" w:sz="0" w:space="0" w:color="auto"/>
            <w:left w:val="none" w:sz="0" w:space="0" w:color="auto"/>
            <w:bottom w:val="none" w:sz="0" w:space="0" w:color="auto"/>
            <w:right w:val="none" w:sz="0" w:space="0" w:color="auto"/>
          </w:divBdr>
        </w:div>
        <w:div w:id="1492867489">
          <w:marLeft w:val="0"/>
          <w:marRight w:val="0"/>
          <w:marTop w:val="0"/>
          <w:marBottom w:val="0"/>
          <w:divBdr>
            <w:top w:val="none" w:sz="0" w:space="0" w:color="auto"/>
            <w:left w:val="none" w:sz="0" w:space="0" w:color="auto"/>
            <w:bottom w:val="none" w:sz="0" w:space="0" w:color="auto"/>
            <w:right w:val="none" w:sz="0" w:space="0" w:color="auto"/>
          </w:divBdr>
        </w:div>
        <w:div w:id="1497502411">
          <w:marLeft w:val="0"/>
          <w:marRight w:val="0"/>
          <w:marTop w:val="0"/>
          <w:marBottom w:val="0"/>
          <w:divBdr>
            <w:top w:val="none" w:sz="0" w:space="0" w:color="auto"/>
            <w:left w:val="none" w:sz="0" w:space="0" w:color="auto"/>
            <w:bottom w:val="none" w:sz="0" w:space="0" w:color="auto"/>
            <w:right w:val="none" w:sz="0" w:space="0" w:color="auto"/>
          </w:divBdr>
        </w:div>
        <w:div w:id="1500004915">
          <w:marLeft w:val="0"/>
          <w:marRight w:val="0"/>
          <w:marTop w:val="0"/>
          <w:marBottom w:val="0"/>
          <w:divBdr>
            <w:top w:val="none" w:sz="0" w:space="0" w:color="auto"/>
            <w:left w:val="none" w:sz="0" w:space="0" w:color="auto"/>
            <w:bottom w:val="none" w:sz="0" w:space="0" w:color="auto"/>
            <w:right w:val="none" w:sz="0" w:space="0" w:color="auto"/>
          </w:divBdr>
        </w:div>
        <w:div w:id="1500345421">
          <w:marLeft w:val="0"/>
          <w:marRight w:val="0"/>
          <w:marTop w:val="0"/>
          <w:marBottom w:val="0"/>
          <w:divBdr>
            <w:top w:val="none" w:sz="0" w:space="0" w:color="auto"/>
            <w:left w:val="none" w:sz="0" w:space="0" w:color="auto"/>
            <w:bottom w:val="none" w:sz="0" w:space="0" w:color="auto"/>
            <w:right w:val="none" w:sz="0" w:space="0" w:color="auto"/>
          </w:divBdr>
        </w:div>
        <w:div w:id="1500733572">
          <w:marLeft w:val="0"/>
          <w:marRight w:val="0"/>
          <w:marTop w:val="0"/>
          <w:marBottom w:val="0"/>
          <w:divBdr>
            <w:top w:val="none" w:sz="0" w:space="0" w:color="auto"/>
            <w:left w:val="none" w:sz="0" w:space="0" w:color="auto"/>
            <w:bottom w:val="none" w:sz="0" w:space="0" w:color="auto"/>
            <w:right w:val="none" w:sz="0" w:space="0" w:color="auto"/>
          </w:divBdr>
        </w:div>
        <w:div w:id="1502814749">
          <w:marLeft w:val="0"/>
          <w:marRight w:val="0"/>
          <w:marTop w:val="0"/>
          <w:marBottom w:val="0"/>
          <w:divBdr>
            <w:top w:val="none" w:sz="0" w:space="0" w:color="auto"/>
            <w:left w:val="none" w:sz="0" w:space="0" w:color="auto"/>
            <w:bottom w:val="none" w:sz="0" w:space="0" w:color="auto"/>
            <w:right w:val="none" w:sz="0" w:space="0" w:color="auto"/>
          </w:divBdr>
        </w:div>
        <w:div w:id="1506049852">
          <w:marLeft w:val="0"/>
          <w:marRight w:val="0"/>
          <w:marTop w:val="0"/>
          <w:marBottom w:val="0"/>
          <w:divBdr>
            <w:top w:val="none" w:sz="0" w:space="0" w:color="auto"/>
            <w:left w:val="none" w:sz="0" w:space="0" w:color="auto"/>
            <w:bottom w:val="none" w:sz="0" w:space="0" w:color="auto"/>
            <w:right w:val="none" w:sz="0" w:space="0" w:color="auto"/>
          </w:divBdr>
        </w:div>
        <w:div w:id="1506703939">
          <w:marLeft w:val="0"/>
          <w:marRight w:val="0"/>
          <w:marTop w:val="0"/>
          <w:marBottom w:val="0"/>
          <w:divBdr>
            <w:top w:val="none" w:sz="0" w:space="0" w:color="auto"/>
            <w:left w:val="none" w:sz="0" w:space="0" w:color="auto"/>
            <w:bottom w:val="none" w:sz="0" w:space="0" w:color="auto"/>
            <w:right w:val="none" w:sz="0" w:space="0" w:color="auto"/>
          </w:divBdr>
        </w:div>
        <w:div w:id="1511410800">
          <w:marLeft w:val="0"/>
          <w:marRight w:val="0"/>
          <w:marTop w:val="0"/>
          <w:marBottom w:val="0"/>
          <w:divBdr>
            <w:top w:val="none" w:sz="0" w:space="0" w:color="auto"/>
            <w:left w:val="none" w:sz="0" w:space="0" w:color="auto"/>
            <w:bottom w:val="none" w:sz="0" w:space="0" w:color="auto"/>
            <w:right w:val="none" w:sz="0" w:space="0" w:color="auto"/>
          </w:divBdr>
        </w:div>
        <w:div w:id="1521361109">
          <w:marLeft w:val="0"/>
          <w:marRight w:val="0"/>
          <w:marTop w:val="0"/>
          <w:marBottom w:val="0"/>
          <w:divBdr>
            <w:top w:val="none" w:sz="0" w:space="0" w:color="auto"/>
            <w:left w:val="none" w:sz="0" w:space="0" w:color="auto"/>
            <w:bottom w:val="none" w:sz="0" w:space="0" w:color="auto"/>
            <w:right w:val="none" w:sz="0" w:space="0" w:color="auto"/>
          </w:divBdr>
        </w:div>
        <w:div w:id="1526137533">
          <w:marLeft w:val="0"/>
          <w:marRight w:val="0"/>
          <w:marTop w:val="0"/>
          <w:marBottom w:val="0"/>
          <w:divBdr>
            <w:top w:val="none" w:sz="0" w:space="0" w:color="auto"/>
            <w:left w:val="none" w:sz="0" w:space="0" w:color="auto"/>
            <w:bottom w:val="none" w:sz="0" w:space="0" w:color="auto"/>
            <w:right w:val="none" w:sz="0" w:space="0" w:color="auto"/>
          </w:divBdr>
        </w:div>
        <w:div w:id="1527213129">
          <w:marLeft w:val="0"/>
          <w:marRight w:val="0"/>
          <w:marTop w:val="0"/>
          <w:marBottom w:val="0"/>
          <w:divBdr>
            <w:top w:val="none" w:sz="0" w:space="0" w:color="auto"/>
            <w:left w:val="none" w:sz="0" w:space="0" w:color="auto"/>
            <w:bottom w:val="none" w:sz="0" w:space="0" w:color="auto"/>
            <w:right w:val="none" w:sz="0" w:space="0" w:color="auto"/>
          </w:divBdr>
        </w:div>
        <w:div w:id="1529367247">
          <w:marLeft w:val="0"/>
          <w:marRight w:val="0"/>
          <w:marTop w:val="0"/>
          <w:marBottom w:val="0"/>
          <w:divBdr>
            <w:top w:val="none" w:sz="0" w:space="0" w:color="auto"/>
            <w:left w:val="none" w:sz="0" w:space="0" w:color="auto"/>
            <w:bottom w:val="none" w:sz="0" w:space="0" w:color="auto"/>
            <w:right w:val="none" w:sz="0" w:space="0" w:color="auto"/>
          </w:divBdr>
        </w:div>
        <w:div w:id="1529678587">
          <w:marLeft w:val="0"/>
          <w:marRight w:val="0"/>
          <w:marTop w:val="0"/>
          <w:marBottom w:val="0"/>
          <w:divBdr>
            <w:top w:val="none" w:sz="0" w:space="0" w:color="auto"/>
            <w:left w:val="none" w:sz="0" w:space="0" w:color="auto"/>
            <w:bottom w:val="none" w:sz="0" w:space="0" w:color="auto"/>
            <w:right w:val="none" w:sz="0" w:space="0" w:color="auto"/>
          </w:divBdr>
        </w:div>
        <w:div w:id="1530873050">
          <w:marLeft w:val="0"/>
          <w:marRight w:val="0"/>
          <w:marTop w:val="0"/>
          <w:marBottom w:val="0"/>
          <w:divBdr>
            <w:top w:val="none" w:sz="0" w:space="0" w:color="auto"/>
            <w:left w:val="none" w:sz="0" w:space="0" w:color="auto"/>
            <w:bottom w:val="none" w:sz="0" w:space="0" w:color="auto"/>
            <w:right w:val="none" w:sz="0" w:space="0" w:color="auto"/>
          </w:divBdr>
        </w:div>
        <w:div w:id="1536651229">
          <w:marLeft w:val="0"/>
          <w:marRight w:val="0"/>
          <w:marTop w:val="0"/>
          <w:marBottom w:val="0"/>
          <w:divBdr>
            <w:top w:val="none" w:sz="0" w:space="0" w:color="auto"/>
            <w:left w:val="none" w:sz="0" w:space="0" w:color="auto"/>
            <w:bottom w:val="none" w:sz="0" w:space="0" w:color="auto"/>
            <w:right w:val="none" w:sz="0" w:space="0" w:color="auto"/>
          </w:divBdr>
        </w:div>
        <w:div w:id="1539245549">
          <w:marLeft w:val="0"/>
          <w:marRight w:val="0"/>
          <w:marTop w:val="0"/>
          <w:marBottom w:val="0"/>
          <w:divBdr>
            <w:top w:val="none" w:sz="0" w:space="0" w:color="auto"/>
            <w:left w:val="none" w:sz="0" w:space="0" w:color="auto"/>
            <w:bottom w:val="none" w:sz="0" w:space="0" w:color="auto"/>
            <w:right w:val="none" w:sz="0" w:space="0" w:color="auto"/>
          </w:divBdr>
        </w:div>
        <w:div w:id="1543715393">
          <w:marLeft w:val="0"/>
          <w:marRight w:val="0"/>
          <w:marTop w:val="0"/>
          <w:marBottom w:val="0"/>
          <w:divBdr>
            <w:top w:val="none" w:sz="0" w:space="0" w:color="auto"/>
            <w:left w:val="none" w:sz="0" w:space="0" w:color="auto"/>
            <w:bottom w:val="none" w:sz="0" w:space="0" w:color="auto"/>
            <w:right w:val="none" w:sz="0" w:space="0" w:color="auto"/>
          </w:divBdr>
        </w:div>
        <w:div w:id="1544444953">
          <w:marLeft w:val="0"/>
          <w:marRight w:val="0"/>
          <w:marTop w:val="0"/>
          <w:marBottom w:val="0"/>
          <w:divBdr>
            <w:top w:val="none" w:sz="0" w:space="0" w:color="auto"/>
            <w:left w:val="none" w:sz="0" w:space="0" w:color="auto"/>
            <w:bottom w:val="none" w:sz="0" w:space="0" w:color="auto"/>
            <w:right w:val="none" w:sz="0" w:space="0" w:color="auto"/>
          </w:divBdr>
        </w:div>
        <w:div w:id="1546678894">
          <w:marLeft w:val="0"/>
          <w:marRight w:val="0"/>
          <w:marTop w:val="0"/>
          <w:marBottom w:val="0"/>
          <w:divBdr>
            <w:top w:val="none" w:sz="0" w:space="0" w:color="auto"/>
            <w:left w:val="none" w:sz="0" w:space="0" w:color="auto"/>
            <w:bottom w:val="none" w:sz="0" w:space="0" w:color="auto"/>
            <w:right w:val="none" w:sz="0" w:space="0" w:color="auto"/>
          </w:divBdr>
        </w:div>
        <w:div w:id="1550343195">
          <w:marLeft w:val="0"/>
          <w:marRight w:val="0"/>
          <w:marTop w:val="0"/>
          <w:marBottom w:val="0"/>
          <w:divBdr>
            <w:top w:val="none" w:sz="0" w:space="0" w:color="auto"/>
            <w:left w:val="none" w:sz="0" w:space="0" w:color="auto"/>
            <w:bottom w:val="none" w:sz="0" w:space="0" w:color="auto"/>
            <w:right w:val="none" w:sz="0" w:space="0" w:color="auto"/>
          </w:divBdr>
        </w:div>
        <w:div w:id="1552573864">
          <w:marLeft w:val="0"/>
          <w:marRight w:val="0"/>
          <w:marTop w:val="0"/>
          <w:marBottom w:val="0"/>
          <w:divBdr>
            <w:top w:val="none" w:sz="0" w:space="0" w:color="auto"/>
            <w:left w:val="none" w:sz="0" w:space="0" w:color="auto"/>
            <w:bottom w:val="none" w:sz="0" w:space="0" w:color="auto"/>
            <w:right w:val="none" w:sz="0" w:space="0" w:color="auto"/>
          </w:divBdr>
        </w:div>
        <w:div w:id="1557667853">
          <w:marLeft w:val="0"/>
          <w:marRight w:val="0"/>
          <w:marTop w:val="0"/>
          <w:marBottom w:val="0"/>
          <w:divBdr>
            <w:top w:val="none" w:sz="0" w:space="0" w:color="auto"/>
            <w:left w:val="none" w:sz="0" w:space="0" w:color="auto"/>
            <w:bottom w:val="none" w:sz="0" w:space="0" w:color="auto"/>
            <w:right w:val="none" w:sz="0" w:space="0" w:color="auto"/>
          </w:divBdr>
        </w:div>
        <w:div w:id="1566449232">
          <w:marLeft w:val="0"/>
          <w:marRight w:val="0"/>
          <w:marTop w:val="0"/>
          <w:marBottom w:val="0"/>
          <w:divBdr>
            <w:top w:val="none" w:sz="0" w:space="0" w:color="auto"/>
            <w:left w:val="none" w:sz="0" w:space="0" w:color="auto"/>
            <w:bottom w:val="none" w:sz="0" w:space="0" w:color="auto"/>
            <w:right w:val="none" w:sz="0" w:space="0" w:color="auto"/>
          </w:divBdr>
        </w:div>
        <w:div w:id="1572691182">
          <w:marLeft w:val="0"/>
          <w:marRight w:val="0"/>
          <w:marTop w:val="0"/>
          <w:marBottom w:val="0"/>
          <w:divBdr>
            <w:top w:val="none" w:sz="0" w:space="0" w:color="auto"/>
            <w:left w:val="none" w:sz="0" w:space="0" w:color="auto"/>
            <w:bottom w:val="none" w:sz="0" w:space="0" w:color="auto"/>
            <w:right w:val="none" w:sz="0" w:space="0" w:color="auto"/>
          </w:divBdr>
        </w:div>
        <w:div w:id="1573351795">
          <w:marLeft w:val="0"/>
          <w:marRight w:val="0"/>
          <w:marTop w:val="0"/>
          <w:marBottom w:val="0"/>
          <w:divBdr>
            <w:top w:val="none" w:sz="0" w:space="0" w:color="auto"/>
            <w:left w:val="none" w:sz="0" w:space="0" w:color="auto"/>
            <w:bottom w:val="none" w:sz="0" w:space="0" w:color="auto"/>
            <w:right w:val="none" w:sz="0" w:space="0" w:color="auto"/>
          </w:divBdr>
        </w:div>
        <w:div w:id="1587690873">
          <w:marLeft w:val="0"/>
          <w:marRight w:val="0"/>
          <w:marTop w:val="0"/>
          <w:marBottom w:val="0"/>
          <w:divBdr>
            <w:top w:val="none" w:sz="0" w:space="0" w:color="auto"/>
            <w:left w:val="none" w:sz="0" w:space="0" w:color="auto"/>
            <w:bottom w:val="none" w:sz="0" w:space="0" w:color="auto"/>
            <w:right w:val="none" w:sz="0" w:space="0" w:color="auto"/>
          </w:divBdr>
        </w:div>
        <w:div w:id="1591235072">
          <w:marLeft w:val="0"/>
          <w:marRight w:val="0"/>
          <w:marTop w:val="0"/>
          <w:marBottom w:val="0"/>
          <w:divBdr>
            <w:top w:val="none" w:sz="0" w:space="0" w:color="auto"/>
            <w:left w:val="none" w:sz="0" w:space="0" w:color="auto"/>
            <w:bottom w:val="none" w:sz="0" w:space="0" w:color="auto"/>
            <w:right w:val="none" w:sz="0" w:space="0" w:color="auto"/>
          </w:divBdr>
        </w:div>
        <w:div w:id="1591355711">
          <w:marLeft w:val="0"/>
          <w:marRight w:val="0"/>
          <w:marTop w:val="0"/>
          <w:marBottom w:val="0"/>
          <w:divBdr>
            <w:top w:val="none" w:sz="0" w:space="0" w:color="auto"/>
            <w:left w:val="none" w:sz="0" w:space="0" w:color="auto"/>
            <w:bottom w:val="none" w:sz="0" w:space="0" w:color="auto"/>
            <w:right w:val="none" w:sz="0" w:space="0" w:color="auto"/>
          </w:divBdr>
        </w:div>
        <w:div w:id="1593586899">
          <w:marLeft w:val="0"/>
          <w:marRight w:val="0"/>
          <w:marTop w:val="0"/>
          <w:marBottom w:val="0"/>
          <w:divBdr>
            <w:top w:val="none" w:sz="0" w:space="0" w:color="auto"/>
            <w:left w:val="none" w:sz="0" w:space="0" w:color="auto"/>
            <w:bottom w:val="none" w:sz="0" w:space="0" w:color="auto"/>
            <w:right w:val="none" w:sz="0" w:space="0" w:color="auto"/>
          </w:divBdr>
        </w:div>
        <w:div w:id="1602495816">
          <w:marLeft w:val="0"/>
          <w:marRight w:val="0"/>
          <w:marTop w:val="0"/>
          <w:marBottom w:val="0"/>
          <w:divBdr>
            <w:top w:val="none" w:sz="0" w:space="0" w:color="auto"/>
            <w:left w:val="none" w:sz="0" w:space="0" w:color="auto"/>
            <w:bottom w:val="none" w:sz="0" w:space="0" w:color="auto"/>
            <w:right w:val="none" w:sz="0" w:space="0" w:color="auto"/>
          </w:divBdr>
        </w:div>
        <w:div w:id="1602953455">
          <w:marLeft w:val="0"/>
          <w:marRight w:val="0"/>
          <w:marTop w:val="0"/>
          <w:marBottom w:val="0"/>
          <w:divBdr>
            <w:top w:val="none" w:sz="0" w:space="0" w:color="auto"/>
            <w:left w:val="none" w:sz="0" w:space="0" w:color="auto"/>
            <w:bottom w:val="none" w:sz="0" w:space="0" w:color="auto"/>
            <w:right w:val="none" w:sz="0" w:space="0" w:color="auto"/>
          </w:divBdr>
        </w:div>
        <w:div w:id="1604192191">
          <w:marLeft w:val="0"/>
          <w:marRight w:val="0"/>
          <w:marTop w:val="0"/>
          <w:marBottom w:val="0"/>
          <w:divBdr>
            <w:top w:val="none" w:sz="0" w:space="0" w:color="auto"/>
            <w:left w:val="none" w:sz="0" w:space="0" w:color="auto"/>
            <w:bottom w:val="none" w:sz="0" w:space="0" w:color="auto"/>
            <w:right w:val="none" w:sz="0" w:space="0" w:color="auto"/>
          </w:divBdr>
        </w:div>
        <w:div w:id="1607417978">
          <w:marLeft w:val="0"/>
          <w:marRight w:val="0"/>
          <w:marTop w:val="0"/>
          <w:marBottom w:val="0"/>
          <w:divBdr>
            <w:top w:val="none" w:sz="0" w:space="0" w:color="auto"/>
            <w:left w:val="none" w:sz="0" w:space="0" w:color="auto"/>
            <w:bottom w:val="none" w:sz="0" w:space="0" w:color="auto"/>
            <w:right w:val="none" w:sz="0" w:space="0" w:color="auto"/>
          </w:divBdr>
        </w:div>
        <w:div w:id="1611090518">
          <w:marLeft w:val="0"/>
          <w:marRight w:val="0"/>
          <w:marTop w:val="0"/>
          <w:marBottom w:val="0"/>
          <w:divBdr>
            <w:top w:val="none" w:sz="0" w:space="0" w:color="auto"/>
            <w:left w:val="none" w:sz="0" w:space="0" w:color="auto"/>
            <w:bottom w:val="none" w:sz="0" w:space="0" w:color="auto"/>
            <w:right w:val="none" w:sz="0" w:space="0" w:color="auto"/>
          </w:divBdr>
        </w:div>
        <w:div w:id="1615677214">
          <w:marLeft w:val="0"/>
          <w:marRight w:val="0"/>
          <w:marTop w:val="0"/>
          <w:marBottom w:val="0"/>
          <w:divBdr>
            <w:top w:val="none" w:sz="0" w:space="0" w:color="auto"/>
            <w:left w:val="none" w:sz="0" w:space="0" w:color="auto"/>
            <w:bottom w:val="none" w:sz="0" w:space="0" w:color="auto"/>
            <w:right w:val="none" w:sz="0" w:space="0" w:color="auto"/>
          </w:divBdr>
        </w:div>
        <w:div w:id="1617709257">
          <w:marLeft w:val="0"/>
          <w:marRight w:val="0"/>
          <w:marTop w:val="0"/>
          <w:marBottom w:val="0"/>
          <w:divBdr>
            <w:top w:val="none" w:sz="0" w:space="0" w:color="auto"/>
            <w:left w:val="none" w:sz="0" w:space="0" w:color="auto"/>
            <w:bottom w:val="none" w:sz="0" w:space="0" w:color="auto"/>
            <w:right w:val="none" w:sz="0" w:space="0" w:color="auto"/>
          </w:divBdr>
        </w:div>
        <w:div w:id="1618296397">
          <w:marLeft w:val="0"/>
          <w:marRight w:val="0"/>
          <w:marTop w:val="0"/>
          <w:marBottom w:val="0"/>
          <w:divBdr>
            <w:top w:val="none" w:sz="0" w:space="0" w:color="auto"/>
            <w:left w:val="none" w:sz="0" w:space="0" w:color="auto"/>
            <w:bottom w:val="none" w:sz="0" w:space="0" w:color="auto"/>
            <w:right w:val="none" w:sz="0" w:space="0" w:color="auto"/>
          </w:divBdr>
        </w:div>
        <w:div w:id="1620840484">
          <w:marLeft w:val="0"/>
          <w:marRight w:val="0"/>
          <w:marTop w:val="0"/>
          <w:marBottom w:val="0"/>
          <w:divBdr>
            <w:top w:val="none" w:sz="0" w:space="0" w:color="auto"/>
            <w:left w:val="none" w:sz="0" w:space="0" w:color="auto"/>
            <w:bottom w:val="none" w:sz="0" w:space="0" w:color="auto"/>
            <w:right w:val="none" w:sz="0" w:space="0" w:color="auto"/>
          </w:divBdr>
        </w:div>
        <w:div w:id="1627010119">
          <w:marLeft w:val="0"/>
          <w:marRight w:val="0"/>
          <w:marTop w:val="0"/>
          <w:marBottom w:val="0"/>
          <w:divBdr>
            <w:top w:val="none" w:sz="0" w:space="0" w:color="auto"/>
            <w:left w:val="none" w:sz="0" w:space="0" w:color="auto"/>
            <w:bottom w:val="none" w:sz="0" w:space="0" w:color="auto"/>
            <w:right w:val="none" w:sz="0" w:space="0" w:color="auto"/>
          </w:divBdr>
        </w:div>
        <w:div w:id="1627275895">
          <w:marLeft w:val="0"/>
          <w:marRight w:val="0"/>
          <w:marTop w:val="0"/>
          <w:marBottom w:val="0"/>
          <w:divBdr>
            <w:top w:val="none" w:sz="0" w:space="0" w:color="auto"/>
            <w:left w:val="none" w:sz="0" w:space="0" w:color="auto"/>
            <w:bottom w:val="none" w:sz="0" w:space="0" w:color="auto"/>
            <w:right w:val="none" w:sz="0" w:space="0" w:color="auto"/>
          </w:divBdr>
        </w:div>
        <w:div w:id="1629357778">
          <w:marLeft w:val="0"/>
          <w:marRight w:val="0"/>
          <w:marTop w:val="0"/>
          <w:marBottom w:val="0"/>
          <w:divBdr>
            <w:top w:val="none" w:sz="0" w:space="0" w:color="auto"/>
            <w:left w:val="none" w:sz="0" w:space="0" w:color="auto"/>
            <w:bottom w:val="none" w:sz="0" w:space="0" w:color="auto"/>
            <w:right w:val="none" w:sz="0" w:space="0" w:color="auto"/>
          </w:divBdr>
        </w:div>
        <w:div w:id="1632708954">
          <w:marLeft w:val="0"/>
          <w:marRight w:val="0"/>
          <w:marTop w:val="0"/>
          <w:marBottom w:val="0"/>
          <w:divBdr>
            <w:top w:val="none" w:sz="0" w:space="0" w:color="auto"/>
            <w:left w:val="none" w:sz="0" w:space="0" w:color="auto"/>
            <w:bottom w:val="none" w:sz="0" w:space="0" w:color="auto"/>
            <w:right w:val="none" w:sz="0" w:space="0" w:color="auto"/>
          </w:divBdr>
        </w:div>
        <w:div w:id="1634599242">
          <w:marLeft w:val="0"/>
          <w:marRight w:val="0"/>
          <w:marTop w:val="0"/>
          <w:marBottom w:val="0"/>
          <w:divBdr>
            <w:top w:val="none" w:sz="0" w:space="0" w:color="auto"/>
            <w:left w:val="none" w:sz="0" w:space="0" w:color="auto"/>
            <w:bottom w:val="none" w:sz="0" w:space="0" w:color="auto"/>
            <w:right w:val="none" w:sz="0" w:space="0" w:color="auto"/>
          </w:divBdr>
        </w:div>
        <w:div w:id="1638951885">
          <w:marLeft w:val="0"/>
          <w:marRight w:val="0"/>
          <w:marTop w:val="0"/>
          <w:marBottom w:val="0"/>
          <w:divBdr>
            <w:top w:val="none" w:sz="0" w:space="0" w:color="auto"/>
            <w:left w:val="none" w:sz="0" w:space="0" w:color="auto"/>
            <w:bottom w:val="none" w:sz="0" w:space="0" w:color="auto"/>
            <w:right w:val="none" w:sz="0" w:space="0" w:color="auto"/>
          </w:divBdr>
        </w:div>
        <w:div w:id="1640264220">
          <w:marLeft w:val="0"/>
          <w:marRight w:val="0"/>
          <w:marTop w:val="0"/>
          <w:marBottom w:val="0"/>
          <w:divBdr>
            <w:top w:val="none" w:sz="0" w:space="0" w:color="auto"/>
            <w:left w:val="none" w:sz="0" w:space="0" w:color="auto"/>
            <w:bottom w:val="none" w:sz="0" w:space="0" w:color="auto"/>
            <w:right w:val="none" w:sz="0" w:space="0" w:color="auto"/>
          </w:divBdr>
        </w:div>
        <w:div w:id="1645887578">
          <w:marLeft w:val="0"/>
          <w:marRight w:val="0"/>
          <w:marTop w:val="0"/>
          <w:marBottom w:val="0"/>
          <w:divBdr>
            <w:top w:val="none" w:sz="0" w:space="0" w:color="auto"/>
            <w:left w:val="none" w:sz="0" w:space="0" w:color="auto"/>
            <w:bottom w:val="none" w:sz="0" w:space="0" w:color="auto"/>
            <w:right w:val="none" w:sz="0" w:space="0" w:color="auto"/>
          </w:divBdr>
        </w:div>
        <w:div w:id="1646398070">
          <w:marLeft w:val="0"/>
          <w:marRight w:val="0"/>
          <w:marTop w:val="0"/>
          <w:marBottom w:val="0"/>
          <w:divBdr>
            <w:top w:val="none" w:sz="0" w:space="0" w:color="auto"/>
            <w:left w:val="none" w:sz="0" w:space="0" w:color="auto"/>
            <w:bottom w:val="none" w:sz="0" w:space="0" w:color="auto"/>
            <w:right w:val="none" w:sz="0" w:space="0" w:color="auto"/>
          </w:divBdr>
        </w:div>
        <w:div w:id="1647929007">
          <w:marLeft w:val="0"/>
          <w:marRight w:val="0"/>
          <w:marTop w:val="0"/>
          <w:marBottom w:val="0"/>
          <w:divBdr>
            <w:top w:val="none" w:sz="0" w:space="0" w:color="auto"/>
            <w:left w:val="none" w:sz="0" w:space="0" w:color="auto"/>
            <w:bottom w:val="none" w:sz="0" w:space="0" w:color="auto"/>
            <w:right w:val="none" w:sz="0" w:space="0" w:color="auto"/>
          </w:divBdr>
        </w:div>
        <w:div w:id="1654869714">
          <w:marLeft w:val="0"/>
          <w:marRight w:val="0"/>
          <w:marTop w:val="0"/>
          <w:marBottom w:val="0"/>
          <w:divBdr>
            <w:top w:val="none" w:sz="0" w:space="0" w:color="auto"/>
            <w:left w:val="none" w:sz="0" w:space="0" w:color="auto"/>
            <w:bottom w:val="none" w:sz="0" w:space="0" w:color="auto"/>
            <w:right w:val="none" w:sz="0" w:space="0" w:color="auto"/>
          </w:divBdr>
        </w:div>
        <w:div w:id="1656106508">
          <w:marLeft w:val="0"/>
          <w:marRight w:val="0"/>
          <w:marTop w:val="0"/>
          <w:marBottom w:val="0"/>
          <w:divBdr>
            <w:top w:val="none" w:sz="0" w:space="0" w:color="auto"/>
            <w:left w:val="none" w:sz="0" w:space="0" w:color="auto"/>
            <w:bottom w:val="none" w:sz="0" w:space="0" w:color="auto"/>
            <w:right w:val="none" w:sz="0" w:space="0" w:color="auto"/>
          </w:divBdr>
        </w:div>
        <w:div w:id="1656569599">
          <w:marLeft w:val="0"/>
          <w:marRight w:val="0"/>
          <w:marTop w:val="0"/>
          <w:marBottom w:val="0"/>
          <w:divBdr>
            <w:top w:val="none" w:sz="0" w:space="0" w:color="auto"/>
            <w:left w:val="none" w:sz="0" w:space="0" w:color="auto"/>
            <w:bottom w:val="none" w:sz="0" w:space="0" w:color="auto"/>
            <w:right w:val="none" w:sz="0" w:space="0" w:color="auto"/>
          </w:divBdr>
        </w:div>
        <w:div w:id="1656689998">
          <w:marLeft w:val="0"/>
          <w:marRight w:val="0"/>
          <w:marTop w:val="0"/>
          <w:marBottom w:val="0"/>
          <w:divBdr>
            <w:top w:val="none" w:sz="0" w:space="0" w:color="auto"/>
            <w:left w:val="none" w:sz="0" w:space="0" w:color="auto"/>
            <w:bottom w:val="none" w:sz="0" w:space="0" w:color="auto"/>
            <w:right w:val="none" w:sz="0" w:space="0" w:color="auto"/>
          </w:divBdr>
        </w:div>
        <w:div w:id="1659992641">
          <w:marLeft w:val="0"/>
          <w:marRight w:val="0"/>
          <w:marTop w:val="0"/>
          <w:marBottom w:val="0"/>
          <w:divBdr>
            <w:top w:val="none" w:sz="0" w:space="0" w:color="auto"/>
            <w:left w:val="none" w:sz="0" w:space="0" w:color="auto"/>
            <w:bottom w:val="none" w:sz="0" w:space="0" w:color="auto"/>
            <w:right w:val="none" w:sz="0" w:space="0" w:color="auto"/>
          </w:divBdr>
        </w:div>
        <w:div w:id="1666785859">
          <w:marLeft w:val="0"/>
          <w:marRight w:val="0"/>
          <w:marTop w:val="0"/>
          <w:marBottom w:val="0"/>
          <w:divBdr>
            <w:top w:val="none" w:sz="0" w:space="0" w:color="auto"/>
            <w:left w:val="none" w:sz="0" w:space="0" w:color="auto"/>
            <w:bottom w:val="none" w:sz="0" w:space="0" w:color="auto"/>
            <w:right w:val="none" w:sz="0" w:space="0" w:color="auto"/>
          </w:divBdr>
        </w:div>
        <w:div w:id="1668704283">
          <w:marLeft w:val="0"/>
          <w:marRight w:val="0"/>
          <w:marTop w:val="0"/>
          <w:marBottom w:val="0"/>
          <w:divBdr>
            <w:top w:val="none" w:sz="0" w:space="0" w:color="auto"/>
            <w:left w:val="none" w:sz="0" w:space="0" w:color="auto"/>
            <w:bottom w:val="none" w:sz="0" w:space="0" w:color="auto"/>
            <w:right w:val="none" w:sz="0" w:space="0" w:color="auto"/>
          </w:divBdr>
        </w:div>
        <w:div w:id="1672105228">
          <w:marLeft w:val="0"/>
          <w:marRight w:val="0"/>
          <w:marTop w:val="0"/>
          <w:marBottom w:val="0"/>
          <w:divBdr>
            <w:top w:val="none" w:sz="0" w:space="0" w:color="auto"/>
            <w:left w:val="none" w:sz="0" w:space="0" w:color="auto"/>
            <w:bottom w:val="none" w:sz="0" w:space="0" w:color="auto"/>
            <w:right w:val="none" w:sz="0" w:space="0" w:color="auto"/>
          </w:divBdr>
        </w:div>
        <w:div w:id="1674408491">
          <w:marLeft w:val="0"/>
          <w:marRight w:val="0"/>
          <w:marTop w:val="0"/>
          <w:marBottom w:val="0"/>
          <w:divBdr>
            <w:top w:val="none" w:sz="0" w:space="0" w:color="auto"/>
            <w:left w:val="none" w:sz="0" w:space="0" w:color="auto"/>
            <w:bottom w:val="none" w:sz="0" w:space="0" w:color="auto"/>
            <w:right w:val="none" w:sz="0" w:space="0" w:color="auto"/>
          </w:divBdr>
        </w:div>
        <w:div w:id="1675301097">
          <w:marLeft w:val="0"/>
          <w:marRight w:val="0"/>
          <w:marTop w:val="0"/>
          <w:marBottom w:val="0"/>
          <w:divBdr>
            <w:top w:val="none" w:sz="0" w:space="0" w:color="auto"/>
            <w:left w:val="none" w:sz="0" w:space="0" w:color="auto"/>
            <w:bottom w:val="none" w:sz="0" w:space="0" w:color="auto"/>
            <w:right w:val="none" w:sz="0" w:space="0" w:color="auto"/>
          </w:divBdr>
        </w:div>
        <w:div w:id="1684278259">
          <w:marLeft w:val="0"/>
          <w:marRight w:val="0"/>
          <w:marTop w:val="0"/>
          <w:marBottom w:val="0"/>
          <w:divBdr>
            <w:top w:val="none" w:sz="0" w:space="0" w:color="auto"/>
            <w:left w:val="none" w:sz="0" w:space="0" w:color="auto"/>
            <w:bottom w:val="none" w:sz="0" w:space="0" w:color="auto"/>
            <w:right w:val="none" w:sz="0" w:space="0" w:color="auto"/>
          </w:divBdr>
        </w:div>
        <w:div w:id="1684941070">
          <w:marLeft w:val="0"/>
          <w:marRight w:val="0"/>
          <w:marTop w:val="0"/>
          <w:marBottom w:val="0"/>
          <w:divBdr>
            <w:top w:val="none" w:sz="0" w:space="0" w:color="auto"/>
            <w:left w:val="none" w:sz="0" w:space="0" w:color="auto"/>
            <w:bottom w:val="none" w:sz="0" w:space="0" w:color="auto"/>
            <w:right w:val="none" w:sz="0" w:space="0" w:color="auto"/>
          </w:divBdr>
        </w:div>
        <w:div w:id="1687289973">
          <w:marLeft w:val="0"/>
          <w:marRight w:val="0"/>
          <w:marTop w:val="0"/>
          <w:marBottom w:val="0"/>
          <w:divBdr>
            <w:top w:val="none" w:sz="0" w:space="0" w:color="auto"/>
            <w:left w:val="none" w:sz="0" w:space="0" w:color="auto"/>
            <w:bottom w:val="none" w:sz="0" w:space="0" w:color="auto"/>
            <w:right w:val="none" w:sz="0" w:space="0" w:color="auto"/>
          </w:divBdr>
        </w:div>
        <w:div w:id="1689596055">
          <w:marLeft w:val="0"/>
          <w:marRight w:val="0"/>
          <w:marTop w:val="0"/>
          <w:marBottom w:val="0"/>
          <w:divBdr>
            <w:top w:val="none" w:sz="0" w:space="0" w:color="auto"/>
            <w:left w:val="none" w:sz="0" w:space="0" w:color="auto"/>
            <w:bottom w:val="none" w:sz="0" w:space="0" w:color="auto"/>
            <w:right w:val="none" w:sz="0" w:space="0" w:color="auto"/>
          </w:divBdr>
        </w:div>
        <w:div w:id="1690833174">
          <w:marLeft w:val="0"/>
          <w:marRight w:val="0"/>
          <w:marTop w:val="0"/>
          <w:marBottom w:val="0"/>
          <w:divBdr>
            <w:top w:val="none" w:sz="0" w:space="0" w:color="auto"/>
            <w:left w:val="none" w:sz="0" w:space="0" w:color="auto"/>
            <w:bottom w:val="none" w:sz="0" w:space="0" w:color="auto"/>
            <w:right w:val="none" w:sz="0" w:space="0" w:color="auto"/>
          </w:divBdr>
        </w:div>
        <w:div w:id="1693414850">
          <w:marLeft w:val="0"/>
          <w:marRight w:val="0"/>
          <w:marTop w:val="0"/>
          <w:marBottom w:val="0"/>
          <w:divBdr>
            <w:top w:val="none" w:sz="0" w:space="0" w:color="auto"/>
            <w:left w:val="none" w:sz="0" w:space="0" w:color="auto"/>
            <w:bottom w:val="none" w:sz="0" w:space="0" w:color="auto"/>
            <w:right w:val="none" w:sz="0" w:space="0" w:color="auto"/>
          </w:divBdr>
        </w:div>
        <w:div w:id="1696232342">
          <w:marLeft w:val="0"/>
          <w:marRight w:val="0"/>
          <w:marTop w:val="0"/>
          <w:marBottom w:val="0"/>
          <w:divBdr>
            <w:top w:val="none" w:sz="0" w:space="0" w:color="auto"/>
            <w:left w:val="none" w:sz="0" w:space="0" w:color="auto"/>
            <w:bottom w:val="none" w:sz="0" w:space="0" w:color="auto"/>
            <w:right w:val="none" w:sz="0" w:space="0" w:color="auto"/>
          </w:divBdr>
        </w:div>
        <w:div w:id="1697653335">
          <w:marLeft w:val="0"/>
          <w:marRight w:val="0"/>
          <w:marTop w:val="0"/>
          <w:marBottom w:val="0"/>
          <w:divBdr>
            <w:top w:val="none" w:sz="0" w:space="0" w:color="auto"/>
            <w:left w:val="none" w:sz="0" w:space="0" w:color="auto"/>
            <w:bottom w:val="none" w:sz="0" w:space="0" w:color="auto"/>
            <w:right w:val="none" w:sz="0" w:space="0" w:color="auto"/>
          </w:divBdr>
        </w:div>
        <w:div w:id="1701514783">
          <w:marLeft w:val="0"/>
          <w:marRight w:val="0"/>
          <w:marTop w:val="0"/>
          <w:marBottom w:val="0"/>
          <w:divBdr>
            <w:top w:val="none" w:sz="0" w:space="0" w:color="auto"/>
            <w:left w:val="none" w:sz="0" w:space="0" w:color="auto"/>
            <w:bottom w:val="none" w:sz="0" w:space="0" w:color="auto"/>
            <w:right w:val="none" w:sz="0" w:space="0" w:color="auto"/>
          </w:divBdr>
        </w:div>
        <w:div w:id="1704548924">
          <w:marLeft w:val="0"/>
          <w:marRight w:val="0"/>
          <w:marTop w:val="0"/>
          <w:marBottom w:val="0"/>
          <w:divBdr>
            <w:top w:val="none" w:sz="0" w:space="0" w:color="auto"/>
            <w:left w:val="none" w:sz="0" w:space="0" w:color="auto"/>
            <w:bottom w:val="none" w:sz="0" w:space="0" w:color="auto"/>
            <w:right w:val="none" w:sz="0" w:space="0" w:color="auto"/>
          </w:divBdr>
        </w:div>
        <w:div w:id="1705011762">
          <w:marLeft w:val="0"/>
          <w:marRight w:val="0"/>
          <w:marTop w:val="0"/>
          <w:marBottom w:val="0"/>
          <w:divBdr>
            <w:top w:val="none" w:sz="0" w:space="0" w:color="auto"/>
            <w:left w:val="none" w:sz="0" w:space="0" w:color="auto"/>
            <w:bottom w:val="none" w:sz="0" w:space="0" w:color="auto"/>
            <w:right w:val="none" w:sz="0" w:space="0" w:color="auto"/>
          </w:divBdr>
        </w:div>
        <w:div w:id="1711027293">
          <w:marLeft w:val="0"/>
          <w:marRight w:val="0"/>
          <w:marTop w:val="0"/>
          <w:marBottom w:val="0"/>
          <w:divBdr>
            <w:top w:val="none" w:sz="0" w:space="0" w:color="auto"/>
            <w:left w:val="none" w:sz="0" w:space="0" w:color="auto"/>
            <w:bottom w:val="none" w:sz="0" w:space="0" w:color="auto"/>
            <w:right w:val="none" w:sz="0" w:space="0" w:color="auto"/>
          </w:divBdr>
        </w:div>
        <w:div w:id="1717240062">
          <w:marLeft w:val="0"/>
          <w:marRight w:val="0"/>
          <w:marTop w:val="0"/>
          <w:marBottom w:val="0"/>
          <w:divBdr>
            <w:top w:val="none" w:sz="0" w:space="0" w:color="auto"/>
            <w:left w:val="none" w:sz="0" w:space="0" w:color="auto"/>
            <w:bottom w:val="none" w:sz="0" w:space="0" w:color="auto"/>
            <w:right w:val="none" w:sz="0" w:space="0" w:color="auto"/>
          </w:divBdr>
        </w:div>
        <w:div w:id="1720275671">
          <w:marLeft w:val="0"/>
          <w:marRight w:val="0"/>
          <w:marTop w:val="0"/>
          <w:marBottom w:val="0"/>
          <w:divBdr>
            <w:top w:val="none" w:sz="0" w:space="0" w:color="auto"/>
            <w:left w:val="none" w:sz="0" w:space="0" w:color="auto"/>
            <w:bottom w:val="none" w:sz="0" w:space="0" w:color="auto"/>
            <w:right w:val="none" w:sz="0" w:space="0" w:color="auto"/>
          </w:divBdr>
        </w:div>
        <w:div w:id="1721588753">
          <w:marLeft w:val="0"/>
          <w:marRight w:val="0"/>
          <w:marTop w:val="0"/>
          <w:marBottom w:val="0"/>
          <w:divBdr>
            <w:top w:val="none" w:sz="0" w:space="0" w:color="auto"/>
            <w:left w:val="none" w:sz="0" w:space="0" w:color="auto"/>
            <w:bottom w:val="none" w:sz="0" w:space="0" w:color="auto"/>
            <w:right w:val="none" w:sz="0" w:space="0" w:color="auto"/>
          </w:divBdr>
        </w:div>
        <w:div w:id="1722055216">
          <w:marLeft w:val="0"/>
          <w:marRight w:val="0"/>
          <w:marTop w:val="0"/>
          <w:marBottom w:val="0"/>
          <w:divBdr>
            <w:top w:val="none" w:sz="0" w:space="0" w:color="auto"/>
            <w:left w:val="none" w:sz="0" w:space="0" w:color="auto"/>
            <w:bottom w:val="none" w:sz="0" w:space="0" w:color="auto"/>
            <w:right w:val="none" w:sz="0" w:space="0" w:color="auto"/>
          </w:divBdr>
        </w:div>
        <w:div w:id="1723403162">
          <w:marLeft w:val="0"/>
          <w:marRight w:val="0"/>
          <w:marTop w:val="0"/>
          <w:marBottom w:val="0"/>
          <w:divBdr>
            <w:top w:val="none" w:sz="0" w:space="0" w:color="auto"/>
            <w:left w:val="none" w:sz="0" w:space="0" w:color="auto"/>
            <w:bottom w:val="none" w:sz="0" w:space="0" w:color="auto"/>
            <w:right w:val="none" w:sz="0" w:space="0" w:color="auto"/>
          </w:divBdr>
        </w:div>
        <w:div w:id="1724406907">
          <w:marLeft w:val="0"/>
          <w:marRight w:val="0"/>
          <w:marTop w:val="0"/>
          <w:marBottom w:val="0"/>
          <w:divBdr>
            <w:top w:val="none" w:sz="0" w:space="0" w:color="auto"/>
            <w:left w:val="none" w:sz="0" w:space="0" w:color="auto"/>
            <w:bottom w:val="none" w:sz="0" w:space="0" w:color="auto"/>
            <w:right w:val="none" w:sz="0" w:space="0" w:color="auto"/>
          </w:divBdr>
        </w:div>
        <w:div w:id="1726830581">
          <w:marLeft w:val="0"/>
          <w:marRight w:val="0"/>
          <w:marTop w:val="0"/>
          <w:marBottom w:val="0"/>
          <w:divBdr>
            <w:top w:val="none" w:sz="0" w:space="0" w:color="auto"/>
            <w:left w:val="none" w:sz="0" w:space="0" w:color="auto"/>
            <w:bottom w:val="none" w:sz="0" w:space="0" w:color="auto"/>
            <w:right w:val="none" w:sz="0" w:space="0" w:color="auto"/>
          </w:divBdr>
        </w:div>
        <w:div w:id="1730035739">
          <w:marLeft w:val="0"/>
          <w:marRight w:val="0"/>
          <w:marTop w:val="0"/>
          <w:marBottom w:val="0"/>
          <w:divBdr>
            <w:top w:val="none" w:sz="0" w:space="0" w:color="auto"/>
            <w:left w:val="none" w:sz="0" w:space="0" w:color="auto"/>
            <w:bottom w:val="none" w:sz="0" w:space="0" w:color="auto"/>
            <w:right w:val="none" w:sz="0" w:space="0" w:color="auto"/>
          </w:divBdr>
        </w:div>
        <w:div w:id="1738936958">
          <w:marLeft w:val="0"/>
          <w:marRight w:val="0"/>
          <w:marTop w:val="0"/>
          <w:marBottom w:val="0"/>
          <w:divBdr>
            <w:top w:val="none" w:sz="0" w:space="0" w:color="auto"/>
            <w:left w:val="none" w:sz="0" w:space="0" w:color="auto"/>
            <w:bottom w:val="none" w:sz="0" w:space="0" w:color="auto"/>
            <w:right w:val="none" w:sz="0" w:space="0" w:color="auto"/>
          </w:divBdr>
        </w:div>
        <w:div w:id="1740246014">
          <w:marLeft w:val="0"/>
          <w:marRight w:val="0"/>
          <w:marTop w:val="0"/>
          <w:marBottom w:val="0"/>
          <w:divBdr>
            <w:top w:val="none" w:sz="0" w:space="0" w:color="auto"/>
            <w:left w:val="none" w:sz="0" w:space="0" w:color="auto"/>
            <w:bottom w:val="none" w:sz="0" w:space="0" w:color="auto"/>
            <w:right w:val="none" w:sz="0" w:space="0" w:color="auto"/>
          </w:divBdr>
        </w:div>
        <w:div w:id="1743797766">
          <w:marLeft w:val="0"/>
          <w:marRight w:val="0"/>
          <w:marTop w:val="0"/>
          <w:marBottom w:val="0"/>
          <w:divBdr>
            <w:top w:val="none" w:sz="0" w:space="0" w:color="auto"/>
            <w:left w:val="none" w:sz="0" w:space="0" w:color="auto"/>
            <w:bottom w:val="none" w:sz="0" w:space="0" w:color="auto"/>
            <w:right w:val="none" w:sz="0" w:space="0" w:color="auto"/>
          </w:divBdr>
        </w:div>
        <w:div w:id="1750611956">
          <w:marLeft w:val="0"/>
          <w:marRight w:val="0"/>
          <w:marTop w:val="0"/>
          <w:marBottom w:val="0"/>
          <w:divBdr>
            <w:top w:val="none" w:sz="0" w:space="0" w:color="auto"/>
            <w:left w:val="none" w:sz="0" w:space="0" w:color="auto"/>
            <w:bottom w:val="none" w:sz="0" w:space="0" w:color="auto"/>
            <w:right w:val="none" w:sz="0" w:space="0" w:color="auto"/>
          </w:divBdr>
        </w:div>
        <w:div w:id="1755737669">
          <w:marLeft w:val="0"/>
          <w:marRight w:val="0"/>
          <w:marTop w:val="0"/>
          <w:marBottom w:val="0"/>
          <w:divBdr>
            <w:top w:val="none" w:sz="0" w:space="0" w:color="auto"/>
            <w:left w:val="none" w:sz="0" w:space="0" w:color="auto"/>
            <w:bottom w:val="none" w:sz="0" w:space="0" w:color="auto"/>
            <w:right w:val="none" w:sz="0" w:space="0" w:color="auto"/>
          </w:divBdr>
        </w:div>
        <w:div w:id="1758213249">
          <w:marLeft w:val="0"/>
          <w:marRight w:val="0"/>
          <w:marTop w:val="0"/>
          <w:marBottom w:val="0"/>
          <w:divBdr>
            <w:top w:val="none" w:sz="0" w:space="0" w:color="auto"/>
            <w:left w:val="none" w:sz="0" w:space="0" w:color="auto"/>
            <w:bottom w:val="none" w:sz="0" w:space="0" w:color="auto"/>
            <w:right w:val="none" w:sz="0" w:space="0" w:color="auto"/>
          </w:divBdr>
        </w:div>
        <w:div w:id="1763719570">
          <w:marLeft w:val="0"/>
          <w:marRight w:val="0"/>
          <w:marTop w:val="0"/>
          <w:marBottom w:val="0"/>
          <w:divBdr>
            <w:top w:val="none" w:sz="0" w:space="0" w:color="auto"/>
            <w:left w:val="none" w:sz="0" w:space="0" w:color="auto"/>
            <w:bottom w:val="none" w:sz="0" w:space="0" w:color="auto"/>
            <w:right w:val="none" w:sz="0" w:space="0" w:color="auto"/>
          </w:divBdr>
        </w:div>
        <w:div w:id="1764103335">
          <w:marLeft w:val="0"/>
          <w:marRight w:val="0"/>
          <w:marTop w:val="0"/>
          <w:marBottom w:val="0"/>
          <w:divBdr>
            <w:top w:val="none" w:sz="0" w:space="0" w:color="auto"/>
            <w:left w:val="none" w:sz="0" w:space="0" w:color="auto"/>
            <w:bottom w:val="none" w:sz="0" w:space="0" w:color="auto"/>
            <w:right w:val="none" w:sz="0" w:space="0" w:color="auto"/>
          </w:divBdr>
        </w:div>
        <w:div w:id="1766532143">
          <w:marLeft w:val="0"/>
          <w:marRight w:val="0"/>
          <w:marTop w:val="0"/>
          <w:marBottom w:val="0"/>
          <w:divBdr>
            <w:top w:val="none" w:sz="0" w:space="0" w:color="auto"/>
            <w:left w:val="none" w:sz="0" w:space="0" w:color="auto"/>
            <w:bottom w:val="none" w:sz="0" w:space="0" w:color="auto"/>
            <w:right w:val="none" w:sz="0" w:space="0" w:color="auto"/>
          </w:divBdr>
        </w:div>
        <w:div w:id="1768691236">
          <w:marLeft w:val="0"/>
          <w:marRight w:val="0"/>
          <w:marTop w:val="0"/>
          <w:marBottom w:val="0"/>
          <w:divBdr>
            <w:top w:val="none" w:sz="0" w:space="0" w:color="auto"/>
            <w:left w:val="none" w:sz="0" w:space="0" w:color="auto"/>
            <w:bottom w:val="none" w:sz="0" w:space="0" w:color="auto"/>
            <w:right w:val="none" w:sz="0" w:space="0" w:color="auto"/>
          </w:divBdr>
        </w:div>
        <w:div w:id="1774549087">
          <w:marLeft w:val="0"/>
          <w:marRight w:val="0"/>
          <w:marTop w:val="0"/>
          <w:marBottom w:val="0"/>
          <w:divBdr>
            <w:top w:val="none" w:sz="0" w:space="0" w:color="auto"/>
            <w:left w:val="none" w:sz="0" w:space="0" w:color="auto"/>
            <w:bottom w:val="none" w:sz="0" w:space="0" w:color="auto"/>
            <w:right w:val="none" w:sz="0" w:space="0" w:color="auto"/>
          </w:divBdr>
        </w:div>
        <w:div w:id="1786118987">
          <w:marLeft w:val="0"/>
          <w:marRight w:val="0"/>
          <w:marTop w:val="0"/>
          <w:marBottom w:val="0"/>
          <w:divBdr>
            <w:top w:val="none" w:sz="0" w:space="0" w:color="auto"/>
            <w:left w:val="none" w:sz="0" w:space="0" w:color="auto"/>
            <w:bottom w:val="none" w:sz="0" w:space="0" w:color="auto"/>
            <w:right w:val="none" w:sz="0" w:space="0" w:color="auto"/>
          </w:divBdr>
        </w:div>
        <w:div w:id="1791123572">
          <w:marLeft w:val="0"/>
          <w:marRight w:val="0"/>
          <w:marTop w:val="0"/>
          <w:marBottom w:val="0"/>
          <w:divBdr>
            <w:top w:val="none" w:sz="0" w:space="0" w:color="auto"/>
            <w:left w:val="none" w:sz="0" w:space="0" w:color="auto"/>
            <w:bottom w:val="none" w:sz="0" w:space="0" w:color="auto"/>
            <w:right w:val="none" w:sz="0" w:space="0" w:color="auto"/>
          </w:divBdr>
        </w:div>
        <w:div w:id="1791244174">
          <w:marLeft w:val="0"/>
          <w:marRight w:val="0"/>
          <w:marTop w:val="0"/>
          <w:marBottom w:val="0"/>
          <w:divBdr>
            <w:top w:val="none" w:sz="0" w:space="0" w:color="auto"/>
            <w:left w:val="none" w:sz="0" w:space="0" w:color="auto"/>
            <w:bottom w:val="none" w:sz="0" w:space="0" w:color="auto"/>
            <w:right w:val="none" w:sz="0" w:space="0" w:color="auto"/>
          </w:divBdr>
        </w:div>
        <w:div w:id="1801993024">
          <w:marLeft w:val="0"/>
          <w:marRight w:val="0"/>
          <w:marTop w:val="0"/>
          <w:marBottom w:val="0"/>
          <w:divBdr>
            <w:top w:val="none" w:sz="0" w:space="0" w:color="auto"/>
            <w:left w:val="none" w:sz="0" w:space="0" w:color="auto"/>
            <w:bottom w:val="none" w:sz="0" w:space="0" w:color="auto"/>
            <w:right w:val="none" w:sz="0" w:space="0" w:color="auto"/>
          </w:divBdr>
        </w:div>
        <w:div w:id="1803301042">
          <w:marLeft w:val="0"/>
          <w:marRight w:val="0"/>
          <w:marTop w:val="0"/>
          <w:marBottom w:val="0"/>
          <w:divBdr>
            <w:top w:val="none" w:sz="0" w:space="0" w:color="auto"/>
            <w:left w:val="none" w:sz="0" w:space="0" w:color="auto"/>
            <w:bottom w:val="none" w:sz="0" w:space="0" w:color="auto"/>
            <w:right w:val="none" w:sz="0" w:space="0" w:color="auto"/>
          </w:divBdr>
        </w:div>
        <w:div w:id="1803844969">
          <w:marLeft w:val="0"/>
          <w:marRight w:val="0"/>
          <w:marTop w:val="0"/>
          <w:marBottom w:val="0"/>
          <w:divBdr>
            <w:top w:val="none" w:sz="0" w:space="0" w:color="auto"/>
            <w:left w:val="none" w:sz="0" w:space="0" w:color="auto"/>
            <w:bottom w:val="none" w:sz="0" w:space="0" w:color="auto"/>
            <w:right w:val="none" w:sz="0" w:space="0" w:color="auto"/>
          </w:divBdr>
        </w:div>
        <w:div w:id="1806044974">
          <w:marLeft w:val="0"/>
          <w:marRight w:val="0"/>
          <w:marTop w:val="0"/>
          <w:marBottom w:val="0"/>
          <w:divBdr>
            <w:top w:val="none" w:sz="0" w:space="0" w:color="auto"/>
            <w:left w:val="none" w:sz="0" w:space="0" w:color="auto"/>
            <w:bottom w:val="none" w:sz="0" w:space="0" w:color="auto"/>
            <w:right w:val="none" w:sz="0" w:space="0" w:color="auto"/>
          </w:divBdr>
        </w:div>
        <w:div w:id="1806266845">
          <w:marLeft w:val="0"/>
          <w:marRight w:val="0"/>
          <w:marTop w:val="0"/>
          <w:marBottom w:val="0"/>
          <w:divBdr>
            <w:top w:val="none" w:sz="0" w:space="0" w:color="auto"/>
            <w:left w:val="none" w:sz="0" w:space="0" w:color="auto"/>
            <w:bottom w:val="none" w:sz="0" w:space="0" w:color="auto"/>
            <w:right w:val="none" w:sz="0" w:space="0" w:color="auto"/>
          </w:divBdr>
        </w:div>
        <w:div w:id="1806967445">
          <w:marLeft w:val="0"/>
          <w:marRight w:val="0"/>
          <w:marTop w:val="0"/>
          <w:marBottom w:val="0"/>
          <w:divBdr>
            <w:top w:val="none" w:sz="0" w:space="0" w:color="auto"/>
            <w:left w:val="none" w:sz="0" w:space="0" w:color="auto"/>
            <w:bottom w:val="none" w:sz="0" w:space="0" w:color="auto"/>
            <w:right w:val="none" w:sz="0" w:space="0" w:color="auto"/>
          </w:divBdr>
        </w:div>
        <w:div w:id="1808469574">
          <w:marLeft w:val="0"/>
          <w:marRight w:val="0"/>
          <w:marTop w:val="0"/>
          <w:marBottom w:val="0"/>
          <w:divBdr>
            <w:top w:val="none" w:sz="0" w:space="0" w:color="auto"/>
            <w:left w:val="none" w:sz="0" w:space="0" w:color="auto"/>
            <w:bottom w:val="none" w:sz="0" w:space="0" w:color="auto"/>
            <w:right w:val="none" w:sz="0" w:space="0" w:color="auto"/>
          </w:divBdr>
        </w:div>
        <w:div w:id="1812163588">
          <w:marLeft w:val="0"/>
          <w:marRight w:val="0"/>
          <w:marTop w:val="0"/>
          <w:marBottom w:val="0"/>
          <w:divBdr>
            <w:top w:val="none" w:sz="0" w:space="0" w:color="auto"/>
            <w:left w:val="none" w:sz="0" w:space="0" w:color="auto"/>
            <w:bottom w:val="none" w:sz="0" w:space="0" w:color="auto"/>
            <w:right w:val="none" w:sz="0" w:space="0" w:color="auto"/>
          </w:divBdr>
        </w:div>
        <w:div w:id="1814055578">
          <w:marLeft w:val="0"/>
          <w:marRight w:val="0"/>
          <w:marTop w:val="0"/>
          <w:marBottom w:val="0"/>
          <w:divBdr>
            <w:top w:val="none" w:sz="0" w:space="0" w:color="auto"/>
            <w:left w:val="none" w:sz="0" w:space="0" w:color="auto"/>
            <w:bottom w:val="none" w:sz="0" w:space="0" w:color="auto"/>
            <w:right w:val="none" w:sz="0" w:space="0" w:color="auto"/>
          </w:divBdr>
        </w:div>
        <w:div w:id="1816943660">
          <w:marLeft w:val="0"/>
          <w:marRight w:val="0"/>
          <w:marTop w:val="0"/>
          <w:marBottom w:val="0"/>
          <w:divBdr>
            <w:top w:val="none" w:sz="0" w:space="0" w:color="auto"/>
            <w:left w:val="none" w:sz="0" w:space="0" w:color="auto"/>
            <w:bottom w:val="none" w:sz="0" w:space="0" w:color="auto"/>
            <w:right w:val="none" w:sz="0" w:space="0" w:color="auto"/>
          </w:divBdr>
        </w:div>
        <w:div w:id="1820269060">
          <w:marLeft w:val="0"/>
          <w:marRight w:val="0"/>
          <w:marTop w:val="0"/>
          <w:marBottom w:val="0"/>
          <w:divBdr>
            <w:top w:val="none" w:sz="0" w:space="0" w:color="auto"/>
            <w:left w:val="none" w:sz="0" w:space="0" w:color="auto"/>
            <w:bottom w:val="none" w:sz="0" w:space="0" w:color="auto"/>
            <w:right w:val="none" w:sz="0" w:space="0" w:color="auto"/>
          </w:divBdr>
        </w:div>
        <w:div w:id="1821577819">
          <w:marLeft w:val="0"/>
          <w:marRight w:val="0"/>
          <w:marTop w:val="0"/>
          <w:marBottom w:val="0"/>
          <w:divBdr>
            <w:top w:val="none" w:sz="0" w:space="0" w:color="auto"/>
            <w:left w:val="none" w:sz="0" w:space="0" w:color="auto"/>
            <w:bottom w:val="none" w:sz="0" w:space="0" w:color="auto"/>
            <w:right w:val="none" w:sz="0" w:space="0" w:color="auto"/>
          </w:divBdr>
        </w:div>
        <w:div w:id="1821770882">
          <w:marLeft w:val="0"/>
          <w:marRight w:val="0"/>
          <w:marTop w:val="0"/>
          <w:marBottom w:val="0"/>
          <w:divBdr>
            <w:top w:val="none" w:sz="0" w:space="0" w:color="auto"/>
            <w:left w:val="none" w:sz="0" w:space="0" w:color="auto"/>
            <w:bottom w:val="none" w:sz="0" w:space="0" w:color="auto"/>
            <w:right w:val="none" w:sz="0" w:space="0" w:color="auto"/>
          </w:divBdr>
        </w:div>
        <w:div w:id="1826778660">
          <w:marLeft w:val="0"/>
          <w:marRight w:val="0"/>
          <w:marTop w:val="0"/>
          <w:marBottom w:val="0"/>
          <w:divBdr>
            <w:top w:val="none" w:sz="0" w:space="0" w:color="auto"/>
            <w:left w:val="none" w:sz="0" w:space="0" w:color="auto"/>
            <w:bottom w:val="none" w:sz="0" w:space="0" w:color="auto"/>
            <w:right w:val="none" w:sz="0" w:space="0" w:color="auto"/>
          </w:divBdr>
        </w:div>
        <w:div w:id="1830435606">
          <w:marLeft w:val="0"/>
          <w:marRight w:val="0"/>
          <w:marTop w:val="0"/>
          <w:marBottom w:val="0"/>
          <w:divBdr>
            <w:top w:val="none" w:sz="0" w:space="0" w:color="auto"/>
            <w:left w:val="none" w:sz="0" w:space="0" w:color="auto"/>
            <w:bottom w:val="none" w:sz="0" w:space="0" w:color="auto"/>
            <w:right w:val="none" w:sz="0" w:space="0" w:color="auto"/>
          </w:divBdr>
        </w:div>
        <w:div w:id="1833526460">
          <w:marLeft w:val="0"/>
          <w:marRight w:val="0"/>
          <w:marTop w:val="0"/>
          <w:marBottom w:val="0"/>
          <w:divBdr>
            <w:top w:val="none" w:sz="0" w:space="0" w:color="auto"/>
            <w:left w:val="none" w:sz="0" w:space="0" w:color="auto"/>
            <w:bottom w:val="none" w:sz="0" w:space="0" w:color="auto"/>
            <w:right w:val="none" w:sz="0" w:space="0" w:color="auto"/>
          </w:divBdr>
        </w:div>
        <w:div w:id="1839535827">
          <w:marLeft w:val="0"/>
          <w:marRight w:val="0"/>
          <w:marTop w:val="0"/>
          <w:marBottom w:val="0"/>
          <w:divBdr>
            <w:top w:val="none" w:sz="0" w:space="0" w:color="auto"/>
            <w:left w:val="none" w:sz="0" w:space="0" w:color="auto"/>
            <w:bottom w:val="none" w:sz="0" w:space="0" w:color="auto"/>
            <w:right w:val="none" w:sz="0" w:space="0" w:color="auto"/>
          </w:divBdr>
        </w:div>
        <w:div w:id="1848210043">
          <w:marLeft w:val="0"/>
          <w:marRight w:val="0"/>
          <w:marTop w:val="0"/>
          <w:marBottom w:val="0"/>
          <w:divBdr>
            <w:top w:val="none" w:sz="0" w:space="0" w:color="auto"/>
            <w:left w:val="none" w:sz="0" w:space="0" w:color="auto"/>
            <w:bottom w:val="none" w:sz="0" w:space="0" w:color="auto"/>
            <w:right w:val="none" w:sz="0" w:space="0" w:color="auto"/>
          </w:divBdr>
        </w:div>
        <w:div w:id="1849635390">
          <w:marLeft w:val="0"/>
          <w:marRight w:val="0"/>
          <w:marTop w:val="0"/>
          <w:marBottom w:val="0"/>
          <w:divBdr>
            <w:top w:val="none" w:sz="0" w:space="0" w:color="auto"/>
            <w:left w:val="none" w:sz="0" w:space="0" w:color="auto"/>
            <w:bottom w:val="none" w:sz="0" w:space="0" w:color="auto"/>
            <w:right w:val="none" w:sz="0" w:space="0" w:color="auto"/>
          </w:divBdr>
        </w:div>
        <w:div w:id="1851067880">
          <w:marLeft w:val="0"/>
          <w:marRight w:val="0"/>
          <w:marTop w:val="0"/>
          <w:marBottom w:val="0"/>
          <w:divBdr>
            <w:top w:val="none" w:sz="0" w:space="0" w:color="auto"/>
            <w:left w:val="none" w:sz="0" w:space="0" w:color="auto"/>
            <w:bottom w:val="none" w:sz="0" w:space="0" w:color="auto"/>
            <w:right w:val="none" w:sz="0" w:space="0" w:color="auto"/>
          </w:divBdr>
        </w:div>
        <w:div w:id="1852182552">
          <w:marLeft w:val="0"/>
          <w:marRight w:val="0"/>
          <w:marTop w:val="0"/>
          <w:marBottom w:val="0"/>
          <w:divBdr>
            <w:top w:val="none" w:sz="0" w:space="0" w:color="auto"/>
            <w:left w:val="none" w:sz="0" w:space="0" w:color="auto"/>
            <w:bottom w:val="none" w:sz="0" w:space="0" w:color="auto"/>
            <w:right w:val="none" w:sz="0" w:space="0" w:color="auto"/>
          </w:divBdr>
        </w:div>
        <w:div w:id="1854413881">
          <w:marLeft w:val="0"/>
          <w:marRight w:val="0"/>
          <w:marTop w:val="0"/>
          <w:marBottom w:val="0"/>
          <w:divBdr>
            <w:top w:val="none" w:sz="0" w:space="0" w:color="auto"/>
            <w:left w:val="none" w:sz="0" w:space="0" w:color="auto"/>
            <w:bottom w:val="none" w:sz="0" w:space="0" w:color="auto"/>
            <w:right w:val="none" w:sz="0" w:space="0" w:color="auto"/>
          </w:divBdr>
        </w:div>
        <w:div w:id="1854686999">
          <w:marLeft w:val="0"/>
          <w:marRight w:val="0"/>
          <w:marTop w:val="0"/>
          <w:marBottom w:val="0"/>
          <w:divBdr>
            <w:top w:val="none" w:sz="0" w:space="0" w:color="auto"/>
            <w:left w:val="none" w:sz="0" w:space="0" w:color="auto"/>
            <w:bottom w:val="none" w:sz="0" w:space="0" w:color="auto"/>
            <w:right w:val="none" w:sz="0" w:space="0" w:color="auto"/>
          </w:divBdr>
        </w:div>
        <w:div w:id="1856074059">
          <w:marLeft w:val="0"/>
          <w:marRight w:val="0"/>
          <w:marTop w:val="0"/>
          <w:marBottom w:val="0"/>
          <w:divBdr>
            <w:top w:val="none" w:sz="0" w:space="0" w:color="auto"/>
            <w:left w:val="none" w:sz="0" w:space="0" w:color="auto"/>
            <w:bottom w:val="none" w:sz="0" w:space="0" w:color="auto"/>
            <w:right w:val="none" w:sz="0" w:space="0" w:color="auto"/>
          </w:divBdr>
        </w:div>
        <w:div w:id="1861045728">
          <w:marLeft w:val="0"/>
          <w:marRight w:val="0"/>
          <w:marTop w:val="0"/>
          <w:marBottom w:val="0"/>
          <w:divBdr>
            <w:top w:val="none" w:sz="0" w:space="0" w:color="auto"/>
            <w:left w:val="none" w:sz="0" w:space="0" w:color="auto"/>
            <w:bottom w:val="none" w:sz="0" w:space="0" w:color="auto"/>
            <w:right w:val="none" w:sz="0" w:space="0" w:color="auto"/>
          </w:divBdr>
        </w:div>
        <w:div w:id="1862819050">
          <w:marLeft w:val="0"/>
          <w:marRight w:val="0"/>
          <w:marTop w:val="0"/>
          <w:marBottom w:val="0"/>
          <w:divBdr>
            <w:top w:val="none" w:sz="0" w:space="0" w:color="auto"/>
            <w:left w:val="none" w:sz="0" w:space="0" w:color="auto"/>
            <w:bottom w:val="none" w:sz="0" w:space="0" w:color="auto"/>
            <w:right w:val="none" w:sz="0" w:space="0" w:color="auto"/>
          </w:divBdr>
        </w:div>
        <w:div w:id="1866823266">
          <w:marLeft w:val="0"/>
          <w:marRight w:val="0"/>
          <w:marTop w:val="0"/>
          <w:marBottom w:val="0"/>
          <w:divBdr>
            <w:top w:val="none" w:sz="0" w:space="0" w:color="auto"/>
            <w:left w:val="none" w:sz="0" w:space="0" w:color="auto"/>
            <w:bottom w:val="none" w:sz="0" w:space="0" w:color="auto"/>
            <w:right w:val="none" w:sz="0" w:space="0" w:color="auto"/>
          </w:divBdr>
        </w:div>
        <w:div w:id="1868249169">
          <w:marLeft w:val="0"/>
          <w:marRight w:val="0"/>
          <w:marTop w:val="0"/>
          <w:marBottom w:val="0"/>
          <w:divBdr>
            <w:top w:val="none" w:sz="0" w:space="0" w:color="auto"/>
            <w:left w:val="none" w:sz="0" w:space="0" w:color="auto"/>
            <w:bottom w:val="none" w:sz="0" w:space="0" w:color="auto"/>
            <w:right w:val="none" w:sz="0" w:space="0" w:color="auto"/>
          </w:divBdr>
        </w:div>
        <w:div w:id="1872453132">
          <w:marLeft w:val="0"/>
          <w:marRight w:val="0"/>
          <w:marTop w:val="0"/>
          <w:marBottom w:val="0"/>
          <w:divBdr>
            <w:top w:val="none" w:sz="0" w:space="0" w:color="auto"/>
            <w:left w:val="none" w:sz="0" w:space="0" w:color="auto"/>
            <w:bottom w:val="none" w:sz="0" w:space="0" w:color="auto"/>
            <w:right w:val="none" w:sz="0" w:space="0" w:color="auto"/>
          </w:divBdr>
        </w:div>
        <w:div w:id="1875733476">
          <w:marLeft w:val="0"/>
          <w:marRight w:val="0"/>
          <w:marTop w:val="0"/>
          <w:marBottom w:val="0"/>
          <w:divBdr>
            <w:top w:val="none" w:sz="0" w:space="0" w:color="auto"/>
            <w:left w:val="none" w:sz="0" w:space="0" w:color="auto"/>
            <w:bottom w:val="none" w:sz="0" w:space="0" w:color="auto"/>
            <w:right w:val="none" w:sz="0" w:space="0" w:color="auto"/>
          </w:divBdr>
        </w:div>
        <w:div w:id="1885366378">
          <w:marLeft w:val="0"/>
          <w:marRight w:val="0"/>
          <w:marTop w:val="0"/>
          <w:marBottom w:val="0"/>
          <w:divBdr>
            <w:top w:val="none" w:sz="0" w:space="0" w:color="auto"/>
            <w:left w:val="none" w:sz="0" w:space="0" w:color="auto"/>
            <w:bottom w:val="none" w:sz="0" w:space="0" w:color="auto"/>
            <w:right w:val="none" w:sz="0" w:space="0" w:color="auto"/>
          </w:divBdr>
        </w:div>
        <w:div w:id="1885562188">
          <w:marLeft w:val="0"/>
          <w:marRight w:val="0"/>
          <w:marTop w:val="0"/>
          <w:marBottom w:val="0"/>
          <w:divBdr>
            <w:top w:val="none" w:sz="0" w:space="0" w:color="auto"/>
            <w:left w:val="none" w:sz="0" w:space="0" w:color="auto"/>
            <w:bottom w:val="none" w:sz="0" w:space="0" w:color="auto"/>
            <w:right w:val="none" w:sz="0" w:space="0" w:color="auto"/>
          </w:divBdr>
        </w:div>
        <w:div w:id="1886915259">
          <w:marLeft w:val="0"/>
          <w:marRight w:val="0"/>
          <w:marTop w:val="0"/>
          <w:marBottom w:val="0"/>
          <w:divBdr>
            <w:top w:val="none" w:sz="0" w:space="0" w:color="auto"/>
            <w:left w:val="none" w:sz="0" w:space="0" w:color="auto"/>
            <w:bottom w:val="none" w:sz="0" w:space="0" w:color="auto"/>
            <w:right w:val="none" w:sz="0" w:space="0" w:color="auto"/>
          </w:divBdr>
        </w:div>
        <w:div w:id="1889762853">
          <w:marLeft w:val="0"/>
          <w:marRight w:val="0"/>
          <w:marTop w:val="0"/>
          <w:marBottom w:val="0"/>
          <w:divBdr>
            <w:top w:val="none" w:sz="0" w:space="0" w:color="auto"/>
            <w:left w:val="none" w:sz="0" w:space="0" w:color="auto"/>
            <w:bottom w:val="none" w:sz="0" w:space="0" w:color="auto"/>
            <w:right w:val="none" w:sz="0" w:space="0" w:color="auto"/>
          </w:divBdr>
        </w:div>
        <w:div w:id="1892039561">
          <w:marLeft w:val="0"/>
          <w:marRight w:val="0"/>
          <w:marTop w:val="0"/>
          <w:marBottom w:val="0"/>
          <w:divBdr>
            <w:top w:val="none" w:sz="0" w:space="0" w:color="auto"/>
            <w:left w:val="none" w:sz="0" w:space="0" w:color="auto"/>
            <w:bottom w:val="none" w:sz="0" w:space="0" w:color="auto"/>
            <w:right w:val="none" w:sz="0" w:space="0" w:color="auto"/>
          </w:divBdr>
        </w:div>
        <w:div w:id="1893422747">
          <w:marLeft w:val="0"/>
          <w:marRight w:val="0"/>
          <w:marTop w:val="0"/>
          <w:marBottom w:val="0"/>
          <w:divBdr>
            <w:top w:val="none" w:sz="0" w:space="0" w:color="auto"/>
            <w:left w:val="none" w:sz="0" w:space="0" w:color="auto"/>
            <w:bottom w:val="none" w:sz="0" w:space="0" w:color="auto"/>
            <w:right w:val="none" w:sz="0" w:space="0" w:color="auto"/>
          </w:divBdr>
        </w:div>
        <w:div w:id="1894853186">
          <w:marLeft w:val="0"/>
          <w:marRight w:val="0"/>
          <w:marTop w:val="0"/>
          <w:marBottom w:val="0"/>
          <w:divBdr>
            <w:top w:val="none" w:sz="0" w:space="0" w:color="auto"/>
            <w:left w:val="none" w:sz="0" w:space="0" w:color="auto"/>
            <w:bottom w:val="none" w:sz="0" w:space="0" w:color="auto"/>
            <w:right w:val="none" w:sz="0" w:space="0" w:color="auto"/>
          </w:divBdr>
        </w:div>
        <w:div w:id="1898515675">
          <w:marLeft w:val="0"/>
          <w:marRight w:val="0"/>
          <w:marTop w:val="0"/>
          <w:marBottom w:val="0"/>
          <w:divBdr>
            <w:top w:val="none" w:sz="0" w:space="0" w:color="auto"/>
            <w:left w:val="none" w:sz="0" w:space="0" w:color="auto"/>
            <w:bottom w:val="none" w:sz="0" w:space="0" w:color="auto"/>
            <w:right w:val="none" w:sz="0" w:space="0" w:color="auto"/>
          </w:divBdr>
        </w:div>
        <w:div w:id="1899512091">
          <w:marLeft w:val="0"/>
          <w:marRight w:val="0"/>
          <w:marTop w:val="0"/>
          <w:marBottom w:val="0"/>
          <w:divBdr>
            <w:top w:val="none" w:sz="0" w:space="0" w:color="auto"/>
            <w:left w:val="none" w:sz="0" w:space="0" w:color="auto"/>
            <w:bottom w:val="none" w:sz="0" w:space="0" w:color="auto"/>
            <w:right w:val="none" w:sz="0" w:space="0" w:color="auto"/>
          </w:divBdr>
        </w:div>
        <w:div w:id="1902524447">
          <w:marLeft w:val="0"/>
          <w:marRight w:val="0"/>
          <w:marTop w:val="0"/>
          <w:marBottom w:val="0"/>
          <w:divBdr>
            <w:top w:val="none" w:sz="0" w:space="0" w:color="auto"/>
            <w:left w:val="none" w:sz="0" w:space="0" w:color="auto"/>
            <w:bottom w:val="none" w:sz="0" w:space="0" w:color="auto"/>
            <w:right w:val="none" w:sz="0" w:space="0" w:color="auto"/>
          </w:divBdr>
        </w:div>
        <w:div w:id="1905143514">
          <w:marLeft w:val="0"/>
          <w:marRight w:val="0"/>
          <w:marTop w:val="0"/>
          <w:marBottom w:val="0"/>
          <w:divBdr>
            <w:top w:val="none" w:sz="0" w:space="0" w:color="auto"/>
            <w:left w:val="none" w:sz="0" w:space="0" w:color="auto"/>
            <w:bottom w:val="none" w:sz="0" w:space="0" w:color="auto"/>
            <w:right w:val="none" w:sz="0" w:space="0" w:color="auto"/>
          </w:divBdr>
        </w:div>
        <w:div w:id="1907953502">
          <w:marLeft w:val="0"/>
          <w:marRight w:val="0"/>
          <w:marTop w:val="0"/>
          <w:marBottom w:val="0"/>
          <w:divBdr>
            <w:top w:val="none" w:sz="0" w:space="0" w:color="auto"/>
            <w:left w:val="none" w:sz="0" w:space="0" w:color="auto"/>
            <w:bottom w:val="none" w:sz="0" w:space="0" w:color="auto"/>
            <w:right w:val="none" w:sz="0" w:space="0" w:color="auto"/>
          </w:divBdr>
        </w:div>
        <w:div w:id="1913077964">
          <w:marLeft w:val="0"/>
          <w:marRight w:val="0"/>
          <w:marTop w:val="0"/>
          <w:marBottom w:val="0"/>
          <w:divBdr>
            <w:top w:val="none" w:sz="0" w:space="0" w:color="auto"/>
            <w:left w:val="none" w:sz="0" w:space="0" w:color="auto"/>
            <w:bottom w:val="none" w:sz="0" w:space="0" w:color="auto"/>
            <w:right w:val="none" w:sz="0" w:space="0" w:color="auto"/>
          </w:divBdr>
        </w:div>
        <w:div w:id="1914389565">
          <w:marLeft w:val="0"/>
          <w:marRight w:val="0"/>
          <w:marTop w:val="0"/>
          <w:marBottom w:val="0"/>
          <w:divBdr>
            <w:top w:val="none" w:sz="0" w:space="0" w:color="auto"/>
            <w:left w:val="none" w:sz="0" w:space="0" w:color="auto"/>
            <w:bottom w:val="none" w:sz="0" w:space="0" w:color="auto"/>
            <w:right w:val="none" w:sz="0" w:space="0" w:color="auto"/>
          </w:divBdr>
        </w:div>
        <w:div w:id="1916158244">
          <w:marLeft w:val="0"/>
          <w:marRight w:val="0"/>
          <w:marTop w:val="0"/>
          <w:marBottom w:val="0"/>
          <w:divBdr>
            <w:top w:val="none" w:sz="0" w:space="0" w:color="auto"/>
            <w:left w:val="none" w:sz="0" w:space="0" w:color="auto"/>
            <w:bottom w:val="none" w:sz="0" w:space="0" w:color="auto"/>
            <w:right w:val="none" w:sz="0" w:space="0" w:color="auto"/>
          </w:divBdr>
        </w:div>
        <w:div w:id="1916276311">
          <w:marLeft w:val="0"/>
          <w:marRight w:val="0"/>
          <w:marTop w:val="0"/>
          <w:marBottom w:val="0"/>
          <w:divBdr>
            <w:top w:val="none" w:sz="0" w:space="0" w:color="auto"/>
            <w:left w:val="none" w:sz="0" w:space="0" w:color="auto"/>
            <w:bottom w:val="none" w:sz="0" w:space="0" w:color="auto"/>
            <w:right w:val="none" w:sz="0" w:space="0" w:color="auto"/>
          </w:divBdr>
        </w:div>
        <w:div w:id="1918855789">
          <w:marLeft w:val="0"/>
          <w:marRight w:val="0"/>
          <w:marTop w:val="0"/>
          <w:marBottom w:val="0"/>
          <w:divBdr>
            <w:top w:val="none" w:sz="0" w:space="0" w:color="auto"/>
            <w:left w:val="none" w:sz="0" w:space="0" w:color="auto"/>
            <w:bottom w:val="none" w:sz="0" w:space="0" w:color="auto"/>
            <w:right w:val="none" w:sz="0" w:space="0" w:color="auto"/>
          </w:divBdr>
        </w:div>
        <w:div w:id="1924990700">
          <w:marLeft w:val="0"/>
          <w:marRight w:val="0"/>
          <w:marTop w:val="0"/>
          <w:marBottom w:val="0"/>
          <w:divBdr>
            <w:top w:val="none" w:sz="0" w:space="0" w:color="auto"/>
            <w:left w:val="none" w:sz="0" w:space="0" w:color="auto"/>
            <w:bottom w:val="none" w:sz="0" w:space="0" w:color="auto"/>
            <w:right w:val="none" w:sz="0" w:space="0" w:color="auto"/>
          </w:divBdr>
        </w:div>
        <w:div w:id="1929315182">
          <w:marLeft w:val="0"/>
          <w:marRight w:val="0"/>
          <w:marTop w:val="0"/>
          <w:marBottom w:val="0"/>
          <w:divBdr>
            <w:top w:val="none" w:sz="0" w:space="0" w:color="auto"/>
            <w:left w:val="none" w:sz="0" w:space="0" w:color="auto"/>
            <w:bottom w:val="none" w:sz="0" w:space="0" w:color="auto"/>
            <w:right w:val="none" w:sz="0" w:space="0" w:color="auto"/>
          </w:divBdr>
        </w:div>
        <w:div w:id="1929456815">
          <w:marLeft w:val="0"/>
          <w:marRight w:val="0"/>
          <w:marTop w:val="0"/>
          <w:marBottom w:val="0"/>
          <w:divBdr>
            <w:top w:val="none" w:sz="0" w:space="0" w:color="auto"/>
            <w:left w:val="none" w:sz="0" w:space="0" w:color="auto"/>
            <w:bottom w:val="none" w:sz="0" w:space="0" w:color="auto"/>
            <w:right w:val="none" w:sz="0" w:space="0" w:color="auto"/>
          </w:divBdr>
        </w:div>
        <w:div w:id="1929533617">
          <w:marLeft w:val="0"/>
          <w:marRight w:val="0"/>
          <w:marTop w:val="0"/>
          <w:marBottom w:val="0"/>
          <w:divBdr>
            <w:top w:val="none" w:sz="0" w:space="0" w:color="auto"/>
            <w:left w:val="none" w:sz="0" w:space="0" w:color="auto"/>
            <w:bottom w:val="none" w:sz="0" w:space="0" w:color="auto"/>
            <w:right w:val="none" w:sz="0" w:space="0" w:color="auto"/>
          </w:divBdr>
        </w:div>
        <w:div w:id="1929921824">
          <w:marLeft w:val="0"/>
          <w:marRight w:val="0"/>
          <w:marTop w:val="0"/>
          <w:marBottom w:val="0"/>
          <w:divBdr>
            <w:top w:val="none" w:sz="0" w:space="0" w:color="auto"/>
            <w:left w:val="none" w:sz="0" w:space="0" w:color="auto"/>
            <w:bottom w:val="none" w:sz="0" w:space="0" w:color="auto"/>
            <w:right w:val="none" w:sz="0" w:space="0" w:color="auto"/>
          </w:divBdr>
        </w:div>
        <w:div w:id="1933659205">
          <w:marLeft w:val="0"/>
          <w:marRight w:val="0"/>
          <w:marTop w:val="0"/>
          <w:marBottom w:val="0"/>
          <w:divBdr>
            <w:top w:val="none" w:sz="0" w:space="0" w:color="auto"/>
            <w:left w:val="none" w:sz="0" w:space="0" w:color="auto"/>
            <w:bottom w:val="none" w:sz="0" w:space="0" w:color="auto"/>
            <w:right w:val="none" w:sz="0" w:space="0" w:color="auto"/>
          </w:divBdr>
        </w:div>
        <w:div w:id="1939947678">
          <w:marLeft w:val="0"/>
          <w:marRight w:val="0"/>
          <w:marTop w:val="0"/>
          <w:marBottom w:val="0"/>
          <w:divBdr>
            <w:top w:val="none" w:sz="0" w:space="0" w:color="auto"/>
            <w:left w:val="none" w:sz="0" w:space="0" w:color="auto"/>
            <w:bottom w:val="none" w:sz="0" w:space="0" w:color="auto"/>
            <w:right w:val="none" w:sz="0" w:space="0" w:color="auto"/>
          </w:divBdr>
        </w:div>
        <w:div w:id="1942688809">
          <w:marLeft w:val="0"/>
          <w:marRight w:val="0"/>
          <w:marTop w:val="0"/>
          <w:marBottom w:val="0"/>
          <w:divBdr>
            <w:top w:val="none" w:sz="0" w:space="0" w:color="auto"/>
            <w:left w:val="none" w:sz="0" w:space="0" w:color="auto"/>
            <w:bottom w:val="none" w:sz="0" w:space="0" w:color="auto"/>
            <w:right w:val="none" w:sz="0" w:space="0" w:color="auto"/>
          </w:divBdr>
        </w:div>
        <w:div w:id="1947544941">
          <w:marLeft w:val="0"/>
          <w:marRight w:val="0"/>
          <w:marTop w:val="0"/>
          <w:marBottom w:val="0"/>
          <w:divBdr>
            <w:top w:val="none" w:sz="0" w:space="0" w:color="auto"/>
            <w:left w:val="none" w:sz="0" w:space="0" w:color="auto"/>
            <w:bottom w:val="none" w:sz="0" w:space="0" w:color="auto"/>
            <w:right w:val="none" w:sz="0" w:space="0" w:color="auto"/>
          </w:divBdr>
        </w:div>
        <w:div w:id="1952398130">
          <w:marLeft w:val="0"/>
          <w:marRight w:val="0"/>
          <w:marTop w:val="0"/>
          <w:marBottom w:val="0"/>
          <w:divBdr>
            <w:top w:val="none" w:sz="0" w:space="0" w:color="auto"/>
            <w:left w:val="none" w:sz="0" w:space="0" w:color="auto"/>
            <w:bottom w:val="none" w:sz="0" w:space="0" w:color="auto"/>
            <w:right w:val="none" w:sz="0" w:space="0" w:color="auto"/>
          </w:divBdr>
        </w:div>
        <w:div w:id="1959217611">
          <w:marLeft w:val="0"/>
          <w:marRight w:val="0"/>
          <w:marTop w:val="0"/>
          <w:marBottom w:val="0"/>
          <w:divBdr>
            <w:top w:val="none" w:sz="0" w:space="0" w:color="auto"/>
            <w:left w:val="none" w:sz="0" w:space="0" w:color="auto"/>
            <w:bottom w:val="none" w:sz="0" w:space="0" w:color="auto"/>
            <w:right w:val="none" w:sz="0" w:space="0" w:color="auto"/>
          </w:divBdr>
        </w:div>
        <w:div w:id="1959601884">
          <w:marLeft w:val="0"/>
          <w:marRight w:val="0"/>
          <w:marTop w:val="0"/>
          <w:marBottom w:val="0"/>
          <w:divBdr>
            <w:top w:val="none" w:sz="0" w:space="0" w:color="auto"/>
            <w:left w:val="none" w:sz="0" w:space="0" w:color="auto"/>
            <w:bottom w:val="none" w:sz="0" w:space="0" w:color="auto"/>
            <w:right w:val="none" w:sz="0" w:space="0" w:color="auto"/>
          </w:divBdr>
        </w:div>
        <w:div w:id="1959946659">
          <w:marLeft w:val="0"/>
          <w:marRight w:val="0"/>
          <w:marTop w:val="0"/>
          <w:marBottom w:val="0"/>
          <w:divBdr>
            <w:top w:val="none" w:sz="0" w:space="0" w:color="auto"/>
            <w:left w:val="none" w:sz="0" w:space="0" w:color="auto"/>
            <w:bottom w:val="none" w:sz="0" w:space="0" w:color="auto"/>
            <w:right w:val="none" w:sz="0" w:space="0" w:color="auto"/>
          </w:divBdr>
        </w:div>
        <w:div w:id="1960332880">
          <w:marLeft w:val="0"/>
          <w:marRight w:val="0"/>
          <w:marTop w:val="0"/>
          <w:marBottom w:val="0"/>
          <w:divBdr>
            <w:top w:val="none" w:sz="0" w:space="0" w:color="auto"/>
            <w:left w:val="none" w:sz="0" w:space="0" w:color="auto"/>
            <w:bottom w:val="none" w:sz="0" w:space="0" w:color="auto"/>
            <w:right w:val="none" w:sz="0" w:space="0" w:color="auto"/>
          </w:divBdr>
        </w:div>
        <w:div w:id="1965308977">
          <w:marLeft w:val="0"/>
          <w:marRight w:val="0"/>
          <w:marTop w:val="0"/>
          <w:marBottom w:val="0"/>
          <w:divBdr>
            <w:top w:val="none" w:sz="0" w:space="0" w:color="auto"/>
            <w:left w:val="none" w:sz="0" w:space="0" w:color="auto"/>
            <w:bottom w:val="none" w:sz="0" w:space="0" w:color="auto"/>
            <w:right w:val="none" w:sz="0" w:space="0" w:color="auto"/>
          </w:divBdr>
        </w:div>
        <w:div w:id="1967931691">
          <w:marLeft w:val="0"/>
          <w:marRight w:val="0"/>
          <w:marTop w:val="0"/>
          <w:marBottom w:val="0"/>
          <w:divBdr>
            <w:top w:val="none" w:sz="0" w:space="0" w:color="auto"/>
            <w:left w:val="none" w:sz="0" w:space="0" w:color="auto"/>
            <w:bottom w:val="none" w:sz="0" w:space="0" w:color="auto"/>
            <w:right w:val="none" w:sz="0" w:space="0" w:color="auto"/>
          </w:divBdr>
        </w:div>
        <w:div w:id="1970014087">
          <w:marLeft w:val="0"/>
          <w:marRight w:val="0"/>
          <w:marTop w:val="0"/>
          <w:marBottom w:val="0"/>
          <w:divBdr>
            <w:top w:val="none" w:sz="0" w:space="0" w:color="auto"/>
            <w:left w:val="none" w:sz="0" w:space="0" w:color="auto"/>
            <w:bottom w:val="none" w:sz="0" w:space="0" w:color="auto"/>
            <w:right w:val="none" w:sz="0" w:space="0" w:color="auto"/>
          </w:divBdr>
        </w:div>
        <w:div w:id="1970818437">
          <w:marLeft w:val="0"/>
          <w:marRight w:val="0"/>
          <w:marTop w:val="0"/>
          <w:marBottom w:val="0"/>
          <w:divBdr>
            <w:top w:val="none" w:sz="0" w:space="0" w:color="auto"/>
            <w:left w:val="none" w:sz="0" w:space="0" w:color="auto"/>
            <w:bottom w:val="none" w:sz="0" w:space="0" w:color="auto"/>
            <w:right w:val="none" w:sz="0" w:space="0" w:color="auto"/>
          </w:divBdr>
        </w:div>
        <w:div w:id="1971549482">
          <w:marLeft w:val="0"/>
          <w:marRight w:val="0"/>
          <w:marTop w:val="0"/>
          <w:marBottom w:val="0"/>
          <w:divBdr>
            <w:top w:val="none" w:sz="0" w:space="0" w:color="auto"/>
            <w:left w:val="none" w:sz="0" w:space="0" w:color="auto"/>
            <w:bottom w:val="none" w:sz="0" w:space="0" w:color="auto"/>
            <w:right w:val="none" w:sz="0" w:space="0" w:color="auto"/>
          </w:divBdr>
        </w:div>
        <w:div w:id="1972437926">
          <w:marLeft w:val="0"/>
          <w:marRight w:val="0"/>
          <w:marTop w:val="0"/>
          <w:marBottom w:val="0"/>
          <w:divBdr>
            <w:top w:val="none" w:sz="0" w:space="0" w:color="auto"/>
            <w:left w:val="none" w:sz="0" w:space="0" w:color="auto"/>
            <w:bottom w:val="none" w:sz="0" w:space="0" w:color="auto"/>
            <w:right w:val="none" w:sz="0" w:space="0" w:color="auto"/>
          </w:divBdr>
        </w:div>
        <w:div w:id="1976133321">
          <w:marLeft w:val="0"/>
          <w:marRight w:val="0"/>
          <w:marTop w:val="0"/>
          <w:marBottom w:val="0"/>
          <w:divBdr>
            <w:top w:val="none" w:sz="0" w:space="0" w:color="auto"/>
            <w:left w:val="none" w:sz="0" w:space="0" w:color="auto"/>
            <w:bottom w:val="none" w:sz="0" w:space="0" w:color="auto"/>
            <w:right w:val="none" w:sz="0" w:space="0" w:color="auto"/>
          </w:divBdr>
        </w:div>
        <w:div w:id="1976182072">
          <w:marLeft w:val="0"/>
          <w:marRight w:val="0"/>
          <w:marTop w:val="0"/>
          <w:marBottom w:val="0"/>
          <w:divBdr>
            <w:top w:val="none" w:sz="0" w:space="0" w:color="auto"/>
            <w:left w:val="none" w:sz="0" w:space="0" w:color="auto"/>
            <w:bottom w:val="none" w:sz="0" w:space="0" w:color="auto"/>
            <w:right w:val="none" w:sz="0" w:space="0" w:color="auto"/>
          </w:divBdr>
        </w:div>
        <w:div w:id="1978533530">
          <w:marLeft w:val="0"/>
          <w:marRight w:val="0"/>
          <w:marTop w:val="0"/>
          <w:marBottom w:val="0"/>
          <w:divBdr>
            <w:top w:val="none" w:sz="0" w:space="0" w:color="auto"/>
            <w:left w:val="none" w:sz="0" w:space="0" w:color="auto"/>
            <w:bottom w:val="none" w:sz="0" w:space="0" w:color="auto"/>
            <w:right w:val="none" w:sz="0" w:space="0" w:color="auto"/>
          </w:divBdr>
        </w:div>
        <w:div w:id="1979921067">
          <w:marLeft w:val="0"/>
          <w:marRight w:val="0"/>
          <w:marTop w:val="0"/>
          <w:marBottom w:val="0"/>
          <w:divBdr>
            <w:top w:val="none" w:sz="0" w:space="0" w:color="auto"/>
            <w:left w:val="none" w:sz="0" w:space="0" w:color="auto"/>
            <w:bottom w:val="none" w:sz="0" w:space="0" w:color="auto"/>
            <w:right w:val="none" w:sz="0" w:space="0" w:color="auto"/>
          </w:divBdr>
        </w:div>
        <w:div w:id="1982492718">
          <w:marLeft w:val="0"/>
          <w:marRight w:val="0"/>
          <w:marTop w:val="0"/>
          <w:marBottom w:val="0"/>
          <w:divBdr>
            <w:top w:val="none" w:sz="0" w:space="0" w:color="auto"/>
            <w:left w:val="none" w:sz="0" w:space="0" w:color="auto"/>
            <w:bottom w:val="none" w:sz="0" w:space="0" w:color="auto"/>
            <w:right w:val="none" w:sz="0" w:space="0" w:color="auto"/>
          </w:divBdr>
        </w:div>
        <w:div w:id="1991131187">
          <w:marLeft w:val="0"/>
          <w:marRight w:val="0"/>
          <w:marTop w:val="0"/>
          <w:marBottom w:val="0"/>
          <w:divBdr>
            <w:top w:val="none" w:sz="0" w:space="0" w:color="auto"/>
            <w:left w:val="none" w:sz="0" w:space="0" w:color="auto"/>
            <w:bottom w:val="none" w:sz="0" w:space="0" w:color="auto"/>
            <w:right w:val="none" w:sz="0" w:space="0" w:color="auto"/>
          </w:divBdr>
        </w:div>
        <w:div w:id="1996951513">
          <w:marLeft w:val="0"/>
          <w:marRight w:val="0"/>
          <w:marTop w:val="0"/>
          <w:marBottom w:val="0"/>
          <w:divBdr>
            <w:top w:val="none" w:sz="0" w:space="0" w:color="auto"/>
            <w:left w:val="none" w:sz="0" w:space="0" w:color="auto"/>
            <w:bottom w:val="none" w:sz="0" w:space="0" w:color="auto"/>
            <w:right w:val="none" w:sz="0" w:space="0" w:color="auto"/>
          </w:divBdr>
        </w:div>
        <w:div w:id="1997026796">
          <w:marLeft w:val="0"/>
          <w:marRight w:val="0"/>
          <w:marTop w:val="0"/>
          <w:marBottom w:val="0"/>
          <w:divBdr>
            <w:top w:val="none" w:sz="0" w:space="0" w:color="auto"/>
            <w:left w:val="none" w:sz="0" w:space="0" w:color="auto"/>
            <w:bottom w:val="none" w:sz="0" w:space="0" w:color="auto"/>
            <w:right w:val="none" w:sz="0" w:space="0" w:color="auto"/>
          </w:divBdr>
        </w:div>
        <w:div w:id="1997030246">
          <w:marLeft w:val="0"/>
          <w:marRight w:val="0"/>
          <w:marTop w:val="0"/>
          <w:marBottom w:val="0"/>
          <w:divBdr>
            <w:top w:val="none" w:sz="0" w:space="0" w:color="auto"/>
            <w:left w:val="none" w:sz="0" w:space="0" w:color="auto"/>
            <w:bottom w:val="none" w:sz="0" w:space="0" w:color="auto"/>
            <w:right w:val="none" w:sz="0" w:space="0" w:color="auto"/>
          </w:divBdr>
        </w:div>
        <w:div w:id="1997757631">
          <w:marLeft w:val="0"/>
          <w:marRight w:val="0"/>
          <w:marTop w:val="0"/>
          <w:marBottom w:val="0"/>
          <w:divBdr>
            <w:top w:val="none" w:sz="0" w:space="0" w:color="auto"/>
            <w:left w:val="none" w:sz="0" w:space="0" w:color="auto"/>
            <w:bottom w:val="none" w:sz="0" w:space="0" w:color="auto"/>
            <w:right w:val="none" w:sz="0" w:space="0" w:color="auto"/>
          </w:divBdr>
        </w:div>
        <w:div w:id="1999070225">
          <w:marLeft w:val="0"/>
          <w:marRight w:val="0"/>
          <w:marTop w:val="0"/>
          <w:marBottom w:val="0"/>
          <w:divBdr>
            <w:top w:val="none" w:sz="0" w:space="0" w:color="auto"/>
            <w:left w:val="none" w:sz="0" w:space="0" w:color="auto"/>
            <w:bottom w:val="none" w:sz="0" w:space="0" w:color="auto"/>
            <w:right w:val="none" w:sz="0" w:space="0" w:color="auto"/>
          </w:divBdr>
        </w:div>
        <w:div w:id="2000188857">
          <w:marLeft w:val="0"/>
          <w:marRight w:val="0"/>
          <w:marTop w:val="0"/>
          <w:marBottom w:val="0"/>
          <w:divBdr>
            <w:top w:val="none" w:sz="0" w:space="0" w:color="auto"/>
            <w:left w:val="none" w:sz="0" w:space="0" w:color="auto"/>
            <w:bottom w:val="none" w:sz="0" w:space="0" w:color="auto"/>
            <w:right w:val="none" w:sz="0" w:space="0" w:color="auto"/>
          </w:divBdr>
        </w:div>
        <w:div w:id="2009559580">
          <w:marLeft w:val="0"/>
          <w:marRight w:val="0"/>
          <w:marTop w:val="0"/>
          <w:marBottom w:val="0"/>
          <w:divBdr>
            <w:top w:val="none" w:sz="0" w:space="0" w:color="auto"/>
            <w:left w:val="none" w:sz="0" w:space="0" w:color="auto"/>
            <w:bottom w:val="none" w:sz="0" w:space="0" w:color="auto"/>
            <w:right w:val="none" w:sz="0" w:space="0" w:color="auto"/>
          </w:divBdr>
        </w:div>
        <w:div w:id="2011833496">
          <w:marLeft w:val="0"/>
          <w:marRight w:val="0"/>
          <w:marTop w:val="0"/>
          <w:marBottom w:val="0"/>
          <w:divBdr>
            <w:top w:val="none" w:sz="0" w:space="0" w:color="auto"/>
            <w:left w:val="none" w:sz="0" w:space="0" w:color="auto"/>
            <w:bottom w:val="none" w:sz="0" w:space="0" w:color="auto"/>
            <w:right w:val="none" w:sz="0" w:space="0" w:color="auto"/>
          </w:divBdr>
        </w:div>
        <w:div w:id="2011984815">
          <w:marLeft w:val="0"/>
          <w:marRight w:val="0"/>
          <w:marTop w:val="0"/>
          <w:marBottom w:val="0"/>
          <w:divBdr>
            <w:top w:val="none" w:sz="0" w:space="0" w:color="auto"/>
            <w:left w:val="none" w:sz="0" w:space="0" w:color="auto"/>
            <w:bottom w:val="none" w:sz="0" w:space="0" w:color="auto"/>
            <w:right w:val="none" w:sz="0" w:space="0" w:color="auto"/>
          </w:divBdr>
        </w:div>
        <w:div w:id="2018267752">
          <w:marLeft w:val="0"/>
          <w:marRight w:val="0"/>
          <w:marTop w:val="0"/>
          <w:marBottom w:val="0"/>
          <w:divBdr>
            <w:top w:val="none" w:sz="0" w:space="0" w:color="auto"/>
            <w:left w:val="none" w:sz="0" w:space="0" w:color="auto"/>
            <w:bottom w:val="none" w:sz="0" w:space="0" w:color="auto"/>
            <w:right w:val="none" w:sz="0" w:space="0" w:color="auto"/>
          </w:divBdr>
        </w:div>
        <w:div w:id="2022507351">
          <w:marLeft w:val="0"/>
          <w:marRight w:val="0"/>
          <w:marTop w:val="0"/>
          <w:marBottom w:val="0"/>
          <w:divBdr>
            <w:top w:val="none" w:sz="0" w:space="0" w:color="auto"/>
            <w:left w:val="none" w:sz="0" w:space="0" w:color="auto"/>
            <w:bottom w:val="none" w:sz="0" w:space="0" w:color="auto"/>
            <w:right w:val="none" w:sz="0" w:space="0" w:color="auto"/>
          </w:divBdr>
        </w:div>
        <w:div w:id="2025479432">
          <w:marLeft w:val="0"/>
          <w:marRight w:val="0"/>
          <w:marTop w:val="0"/>
          <w:marBottom w:val="0"/>
          <w:divBdr>
            <w:top w:val="none" w:sz="0" w:space="0" w:color="auto"/>
            <w:left w:val="none" w:sz="0" w:space="0" w:color="auto"/>
            <w:bottom w:val="none" w:sz="0" w:space="0" w:color="auto"/>
            <w:right w:val="none" w:sz="0" w:space="0" w:color="auto"/>
          </w:divBdr>
        </w:div>
        <w:div w:id="2025744340">
          <w:marLeft w:val="0"/>
          <w:marRight w:val="0"/>
          <w:marTop w:val="0"/>
          <w:marBottom w:val="0"/>
          <w:divBdr>
            <w:top w:val="none" w:sz="0" w:space="0" w:color="auto"/>
            <w:left w:val="none" w:sz="0" w:space="0" w:color="auto"/>
            <w:bottom w:val="none" w:sz="0" w:space="0" w:color="auto"/>
            <w:right w:val="none" w:sz="0" w:space="0" w:color="auto"/>
          </w:divBdr>
        </w:div>
        <w:div w:id="2027553720">
          <w:marLeft w:val="0"/>
          <w:marRight w:val="0"/>
          <w:marTop w:val="0"/>
          <w:marBottom w:val="0"/>
          <w:divBdr>
            <w:top w:val="none" w:sz="0" w:space="0" w:color="auto"/>
            <w:left w:val="none" w:sz="0" w:space="0" w:color="auto"/>
            <w:bottom w:val="none" w:sz="0" w:space="0" w:color="auto"/>
            <w:right w:val="none" w:sz="0" w:space="0" w:color="auto"/>
          </w:divBdr>
        </w:div>
        <w:div w:id="2033067834">
          <w:marLeft w:val="0"/>
          <w:marRight w:val="0"/>
          <w:marTop w:val="0"/>
          <w:marBottom w:val="0"/>
          <w:divBdr>
            <w:top w:val="none" w:sz="0" w:space="0" w:color="auto"/>
            <w:left w:val="none" w:sz="0" w:space="0" w:color="auto"/>
            <w:bottom w:val="none" w:sz="0" w:space="0" w:color="auto"/>
            <w:right w:val="none" w:sz="0" w:space="0" w:color="auto"/>
          </w:divBdr>
        </w:div>
        <w:div w:id="2034182710">
          <w:marLeft w:val="0"/>
          <w:marRight w:val="0"/>
          <w:marTop w:val="0"/>
          <w:marBottom w:val="0"/>
          <w:divBdr>
            <w:top w:val="none" w:sz="0" w:space="0" w:color="auto"/>
            <w:left w:val="none" w:sz="0" w:space="0" w:color="auto"/>
            <w:bottom w:val="none" w:sz="0" w:space="0" w:color="auto"/>
            <w:right w:val="none" w:sz="0" w:space="0" w:color="auto"/>
          </w:divBdr>
        </w:div>
        <w:div w:id="2038504228">
          <w:marLeft w:val="0"/>
          <w:marRight w:val="0"/>
          <w:marTop w:val="0"/>
          <w:marBottom w:val="0"/>
          <w:divBdr>
            <w:top w:val="none" w:sz="0" w:space="0" w:color="auto"/>
            <w:left w:val="none" w:sz="0" w:space="0" w:color="auto"/>
            <w:bottom w:val="none" w:sz="0" w:space="0" w:color="auto"/>
            <w:right w:val="none" w:sz="0" w:space="0" w:color="auto"/>
          </w:divBdr>
        </w:div>
        <w:div w:id="2040618393">
          <w:marLeft w:val="0"/>
          <w:marRight w:val="0"/>
          <w:marTop w:val="0"/>
          <w:marBottom w:val="0"/>
          <w:divBdr>
            <w:top w:val="none" w:sz="0" w:space="0" w:color="auto"/>
            <w:left w:val="none" w:sz="0" w:space="0" w:color="auto"/>
            <w:bottom w:val="none" w:sz="0" w:space="0" w:color="auto"/>
            <w:right w:val="none" w:sz="0" w:space="0" w:color="auto"/>
          </w:divBdr>
        </w:div>
        <w:div w:id="2041734226">
          <w:marLeft w:val="0"/>
          <w:marRight w:val="0"/>
          <w:marTop w:val="0"/>
          <w:marBottom w:val="0"/>
          <w:divBdr>
            <w:top w:val="none" w:sz="0" w:space="0" w:color="auto"/>
            <w:left w:val="none" w:sz="0" w:space="0" w:color="auto"/>
            <w:bottom w:val="none" w:sz="0" w:space="0" w:color="auto"/>
            <w:right w:val="none" w:sz="0" w:space="0" w:color="auto"/>
          </w:divBdr>
        </w:div>
        <w:div w:id="2047095412">
          <w:marLeft w:val="0"/>
          <w:marRight w:val="0"/>
          <w:marTop w:val="0"/>
          <w:marBottom w:val="0"/>
          <w:divBdr>
            <w:top w:val="none" w:sz="0" w:space="0" w:color="auto"/>
            <w:left w:val="none" w:sz="0" w:space="0" w:color="auto"/>
            <w:bottom w:val="none" w:sz="0" w:space="0" w:color="auto"/>
            <w:right w:val="none" w:sz="0" w:space="0" w:color="auto"/>
          </w:divBdr>
        </w:div>
        <w:div w:id="2056659684">
          <w:marLeft w:val="0"/>
          <w:marRight w:val="0"/>
          <w:marTop w:val="0"/>
          <w:marBottom w:val="0"/>
          <w:divBdr>
            <w:top w:val="none" w:sz="0" w:space="0" w:color="auto"/>
            <w:left w:val="none" w:sz="0" w:space="0" w:color="auto"/>
            <w:bottom w:val="none" w:sz="0" w:space="0" w:color="auto"/>
            <w:right w:val="none" w:sz="0" w:space="0" w:color="auto"/>
          </w:divBdr>
        </w:div>
        <w:div w:id="2057586941">
          <w:marLeft w:val="0"/>
          <w:marRight w:val="0"/>
          <w:marTop w:val="0"/>
          <w:marBottom w:val="0"/>
          <w:divBdr>
            <w:top w:val="none" w:sz="0" w:space="0" w:color="auto"/>
            <w:left w:val="none" w:sz="0" w:space="0" w:color="auto"/>
            <w:bottom w:val="none" w:sz="0" w:space="0" w:color="auto"/>
            <w:right w:val="none" w:sz="0" w:space="0" w:color="auto"/>
          </w:divBdr>
        </w:div>
        <w:div w:id="2058159931">
          <w:marLeft w:val="0"/>
          <w:marRight w:val="0"/>
          <w:marTop w:val="0"/>
          <w:marBottom w:val="0"/>
          <w:divBdr>
            <w:top w:val="none" w:sz="0" w:space="0" w:color="auto"/>
            <w:left w:val="none" w:sz="0" w:space="0" w:color="auto"/>
            <w:bottom w:val="none" w:sz="0" w:space="0" w:color="auto"/>
            <w:right w:val="none" w:sz="0" w:space="0" w:color="auto"/>
          </w:divBdr>
        </w:div>
        <w:div w:id="2060202058">
          <w:marLeft w:val="0"/>
          <w:marRight w:val="0"/>
          <w:marTop w:val="0"/>
          <w:marBottom w:val="0"/>
          <w:divBdr>
            <w:top w:val="none" w:sz="0" w:space="0" w:color="auto"/>
            <w:left w:val="none" w:sz="0" w:space="0" w:color="auto"/>
            <w:bottom w:val="none" w:sz="0" w:space="0" w:color="auto"/>
            <w:right w:val="none" w:sz="0" w:space="0" w:color="auto"/>
          </w:divBdr>
        </w:div>
        <w:div w:id="2063559490">
          <w:marLeft w:val="0"/>
          <w:marRight w:val="0"/>
          <w:marTop w:val="0"/>
          <w:marBottom w:val="0"/>
          <w:divBdr>
            <w:top w:val="none" w:sz="0" w:space="0" w:color="auto"/>
            <w:left w:val="none" w:sz="0" w:space="0" w:color="auto"/>
            <w:bottom w:val="none" w:sz="0" w:space="0" w:color="auto"/>
            <w:right w:val="none" w:sz="0" w:space="0" w:color="auto"/>
          </w:divBdr>
        </w:div>
        <w:div w:id="2067601530">
          <w:marLeft w:val="0"/>
          <w:marRight w:val="0"/>
          <w:marTop w:val="0"/>
          <w:marBottom w:val="0"/>
          <w:divBdr>
            <w:top w:val="none" w:sz="0" w:space="0" w:color="auto"/>
            <w:left w:val="none" w:sz="0" w:space="0" w:color="auto"/>
            <w:bottom w:val="none" w:sz="0" w:space="0" w:color="auto"/>
            <w:right w:val="none" w:sz="0" w:space="0" w:color="auto"/>
          </w:divBdr>
        </w:div>
        <w:div w:id="2071804194">
          <w:marLeft w:val="0"/>
          <w:marRight w:val="0"/>
          <w:marTop w:val="0"/>
          <w:marBottom w:val="0"/>
          <w:divBdr>
            <w:top w:val="none" w:sz="0" w:space="0" w:color="auto"/>
            <w:left w:val="none" w:sz="0" w:space="0" w:color="auto"/>
            <w:bottom w:val="none" w:sz="0" w:space="0" w:color="auto"/>
            <w:right w:val="none" w:sz="0" w:space="0" w:color="auto"/>
          </w:divBdr>
        </w:div>
        <w:div w:id="2075078847">
          <w:marLeft w:val="0"/>
          <w:marRight w:val="0"/>
          <w:marTop w:val="0"/>
          <w:marBottom w:val="0"/>
          <w:divBdr>
            <w:top w:val="none" w:sz="0" w:space="0" w:color="auto"/>
            <w:left w:val="none" w:sz="0" w:space="0" w:color="auto"/>
            <w:bottom w:val="none" w:sz="0" w:space="0" w:color="auto"/>
            <w:right w:val="none" w:sz="0" w:space="0" w:color="auto"/>
          </w:divBdr>
        </w:div>
        <w:div w:id="2083984755">
          <w:marLeft w:val="0"/>
          <w:marRight w:val="0"/>
          <w:marTop w:val="0"/>
          <w:marBottom w:val="0"/>
          <w:divBdr>
            <w:top w:val="none" w:sz="0" w:space="0" w:color="auto"/>
            <w:left w:val="none" w:sz="0" w:space="0" w:color="auto"/>
            <w:bottom w:val="none" w:sz="0" w:space="0" w:color="auto"/>
            <w:right w:val="none" w:sz="0" w:space="0" w:color="auto"/>
          </w:divBdr>
        </w:div>
        <w:div w:id="2086805510">
          <w:marLeft w:val="0"/>
          <w:marRight w:val="0"/>
          <w:marTop w:val="0"/>
          <w:marBottom w:val="0"/>
          <w:divBdr>
            <w:top w:val="none" w:sz="0" w:space="0" w:color="auto"/>
            <w:left w:val="none" w:sz="0" w:space="0" w:color="auto"/>
            <w:bottom w:val="none" w:sz="0" w:space="0" w:color="auto"/>
            <w:right w:val="none" w:sz="0" w:space="0" w:color="auto"/>
          </w:divBdr>
        </w:div>
        <w:div w:id="2089185073">
          <w:marLeft w:val="0"/>
          <w:marRight w:val="0"/>
          <w:marTop w:val="0"/>
          <w:marBottom w:val="0"/>
          <w:divBdr>
            <w:top w:val="none" w:sz="0" w:space="0" w:color="auto"/>
            <w:left w:val="none" w:sz="0" w:space="0" w:color="auto"/>
            <w:bottom w:val="none" w:sz="0" w:space="0" w:color="auto"/>
            <w:right w:val="none" w:sz="0" w:space="0" w:color="auto"/>
          </w:divBdr>
        </w:div>
        <w:div w:id="2099207847">
          <w:marLeft w:val="0"/>
          <w:marRight w:val="0"/>
          <w:marTop w:val="0"/>
          <w:marBottom w:val="0"/>
          <w:divBdr>
            <w:top w:val="none" w:sz="0" w:space="0" w:color="auto"/>
            <w:left w:val="none" w:sz="0" w:space="0" w:color="auto"/>
            <w:bottom w:val="none" w:sz="0" w:space="0" w:color="auto"/>
            <w:right w:val="none" w:sz="0" w:space="0" w:color="auto"/>
          </w:divBdr>
        </w:div>
        <w:div w:id="2103797460">
          <w:marLeft w:val="0"/>
          <w:marRight w:val="0"/>
          <w:marTop w:val="0"/>
          <w:marBottom w:val="0"/>
          <w:divBdr>
            <w:top w:val="none" w:sz="0" w:space="0" w:color="auto"/>
            <w:left w:val="none" w:sz="0" w:space="0" w:color="auto"/>
            <w:bottom w:val="none" w:sz="0" w:space="0" w:color="auto"/>
            <w:right w:val="none" w:sz="0" w:space="0" w:color="auto"/>
          </w:divBdr>
        </w:div>
        <w:div w:id="2108885207">
          <w:marLeft w:val="0"/>
          <w:marRight w:val="0"/>
          <w:marTop w:val="0"/>
          <w:marBottom w:val="0"/>
          <w:divBdr>
            <w:top w:val="none" w:sz="0" w:space="0" w:color="auto"/>
            <w:left w:val="none" w:sz="0" w:space="0" w:color="auto"/>
            <w:bottom w:val="none" w:sz="0" w:space="0" w:color="auto"/>
            <w:right w:val="none" w:sz="0" w:space="0" w:color="auto"/>
          </w:divBdr>
        </w:div>
        <w:div w:id="2113240575">
          <w:marLeft w:val="0"/>
          <w:marRight w:val="0"/>
          <w:marTop w:val="0"/>
          <w:marBottom w:val="0"/>
          <w:divBdr>
            <w:top w:val="none" w:sz="0" w:space="0" w:color="auto"/>
            <w:left w:val="none" w:sz="0" w:space="0" w:color="auto"/>
            <w:bottom w:val="none" w:sz="0" w:space="0" w:color="auto"/>
            <w:right w:val="none" w:sz="0" w:space="0" w:color="auto"/>
          </w:divBdr>
        </w:div>
        <w:div w:id="2113889318">
          <w:marLeft w:val="0"/>
          <w:marRight w:val="0"/>
          <w:marTop w:val="0"/>
          <w:marBottom w:val="0"/>
          <w:divBdr>
            <w:top w:val="none" w:sz="0" w:space="0" w:color="auto"/>
            <w:left w:val="none" w:sz="0" w:space="0" w:color="auto"/>
            <w:bottom w:val="none" w:sz="0" w:space="0" w:color="auto"/>
            <w:right w:val="none" w:sz="0" w:space="0" w:color="auto"/>
          </w:divBdr>
        </w:div>
        <w:div w:id="2117289507">
          <w:marLeft w:val="0"/>
          <w:marRight w:val="0"/>
          <w:marTop w:val="0"/>
          <w:marBottom w:val="0"/>
          <w:divBdr>
            <w:top w:val="none" w:sz="0" w:space="0" w:color="auto"/>
            <w:left w:val="none" w:sz="0" w:space="0" w:color="auto"/>
            <w:bottom w:val="none" w:sz="0" w:space="0" w:color="auto"/>
            <w:right w:val="none" w:sz="0" w:space="0" w:color="auto"/>
          </w:divBdr>
        </w:div>
        <w:div w:id="2117362339">
          <w:marLeft w:val="0"/>
          <w:marRight w:val="0"/>
          <w:marTop w:val="0"/>
          <w:marBottom w:val="0"/>
          <w:divBdr>
            <w:top w:val="none" w:sz="0" w:space="0" w:color="auto"/>
            <w:left w:val="none" w:sz="0" w:space="0" w:color="auto"/>
            <w:bottom w:val="none" w:sz="0" w:space="0" w:color="auto"/>
            <w:right w:val="none" w:sz="0" w:space="0" w:color="auto"/>
          </w:divBdr>
        </w:div>
        <w:div w:id="2123645788">
          <w:marLeft w:val="0"/>
          <w:marRight w:val="0"/>
          <w:marTop w:val="0"/>
          <w:marBottom w:val="0"/>
          <w:divBdr>
            <w:top w:val="none" w:sz="0" w:space="0" w:color="auto"/>
            <w:left w:val="none" w:sz="0" w:space="0" w:color="auto"/>
            <w:bottom w:val="none" w:sz="0" w:space="0" w:color="auto"/>
            <w:right w:val="none" w:sz="0" w:space="0" w:color="auto"/>
          </w:divBdr>
        </w:div>
        <w:div w:id="2128544133">
          <w:marLeft w:val="0"/>
          <w:marRight w:val="0"/>
          <w:marTop w:val="0"/>
          <w:marBottom w:val="0"/>
          <w:divBdr>
            <w:top w:val="none" w:sz="0" w:space="0" w:color="auto"/>
            <w:left w:val="none" w:sz="0" w:space="0" w:color="auto"/>
            <w:bottom w:val="none" w:sz="0" w:space="0" w:color="auto"/>
            <w:right w:val="none" w:sz="0" w:space="0" w:color="auto"/>
          </w:divBdr>
        </w:div>
        <w:div w:id="2135363388">
          <w:marLeft w:val="0"/>
          <w:marRight w:val="0"/>
          <w:marTop w:val="0"/>
          <w:marBottom w:val="0"/>
          <w:divBdr>
            <w:top w:val="none" w:sz="0" w:space="0" w:color="auto"/>
            <w:left w:val="none" w:sz="0" w:space="0" w:color="auto"/>
            <w:bottom w:val="none" w:sz="0" w:space="0" w:color="auto"/>
            <w:right w:val="none" w:sz="0" w:space="0" w:color="auto"/>
          </w:divBdr>
        </w:div>
        <w:div w:id="2137096042">
          <w:marLeft w:val="0"/>
          <w:marRight w:val="0"/>
          <w:marTop w:val="0"/>
          <w:marBottom w:val="0"/>
          <w:divBdr>
            <w:top w:val="none" w:sz="0" w:space="0" w:color="auto"/>
            <w:left w:val="none" w:sz="0" w:space="0" w:color="auto"/>
            <w:bottom w:val="none" w:sz="0" w:space="0" w:color="auto"/>
            <w:right w:val="none" w:sz="0" w:space="0" w:color="auto"/>
          </w:divBdr>
        </w:div>
        <w:div w:id="2143687708">
          <w:marLeft w:val="0"/>
          <w:marRight w:val="0"/>
          <w:marTop w:val="0"/>
          <w:marBottom w:val="0"/>
          <w:divBdr>
            <w:top w:val="none" w:sz="0" w:space="0" w:color="auto"/>
            <w:left w:val="none" w:sz="0" w:space="0" w:color="auto"/>
            <w:bottom w:val="none" w:sz="0" w:space="0" w:color="auto"/>
            <w:right w:val="none" w:sz="0" w:space="0" w:color="auto"/>
          </w:divBdr>
        </w:div>
        <w:div w:id="2144736278">
          <w:marLeft w:val="0"/>
          <w:marRight w:val="0"/>
          <w:marTop w:val="0"/>
          <w:marBottom w:val="0"/>
          <w:divBdr>
            <w:top w:val="none" w:sz="0" w:space="0" w:color="auto"/>
            <w:left w:val="none" w:sz="0" w:space="0" w:color="auto"/>
            <w:bottom w:val="none" w:sz="0" w:space="0" w:color="auto"/>
            <w:right w:val="none" w:sz="0" w:space="0" w:color="auto"/>
          </w:divBdr>
        </w:div>
        <w:div w:id="2146966611">
          <w:marLeft w:val="0"/>
          <w:marRight w:val="0"/>
          <w:marTop w:val="0"/>
          <w:marBottom w:val="0"/>
          <w:divBdr>
            <w:top w:val="none" w:sz="0" w:space="0" w:color="auto"/>
            <w:left w:val="none" w:sz="0" w:space="0" w:color="auto"/>
            <w:bottom w:val="none" w:sz="0" w:space="0" w:color="auto"/>
            <w:right w:val="none" w:sz="0" w:space="0" w:color="auto"/>
          </w:divBdr>
        </w:div>
      </w:divsChild>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5389795">
      <w:bodyDiv w:val="1"/>
      <w:marLeft w:val="0"/>
      <w:marRight w:val="0"/>
      <w:marTop w:val="0"/>
      <w:marBottom w:val="0"/>
      <w:divBdr>
        <w:top w:val="none" w:sz="0" w:space="0" w:color="auto"/>
        <w:left w:val="none" w:sz="0" w:space="0" w:color="auto"/>
        <w:bottom w:val="none" w:sz="0" w:space="0" w:color="auto"/>
        <w:right w:val="none" w:sz="0" w:space="0" w:color="auto"/>
      </w:divBdr>
      <w:divsChild>
        <w:div w:id="1219560356">
          <w:marLeft w:val="480"/>
          <w:marRight w:val="0"/>
          <w:marTop w:val="0"/>
          <w:marBottom w:val="0"/>
          <w:divBdr>
            <w:top w:val="none" w:sz="0" w:space="0" w:color="auto"/>
            <w:left w:val="none" w:sz="0" w:space="0" w:color="auto"/>
            <w:bottom w:val="none" w:sz="0" w:space="0" w:color="auto"/>
            <w:right w:val="none" w:sz="0" w:space="0" w:color="auto"/>
          </w:divBdr>
          <w:divsChild>
            <w:div w:id="14655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7067">
      <w:bodyDiv w:val="1"/>
      <w:marLeft w:val="0"/>
      <w:marRight w:val="0"/>
      <w:marTop w:val="0"/>
      <w:marBottom w:val="0"/>
      <w:divBdr>
        <w:top w:val="none" w:sz="0" w:space="0" w:color="auto"/>
        <w:left w:val="none" w:sz="0" w:space="0" w:color="auto"/>
        <w:bottom w:val="none" w:sz="0" w:space="0" w:color="auto"/>
        <w:right w:val="none" w:sz="0" w:space="0" w:color="auto"/>
      </w:divBdr>
      <w:divsChild>
        <w:div w:id="1668170261">
          <w:marLeft w:val="480"/>
          <w:marRight w:val="0"/>
          <w:marTop w:val="0"/>
          <w:marBottom w:val="0"/>
          <w:divBdr>
            <w:top w:val="none" w:sz="0" w:space="0" w:color="auto"/>
            <w:left w:val="none" w:sz="0" w:space="0" w:color="auto"/>
            <w:bottom w:val="none" w:sz="0" w:space="0" w:color="auto"/>
            <w:right w:val="none" w:sz="0" w:space="0" w:color="auto"/>
          </w:divBdr>
          <w:divsChild>
            <w:div w:id="4363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08688879">
      <w:bodyDiv w:val="1"/>
      <w:marLeft w:val="0"/>
      <w:marRight w:val="0"/>
      <w:marTop w:val="0"/>
      <w:marBottom w:val="0"/>
      <w:divBdr>
        <w:top w:val="none" w:sz="0" w:space="0" w:color="auto"/>
        <w:left w:val="none" w:sz="0" w:space="0" w:color="auto"/>
        <w:bottom w:val="none" w:sz="0" w:space="0" w:color="auto"/>
        <w:right w:val="none" w:sz="0" w:space="0" w:color="auto"/>
      </w:divBdr>
      <w:divsChild>
        <w:div w:id="1996060848">
          <w:marLeft w:val="480"/>
          <w:marRight w:val="0"/>
          <w:marTop w:val="0"/>
          <w:marBottom w:val="0"/>
          <w:divBdr>
            <w:top w:val="none" w:sz="0" w:space="0" w:color="auto"/>
            <w:left w:val="none" w:sz="0" w:space="0" w:color="auto"/>
            <w:bottom w:val="none" w:sz="0" w:space="0" w:color="auto"/>
            <w:right w:val="none" w:sz="0" w:space="0" w:color="auto"/>
          </w:divBdr>
          <w:divsChild>
            <w:div w:id="19472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5013">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35602702">
      <w:bodyDiv w:val="1"/>
      <w:marLeft w:val="0"/>
      <w:marRight w:val="0"/>
      <w:marTop w:val="0"/>
      <w:marBottom w:val="0"/>
      <w:divBdr>
        <w:top w:val="none" w:sz="0" w:space="0" w:color="auto"/>
        <w:left w:val="none" w:sz="0" w:space="0" w:color="auto"/>
        <w:bottom w:val="none" w:sz="0" w:space="0" w:color="auto"/>
        <w:right w:val="none" w:sz="0" w:space="0" w:color="auto"/>
      </w:divBdr>
    </w:div>
    <w:div w:id="970210602">
      <w:bodyDiv w:val="1"/>
      <w:marLeft w:val="0"/>
      <w:marRight w:val="0"/>
      <w:marTop w:val="0"/>
      <w:marBottom w:val="0"/>
      <w:divBdr>
        <w:top w:val="none" w:sz="0" w:space="0" w:color="auto"/>
        <w:left w:val="none" w:sz="0" w:space="0" w:color="auto"/>
        <w:bottom w:val="none" w:sz="0" w:space="0" w:color="auto"/>
        <w:right w:val="none" w:sz="0" w:space="0" w:color="auto"/>
      </w:divBdr>
    </w:div>
    <w:div w:id="1002584332">
      <w:bodyDiv w:val="1"/>
      <w:marLeft w:val="0"/>
      <w:marRight w:val="0"/>
      <w:marTop w:val="0"/>
      <w:marBottom w:val="0"/>
      <w:divBdr>
        <w:top w:val="none" w:sz="0" w:space="0" w:color="auto"/>
        <w:left w:val="none" w:sz="0" w:space="0" w:color="auto"/>
        <w:bottom w:val="none" w:sz="0" w:space="0" w:color="auto"/>
        <w:right w:val="none" w:sz="0" w:space="0" w:color="auto"/>
      </w:divBdr>
      <w:divsChild>
        <w:div w:id="225996662">
          <w:marLeft w:val="480"/>
          <w:marRight w:val="0"/>
          <w:marTop w:val="0"/>
          <w:marBottom w:val="0"/>
          <w:divBdr>
            <w:top w:val="none" w:sz="0" w:space="0" w:color="auto"/>
            <w:left w:val="none" w:sz="0" w:space="0" w:color="auto"/>
            <w:bottom w:val="none" w:sz="0" w:space="0" w:color="auto"/>
            <w:right w:val="none" w:sz="0" w:space="0" w:color="auto"/>
          </w:divBdr>
          <w:divsChild>
            <w:div w:id="82027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9044">
      <w:bodyDiv w:val="1"/>
      <w:marLeft w:val="0"/>
      <w:marRight w:val="0"/>
      <w:marTop w:val="0"/>
      <w:marBottom w:val="0"/>
      <w:divBdr>
        <w:top w:val="none" w:sz="0" w:space="0" w:color="auto"/>
        <w:left w:val="none" w:sz="0" w:space="0" w:color="auto"/>
        <w:bottom w:val="none" w:sz="0" w:space="0" w:color="auto"/>
        <w:right w:val="none" w:sz="0" w:space="0" w:color="auto"/>
      </w:divBdr>
    </w:div>
    <w:div w:id="1076513155">
      <w:bodyDiv w:val="1"/>
      <w:marLeft w:val="0"/>
      <w:marRight w:val="0"/>
      <w:marTop w:val="0"/>
      <w:marBottom w:val="0"/>
      <w:divBdr>
        <w:top w:val="none" w:sz="0" w:space="0" w:color="auto"/>
        <w:left w:val="none" w:sz="0" w:space="0" w:color="auto"/>
        <w:bottom w:val="none" w:sz="0" w:space="0" w:color="auto"/>
        <w:right w:val="none" w:sz="0" w:space="0" w:color="auto"/>
      </w:divBdr>
      <w:divsChild>
        <w:div w:id="692272404">
          <w:marLeft w:val="480"/>
          <w:marRight w:val="0"/>
          <w:marTop w:val="0"/>
          <w:marBottom w:val="0"/>
          <w:divBdr>
            <w:top w:val="none" w:sz="0" w:space="0" w:color="auto"/>
            <w:left w:val="none" w:sz="0" w:space="0" w:color="auto"/>
            <w:bottom w:val="none" w:sz="0" w:space="0" w:color="auto"/>
            <w:right w:val="none" w:sz="0" w:space="0" w:color="auto"/>
          </w:divBdr>
          <w:divsChild>
            <w:div w:id="3036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92422">
      <w:bodyDiv w:val="1"/>
      <w:marLeft w:val="0"/>
      <w:marRight w:val="0"/>
      <w:marTop w:val="0"/>
      <w:marBottom w:val="0"/>
      <w:divBdr>
        <w:top w:val="none" w:sz="0" w:space="0" w:color="auto"/>
        <w:left w:val="none" w:sz="0" w:space="0" w:color="auto"/>
        <w:bottom w:val="none" w:sz="0" w:space="0" w:color="auto"/>
        <w:right w:val="none" w:sz="0" w:space="0" w:color="auto"/>
      </w:divBdr>
      <w:divsChild>
        <w:div w:id="1185285492">
          <w:marLeft w:val="480"/>
          <w:marRight w:val="0"/>
          <w:marTop w:val="0"/>
          <w:marBottom w:val="0"/>
          <w:divBdr>
            <w:top w:val="none" w:sz="0" w:space="0" w:color="auto"/>
            <w:left w:val="none" w:sz="0" w:space="0" w:color="auto"/>
            <w:bottom w:val="none" w:sz="0" w:space="0" w:color="auto"/>
            <w:right w:val="none" w:sz="0" w:space="0" w:color="auto"/>
          </w:divBdr>
          <w:divsChild>
            <w:div w:id="165669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215047103">
      <w:bodyDiv w:val="1"/>
      <w:marLeft w:val="0"/>
      <w:marRight w:val="0"/>
      <w:marTop w:val="0"/>
      <w:marBottom w:val="0"/>
      <w:divBdr>
        <w:top w:val="none" w:sz="0" w:space="0" w:color="auto"/>
        <w:left w:val="none" w:sz="0" w:space="0" w:color="auto"/>
        <w:bottom w:val="none" w:sz="0" w:space="0" w:color="auto"/>
        <w:right w:val="none" w:sz="0" w:space="0" w:color="auto"/>
      </w:divBdr>
      <w:divsChild>
        <w:div w:id="434523757">
          <w:marLeft w:val="480"/>
          <w:marRight w:val="0"/>
          <w:marTop w:val="0"/>
          <w:marBottom w:val="0"/>
          <w:divBdr>
            <w:top w:val="none" w:sz="0" w:space="0" w:color="auto"/>
            <w:left w:val="none" w:sz="0" w:space="0" w:color="auto"/>
            <w:bottom w:val="none" w:sz="0" w:space="0" w:color="auto"/>
            <w:right w:val="none" w:sz="0" w:space="0" w:color="auto"/>
          </w:divBdr>
          <w:divsChild>
            <w:div w:id="85107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7073">
      <w:bodyDiv w:val="1"/>
      <w:marLeft w:val="0"/>
      <w:marRight w:val="0"/>
      <w:marTop w:val="0"/>
      <w:marBottom w:val="0"/>
      <w:divBdr>
        <w:top w:val="none" w:sz="0" w:space="0" w:color="auto"/>
        <w:left w:val="none" w:sz="0" w:space="0" w:color="auto"/>
        <w:bottom w:val="none" w:sz="0" w:space="0" w:color="auto"/>
        <w:right w:val="none" w:sz="0" w:space="0" w:color="auto"/>
      </w:divBdr>
    </w:div>
    <w:div w:id="1282616671">
      <w:bodyDiv w:val="1"/>
      <w:marLeft w:val="0"/>
      <w:marRight w:val="0"/>
      <w:marTop w:val="0"/>
      <w:marBottom w:val="0"/>
      <w:divBdr>
        <w:top w:val="none" w:sz="0" w:space="0" w:color="auto"/>
        <w:left w:val="none" w:sz="0" w:space="0" w:color="auto"/>
        <w:bottom w:val="none" w:sz="0" w:space="0" w:color="auto"/>
        <w:right w:val="none" w:sz="0" w:space="0" w:color="auto"/>
      </w:divBdr>
      <w:divsChild>
        <w:div w:id="1298560964">
          <w:marLeft w:val="480"/>
          <w:marRight w:val="0"/>
          <w:marTop w:val="0"/>
          <w:marBottom w:val="0"/>
          <w:divBdr>
            <w:top w:val="none" w:sz="0" w:space="0" w:color="auto"/>
            <w:left w:val="none" w:sz="0" w:space="0" w:color="auto"/>
            <w:bottom w:val="none" w:sz="0" w:space="0" w:color="auto"/>
            <w:right w:val="none" w:sz="0" w:space="0" w:color="auto"/>
          </w:divBdr>
          <w:divsChild>
            <w:div w:id="16981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360470149">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50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01515685">
          <w:marLeft w:val="480"/>
          <w:marRight w:val="0"/>
          <w:marTop w:val="0"/>
          <w:marBottom w:val="0"/>
          <w:divBdr>
            <w:top w:val="none" w:sz="0" w:space="0" w:color="auto"/>
            <w:left w:val="none" w:sz="0" w:space="0" w:color="auto"/>
            <w:bottom w:val="none" w:sz="0" w:space="0" w:color="auto"/>
            <w:right w:val="none" w:sz="0" w:space="0" w:color="auto"/>
          </w:divBdr>
          <w:divsChild>
            <w:div w:id="17562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349">
      <w:bodyDiv w:val="1"/>
      <w:marLeft w:val="0"/>
      <w:marRight w:val="0"/>
      <w:marTop w:val="0"/>
      <w:marBottom w:val="0"/>
      <w:divBdr>
        <w:top w:val="none" w:sz="0" w:space="0" w:color="auto"/>
        <w:left w:val="none" w:sz="0" w:space="0" w:color="auto"/>
        <w:bottom w:val="none" w:sz="0" w:space="0" w:color="auto"/>
        <w:right w:val="none" w:sz="0" w:space="0" w:color="auto"/>
      </w:divBdr>
      <w:divsChild>
        <w:div w:id="131095254">
          <w:marLeft w:val="0"/>
          <w:marRight w:val="0"/>
          <w:marTop w:val="0"/>
          <w:marBottom w:val="0"/>
          <w:divBdr>
            <w:top w:val="none" w:sz="0" w:space="0" w:color="auto"/>
            <w:left w:val="none" w:sz="0" w:space="0" w:color="auto"/>
            <w:bottom w:val="none" w:sz="0" w:space="0" w:color="auto"/>
            <w:right w:val="none" w:sz="0" w:space="0" w:color="auto"/>
          </w:divBdr>
        </w:div>
      </w:divsChild>
    </w:div>
    <w:div w:id="1658650662">
      <w:bodyDiv w:val="1"/>
      <w:marLeft w:val="0"/>
      <w:marRight w:val="0"/>
      <w:marTop w:val="0"/>
      <w:marBottom w:val="0"/>
      <w:divBdr>
        <w:top w:val="none" w:sz="0" w:space="0" w:color="auto"/>
        <w:left w:val="none" w:sz="0" w:space="0" w:color="auto"/>
        <w:bottom w:val="none" w:sz="0" w:space="0" w:color="auto"/>
        <w:right w:val="none" w:sz="0" w:space="0" w:color="auto"/>
      </w:divBdr>
    </w:div>
    <w:div w:id="1671592556">
      <w:bodyDiv w:val="1"/>
      <w:marLeft w:val="0"/>
      <w:marRight w:val="0"/>
      <w:marTop w:val="0"/>
      <w:marBottom w:val="0"/>
      <w:divBdr>
        <w:top w:val="none" w:sz="0" w:space="0" w:color="auto"/>
        <w:left w:val="none" w:sz="0" w:space="0" w:color="auto"/>
        <w:bottom w:val="none" w:sz="0" w:space="0" w:color="auto"/>
        <w:right w:val="none" w:sz="0" w:space="0" w:color="auto"/>
      </w:divBdr>
      <w:divsChild>
        <w:div w:id="280308751">
          <w:marLeft w:val="480"/>
          <w:marRight w:val="0"/>
          <w:marTop w:val="0"/>
          <w:marBottom w:val="0"/>
          <w:divBdr>
            <w:top w:val="none" w:sz="0" w:space="0" w:color="auto"/>
            <w:left w:val="none" w:sz="0" w:space="0" w:color="auto"/>
            <w:bottom w:val="none" w:sz="0" w:space="0" w:color="auto"/>
            <w:right w:val="none" w:sz="0" w:space="0" w:color="auto"/>
          </w:divBdr>
          <w:divsChild>
            <w:div w:id="151626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40503">
      <w:bodyDiv w:val="1"/>
      <w:marLeft w:val="0"/>
      <w:marRight w:val="0"/>
      <w:marTop w:val="0"/>
      <w:marBottom w:val="0"/>
      <w:divBdr>
        <w:top w:val="none" w:sz="0" w:space="0" w:color="auto"/>
        <w:left w:val="none" w:sz="0" w:space="0" w:color="auto"/>
        <w:bottom w:val="none" w:sz="0" w:space="0" w:color="auto"/>
        <w:right w:val="none" w:sz="0" w:space="0" w:color="auto"/>
      </w:divBdr>
      <w:divsChild>
        <w:div w:id="1659310604">
          <w:marLeft w:val="480"/>
          <w:marRight w:val="0"/>
          <w:marTop w:val="0"/>
          <w:marBottom w:val="0"/>
          <w:divBdr>
            <w:top w:val="none" w:sz="0" w:space="0" w:color="auto"/>
            <w:left w:val="none" w:sz="0" w:space="0" w:color="auto"/>
            <w:bottom w:val="none" w:sz="0" w:space="0" w:color="auto"/>
            <w:right w:val="none" w:sz="0" w:space="0" w:color="auto"/>
          </w:divBdr>
          <w:divsChild>
            <w:div w:id="87701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694">
      <w:bodyDiv w:val="1"/>
      <w:marLeft w:val="0"/>
      <w:marRight w:val="0"/>
      <w:marTop w:val="0"/>
      <w:marBottom w:val="0"/>
      <w:divBdr>
        <w:top w:val="none" w:sz="0" w:space="0" w:color="auto"/>
        <w:left w:val="none" w:sz="0" w:space="0" w:color="auto"/>
        <w:bottom w:val="none" w:sz="0" w:space="0" w:color="auto"/>
        <w:right w:val="none" w:sz="0" w:space="0" w:color="auto"/>
      </w:divBdr>
      <w:divsChild>
        <w:div w:id="156846321">
          <w:marLeft w:val="480"/>
          <w:marRight w:val="0"/>
          <w:marTop w:val="0"/>
          <w:marBottom w:val="0"/>
          <w:divBdr>
            <w:top w:val="none" w:sz="0" w:space="0" w:color="auto"/>
            <w:left w:val="none" w:sz="0" w:space="0" w:color="auto"/>
            <w:bottom w:val="none" w:sz="0" w:space="0" w:color="auto"/>
            <w:right w:val="none" w:sz="0" w:space="0" w:color="auto"/>
          </w:divBdr>
          <w:divsChild>
            <w:div w:id="1395546637">
              <w:marLeft w:val="0"/>
              <w:marRight w:val="0"/>
              <w:marTop w:val="0"/>
              <w:marBottom w:val="0"/>
              <w:divBdr>
                <w:top w:val="none" w:sz="0" w:space="0" w:color="auto"/>
                <w:left w:val="none" w:sz="0" w:space="0" w:color="auto"/>
                <w:bottom w:val="none" w:sz="0" w:space="0" w:color="auto"/>
                <w:right w:val="none" w:sz="0" w:space="0" w:color="auto"/>
              </w:divBdr>
            </w:div>
            <w:div w:id="1285231017">
              <w:marLeft w:val="0"/>
              <w:marRight w:val="0"/>
              <w:marTop w:val="0"/>
              <w:marBottom w:val="0"/>
              <w:divBdr>
                <w:top w:val="none" w:sz="0" w:space="0" w:color="auto"/>
                <w:left w:val="none" w:sz="0" w:space="0" w:color="auto"/>
                <w:bottom w:val="none" w:sz="0" w:space="0" w:color="auto"/>
                <w:right w:val="none" w:sz="0" w:space="0" w:color="auto"/>
              </w:divBdr>
            </w:div>
            <w:div w:id="148399151">
              <w:marLeft w:val="0"/>
              <w:marRight w:val="0"/>
              <w:marTop w:val="0"/>
              <w:marBottom w:val="0"/>
              <w:divBdr>
                <w:top w:val="none" w:sz="0" w:space="0" w:color="auto"/>
                <w:left w:val="none" w:sz="0" w:space="0" w:color="auto"/>
                <w:bottom w:val="none" w:sz="0" w:space="0" w:color="auto"/>
                <w:right w:val="none" w:sz="0" w:space="0" w:color="auto"/>
              </w:divBdr>
            </w:div>
            <w:div w:id="340744566">
              <w:marLeft w:val="0"/>
              <w:marRight w:val="0"/>
              <w:marTop w:val="0"/>
              <w:marBottom w:val="0"/>
              <w:divBdr>
                <w:top w:val="none" w:sz="0" w:space="0" w:color="auto"/>
                <w:left w:val="none" w:sz="0" w:space="0" w:color="auto"/>
                <w:bottom w:val="none" w:sz="0" w:space="0" w:color="auto"/>
                <w:right w:val="none" w:sz="0" w:space="0" w:color="auto"/>
              </w:divBdr>
            </w:div>
            <w:div w:id="782269038">
              <w:marLeft w:val="0"/>
              <w:marRight w:val="0"/>
              <w:marTop w:val="0"/>
              <w:marBottom w:val="0"/>
              <w:divBdr>
                <w:top w:val="none" w:sz="0" w:space="0" w:color="auto"/>
                <w:left w:val="none" w:sz="0" w:space="0" w:color="auto"/>
                <w:bottom w:val="none" w:sz="0" w:space="0" w:color="auto"/>
                <w:right w:val="none" w:sz="0" w:space="0" w:color="auto"/>
              </w:divBdr>
            </w:div>
            <w:div w:id="103228308">
              <w:marLeft w:val="0"/>
              <w:marRight w:val="0"/>
              <w:marTop w:val="0"/>
              <w:marBottom w:val="0"/>
              <w:divBdr>
                <w:top w:val="none" w:sz="0" w:space="0" w:color="auto"/>
                <w:left w:val="none" w:sz="0" w:space="0" w:color="auto"/>
                <w:bottom w:val="none" w:sz="0" w:space="0" w:color="auto"/>
                <w:right w:val="none" w:sz="0" w:space="0" w:color="auto"/>
              </w:divBdr>
            </w:div>
            <w:div w:id="2036224609">
              <w:marLeft w:val="0"/>
              <w:marRight w:val="0"/>
              <w:marTop w:val="0"/>
              <w:marBottom w:val="0"/>
              <w:divBdr>
                <w:top w:val="none" w:sz="0" w:space="0" w:color="auto"/>
                <w:left w:val="none" w:sz="0" w:space="0" w:color="auto"/>
                <w:bottom w:val="none" w:sz="0" w:space="0" w:color="auto"/>
                <w:right w:val="none" w:sz="0" w:space="0" w:color="auto"/>
              </w:divBdr>
            </w:div>
            <w:div w:id="100810146">
              <w:marLeft w:val="0"/>
              <w:marRight w:val="0"/>
              <w:marTop w:val="0"/>
              <w:marBottom w:val="0"/>
              <w:divBdr>
                <w:top w:val="none" w:sz="0" w:space="0" w:color="auto"/>
                <w:left w:val="none" w:sz="0" w:space="0" w:color="auto"/>
                <w:bottom w:val="none" w:sz="0" w:space="0" w:color="auto"/>
                <w:right w:val="none" w:sz="0" w:space="0" w:color="auto"/>
              </w:divBdr>
            </w:div>
            <w:div w:id="2057584514">
              <w:marLeft w:val="0"/>
              <w:marRight w:val="0"/>
              <w:marTop w:val="0"/>
              <w:marBottom w:val="0"/>
              <w:divBdr>
                <w:top w:val="none" w:sz="0" w:space="0" w:color="auto"/>
                <w:left w:val="none" w:sz="0" w:space="0" w:color="auto"/>
                <w:bottom w:val="none" w:sz="0" w:space="0" w:color="auto"/>
                <w:right w:val="none" w:sz="0" w:space="0" w:color="auto"/>
              </w:divBdr>
            </w:div>
            <w:div w:id="1939606390">
              <w:marLeft w:val="0"/>
              <w:marRight w:val="0"/>
              <w:marTop w:val="0"/>
              <w:marBottom w:val="0"/>
              <w:divBdr>
                <w:top w:val="none" w:sz="0" w:space="0" w:color="auto"/>
                <w:left w:val="none" w:sz="0" w:space="0" w:color="auto"/>
                <w:bottom w:val="none" w:sz="0" w:space="0" w:color="auto"/>
                <w:right w:val="none" w:sz="0" w:space="0" w:color="auto"/>
              </w:divBdr>
            </w:div>
            <w:div w:id="746809570">
              <w:marLeft w:val="0"/>
              <w:marRight w:val="0"/>
              <w:marTop w:val="0"/>
              <w:marBottom w:val="0"/>
              <w:divBdr>
                <w:top w:val="none" w:sz="0" w:space="0" w:color="auto"/>
                <w:left w:val="none" w:sz="0" w:space="0" w:color="auto"/>
                <w:bottom w:val="none" w:sz="0" w:space="0" w:color="auto"/>
                <w:right w:val="none" w:sz="0" w:space="0" w:color="auto"/>
              </w:divBdr>
            </w:div>
            <w:div w:id="1016007371">
              <w:marLeft w:val="0"/>
              <w:marRight w:val="0"/>
              <w:marTop w:val="0"/>
              <w:marBottom w:val="0"/>
              <w:divBdr>
                <w:top w:val="none" w:sz="0" w:space="0" w:color="auto"/>
                <w:left w:val="none" w:sz="0" w:space="0" w:color="auto"/>
                <w:bottom w:val="none" w:sz="0" w:space="0" w:color="auto"/>
                <w:right w:val="none" w:sz="0" w:space="0" w:color="auto"/>
              </w:divBdr>
            </w:div>
            <w:div w:id="499854986">
              <w:marLeft w:val="0"/>
              <w:marRight w:val="0"/>
              <w:marTop w:val="0"/>
              <w:marBottom w:val="0"/>
              <w:divBdr>
                <w:top w:val="none" w:sz="0" w:space="0" w:color="auto"/>
                <w:left w:val="none" w:sz="0" w:space="0" w:color="auto"/>
                <w:bottom w:val="none" w:sz="0" w:space="0" w:color="auto"/>
                <w:right w:val="none" w:sz="0" w:space="0" w:color="auto"/>
              </w:divBdr>
            </w:div>
            <w:div w:id="2042704340">
              <w:marLeft w:val="0"/>
              <w:marRight w:val="0"/>
              <w:marTop w:val="0"/>
              <w:marBottom w:val="0"/>
              <w:divBdr>
                <w:top w:val="none" w:sz="0" w:space="0" w:color="auto"/>
                <w:left w:val="none" w:sz="0" w:space="0" w:color="auto"/>
                <w:bottom w:val="none" w:sz="0" w:space="0" w:color="auto"/>
                <w:right w:val="none" w:sz="0" w:space="0" w:color="auto"/>
              </w:divBdr>
            </w:div>
            <w:div w:id="487090582">
              <w:marLeft w:val="0"/>
              <w:marRight w:val="0"/>
              <w:marTop w:val="0"/>
              <w:marBottom w:val="0"/>
              <w:divBdr>
                <w:top w:val="none" w:sz="0" w:space="0" w:color="auto"/>
                <w:left w:val="none" w:sz="0" w:space="0" w:color="auto"/>
                <w:bottom w:val="none" w:sz="0" w:space="0" w:color="auto"/>
                <w:right w:val="none" w:sz="0" w:space="0" w:color="auto"/>
              </w:divBdr>
            </w:div>
            <w:div w:id="972831136">
              <w:marLeft w:val="0"/>
              <w:marRight w:val="0"/>
              <w:marTop w:val="0"/>
              <w:marBottom w:val="0"/>
              <w:divBdr>
                <w:top w:val="none" w:sz="0" w:space="0" w:color="auto"/>
                <w:left w:val="none" w:sz="0" w:space="0" w:color="auto"/>
                <w:bottom w:val="none" w:sz="0" w:space="0" w:color="auto"/>
                <w:right w:val="none" w:sz="0" w:space="0" w:color="auto"/>
              </w:divBdr>
            </w:div>
            <w:div w:id="902914394">
              <w:marLeft w:val="0"/>
              <w:marRight w:val="0"/>
              <w:marTop w:val="0"/>
              <w:marBottom w:val="0"/>
              <w:divBdr>
                <w:top w:val="none" w:sz="0" w:space="0" w:color="auto"/>
                <w:left w:val="none" w:sz="0" w:space="0" w:color="auto"/>
                <w:bottom w:val="none" w:sz="0" w:space="0" w:color="auto"/>
                <w:right w:val="none" w:sz="0" w:space="0" w:color="auto"/>
              </w:divBdr>
            </w:div>
            <w:div w:id="1865168463">
              <w:marLeft w:val="0"/>
              <w:marRight w:val="0"/>
              <w:marTop w:val="0"/>
              <w:marBottom w:val="0"/>
              <w:divBdr>
                <w:top w:val="none" w:sz="0" w:space="0" w:color="auto"/>
                <w:left w:val="none" w:sz="0" w:space="0" w:color="auto"/>
                <w:bottom w:val="none" w:sz="0" w:space="0" w:color="auto"/>
                <w:right w:val="none" w:sz="0" w:space="0" w:color="auto"/>
              </w:divBdr>
            </w:div>
            <w:div w:id="478309140">
              <w:marLeft w:val="0"/>
              <w:marRight w:val="0"/>
              <w:marTop w:val="0"/>
              <w:marBottom w:val="0"/>
              <w:divBdr>
                <w:top w:val="none" w:sz="0" w:space="0" w:color="auto"/>
                <w:left w:val="none" w:sz="0" w:space="0" w:color="auto"/>
                <w:bottom w:val="none" w:sz="0" w:space="0" w:color="auto"/>
                <w:right w:val="none" w:sz="0" w:space="0" w:color="auto"/>
              </w:divBdr>
            </w:div>
            <w:div w:id="323171494">
              <w:marLeft w:val="0"/>
              <w:marRight w:val="0"/>
              <w:marTop w:val="0"/>
              <w:marBottom w:val="0"/>
              <w:divBdr>
                <w:top w:val="none" w:sz="0" w:space="0" w:color="auto"/>
                <w:left w:val="none" w:sz="0" w:space="0" w:color="auto"/>
                <w:bottom w:val="none" w:sz="0" w:space="0" w:color="auto"/>
                <w:right w:val="none" w:sz="0" w:space="0" w:color="auto"/>
              </w:divBdr>
            </w:div>
            <w:div w:id="1272274363">
              <w:marLeft w:val="0"/>
              <w:marRight w:val="0"/>
              <w:marTop w:val="0"/>
              <w:marBottom w:val="0"/>
              <w:divBdr>
                <w:top w:val="none" w:sz="0" w:space="0" w:color="auto"/>
                <w:left w:val="none" w:sz="0" w:space="0" w:color="auto"/>
                <w:bottom w:val="none" w:sz="0" w:space="0" w:color="auto"/>
                <w:right w:val="none" w:sz="0" w:space="0" w:color="auto"/>
              </w:divBdr>
            </w:div>
            <w:div w:id="1726026758">
              <w:marLeft w:val="0"/>
              <w:marRight w:val="0"/>
              <w:marTop w:val="0"/>
              <w:marBottom w:val="0"/>
              <w:divBdr>
                <w:top w:val="none" w:sz="0" w:space="0" w:color="auto"/>
                <w:left w:val="none" w:sz="0" w:space="0" w:color="auto"/>
                <w:bottom w:val="none" w:sz="0" w:space="0" w:color="auto"/>
                <w:right w:val="none" w:sz="0" w:space="0" w:color="auto"/>
              </w:divBdr>
            </w:div>
            <w:div w:id="12252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1255">
      <w:bodyDiv w:val="1"/>
      <w:marLeft w:val="0"/>
      <w:marRight w:val="0"/>
      <w:marTop w:val="0"/>
      <w:marBottom w:val="0"/>
      <w:divBdr>
        <w:top w:val="none" w:sz="0" w:space="0" w:color="auto"/>
        <w:left w:val="none" w:sz="0" w:space="0" w:color="auto"/>
        <w:bottom w:val="none" w:sz="0" w:space="0" w:color="auto"/>
        <w:right w:val="none" w:sz="0" w:space="0" w:color="auto"/>
      </w:divBdr>
    </w:div>
    <w:div w:id="1731686405">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207753">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340234814">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sChild>
    </w:div>
    <w:div w:id="1758406136">
      <w:bodyDiv w:val="1"/>
      <w:marLeft w:val="0"/>
      <w:marRight w:val="0"/>
      <w:marTop w:val="0"/>
      <w:marBottom w:val="0"/>
      <w:divBdr>
        <w:top w:val="none" w:sz="0" w:space="0" w:color="auto"/>
        <w:left w:val="none" w:sz="0" w:space="0" w:color="auto"/>
        <w:bottom w:val="none" w:sz="0" w:space="0" w:color="auto"/>
        <w:right w:val="none" w:sz="0" w:space="0" w:color="auto"/>
      </w:divBdr>
      <w:divsChild>
        <w:div w:id="628978812">
          <w:marLeft w:val="480"/>
          <w:marRight w:val="0"/>
          <w:marTop w:val="0"/>
          <w:marBottom w:val="0"/>
          <w:divBdr>
            <w:top w:val="none" w:sz="0" w:space="0" w:color="auto"/>
            <w:left w:val="none" w:sz="0" w:space="0" w:color="auto"/>
            <w:bottom w:val="none" w:sz="0" w:space="0" w:color="auto"/>
            <w:right w:val="none" w:sz="0" w:space="0" w:color="auto"/>
          </w:divBdr>
          <w:divsChild>
            <w:div w:id="64717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819">
      <w:bodyDiv w:val="1"/>
      <w:marLeft w:val="0"/>
      <w:marRight w:val="0"/>
      <w:marTop w:val="0"/>
      <w:marBottom w:val="0"/>
      <w:divBdr>
        <w:top w:val="none" w:sz="0" w:space="0" w:color="auto"/>
        <w:left w:val="none" w:sz="0" w:space="0" w:color="auto"/>
        <w:bottom w:val="none" w:sz="0" w:space="0" w:color="auto"/>
        <w:right w:val="none" w:sz="0" w:space="0" w:color="auto"/>
      </w:divBdr>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07118950">
      <w:bodyDiv w:val="1"/>
      <w:marLeft w:val="0"/>
      <w:marRight w:val="0"/>
      <w:marTop w:val="0"/>
      <w:marBottom w:val="0"/>
      <w:divBdr>
        <w:top w:val="none" w:sz="0" w:space="0" w:color="auto"/>
        <w:left w:val="none" w:sz="0" w:space="0" w:color="auto"/>
        <w:bottom w:val="none" w:sz="0" w:space="0" w:color="auto"/>
        <w:right w:val="none" w:sz="0" w:space="0" w:color="auto"/>
      </w:divBdr>
    </w:div>
    <w:div w:id="1814641043">
      <w:bodyDiv w:val="1"/>
      <w:marLeft w:val="0"/>
      <w:marRight w:val="0"/>
      <w:marTop w:val="0"/>
      <w:marBottom w:val="0"/>
      <w:divBdr>
        <w:top w:val="none" w:sz="0" w:space="0" w:color="auto"/>
        <w:left w:val="none" w:sz="0" w:space="0" w:color="auto"/>
        <w:bottom w:val="none" w:sz="0" w:space="0" w:color="auto"/>
        <w:right w:val="none" w:sz="0" w:space="0" w:color="auto"/>
      </w:divBdr>
      <w:divsChild>
        <w:div w:id="1822112508">
          <w:marLeft w:val="480"/>
          <w:marRight w:val="0"/>
          <w:marTop w:val="0"/>
          <w:marBottom w:val="0"/>
          <w:divBdr>
            <w:top w:val="none" w:sz="0" w:space="0" w:color="auto"/>
            <w:left w:val="none" w:sz="0" w:space="0" w:color="auto"/>
            <w:bottom w:val="none" w:sz="0" w:space="0" w:color="auto"/>
            <w:right w:val="none" w:sz="0" w:space="0" w:color="auto"/>
          </w:divBdr>
          <w:divsChild>
            <w:div w:id="8238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9627">
      <w:bodyDiv w:val="1"/>
      <w:marLeft w:val="0"/>
      <w:marRight w:val="0"/>
      <w:marTop w:val="0"/>
      <w:marBottom w:val="0"/>
      <w:divBdr>
        <w:top w:val="none" w:sz="0" w:space="0" w:color="auto"/>
        <w:left w:val="none" w:sz="0" w:space="0" w:color="auto"/>
        <w:bottom w:val="none" w:sz="0" w:space="0" w:color="auto"/>
        <w:right w:val="none" w:sz="0" w:space="0" w:color="auto"/>
      </w:divBdr>
      <w:divsChild>
        <w:div w:id="25757609">
          <w:marLeft w:val="480"/>
          <w:marRight w:val="0"/>
          <w:marTop w:val="0"/>
          <w:marBottom w:val="0"/>
          <w:divBdr>
            <w:top w:val="none" w:sz="0" w:space="0" w:color="auto"/>
            <w:left w:val="none" w:sz="0" w:space="0" w:color="auto"/>
            <w:bottom w:val="none" w:sz="0" w:space="0" w:color="auto"/>
            <w:right w:val="none" w:sz="0" w:space="0" w:color="auto"/>
          </w:divBdr>
          <w:divsChild>
            <w:div w:id="18222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753493">
      <w:bodyDiv w:val="1"/>
      <w:marLeft w:val="0"/>
      <w:marRight w:val="0"/>
      <w:marTop w:val="0"/>
      <w:marBottom w:val="0"/>
      <w:divBdr>
        <w:top w:val="none" w:sz="0" w:space="0" w:color="auto"/>
        <w:left w:val="none" w:sz="0" w:space="0" w:color="auto"/>
        <w:bottom w:val="none" w:sz="0" w:space="0" w:color="auto"/>
        <w:right w:val="none" w:sz="0" w:space="0" w:color="auto"/>
      </w:divBdr>
      <w:divsChild>
        <w:div w:id="1185511919">
          <w:marLeft w:val="0"/>
          <w:marRight w:val="0"/>
          <w:marTop w:val="0"/>
          <w:marBottom w:val="0"/>
          <w:divBdr>
            <w:top w:val="single" w:sz="6" w:space="2" w:color="AAAAAA"/>
            <w:left w:val="single" w:sz="6" w:space="2" w:color="AAAAAA"/>
            <w:bottom w:val="single" w:sz="6" w:space="2" w:color="AAAAAA"/>
            <w:right w:val="single" w:sz="6" w:space="2" w:color="AAAAAA"/>
          </w:divBdr>
          <w:divsChild>
            <w:div w:id="1280142829">
              <w:marLeft w:val="0"/>
              <w:marRight w:val="0"/>
              <w:marTop w:val="0"/>
              <w:marBottom w:val="0"/>
              <w:divBdr>
                <w:top w:val="none" w:sz="0" w:space="0" w:color="auto"/>
                <w:left w:val="none" w:sz="0" w:space="0" w:color="auto"/>
                <w:bottom w:val="none" w:sz="0" w:space="0" w:color="auto"/>
                <w:right w:val="none" w:sz="0" w:space="0" w:color="auto"/>
              </w:divBdr>
              <w:divsChild>
                <w:div w:id="1979066830">
                  <w:marLeft w:val="0"/>
                  <w:marRight w:val="0"/>
                  <w:marTop w:val="0"/>
                  <w:marBottom w:val="0"/>
                  <w:divBdr>
                    <w:top w:val="none" w:sz="0" w:space="0" w:color="auto"/>
                    <w:left w:val="none" w:sz="0" w:space="0" w:color="auto"/>
                    <w:bottom w:val="none" w:sz="0" w:space="0" w:color="auto"/>
                    <w:right w:val="none" w:sz="0" w:space="0" w:color="auto"/>
                  </w:divBdr>
                  <w:divsChild>
                    <w:div w:id="407504926">
                      <w:marLeft w:val="75"/>
                      <w:marRight w:val="75"/>
                      <w:marTop w:val="75"/>
                      <w:marBottom w:val="75"/>
                      <w:divBdr>
                        <w:top w:val="single" w:sz="6" w:space="2" w:color="D5D5D5"/>
                        <w:left w:val="single" w:sz="6" w:space="2" w:color="D5D5D5"/>
                        <w:bottom w:val="single" w:sz="6" w:space="2" w:color="D5D5D5"/>
                        <w:right w:val="single" w:sz="6" w:space="2" w:color="D5D5D5"/>
                      </w:divBdr>
                      <w:divsChild>
                        <w:div w:id="405228366">
                          <w:marLeft w:val="0"/>
                          <w:marRight w:val="0"/>
                          <w:marTop w:val="0"/>
                          <w:marBottom w:val="0"/>
                          <w:divBdr>
                            <w:top w:val="none" w:sz="0" w:space="0" w:color="auto"/>
                            <w:left w:val="none" w:sz="0" w:space="0" w:color="auto"/>
                            <w:bottom w:val="none" w:sz="0" w:space="0" w:color="auto"/>
                            <w:right w:val="none" w:sz="0" w:space="0" w:color="auto"/>
                          </w:divBdr>
                          <w:divsChild>
                            <w:div w:id="20114424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1957953726">
      <w:bodyDiv w:val="1"/>
      <w:marLeft w:val="0"/>
      <w:marRight w:val="0"/>
      <w:marTop w:val="0"/>
      <w:marBottom w:val="0"/>
      <w:divBdr>
        <w:top w:val="none" w:sz="0" w:space="0" w:color="auto"/>
        <w:left w:val="none" w:sz="0" w:space="0" w:color="auto"/>
        <w:bottom w:val="none" w:sz="0" w:space="0" w:color="auto"/>
        <w:right w:val="none" w:sz="0" w:space="0" w:color="auto"/>
      </w:divBdr>
    </w:div>
    <w:div w:id="200936080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 w:id="2115592984">
      <w:bodyDiv w:val="1"/>
      <w:marLeft w:val="0"/>
      <w:marRight w:val="0"/>
      <w:marTop w:val="0"/>
      <w:marBottom w:val="0"/>
      <w:divBdr>
        <w:top w:val="none" w:sz="0" w:space="0" w:color="auto"/>
        <w:left w:val="none" w:sz="0" w:space="0" w:color="auto"/>
        <w:bottom w:val="none" w:sz="0" w:space="0" w:color="auto"/>
        <w:right w:val="none" w:sz="0" w:space="0" w:color="auto"/>
      </w:divBdr>
      <w:divsChild>
        <w:div w:id="729696798">
          <w:marLeft w:val="480"/>
          <w:marRight w:val="0"/>
          <w:marTop w:val="0"/>
          <w:marBottom w:val="0"/>
          <w:divBdr>
            <w:top w:val="none" w:sz="0" w:space="0" w:color="auto"/>
            <w:left w:val="none" w:sz="0" w:space="0" w:color="auto"/>
            <w:bottom w:val="none" w:sz="0" w:space="0" w:color="auto"/>
            <w:right w:val="none" w:sz="0" w:space="0" w:color="auto"/>
          </w:divBdr>
          <w:divsChild>
            <w:div w:id="20480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drawdown.org" TargetMode="External"/><Relationship Id="rId18" Type="http://schemas.openxmlformats.org/officeDocument/2006/relationships/image" Target="media/image4.png"/><Relationship Id="rId26" Type="http://schemas.openxmlformats.org/officeDocument/2006/relationships/hyperlink" Target="https://pangea.stanford.edu/ERE/db/WGC/papers/WGC/2015/02065.pdf" TargetMode="External"/><Relationship Id="rId39" Type="http://schemas.openxmlformats.org/officeDocument/2006/relationships/hyperlink" Target="https://www.equinor.com/en/news/07jun2018-energy-perspectives.html" TargetMode="External"/><Relationship Id="rId21" Type="http://schemas.openxmlformats.org/officeDocument/2006/relationships/hyperlink" Target="http://www.drawdown.org" TargetMode="External"/><Relationship Id="rId34" Type="http://schemas.openxmlformats.org/officeDocument/2006/relationships/hyperlink" Target="https://doi.org/10.2172/1406430" TargetMode="External"/><Relationship Id="rId42" Type="http://schemas.openxmlformats.org/officeDocument/2006/relationships/hyperlink" Target="https://www.imperial.ac.uk/media/imperial-college/grantham-institute/public/publications/collaborative-publications/Expect-the-Unexpected_CTI_Imperial.pdf" TargetMode="External"/><Relationship Id="rId47" Type="http://schemas.openxmlformats.org/officeDocument/2006/relationships/hyperlink" Target="https://webstore.iea.org/world-energy-outlook-2018" TargetMode="External"/><Relationship Id="rId50" Type="http://schemas.openxmlformats.org/officeDocument/2006/relationships/hyperlink" Target="file:///C:\perspective\levelized-cost-of-energy-and-levelized-cost-of-storage-2018\" TargetMode="External"/><Relationship Id="rId55" Type="http://schemas.openxmlformats.org/officeDocument/2006/relationships/hyperlink" Target="https://pangea.stanford.edu/ERE/pdf/IGAstandard/SGW/2004/Sanyal.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emf"/><Relationship Id="rId29" Type="http://schemas.openxmlformats.org/officeDocument/2006/relationships/hyperlink" Target="https://www.geothermal-energy.org/pdf/IGAstandard/WGC/2010/0225.pdf" TargetMode="External"/><Relationship Id="rId11" Type="http://schemas.openxmlformats.org/officeDocument/2006/relationships/hyperlink" Target="http://www.drawdown.org" TargetMode="External"/><Relationship Id="rId24" Type="http://schemas.openxmlformats.org/officeDocument/2006/relationships/chart" Target="charts/chart2.xml"/><Relationship Id="rId32" Type="http://schemas.openxmlformats.org/officeDocument/2006/relationships/hyperlink" Target="https://orkustofnun.is/gogn/unu-gtp-sc/UNU-GTP-SC-18-44.pdf" TargetMode="External"/><Relationship Id="rId37" Type="http://schemas.openxmlformats.org/officeDocument/2006/relationships/hyperlink" Target="https://orkustofnun.is/gogn/unu-gtp-sc/UNU-GTP-SC-12-33.pdf" TargetMode="External"/><Relationship Id="rId40" Type="http://schemas.openxmlformats.org/officeDocument/2006/relationships/hyperlink" Target="https://doi.org/10.1002/9781119200628.ch16" TargetMode="External"/><Relationship Id="rId45" Type="http://schemas.openxmlformats.org/officeDocument/2006/relationships/hyperlink" Target="https://www.iea.org/publications/freepublications/publication/EnergyTechnologyPerspectives2016_ExecutiveSummary_EnglishVersion.pdf" TargetMode="External"/><Relationship Id="rId53" Type="http://schemas.openxmlformats.org/officeDocument/2006/relationships/hyperlink" Target="https://brage.bibsys.no/xmlui/handle/11250/2558595" TargetMode="External"/><Relationship Id="rId58" Type="http://schemas.openxmlformats.org/officeDocument/2006/relationships/hyperlink" Target="https://www.worldenergy.org/publications/2016/world-energy-resources-2016/" TargetMode="External"/><Relationship Id="rId5" Type="http://schemas.openxmlformats.org/officeDocument/2006/relationships/settings" Target="settings.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hyperlink" Target="http://www.drawdown.org" TargetMode="External"/><Relationship Id="rId27" Type="http://schemas.openxmlformats.org/officeDocument/2006/relationships/hyperlink" Target="http://www.altenergystocks.com/archives/2013/03/dispatchable_geothermal_plant_may_shape_future_deals_1/" TargetMode="External"/><Relationship Id="rId30" Type="http://schemas.openxmlformats.org/officeDocument/2006/relationships/hyperlink" Target="https://doi.org/10.1016/j.enconman.2015.06.069" TargetMode="External"/><Relationship Id="rId35" Type="http://schemas.openxmlformats.org/officeDocument/2006/relationships/hyperlink" Target="https://e-reports-ext.llnl.gov/pdf/776358.pdf" TargetMode="External"/><Relationship Id="rId43" Type="http://schemas.openxmlformats.org/officeDocument/2006/relationships/hyperlink" Target="https://publications.csiro.au/rpr/pub?pid=csiro:EP178771" TargetMode="External"/><Relationship Id="rId48" Type="http://schemas.openxmlformats.org/officeDocument/2006/relationships/hyperlink" Target="https://eneken.ieej.or.jp/data/8122.pdf" TargetMode="External"/><Relationship Id="rId56" Type="http://schemas.openxmlformats.org/officeDocument/2006/relationships/hyperlink" Target="http://publications.jrc.ec.europa.eu/repository/handle/JRC85804" TargetMode="External"/><Relationship Id="rId8" Type="http://schemas.openxmlformats.org/officeDocument/2006/relationships/endnotes" Target="endnotes.xml"/><Relationship Id="rId51" Type="http://schemas.openxmlformats.org/officeDocument/2006/relationships/hyperlink" Target="https://www.netl.doe.gov/File%20Library/Research/Energy%20Analysis/Life%20Cycle%20Analysis/Technology-Assessment-Compilation-Report.pdf" TargetMode="External"/><Relationship Id="rId3" Type="http://schemas.openxmlformats.org/officeDocument/2006/relationships/numbering" Target="numbering.xml"/><Relationship Id="rId12" Type="http://schemas.openxmlformats.org/officeDocument/2006/relationships/hyperlink" Target="mailto:info@drawdown.org" TargetMode="External"/><Relationship Id="rId17" Type="http://schemas.openxmlformats.org/officeDocument/2006/relationships/image" Target="media/image3.png"/><Relationship Id="rId25" Type="http://schemas.openxmlformats.org/officeDocument/2006/relationships/chart" Target="charts/chart3.xml"/><Relationship Id="rId33" Type="http://schemas.openxmlformats.org/officeDocument/2006/relationships/hyperlink" Target="https://www.navigant.com/-/media/www/site/downloads/energy/2018/navigant2018energytransitionwithin15c.pdf" TargetMode="External"/><Relationship Id="rId38" Type="http://schemas.openxmlformats.org/officeDocument/2006/relationships/hyperlink" Target="https://www.epa.gov/sites/production/files/2016-09/documents/webinar_kent_20160928.pdf" TargetMode="External"/><Relationship Id="rId46" Type="http://schemas.openxmlformats.org/officeDocument/2006/relationships/hyperlink" Target="https://www.iea.org/etp/" TargetMode="External"/><Relationship Id="rId59"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hyperlink" Target="http://geo-energy.org/events/2014%20Annual%20US%20&amp;%20Global%20Geothermal%20Power%20Production%20Report%20Final.pdf" TargetMode="External"/><Relationship Id="rId54" Type="http://schemas.openxmlformats.org/officeDocument/2006/relationships/hyperlink" Target="http://energywatchgroup.org/wp-content/uploads/EWG_LUT_100RE_All_Sectors_Global_Report_2019.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1.xml"/><Relationship Id="rId28" Type="http://schemas.openxmlformats.org/officeDocument/2006/relationships/hyperlink" Target="http://about.bnef.com/white-papers/sustainable-energy-in-america-2014-factbook/" TargetMode="External"/><Relationship Id="rId36" Type="http://schemas.openxmlformats.org/officeDocument/2006/relationships/hyperlink" Target="https://doi.org/10.1016/j.geothermics.2013.05.001" TargetMode="External"/><Relationship Id="rId49" Type="http://schemas.openxmlformats.org/officeDocument/2006/relationships/hyperlink" Target="https://www.lazard.com/perspective/levelized-cost-of-energy-analysis-100/" TargetMode="External"/><Relationship Id="rId57" Type="http://schemas.openxmlformats.org/officeDocument/2006/relationships/hyperlink" Target="https://www.stoel.com/brief-anatomy-of-a-geothermal-power-purchase-agreement" TargetMode="External"/><Relationship Id="rId10" Type="http://schemas.openxmlformats.org/officeDocument/2006/relationships/hyperlink" Target="mailto:info@drawdown.org" TargetMode="External"/><Relationship Id="rId31" Type="http://schemas.openxmlformats.org/officeDocument/2006/relationships/hyperlink" Target="https://doi.org/10.1016/j.energy.2015.04.048" TargetMode="External"/><Relationship Id="rId44" Type="http://schemas.openxmlformats.org/officeDocument/2006/relationships/hyperlink" Target="https://doi.org/10.1016/j.eneco.2013.08.010" TargetMode="External"/><Relationship Id="rId52" Type="http://schemas.openxmlformats.org/officeDocument/2006/relationships/hyperlink" Target="https://www.iea.org/weo/" TargetMode="External"/><Relationship Id="rId6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Geothermal_RRS_ELECGEN_v1.1b_26Jun2020.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Geothermal_RRS_ELECGEN_v1.1b_26Jun2020.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joaopedrogouveia/Desktop/DD/1_ELC%20Sector_Global%20Models%20Versions/14_29June%202020/Geothermal_RRS_ELECGEN_v1.1b_26Jun2020.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AutoResults!$AH$8</c:f>
          <c:strCache>
            <c:ptCount val="1"/>
            <c:pt idx="0">
              <c:v>World Adoption in Functional Units (TWh)</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AutoResults!$AI$10</c:f>
              <c:strCache>
                <c:ptCount val="1"/>
                <c:pt idx="0">
                  <c:v>Indicative REF</c:v>
                </c:pt>
              </c:strCache>
            </c:strRef>
          </c:tx>
          <c:spPr>
            <a:ln>
              <a:solidFill>
                <a:schemeClr val="tx1"/>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AutoResults!$AI$12:$AI$57</c:f>
              <c:numCache>
                <c:formatCode>_-* #\ ##0_-;\-* #\ ##0_-;_-* "-"??_-;_-@_-</c:formatCode>
                <c:ptCount val="46"/>
                <c:pt idx="0">
                  <c:v>80.680000000000007</c:v>
                </c:pt>
                <c:pt idx="1">
                  <c:v>83.111999999999995</c:v>
                </c:pt>
                <c:pt idx="2">
                  <c:v>85.977999999999994</c:v>
                </c:pt>
                <c:pt idx="3">
                  <c:v>89.582533333333231</c:v>
                </c:pt>
                <c:pt idx="4">
                  <c:v>92.713166187755633</c:v>
                </c:pt>
                <c:pt idx="5">
                  <c:v>95.843799042178944</c:v>
                </c:pt>
                <c:pt idx="6">
                  <c:v>98.974431896602255</c:v>
                </c:pt>
                <c:pt idx="7">
                  <c:v>102.10506475102557</c:v>
                </c:pt>
                <c:pt idx="8">
                  <c:v>105.23569760544888</c:v>
                </c:pt>
                <c:pt idx="9">
                  <c:v>108.36633045987219</c:v>
                </c:pt>
                <c:pt idx="10">
                  <c:v>111.4969633142955</c:v>
                </c:pt>
                <c:pt idx="11">
                  <c:v>114.62759616871881</c:v>
                </c:pt>
                <c:pt idx="12">
                  <c:v>117.75822902314121</c:v>
                </c:pt>
                <c:pt idx="13">
                  <c:v>120.88886187756452</c:v>
                </c:pt>
                <c:pt idx="14">
                  <c:v>124.01949473198783</c:v>
                </c:pt>
                <c:pt idx="15">
                  <c:v>127.15012758641114</c:v>
                </c:pt>
                <c:pt idx="16">
                  <c:v>130.28076044083446</c:v>
                </c:pt>
                <c:pt idx="17">
                  <c:v>133.41139329525777</c:v>
                </c:pt>
                <c:pt idx="18">
                  <c:v>136.54202614968108</c:v>
                </c:pt>
                <c:pt idx="19">
                  <c:v>139.67265900410439</c:v>
                </c:pt>
                <c:pt idx="20">
                  <c:v>142.8032918585277</c:v>
                </c:pt>
                <c:pt idx="21">
                  <c:v>145.9339247129501</c:v>
                </c:pt>
                <c:pt idx="22">
                  <c:v>149.06455756737341</c:v>
                </c:pt>
                <c:pt idx="23">
                  <c:v>152.19519042179672</c:v>
                </c:pt>
                <c:pt idx="24">
                  <c:v>155.32582327622004</c:v>
                </c:pt>
                <c:pt idx="25">
                  <c:v>158.45645613064335</c:v>
                </c:pt>
                <c:pt idx="26">
                  <c:v>161.58708898506666</c:v>
                </c:pt>
                <c:pt idx="27">
                  <c:v>164.71772183948997</c:v>
                </c:pt>
                <c:pt idx="28">
                  <c:v>167.84835469391328</c:v>
                </c:pt>
                <c:pt idx="29">
                  <c:v>170.97898754833568</c:v>
                </c:pt>
                <c:pt idx="30">
                  <c:v>174.10962040275899</c:v>
                </c:pt>
                <c:pt idx="31">
                  <c:v>177.2402532571823</c:v>
                </c:pt>
                <c:pt idx="32">
                  <c:v>180.37088611160561</c:v>
                </c:pt>
                <c:pt idx="33">
                  <c:v>183.50151896602893</c:v>
                </c:pt>
                <c:pt idx="34">
                  <c:v>186.63215182045224</c:v>
                </c:pt>
                <c:pt idx="35">
                  <c:v>189.76278467487555</c:v>
                </c:pt>
                <c:pt idx="36">
                  <c:v>192.89341752929886</c:v>
                </c:pt>
                <c:pt idx="37">
                  <c:v>196.02405038372217</c:v>
                </c:pt>
                <c:pt idx="38">
                  <c:v>199.15468323814457</c:v>
                </c:pt>
                <c:pt idx="39">
                  <c:v>202.28531609256788</c:v>
                </c:pt>
                <c:pt idx="40">
                  <c:v>205.41594894699119</c:v>
                </c:pt>
                <c:pt idx="41">
                  <c:v>208.5465818014145</c:v>
                </c:pt>
                <c:pt idx="42">
                  <c:v>211.67721465583782</c:v>
                </c:pt>
                <c:pt idx="43">
                  <c:v>214.80784751026113</c:v>
                </c:pt>
                <c:pt idx="44">
                  <c:v>217.93848036468444</c:v>
                </c:pt>
                <c:pt idx="45">
                  <c:v>221.06911321910775</c:v>
                </c:pt>
              </c:numCache>
            </c:numRef>
          </c:val>
          <c:smooth val="1"/>
          <c:extLst>
            <c:ext xmlns:c16="http://schemas.microsoft.com/office/drawing/2014/chart" uri="{C3380CC4-5D6E-409C-BE32-E72D297353CC}">
              <c16:uniqueId val="{00000000-5E45-B242-AAEE-36B367B4B0FF}"/>
            </c:ext>
          </c:extLst>
        </c:ser>
        <c:ser>
          <c:idx val="1"/>
          <c:order val="1"/>
          <c:tx>
            <c:strRef>
              <c:f>AutoResults!$AJ$10</c:f>
              <c:strCache>
                <c:ptCount val="1"/>
                <c:pt idx="0">
                  <c:v>Plausible</c:v>
                </c:pt>
              </c:strCache>
            </c:strRef>
          </c:tx>
          <c:spPr>
            <a:ln>
              <a:solidFill>
                <a:srgbClr val="3571B6"/>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AutoResults!$AJ$12:$AJ$57</c:f>
              <c:numCache>
                <c:formatCode>_-* #\ ##0_-;\-* #\ ##0_-;_-* "-"??_-;_-@_-</c:formatCode>
                <c:ptCount val="46"/>
                <c:pt idx="0">
                  <c:v>77.356771892218021</c:v>
                </c:pt>
                <c:pt idx="1">
                  <c:v>85.145255713275162</c:v>
                </c:pt>
                <c:pt idx="2">
                  <c:v>95.594503314016521</c:v>
                </c:pt>
                <c:pt idx="3">
                  <c:v>108.60429838858548</c:v>
                </c:pt>
                <c:pt idx="4">
                  <c:v>124.07442463112538</c:v>
                </c:pt>
                <c:pt idx="5">
                  <c:v>141.90466573577959</c:v>
                </c:pt>
                <c:pt idx="6">
                  <c:v>161.9948053966915</c:v>
                </c:pt>
                <c:pt idx="7">
                  <c:v>184.24462730800443</c:v>
                </c:pt>
                <c:pt idx="8">
                  <c:v>208.55391516386175</c:v>
                </c:pt>
                <c:pt idx="9">
                  <c:v>234.8224526584068</c:v>
                </c:pt>
                <c:pt idx="10">
                  <c:v>262.95002348578299</c:v>
                </c:pt>
                <c:pt idx="11">
                  <c:v>292.83641134013362</c:v>
                </c:pt>
                <c:pt idx="12">
                  <c:v>324.38139991560212</c:v>
                </c:pt>
                <c:pt idx="13">
                  <c:v>357.48477290633184</c:v>
                </c:pt>
                <c:pt idx="14">
                  <c:v>392.04631400646605</c:v>
                </c:pt>
                <c:pt idx="15">
                  <c:v>427.96580691014822</c:v>
                </c:pt>
                <c:pt idx="16">
                  <c:v>465.14303531152166</c:v>
                </c:pt>
                <c:pt idx="17">
                  <c:v>503.47778290472974</c:v>
                </c:pt>
                <c:pt idx="18">
                  <c:v>542.86983338391587</c:v>
                </c:pt>
                <c:pt idx="19">
                  <c:v>583.21897044322327</c:v>
                </c:pt>
                <c:pt idx="20">
                  <c:v>624.42497777679546</c:v>
                </c:pt>
                <c:pt idx="21">
                  <c:v>666.38763907877569</c:v>
                </c:pt>
                <c:pt idx="22">
                  <c:v>709.00673804330745</c:v>
                </c:pt>
                <c:pt idx="23">
                  <c:v>752.18205836453376</c:v>
                </c:pt>
                <c:pt idx="24">
                  <c:v>795.81338373659855</c:v>
                </c:pt>
                <c:pt idx="25">
                  <c:v>839.80049785364463</c:v>
                </c:pt>
                <c:pt idx="26">
                  <c:v>884.04318440981592</c:v>
                </c:pt>
                <c:pt idx="27">
                  <c:v>928.441227099255</c:v>
                </c:pt>
                <c:pt idx="28">
                  <c:v>972.89440961610603</c:v>
                </c:pt>
                <c:pt idx="29">
                  <c:v>1017.3025156545118</c:v>
                </c:pt>
                <c:pt idx="30">
                  <c:v>1061.565328908616</c:v>
                </c:pt>
                <c:pt idx="31">
                  <c:v>1105.582633072562</c:v>
                </c:pt>
                <c:pt idx="32">
                  <c:v>1149.2542118404931</c:v>
                </c:pt>
                <c:pt idx="33">
                  <c:v>1192.4798489065524</c:v>
                </c:pt>
                <c:pt idx="34">
                  <c:v>1235.1593279648837</c:v>
                </c:pt>
                <c:pt idx="35">
                  <c:v>1277.1924327096299</c:v>
                </c:pt>
                <c:pt idx="36">
                  <c:v>1318.4789468349345</c:v>
                </c:pt>
                <c:pt idx="37">
                  <c:v>1358.9186540349413</c:v>
                </c:pt>
                <c:pt idx="38">
                  <c:v>1398.4113380037929</c:v>
                </c:pt>
                <c:pt idx="39">
                  <c:v>1436.8567824356335</c:v>
                </c:pt>
                <c:pt idx="40">
                  <c:v>1474.1547710246059</c:v>
                </c:pt>
                <c:pt idx="41">
                  <c:v>1510.2050874648535</c:v>
                </c:pt>
                <c:pt idx="42">
                  <c:v>1544.9075154505197</c:v>
                </c:pt>
                <c:pt idx="43">
                  <c:v>1578.1618386757482</c:v>
                </c:pt>
                <c:pt idx="44">
                  <c:v>1609.8678408346816</c:v>
                </c:pt>
                <c:pt idx="45">
                  <c:v>1639.9253056214643</c:v>
                </c:pt>
              </c:numCache>
            </c:numRef>
          </c:val>
          <c:smooth val="0"/>
          <c:extLst>
            <c:ext xmlns:c16="http://schemas.microsoft.com/office/drawing/2014/chart" uri="{C3380CC4-5D6E-409C-BE32-E72D297353CC}">
              <c16:uniqueId val="{00000001-5E45-B242-AAEE-36B367B4B0FF}"/>
            </c:ext>
          </c:extLst>
        </c:ser>
        <c:ser>
          <c:idx val="2"/>
          <c:order val="2"/>
          <c:tx>
            <c:strRef>
              <c:f>AutoResults!$AK$10</c:f>
              <c:strCache>
                <c:ptCount val="1"/>
                <c:pt idx="0">
                  <c:v>Drawdown</c:v>
                </c:pt>
              </c:strCache>
            </c:strRef>
          </c:tx>
          <c:spPr>
            <a:ln>
              <a:solidFill>
                <a:srgbClr val="6A9FDD"/>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AutoResults!$AK$12:$AK$57</c:f>
              <c:numCache>
                <c:formatCode>_-* #\ ##0_-;\-* #\ ##0_-;_-* "-"??_-;_-@_-</c:formatCode>
                <c:ptCount val="46"/>
                <c:pt idx="0">
                  <c:v>73.646358941096594</c:v>
                </c:pt>
                <c:pt idx="1">
                  <c:v>83.210059464001034</c:v>
                </c:pt>
                <c:pt idx="2">
                  <c:v>97.506155958546543</c:v>
                </c:pt>
                <c:pt idx="3">
                  <c:v>116.32051750490895</c:v>
                </c:pt>
                <c:pt idx="4">
                  <c:v>139.43901318326408</c:v>
                </c:pt>
                <c:pt idx="5">
                  <c:v>166.64751207378782</c:v>
                </c:pt>
                <c:pt idx="6">
                  <c:v>197.731883256656</c:v>
                </c:pt>
                <c:pt idx="7">
                  <c:v>232.47799581204447</c:v>
                </c:pt>
                <c:pt idx="8">
                  <c:v>270.67171882012906</c:v>
                </c:pt>
                <c:pt idx="9">
                  <c:v>312.09892136108562</c:v>
                </c:pt>
                <c:pt idx="10">
                  <c:v>356.54547251509001</c:v>
                </c:pt>
                <c:pt idx="11">
                  <c:v>403.79724136231812</c:v>
                </c:pt>
                <c:pt idx="12">
                  <c:v>453.64009698294569</c:v>
                </c:pt>
                <c:pt idx="13">
                  <c:v>505.85990845714861</c:v>
                </c:pt>
                <c:pt idx="14">
                  <c:v>560.24254486510279</c:v>
                </c:pt>
                <c:pt idx="15">
                  <c:v>616.57387528698393</c:v>
                </c:pt>
                <c:pt idx="16">
                  <c:v>674.63976880296809</c:v>
                </c:pt>
                <c:pt idx="17">
                  <c:v>734.2260944932309</c:v>
                </c:pt>
                <c:pt idx="18">
                  <c:v>795.11872143794835</c:v>
                </c:pt>
                <c:pt idx="19">
                  <c:v>857.10351871729608</c:v>
                </c:pt>
                <c:pt idx="20">
                  <c:v>919.96635541145031</c:v>
                </c:pt>
                <c:pt idx="21">
                  <c:v>983.49310060058667</c:v>
                </c:pt>
                <c:pt idx="22">
                  <c:v>1047.469623364881</c:v>
                </c:pt>
                <c:pt idx="23">
                  <c:v>1111.6817927845091</c:v>
                </c:pt>
                <c:pt idx="24">
                  <c:v>1175.9154779396467</c:v>
                </c:pt>
                <c:pt idx="25">
                  <c:v>1239.9565479104701</c:v>
                </c:pt>
                <c:pt idx="26">
                  <c:v>1303.5908717771547</c:v>
                </c:pt>
                <c:pt idx="27">
                  <c:v>1366.6043186198767</c:v>
                </c:pt>
                <c:pt idx="28">
                  <c:v>1428.7827575188116</c:v>
                </c:pt>
                <c:pt idx="29">
                  <c:v>1489.9120575541353</c:v>
                </c:pt>
                <c:pt idx="30">
                  <c:v>1549.7780878060239</c:v>
                </c:pt>
                <c:pt idx="31">
                  <c:v>1608.166717354653</c:v>
                </c:pt>
                <c:pt idx="32">
                  <c:v>1664.8638152801984</c:v>
                </c:pt>
                <c:pt idx="33">
                  <c:v>1719.6552506628366</c:v>
                </c:pt>
                <c:pt idx="34">
                  <c:v>1772.3268925827426</c:v>
                </c:pt>
                <c:pt idx="35">
                  <c:v>1822.6646101200927</c:v>
                </c:pt>
                <c:pt idx="36">
                  <c:v>1870.4542723550626</c:v>
                </c:pt>
                <c:pt idx="37">
                  <c:v>1915.4817483678278</c:v>
                </c:pt>
                <c:pt idx="38">
                  <c:v>1957.5329072385648</c:v>
                </c:pt>
                <c:pt idx="39">
                  <c:v>1996.3936180474486</c:v>
                </c:pt>
                <c:pt idx="40">
                  <c:v>2031.8497498746565</c:v>
                </c:pt>
                <c:pt idx="41">
                  <c:v>2063.6871718003631</c:v>
                </c:pt>
                <c:pt idx="42">
                  <c:v>2091.6917529047441</c:v>
                </c:pt>
                <c:pt idx="43">
                  <c:v>2115.6493622679773</c:v>
                </c:pt>
                <c:pt idx="44">
                  <c:v>2135.3458689702366</c:v>
                </c:pt>
                <c:pt idx="45">
                  <c:v>2150.5671420916979</c:v>
                </c:pt>
              </c:numCache>
            </c:numRef>
          </c:val>
          <c:smooth val="0"/>
          <c:extLst>
            <c:ext xmlns:c16="http://schemas.microsoft.com/office/drawing/2014/chart" uri="{C3380CC4-5D6E-409C-BE32-E72D297353CC}">
              <c16:uniqueId val="{00000002-5E45-B242-AAEE-36B367B4B0FF}"/>
            </c:ext>
          </c:extLst>
        </c:ser>
        <c:ser>
          <c:idx val="3"/>
          <c:order val="3"/>
          <c:tx>
            <c:strRef>
              <c:f>AutoResults!$AL$10</c:f>
              <c:strCache>
                <c:ptCount val="1"/>
                <c:pt idx="0">
                  <c:v>Optimum</c:v>
                </c:pt>
              </c:strCache>
            </c:strRef>
          </c:tx>
          <c:spPr>
            <a:ln>
              <a:solidFill>
                <a:srgbClr val="B5D5FA"/>
              </a:solidFill>
            </a:ln>
          </c:spPr>
          <c:marker>
            <c:symbol val="none"/>
          </c:marker>
          <c:cat>
            <c:numRef>
              <c:f>AutoResults!$AH$12:$AH$57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AutoResults!$AL$12:$AL$57</c:f>
              <c:numCache>
                <c:formatCode>_-* #\ ##0_-;\-* #\ ##0_-;_-* "-"??_-;_-@_-</c:formatCode>
                <c:ptCount val="46"/>
                <c:pt idx="0">
                  <c:v>80.680000000000007</c:v>
                </c:pt>
                <c:pt idx="1">
                  <c:v>83.111999999999995</c:v>
                </c:pt>
                <c:pt idx="2">
                  <c:v>85.977999999999994</c:v>
                </c:pt>
                <c:pt idx="3">
                  <c:v>117.56872630792282</c:v>
                </c:pt>
                <c:pt idx="4">
                  <c:v>161.14360996653275</c:v>
                </c:pt>
                <c:pt idx="5">
                  <c:v>222.62122447184902</c:v>
                </c:pt>
                <c:pt idx="6">
                  <c:v>262.6298723530964</c:v>
                </c:pt>
                <c:pt idx="7">
                  <c:v>321.18929430024701</c:v>
                </c:pt>
                <c:pt idx="8">
                  <c:v>384.92421358953766</c:v>
                </c:pt>
                <c:pt idx="9">
                  <c:v>453.1558298120392</c:v>
                </c:pt>
                <c:pt idx="10">
                  <c:v>518.13262318347654</c:v>
                </c:pt>
                <c:pt idx="11">
                  <c:v>617.09511884150106</c:v>
                </c:pt>
                <c:pt idx="12">
                  <c:v>708.10495734649442</c:v>
                </c:pt>
                <c:pt idx="13">
                  <c:v>805.07158300411766</c:v>
                </c:pt>
                <c:pt idx="14">
                  <c:v>907.8074062119282</c:v>
                </c:pt>
                <c:pt idx="15">
                  <c:v>1014.1224821783622</c:v>
                </c:pt>
                <c:pt idx="16">
                  <c:v>1129.83628686834</c:v>
                </c:pt>
                <c:pt idx="17">
                  <c:v>1248.7541651120562</c:v>
                </c:pt>
                <c:pt idx="18">
                  <c:v>1372.690882496189</c:v>
                </c:pt>
                <c:pt idx="19">
                  <c:v>1501.4588494182956</c:v>
                </c:pt>
                <c:pt idx="20">
                  <c:v>1651.3285950870002</c:v>
                </c:pt>
                <c:pt idx="21">
                  <c:v>1772.7381734666606</c:v>
                </c:pt>
                <c:pt idx="22">
                  <c:v>1914.8743513880336</c:v>
                </c:pt>
                <c:pt idx="23">
                  <c:v>2061.0914204376095</c:v>
                </c:pt>
                <c:pt idx="24">
                  <c:v>2211.2017910129466</c:v>
                </c:pt>
                <c:pt idx="25">
                  <c:v>2365.071956137017</c:v>
                </c:pt>
                <c:pt idx="26">
                  <c:v>2522.3520783311337</c:v>
                </c:pt>
                <c:pt idx="27">
                  <c:v>2683.0168158690967</c:v>
                </c:pt>
                <c:pt idx="28">
                  <c:v>2846.8244965230501</c:v>
                </c:pt>
                <c:pt idx="29">
                  <c:v>3013.5875306905523</c:v>
                </c:pt>
                <c:pt idx="30">
                  <c:v>3176.5109253657843</c:v>
                </c:pt>
                <c:pt idx="31">
                  <c:v>3355.2293011564275</c:v>
                </c:pt>
                <c:pt idx="32">
                  <c:v>3529.7328582499158</c:v>
                </c:pt>
                <c:pt idx="33">
                  <c:v>3706.4414104471812</c:v>
                </c:pt>
                <c:pt idx="34">
                  <c:v>3885.167368145781</c:v>
                </c:pt>
                <c:pt idx="35">
                  <c:v>4064.8392763564748</c:v>
                </c:pt>
                <c:pt idx="36">
                  <c:v>4247.9211416372127</c:v>
                </c:pt>
                <c:pt idx="37">
                  <c:v>4431.5737782251608</c:v>
                </c:pt>
                <c:pt idx="38">
                  <c:v>4616.4934619046717</c:v>
                </c:pt>
                <c:pt idx="39">
                  <c:v>4802.492603073305</c:v>
                </c:pt>
                <c:pt idx="40">
                  <c:v>4989.3836121286149</c:v>
                </c:pt>
                <c:pt idx="41">
                  <c:v>5176.9788994681612</c:v>
                </c:pt>
                <c:pt idx="42">
                  <c:v>5365.0908754895017</c:v>
                </c:pt>
                <c:pt idx="43">
                  <c:v>5553.5319505901925</c:v>
                </c:pt>
                <c:pt idx="44">
                  <c:v>5742.1145351677915</c:v>
                </c:pt>
                <c:pt idx="45">
                  <c:v>5930.6510396198546</c:v>
                </c:pt>
              </c:numCache>
            </c:numRef>
          </c:val>
          <c:smooth val="0"/>
          <c:extLst>
            <c:ext xmlns:c16="http://schemas.microsoft.com/office/drawing/2014/chart" uri="{C3380CC4-5D6E-409C-BE32-E72D297353CC}">
              <c16:uniqueId val="{00000003-5E45-B242-AAEE-36B367B4B0FF}"/>
            </c:ext>
          </c:extLst>
        </c:ser>
        <c:dLbls>
          <c:showLegendKey val="0"/>
          <c:showVal val="0"/>
          <c:showCatName val="0"/>
          <c:showSerName val="0"/>
          <c:showPercent val="0"/>
          <c:showBubbleSize val="0"/>
        </c:dLbls>
        <c:smooth val="0"/>
        <c:axId val="-835288544"/>
        <c:axId val="-835292352"/>
        <c:extLst/>
      </c:lineChart>
      <c:catAx>
        <c:axId val="-835288544"/>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35292352"/>
        <c:crossesAt val="0"/>
        <c:auto val="1"/>
        <c:lblAlgn val="ctr"/>
        <c:lblOffset val="100"/>
        <c:tickLblSkip val="5"/>
        <c:tickMarkSkip val="5"/>
        <c:noMultiLvlLbl val="0"/>
      </c:catAx>
      <c:valAx>
        <c:axId val="-835292352"/>
        <c:scaling>
          <c:orientation val="minMax"/>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35288544"/>
        <c:crosses val="autoZero"/>
        <c:crossBetween val="between"/>
      </c:valAx>
    </c:plotArea>
    <c:legend>
      <c:legendPos val="r"/>
      <c:layout>
        <c:manualLayout>
          <c:xMode val="edge"/>
          <c:yMode val="edge"/>
          <c:x val="0.77489668729680394"/>
          <c:y val="0.29539581019756234"/>
          <c:w val="0.22510331270319606"/>
          <c:h val="0.4315678169429249"/>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AutoResults!$AZ$8</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AutoResults!$BB$10</c:f>
              <c:strCache>
                <c:ptCount val="1"/>
                <c:pt idx="0">
                  <c:v>Plausible</c:v>
                </c:pt>
              </c:strCache>
            </c:strRef>
          </c:tx>
          <c:spPr>
            <a:ln>
              <a:solidFill>
                <a:srgbClr val="3571B6"/>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AutoResults!$BB$12:$BB$57</c:f>
              <c:numCache>
                <c:formatCode>_-* #\ ##0_-;\-* #\ ##0_-;_-* "-"??_-;_-@_-</c:formatCode>
                <c:ptCount val="45"/>
                <c:pt idx="0">
                  <c:v>0</c:v>
                </c:pt>
                <c:pt idx="1">
                  <c:v>0</c:v>
                </c:pt>
                <c:pt idx="2">
                  <c:v>9.5037303777952857</c:v>
                </c:pt>
                <c:pt idx="3">
                  <c:v>15.57147794657045</c:v>
                </c:pt>
                <c:pt idx="4">
                  <c:v>22.699578090288462</c:v>
                </c:pt>
                <c:pt idx="5">
                  <c:v>30.83499821549464</c:v>
                </c:pt>
                <c:pt idx="6">
                  <c:v>39.904398891523407</c:v>
                </c:pt>
                <c:pt idx="7">
                  <c:v>49.842904406262605</c:v>
                </c:pt>
                <c:pt idx="8">
                  <c:v>60.585858944792527</c:v>
                </c:pt>
                <c:pt idx="9">
                  <c:v>72.119490225135777</c:v>
                </c:pt>
                <c:pt idx="10">
                  <c:v>84.234463934481383</c:v>
                </c:pt>
                <c:pt idx="11">
                  <c:v>97.018314069629639</c:v>
                </c:pt>
                <c:pt idx="12">
                  <c:v>110.36275170125226</c:v>
                </c:pt>
                <c:pt idx="13">
                  <c:v>124.20984522378595</c:v>
                </c:pt>
                <c:pt idx="14">
                  <c:v>138.54148924792861</c:v>
                </c:pt>
                <c:pt idx="15">
                  <c:v>153.18524767630564</c:v>
                </c:pt>
                <c:pt idx="16">
                  <c:v>168.20244847343648</c:v>
                </c:pt>
                <c:pt idx="17">
                  <c:v>183.49996923563631</c:v>
                </c:pt>
                <c:pt idx="18">
                  <c:v>199.02427229778095</c:v>
                </c:pt>
                <c:pt idx="19">
                  <c:v>214.68448650730568</c:v>
                </c:pt>
                <c:pt idx="20">
                  <c:v>230.53394708842711</c:v>
                </c:pt>
                <c:pt idx="21">
                  <c:v>246.41670067332669</c:v>
                </c:pt>
                <c:pt idx="22">
                  <c:v>262.31733995008915</c:v>
                </c:pt>
                <c:pt idx="23">
                  <c:v>278.17702528600461</c:v>
                </c:pt>
                <c:pt idx="24">
                  <c:v>293.81306326758477</c:v>
                </c:pt>
                <c:pt idx="25">
                  <c:v>309.60764250970317</c:v>
                </c:pt>
                <c:pt idx="26">
                  <c:v>325.08101261044879</c:v>
                </c:pt>
                <c:pt idx="27">
                  <c:v>340.32742628673373</c:v>
                </c:pt>
                <c:pt idx="28">
                  <c:v>355.30001717186644</c:v>
                </c:pt>
                <c:pt idx="29">
                  <c:v>369.85922809826957</c:v>
                </c:pt>
                <c:pt idx="30">
                  <c:v>384.23996061285112</c:v>
                </c:pt>
                <c:pt idx="31">
                  <c:v>398.11736513698116</c:v>
                </c:pt>
                <c:pt idx="32">
                  <c:v>411.54112011530145</c:v>
                </c:pt>
                <c:pt idx="33">
                  <c:v>424.94975582924576</c:v>
                </c:pt>
                <c:pt idx="34">
                  <c:v>438.84395495485171</c:v>
                </c:pt>
                <c:pt idx="35">
                  <c:v>452.09662404300741</c:v>
                </c:pt>
                <c:pt idx="36">
                  <c:v>464.94834722867938</c:v>
                </c:pt>
                <c:pt idx="37">
                  <c:v>477.2403805890184</c:v>
                </c:pt>
                <c:pt idx="38">
                  <c:v>488.93180531482039</c:v>
                </c:pt>
                <c:pt idx="39">
                  <c:v>499.93056346800756</c:v>
                </c:pt>
                <c:pt idx="40">
                  <c:v>510.35359540901851</c:v>
                </c:pt>
                <c:pt idx="41">
                  <c:v>520.00679187499634</c:v>
                </c:pt>
                <c:pt idx="42">
                  <c:v>528.90519607669603</c:v>
                </c:pt>
                <c:pt idx="43">
                  <c:v>537.0130199721965</c:v>
                </c:pt>
                <c:pt idx="44">
                  <c:v>544.52062826058477</c:v>
                </c:pt>
              </c:numCache>
              <c:extLst/>
            </c:numRef>
          </c:val>
          <c:smooth val="0"/>
          <c:extLst>
            <c:ext xmlns:c16="http://schemas.microsoft.com/office/drawing/2014/chart" uri="{C3380CC4-5D6E-409C-BE32-E72D297353CC}">
              <c16:uniqueId val="{00000000-D934-814E-A7DB-CD0568F85B00}"/>
            </c:ext>
          </c:extLst>
        </c:ser>
        <c:ser>
          <c:idx val="2"/>
          <c:order val="1"/>
          <c:tx>
            <c:strRef>
              <c:f>AutoResults!$BC$10</c:f>
              <c:strCache>
                <c:ptCount val="1"/>
                <c:pt idx="0">
                  <c:v>Drawdown</c:v>
                </c:pt>
              </c:strCache>
            </c:strRef>
          </c:tx>
          <c:spPr>
            <a:ln>
              <a:solidFill>
                <a:srgbClr val="6A9FDD"/>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AutoResults!$BC$12:$BC$57</c:f>
              <c:numCache>
                <c:formatCode>_-* #\ ##0_-;\-* #\ ##0_-;_-* "-"??_-;_-@_-</c:formatCode>
                <c:ptCount val="45"/>
                <c:pt idx="0">
                  <c:v>0</c:v>
                </c:pt>
                <c:pt idx="1">
                  <c:v>0</c:v>
                </c:pt>
                <c:pt idx="2">
                  <c:v>13.358938651292467</c:v>
                </c:pt>
                <c:pt idx="3">
                  <c:v>23.200296548661257</c:v>
                </c:pt>
                <c:pt idx="4">
                  <c:v>34.893273366622843</c:v>
                </c:pt>
                <c:pt idx="5">
                  <c:v>48.320656754751589</c:v>
                </c:pt>
                <c:pt idx="6">
                  <c:v>63.336756171633183</c:v>
                </c:pt>
                <c:pt idx="7">
                  <c:v>79.809853340663892</c:v>
                </c:pt>
                <c:pt idx="8">
                  <c:v>97.609461686791107</c:v>
                </c:pt>
                <c:pt idx="9">
                  <c:v>116.68812465050385</c:v>
                </c:pt>
                <c:pt idx="10">
                  <c:v>136.68263281800955</c:v>
                </c:pt>
                <c:pt idx="11">
                  <c:v>157.71073696753132</c:v>
                </c:pt>
                <c:pt idx="12">
                  <c:v>179.57395730591469</c:v>
                </c:pt>
                <c:pt idx="13">
                  <c:v>202.15588009718775</c:v>
                </c:pt>
                <c:pt idx="14">
                  <c:v>225.4054543705075</c:v>
                </c:pt>
                <c:pt idx="15">
                  <c:v>249.02109248640559</c:v>
                </c:pt>
                <c:pt idx="16">
                  <c:v>273.08209191053913</c:v>
                </c:pt>
                <c:pt idx="17">
                  <c:v>297.41701447235351</c:v>
                </c:pt>
                <c:pt idx="18">
                  <c:v>321.91938270235886</c:v>
                </c:pt>
                <c:pt idx="19">
                  <c:v>346.42304968721379</c:v>
                </c:pt>
                <c:pt idx="20">
                  <c:v>370.99518633041691</c:v>
                </c:pt>
                <c:pt idx="21">
                  <c:v>395.36584294088493</c:v>
                </c:pt>
                <c:pt idx="22">
                  <c:v>419.49247008112349</c:v>
                </c:pt>
                <c:pt idx="23">
                  <c:v>443.26324459428042</c:v>
                </c:pt>
                <c:pt idx="24">
                  <c:v>466.37063719886328</c:v>
                </c:pt>
                <c:pt idx="25">
                  <c:v>489.40427129976308</c:v>
                </c:pt>
                <c:pt idx="26">
                  <c:v>511.58633881695448</c:v>
                </c:pt>
                <c:pt idx="27">
                  <c:v>533.05094460871862</c:v>
                </c:pt>
                <c:pt idx="28">
                  <c:v>553.70898581802453</c:v>
                </c:pt>
                <c:pt idx="29">
                  <c:v>573.3285307607473</c:v>
                </c:pt>
                <c:pt idx="30">
                  <c:v>592.25899857554873</c:v>
                </c:pt>
                <c:pt idx="31">
                  <c:v>609.98305764057841</c:v>
                </c:pt>
                <c:pt idx="32">
                  <c:v>626.56492082349325</c:v>
                </c:pt>
                <c:pt idx="33">
                  <c:v>642.65439011743365</c:v>
                </c:pt>
                <c:pt idx="34">
                  <c:v>658.97513133509278</c:v>
                </c:pt>
                <c:pt idx="35">
                  <c:v>673.80006169881392</c:v>
                </c:pt>
                <c:pt idx="36">
                  <c:v>687.47332070956736</c:v>
                </c:pt>
                <c:pt idx="37">
                  <c:v>699.7410350042112</c:v>
                </c:pt>
                <c:pt idx="38">
                  <c:v>710.52720309781512</c:v>
                </c:pt>
                <c:pt idx="39">
                  <c:v>719.6832502843713</c:v>
                </c:pt>
                <c:pt idx="40">
                  <c:v>727.3625655083863</c:v>
                </c:pt>
                <c:pt idx="41">
                  <c:v>733.27190968465732</c:v>
                </c:pt>
                <c:pt idx="42">
                  <c:v>737.42033293510224</c:v>
                </c:pt>
                <c:pt idx="43">
                  <c:v>739.74496229060981</c:v>
                </c:pt>
                <c:pt idx="44">
                  <c:v>740.49187263322096</c:v>
                </c:pt>
              </c:numCache>
              <c:extLst/>
            </c:numRef>
          </c:val>
          <c:smooth val="0"/>
          <c:extLst>
            <c:ext xmlns:c16="http://schemas.microsoft.com/office/drawing/2014/chart" uri="{C3380CC4-5D6E-409C-BE32-E72D297353CC}">
              <c16:uniqueId val="{00000001-D934-814E-A7DB-CD0568F85B00}"/>
            </c:ext>
          </c:extLst>
        </c:ser>
        <c:ser>
          <c:idx val="3"/>
          <c:order val="2"/>
          <c:tx>
            <c:strRef>
              <c:f>AutoResults!$BD$10</c:f>
              <c:strCache>
                <c:ptCount val="1"/>
                <c:pt idx="0">
                  <c:v>Optimum</c:v>
                </c:pt>
              </c:strCache>
            </c:strRef>
          </c:tx>
          <c:spPr>
            <a:ln>
              <a:solidFill>
                <a:srgbClr val="B5D5FA"/>
              </a:solidFill>
            </a:ln>
          </c:spPr>
          <c:marker>
            <c:symbol val="none"/>
          </c:marker>
          <c:cat>
            <c:numRef>
              <c:f>AutoResults!$AZ$11:$AZ$57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AutoResults!$BD$12:$BD$57</c:f>
              <c:numCache>
                <c:formatCode>_-* #\ ##0_-;\-* #\ ##0_-;_-* "-"??_-;_-@_-</c:formatCode>
                <c:ptCount val="45"/>
                <c:pt idx="0">
                  <c:v>0</c:v>
                </c:pt>
                <c:pt idx="1">
                  <c:v>0</c:v>
                </c:pt>
                <c:pt idx="2">
                  <c:v>13.98257372850939</c:v>
                </c:pt>
                <c:pt idx="3">
                  <c:v>33.977053188072354</c:v>
                </c:pt>
                <c:pt idx="4">
                  <c:v>62.478070327459498</c:v>
                </c:pt>
                <c:pt idx="5">
                  <c:v>80.074346344913991</c:v>
                </c:pt>
                <c:pt idx="6">
                  <c:v>106.43378433759902</c:v>
                </c:pt>
                <c:pt idx="7">
                  <c:v>134.92768550563576</c:v>
                </c:pt>
                <c:pt idx="8">
                  <c:v>165.19064170416331</c:v>
                </c:pt>
                <c:pt idx="9">
                  <c:v>193.63330436454265</c:v>
                </c:pt>
                <c:pt idx="10">
                  <c:v>237.50274292614091</c:v>
                </c:pt>
                <c:pt idx="11">
                  <c:v>277.19274683023065</c:v>
                </c:pt>
                <c:pt idx="12">
                  <c:v>319.14451708675546</c:v>
                </c:pt>
                <c:pt idx="13">
                  <c:v>363.22549898822012</c:v>
                </c:pt>
                <c:pt idx="14">
                  <c:v>408.49755971218815</c:v>
                </c:pt>
                <c:pt idx="15">
                  <c:v>457.25413811139612</c:v>
                </c:pt>
                <c:pt idx="16">
                  <c:v>506.94521408634586</c:v>
                </c:pt>
                <c:pt idx="17">
                  <c:v>558.25191648645693</c:v>
                </c:pt>
                <c:pt idx="18">
                  <c:v>611.04894479446739</c:v>
                </c:pt>
                <c:pt idx="19">
                  <c:v>672.43022807291413</c:v>
                </c:pt>
                <c:pt idx="20">
                  <c:v>720.5897359429855</c:v>
                </c:pt>
                <c:pt idx="21">
                  <c:v>777.0892041747793</c:v>
                </c:pt>
                <c:pt idx="22">
                  <c:v>834.57923506801149</c:v>
                </c:pt>
                <c:pt idx="23">
                  <c:v>892.90955260850365</c:v>
                </c:pt>
                <c:pt idx="24">
                  <c:v>951.54931988703561</c:v>
                </c:pt>
                <c:pt idx="25">
                  <c:v>1011.702839106313</c:v>
                </c:pt>
                <c:pt idx="26">
                  <c:v>1071.9209424681419</c:v>
                </c:pt>
                <c:pt idx="27">
                  <c:v>1132.5178849803717</c:v>
                </c:pt>
                <c:pt idx="28">
                  <c:v>1193.3720742129908</c:v>
                </c:pt>
                <c:pt idx="29">
                  <c:v>1251.2915500475738</c:v>
                </c:pt>
                <c:pt idx="30">
                  <c:v>1315.3664134515991</c:v>
                </c:pt>
                <c:pt idx="31">
                  <c:v>1376.2639193264733</c:v>
                </c:pt>
                <c:pt idx="32">
                  <c:v>1436.9333671660677</c:v>
                </c:pt>
                <c:pt idx="33">
                  <c:v>1498.9517418924956</c:v>
                </c:pt>
                <c:pt idx="34">
                  <c:v>1563.8288844114488</c:v>
                </c:pt>
                <c:pt idx="35">
                  <c:v>1628.7206051777453</c:v>
                </c:pt>
                <c:pt idx="36">
                  <c:v>1693.4568613368551</c:v>
                </c:pt>
                <c:pt idx="37">
                  <c:v>1757.8659509989559</c:v>
                </c:pt>
                <c:pt idx="38">
                  <c:v>1821.8367384661992</c:v>
                </c:pt>
                <c:pt idx="39">
                  <c:v>1885.0622427953163</c:v>
                </c:pt>
                <c:pt idx="40">
                  <c:v>1948.0203800267834</c:v>
                </c:pt>
                <c:pt idx="41">
                  <c:v>2010.0129012801262</c:v>
                </c:pt>
                <c:pt idx="42">
                  <c:v>2071.1267483252855</c:v>
                </c:pt>
                <c:pt idx="43">
                  <c:v>2131.253604023575</c:v>
                </c:pt>
                <c:pt idx="44">
                  <c:v>2191.191154055572</c:v>
                </c:pt>
              </c:numCache>
              <c:extLst/>
            </c:numRef>
          </c:val>
          <c:smooth val="0"/>
          <c:extLst>
            <c:ext xmlns:c16="http://schemas.microsoft.com/office/drawing/2014/chart" uri="{C3380CC4-5D6E-409C-BE32-E72D297353CC}">
              <c16:uniqueId val="{00000002-D934-814E-A7DB-CD0568F85B00}"/>
            </c:ext>
          </c:extLst>
        </c:ser>
        <c:dLbls>
          <c:showLegendKey val="0"/>
          <c:showVal val="0"/>
          <c:showCatName val="0"/>
          <c:showSerName val="0"/>
          <c:showPercent val="0"/>
          <c:showBubbleSize val="0"/>
        </c:dLbls>
        <c:smooth val="0"/>
        <c:axId val="-835287456"/>
        <c:axId val="-835296160"/>
        <c:extLst/>
      </c:lineChart>
      <c:catAx>
        <c:axId val="-835287456"/>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66570536705"/>
              <c:y val="0.93527266812984611"/>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35296160"/>
        <c:crossesAt val="0"/>
        <c:auto val="1"/>
        <c:lblAlgn val="ctr"/>
        <c:lblOffset val="100"/>
        <c:tickLblSkip val="5"/>
        <c:tickMarkSkip val="5"/>
        <c:noMultiLvlLbl val="0"/>
      </c:catAx>
      <c:valAx>
        <c:axId val="-835296160"/>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35287456"/>
        <c:crosses val="autoZero"/>
        <c:crossBetween val="between"/>
      </c:valAx>
    </c:plotArea>
    <c:legend>
      <c:legendPos val="r"/>
      <c:layout>
        <c:manualLayout>
          <c:xMode val="edge"/>
          <c:yMode val="edge"/>
          <c:x val="0.78304604933986044"/>
          <c:y val="0.22976191292267054"/>
          <c:w val="0.21695395066013964"/>
          <c:h val="0.4476674572816554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AutoResults!$BF$8</c:f>
          <c:strCache>
            <c:ptCount val="1"/>
            <c:pt idx="0">
              <c:v>World Operating Cost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AutoResults!$BH$10</c:f>
              <c:strCache>
                <c:ptCount val="1"/>
                <c:pt idx="0">
                  <c:v>Plausible</c:v>
                </c:pt>
              </c:strCache>
            </c:strRef>
          </c:tx>
          <c:spPr>
            <a:ln>
              <a:solidFill>
                <a:srgbClr val="3571B6"/>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AutoResults!$BH$12:$BH$57</c:f>
              <c:numCache>
                <c:formatCode>_-* #\ ##0_-;\-* #\ ##0_-;_-* "-"??_-;_-@_-</c:formatCode>
                <c:ptCount val="45"/>
                <c:pt idx="0">
                  <c:v>0</c:v>
                </c:pt>
                <c:pt idx="1">
                  <c:v>0</c:v>
                </c:pt>
                <c:pt idx="2">
                  <c:v>453850064.2382853</c:v>
                </c:pt>
                <c:pt idx="3">
                  <c:v>748264375.98054314</c:v>
                </c:pt>
                <c:pt idx="4">
                  <c:v>1098989880.6467266</c:v>
                </c:pt>
                <c:pt idx="5">
                  <c:v>1503635465.9127059</c:v>
                </c:pt>
                <c:pt idx="6">
                  <c:v>1959810019.4543242</c:v>
                </c:pt>
                <c:pt idx="7">
                  <c:v>2465122428.9474311</c:v>
                </c:pt>
                <c:pt idx="8">
                  <c:v>3017181582.067874</c:v>
                </c:pt>
                <c:pt idx="9">
                  <c:v>3613596366.491498</c:v>
                </c:pt>
                <c:pt idx="10">
                  <c:v>4251975669.8941507</c:v>
                </c:pt>
                <c:pt idx="11">
                  <c:v>4929928379.9517002</c:v>
                </c:pt>
                <c:pt idx="12">
                  <c:v>5645063384.3399506</c:v>
                </c:pt>
                <c:pt idx="13">
                  <c:v>6394989570.7347679</c:v>
                </c:pt>
                <c:pt idx="14">
                  <c:v>7177315826.812006</c:v>
                </c:pt>
                <c:pt idx="15">
                  <c:v>7989651040.2475052</c:v>
                </c:pt>
                <c:pt idx="16">
                  <c:v>8829604098.7171135</c:v>
                </c:pt>
                <c:pt idx="17">
                  <c:v>9694783889.8966751</c:v>
                </c:pt>
                <c:pt idx="18">
                  <c:v>10582799301.462042</c:v>
                </c:pt>
                <c:pt idx="19">
                  <c:v>11491259221.089058</c:v>
                </c:pt>
                <c:pt idx="20">
                  <c:v>12417772536.453594</c:v>
                </c:pt>
                <c:pt idx="21">
                  <c:v>13359948135.231457</c:v>
                </c:pt>
                <c:pt idx="22">
                  <c:v>14315394905.098503</c:v>
                </c:pt>
                <c:pt idx="23">
                  <c:v>15281721733.730595</c:v>
                </c:pt>
                <c:pt idx="24">
                  <c:v>16256537508.803566</c:v>
                </c:pt>
                <c:pt idx="25">
                  <c:v>17237451117.993275</c:v>
                </c:pt>
                <c:pt idx="26">
                  <c:v>18222071448.975552</c:v>
                </c:pt>
                <c:pt idx="27">
                  <c:v>19208007389.426258</c:v>
                </c:pt>
                <c:pt idx="28">
                  <c:v>20192867827.021252</c:v>
                </c:pt>
                <c:pt idx="29">
                  <c:v>21174261649.436348</c:v>
                </c:pt>
                <c:pt idx="30">
                  <c:v>22149797744.347412</c:v>
                </c:pt>
                <c:pt idx="31">
                  <c:v>23117084999.430283</c:v>
                </c:pt>
                <c:pt idx="32">
                  <c:v>24073732302.360817</c:v>
                </c:pt>
                <c:pt idx="33">
                  <c:v>25017348540.814857</c:v>
                </c:pt>
                <c:pt idx="34">
                  <c:v>25770179850.135155</c:v>
                </c:pt>
                <c:pt idx="35">
                  <c:v>25392494305.169075</c:v>
                </c:pt>
                <c:pt idx="36">
                  <c:v>24962084235.765274</c:v>
                </c:pt>
                <c:pt idx="37">
                  <c:v>24481340754.247917</c:v>
                </c:pt>
                <c:pt idx="38">
                  <c:v>23952654972.941139</c:v>
                </c:pt>
                <c:pt idx="39">
                  <c:v>23378418004.169113</c:v>
                </c:pt>
                <c:pt idx="40">
                  <c:v>22761020960.255981</c:v>
                </c:pt>
                <c:pt idx="41">
                  <c:v>22102854953.525867</c:v>
                </c:pt>
                <c:pt idx="42">
                  <c:v>21406311096.302975</c:v>
                </c:pt>
                <c:pt idx="43">
                  <c:v>20673780500.911434</c:v>
                </c:pt>
                <c:pt idx="44">
                  <c:v>19907654279.675419</c:v>
                </c:pt>
              </c:numCache>
              <c:extLst/>
            </c:numRef>
          </c:val>
          <c:smooth val="0"/>
          <c:extLst>
            <c:ext xmlns:c16="http://schemas.microsoft.com/office/drawing/2014/chart" uri="{C3380CC4-5D6E-409C-BE32-E72D297353CC}">
              <c16:uniqueId val="{00000000-C7E7-D743-875A-8B66E75809A4}"/>
            </c:ext>
          </c:extLst>
        </c:ser>
        <c:ser>
          <c:idx val="2"/>
          <c:order val="1"/>
          <c:tx>
            <c:strRef>
              <c:f>AutoResults!$BI$10</c:f>
              <c:strCache>
                <c:ptCount val="1"/>
                <c:pt idx="0">
                  <c:v>Drawdown</c:v>
                </c:pt>
              </c:strCache>
            </c:strRef>
          </c:tx>
          <c:spPr>
            <a:ln>
              <a:solidFill>
                <a:srgbClr val="6A9FDD"/>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AutoResults!$BI$12:$BI$57</c:f>
              <c:numCache>
                <c:formatCode>_-* #\ ##0_-;\-* #\ ##0_-;_-* "-"??_-;_-@_-</c:formatCode>
                <c:ptCount val="45"/>
                <c:pt idx="0">
                  <c:v>0</c:v>
                </c:pt>
                <c:pt idx="1">
                  <c:v>0</c:v>
                </c:pt>
                <c:pt idx="2">
                  <c:v>637955300.07985198</c:v>
                </c:pt>
                <c:pt idx="3">
                  <c:v>1114855987.2809644</c:v>
                </c:pt>
                <c:pt idx="4">
                  <c:v>1689342162.2212687</c:v>
                </c:pt>
                <c:pt idx="5">
                  <c:v>2356304765.2822218</c:v>
                </c:pt>
                <c:pt idx="6">
                  <c:v>3110634736.8452606</c:v>
                </c:pt>
                <c:pt idx="7">
                  <c:v>3947223017.2918224</c:v>
                </c:pt>
                <c:pt idx="8">
                  <c:v>4860960547.0033417</c:v>
                </c:pt>
                <c:pt idx="9">
                  <c:v>5846738266.3612537</c:v>
                </c:pt>
                <c:pt idx="10">
                  <c:v>6899447115.7469978</c:v>
                </c:pt>
                <c:pt idx="11">
                  <c:v>8013978035.5420303</c:v>
                </c:pt>
                <c:pt idx="12">
                  <c:v>9185221966.1277466</c:v>
                </c:pt>
                <c:pt idx="13">
                  <c:v>10408069847.885601</c:v>
                </c:pt>
                <c:pt idx="14">
                  <c:v>11677412621.197033</c:v>
                </c:pt>
                <c:pt idx="15">
                  <c:v>12988141226.443474</c:v>
                </c:pt>
                <c:pt idx="16">
                  <c:v>14335146604.006367</c:v>
                </c:pt>
                <c:pt idx="17">
                  <c:v>15713319694.267143</c:v>
                </c:pt>
                <c:pt idx="18">
                  <c:v>17117551437.607239</c:v>
                </c:pt>
                <c:pt idx="19">
                  <c:v>18542732774.408096</c:v>
                </c:pt>
                <c:pt idx="20">
                  <c:v>19983754645.051163</c:v>
                </c:pt>
                <c:pt idx="21">
                  <c:v>21435507989.917847</c:v>
                </c:pt>
                <c:pt idx="22">
                  <c:v>22892883749.389587</c:v>
                </c:pt>
                <c:pt idx="23">
                  <c:v>24350772863.847839</c:v>
                </c:pt>
                <c:pt idx="24">
                  <c:v>25804066273.674034</c:v>
                </c:pt>
                <c:pt idx="25">
                  <c:v>27247654919.249588</c:v>
                </c:pt>
                <c:pt idx="26">
                  <c:v>28676429740.955971</c:v>
                </c:pt>
                <c:pt idx="27">
                  <c:v>30085281679.174591</c:v>
                </c:pt>
                <c:pt idx="28">
                  <c:v>31469101674.286919</c:v>
                </c:pt>
                <c:pt idx="29">
                  <c:v>32822780666.674339</c:v>
                </c:pt>
                <c:pt idx="30">
                  <c:v>34141209596.718323</c:v>
                </c:pt>
                <c:pt idx="31">
                  <c:v>35419279404.800293</c:v>
                </c:pt>
                <c:pt idx="32">
                  <c:v>36651881031.301697</c:v>
                </c:pt>
                <c:pt idx="33">
                  <c:v>37833905416.603973</c:v>
                </c:pt>
                <c:pt idx="34">
                  <c:v>38673000413.618393</c:v>
                </c:pt>
                <c:pt idx="35">
                  <c:v>38052276024.617767</c:v>
                </c:pt>
                <c:pt idx="36">
                  <c:v>37341629737.305771</c:v>
                </c:pt>
                <c:pt idx="37">
                  <c:v>36546170611.300972</c:v>
                </c:pt>
                <c:pt idx="38">
                  <c:v>35671007706.221931</c:v>
                </c:pt>
                <c:pt idx="39">
                  <c:v>34721250081.687225</c:v>
                </c:pt>
                <c:pt idx="40">
                  <c:v>33702006797.315384</c:v>
                </c:pt>
                <c:pt idx="41">
                  <c:v>32618386912.725021</c:v>
                </c:pt>
                <c:pt idx="42">
                  <c:v>31475499487.53463</c:v>
                </c:pt>
                <c:pt idx="43">
                  <c:v>30278453581.362862</c:v>
                </c:pt>
                <c:pt idx="44">
                  <c:v>29032358253.828217</c:v>
                </c:pt>
              </c:numCache>
              <c:extLst/>
            </c:numRef>
          </c:val>
          <c:smooth val="0"/>
          <c:extLst>
            <c:ext xmlns:c16="http://schemas.microsoft.com/office/drawing/2014/chart" uri="{C3380CC4-5D6E-409C-BE32-E72D297353CC}">
              <c16:uniqueId val="{00000001-C7E7-D743-875A-8B66E75809A4}"/>
            </c:ext>
          </c:extLst>
        </c:ser>
        <c:ser>
          <c:idx val="3"/>
          <c:order val="2"/>
          <c:tx>
            <c:strRef>
              <c:f>AutoResults!$BJ$10</c:f>
              <c:strCache>
                <c:ptCount val="1"/>
                <c:pt idx="0">
                  <c:v>Optimum</c:v>
                </c:pt>
              </c:strCache>
            </c:strRef>
          </c:tx>
          <c:spPr>
            <a:ln>
              <a:solidFill>
                <a:srgbClr val="B5D5FA"/>
              </a:solidFill>
            </a:ln>
          </c:spPr>
          <c:marker>
            <c:symbol val="none"/>
          </c:marker>
          <c:cat>
            <c:numRef>
              <c:f>AutoResults!$BF$11:$BF$57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AutoResults!$BJ$12:$BJ$57</c:f>
              <c:numCache>
                <c:formatCode>_-* #\ ##0_-;\-* #\ ##0_-;_-* "-"??_-;_-@_-</c:formatCode>
                <c:ptCount val="45"/>
                <c:pt idx="0">
                  <c:v>0</c:v>
                </c:pt>
                <c:pt idx="1">
                  <c:v>0</c:v>
                </c:pt>
                <c:pt idx="2">
                  <c:v>667736955.13579106</c:v>
                </c:pt>
                <c:pt idx="3">
                  <c:v>1632717111.9315724</c:v>
                </c:pt>
                <c:pt idx="4">
                  <c:v>3024847720.9181442</c:v>
                </c:pt>
                <c:pt idx="5">
                  <c:v>3904739226.2694378</c:v>
                </c:pt>
                <c:pt idx="6">
                  <c:v>5227243179.8885336</c:v>
                </c:pt>
                <c:pt idx="7">
                  <c:v>6673231983.3295288</c:v>
                </c:pt>
                <c:pt idx="8">
                  <c:v>8226509788.9251614</c:v>
                </c:pt>
                <c:pt idx="9">
                  <c:v>9702129104.0626793</c:v>
                </c:pt>
                <c:pt idx="10">
                  <c:v>11988630749.054852</c:v>
                </c:pt>
                <c:pt idx="11">
                  <c:v>14085385861.625671</c:v>
                </c:pt>
                <c:pt idx="12">
                  <c:v>16324267018.967918</c:v>
                </c:pt>
                <c:pt idx="13">
                  <c:v>18700798424.389164</c:v>
                </c:pt>
                <c:pt idx="14">
                  <c:v>21162729060.097816</c:v>
                </c:pt>
                <c:pt idx="15">
                  <c:v>23848908792.698799</c:v>
                </c:pt>
                <c:pt idx="16">
                  <c:v>26611536162.202271</c:v>
                </c:pt>
                <c:pt idx="17">
                  <c:v>29493910593.014908</c:v>
                </c:pt>
                <c:pt idx="18">
                  <c:v>32491556288.444237</c:v>
                </c:pt>
                <c:pt idx="19">
                  <c:v>35992680163.309975</c:v>
                </c:pt>
                <c:pt idx="20">
                  <c:v>38814758286.383194</c:v>
                </c:pt>
                <c:pt idx="21">
                  <c:v>42131362995.507889</c:v>
                </c:pt>
                <c:pt idx="22">
                  <c:v>45545335782.479416</c:v>
                </c:pt>
                <c:pt idx="23">
                  <c:v>49052200850.605362</c:v>
                </c:pt>
                <c:pt idx="24">
                  <c:v>52648772788.336166</c:v>
                </c:pt>
                <c:pt idx="25">
                  <c:v>56326704643.55069</c:v>
                </c:pt>
                <c:pt idx="26">
                  <c:v>60085391774.985092</c:v>
                </c:pt>
                <c:pt idx="27">
                  <c:v>63919068000.804077</c:v>
                </c:pt>
                <c:pt idx="28">
                  <c:v>67823257524.315216</c:v>
                </c:pt>
                <c:pt idx="29">
                  <c:v>71635835116.69603</c:v>
                </c:pt>
                <c:pt idx="30">
                  <c:v>75825273277.643936</c:v>
                </c:pt>
                <c:pt idx="31">
                  <c:v>79914147914.07663</c:v>
                </c:pt>
                <c:pt idx="32">
                  <c:v>84055632661.431564</c:v>
                </c:pt>
                <c:pt idx="33">
                  <c:v>88245251723.016327</c:v>
                </c:pt>
                <c:pt idx="34">
                  <c:v>91761375399.325775</c:v>
                </c:pt>
                <c:pt idx="35">
                  <c:v>90625364342.15686</c:v>
                </c:pt>
                <c:pt idx="36">
                  <c:v>89524166612.671692</c:v>
                </c:pt>
                <c:pt idx="37">
                  <c:v>88139920234.141663</c:v>
                </c:pt>
                <c:pt idx="38">
                  <c:v>86640286929.623322</c:v>
                </c:pt>
                <c:pt idx="39">
                  <c:v>85125838369.256729</c:v>
                </c:pt>
                <c:pt idx="40">
                  <c:v>83244777889.191864</c:v>
                </c:pt>
                <c:pt idx="41">
                  <c:v>81053149510.410385</c:v>
                </c:pt>
                <c:pt idx="42">
                  <c:v>78885331375.453873</c:v>
                </c:pt>
                <c:pt idx="43">
                  <c:v>76577625094.072128</c:v>
                </c:pt>
                <c:pt idx="44">
                  <c:v>74158394073.507141</c:v>
                </c:pt>
              </c:numCache>
              <c:extLst/>
            </c:numRef>
          </c:val>
          <c:smooth val="0"/>
          <c:extLst>
            <c:ext xmlns:c16="http://schemas.microsoft.com/office/drawing/2014/chart" uri="{C3380CC4-5D6E-409C-BE32-E72D297353CC}">
              <c16:uniqueId val="{00000002-C7E7-D743-875A-8B66E75809A4}"/>
            </c:ext>
          </c:extLst>
        </c:ser>
        <c:dLbls>
          <c:showLegendKey val="0"/>
          <c:showVal val="0"/>
          <c:showCatName val="0"/>
          <c:showSerName val="0"/>
          <c:showPercent val="0"/>
          <c:showBubbleSize val="0"/>
        </c:dLbls>
        <c:smooth val="0"/>
        <c:axId val="-835307040"/>
        <c:axId val="-835291264"/>
        <c:extLst/>
      </c:lineChart>
      <c:catAx>
        <c:axId val="-835307040"/>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35291264"/>
        <c:crossesAt val="0"/>
        <c:auto val="1"/>
        <c:lblAlgn val="ctr"/>
        <c:lblOffset val="100"/>
        <c:tickLblSkip val="5"/>
        <c:tickMarkSkip val="5"/>
        <c:noMultiLvlLbl val="0"/>
      </c:catAx>
      <c:valAx>
        <c:axId val="-835291264"/>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835307040"/>
        <c:crosses val="autoZero"/>
        <c:crossBetween val="between"/>
        <c:dispUnits>
          <c:builtInUnit val="billions"/>
        </c:dispUnits>
      </c:valAx>
    </c:plotArea>
    <c:legend>
      <c:legendPos val="r"/>
      <c:layout>
        <c:manualLayout>
          <c:xMode val="edge"/>
          <c:yMode val="edge"/>
          <c:x val="0.78721468402992245"/>
          <c:y val="0.27668875047650093"/>
          <c:w val="0.21278528455547996"/>
          <c:h val="0.38950472581974943"/>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4642E1F-234F-F545-9097-970A9F692757}">
  <ds:schemaRefs>
    <ds:schemaRef ds:uri="http://schemas.openxmlformats.org/officeDocument/2006/bibliography"/>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59</TotalTime>
  <Pages>12</Pages>
  <Words>18472</Words>
  <Characters>105297</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Renilde</dc:creator>
  <cp:keywords/>
  <dc:description/>
  <cp:lastModifiedBy>vijay negi</cp:lastModifiedBy>
  <cp:revision>12</cp:revision>
  <cp:lastPrinted>2018-07-24T17:02:00Z</cp:lastPrinted>
  <dcterms:created xsi:type="dcterms:W3CDTF">2019-09-11T22:34:00Z</dcterms:created>
  <dcterms:modified xsi:type="dcterms:W3CDTF">2021-11-30T18:56:00Z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