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240C0E" w:rsidRPr="00EB247F" w:rsidRDefault="00240C0E"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282A7772" w:rsidR="00240C0E" w:rsidRPr="00EB247F" w:rsidRDefault="00240C0E"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Micro Wind Turbines</w:t>
                            </w:r>
                          </w:p>
                          <w:p w14:paraId="4BEC3072" w14:textId="77777777" w:rsidR="00240C0E" w:rsidRDefault="00240C0E" w:rsidP="00EB247F">
                            <w:pPr>
                              <w:spacing w:line="240" w:lineRule="auto"/>
                              <w:jc w:val="center"/>
                              <w:rPr>
                                <w:rFonts w:cs="Times New Roman"/>
                                <w:smallCaps/>
                                <w:color w:val="404040" w:themeColor="text1" w:themeTint="BF"/>
                                <w:sz w:val="36"/>
                                <w:szCs w:val="36"/>
                              </w:rPr>
                            </w:pPr>
                          </w:p>
                          <w:p w14:paraId="3F0B52E4" w14:textId="77777777" w:rsidR="00240C0E" w:rsidRDefault="00240C0E" w:rsidP="00EB247F">
                            <w:pPr>
                              <w:spacing w:line="240" w:lineRule="auto"/>
                              <w:jc w:val="center"/>
                              <w:rPr>
                                <w:rFonts w:cs="Times New Roman"/>
                                <w:smallCaps/>
                                <w:color w:val="404040" w:themeColor="text1" w:themeTint="BF"/>
                                <w:sz w:val="36"/>
                                <w:szCs w:val="36"/>
                              </w:rPr>
                            </w:pPr>
                          </w:p>
                          <w:p w14:paraId="30E4023E" w14:textId="5F3CC6ED" w:rsidR="00240C0E" w:rsidRPr="00EB247F" w:rsidRDefault="00240C0E"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2594C251" w:rsidR="00240C0E" w:rsidRPr="00EB247F" w:rsidRDefault="00240C0E"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w:t>
                            </w:r>
                            <w:r w:rsidRPr="00E107C9">
                              <w:rPr>
                                <w:rFonts w:cs="Times New Roman"/>
                                <w:smallCaps/>
                                <w:color w:val="404040" w:themeColor="text1" w:themeTint="BF"/>
                                <w:sz w:val="36"/>
                                <w:szCs w:val="36"/>
                              </w:rPr>
                              <w:t>Level: Households and Commercial</w:t>
                            </w:r>
                          </w:p>
                          <w:p w14:paraId="4CF7CB6C" w14:textId="5FA28F03" w:rsidR="00240C0E" w:rsidRPr="00EB247F" w:rsidRDefault="00240C0E"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Wind</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240C0E" w:rsidRPr="00EB247F" w:rsidRDefault="00240C0E" w:rsidP="00EB247F">
                            <w:pPr>
                              <w:spacing w:line="240" w:lineRule="auto"/>
                              <w:rPr>
                                <w:rFonts w:cs="Times New Roman"/>
                                <w:smallCaps/>
                                <w:color w:val="404040" w:themeColor="text1" w:themeTint="BF"/>
                                <w:sz w:val="36"/>
                                <w:szCs w:val="36"/>
                              </w:rPr>
                            </w:pPr>
                          </w:p>
                          <w:p w14:paraId="1922C9C8" w14:textId="77777777" w:rsidR="00240C0E" w:rsidRPr="00EB247F" w:rsidRDefault="00240C0E" w:rsidP="00EB247F">
                            <w:pPr>
                              <w:spacing w:line="240" w:lineRule="auto"/>
                              <w:rPr>
                                <w:rFonts w:cs="Times New Roman"/>
                                <w:smallCaps/>
                                <w:color w:val="404040" w:themeColor="text1" w:themeTint="BF"/>
                                <w:sz w:val="36"/>
                                <w:szCs w:val="36"/>
                              </w:rPr>
                            </w:pPr>
                          </w:p>
                          <w:p w14:paraId="0B02E81E" w14:textId="77777777" w:rsidR="00240C0E" w:rsidRPr="00EB247F" w:rsidRDefault="00240C0E" w:rsidP="00EB247F">
                            <w:pPr>
                              <w:spacing w:line="240" w:lineRule="auto"/>
                              <w:rPr>
                                <w:rFonts w:cs="Times New Roman"/>
                                <w:smallCaps/>
                                <w:color w:val="404040" w:themeColor="text1" w:themeTint="BF"/>
                                <w:sz w:val="36"/>
                                <w:szCs w:val="36"/>
                              </w:rPr>
                            </w:pPr>
                          </w:p>
                          <w:p w14:paraId="596D7C93" w14:textId="7DDB568B" w:rsidR="00240C0E" w:rsidRPr="00EB247F" w:rsidRDefault="00240C0E"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240C0E" w:rsidRPr="00EB247F" w:rsidRDefault="00240C0E" w:rsidP="00EB247F">
                            <w:pPr>
                              <w:spacing w:after="0" w:line="240" w:lineRule="auto"/>
                              <w:rPr>
                                <w:rFonts w:cs="Times New Roman"/>
                                <w:smallCaps/>
                                <w:color w:val="404040" w:themeColor="text1" w:themeTint="BF"/>
                                <w:sz w:val="36"/>
                                <w:szCs w:val="36"/>
                              </w:rPr>
                            </w:pPr>
                          </w:p>
                          <w:p w14:paraId="338A969E" w14:textId="77777777" w:rsidR="00240C0E" w:rsidRPr="00EB247F" w:rsidRDefault="00240C0E" w:rsidP="00EB247F">
                            <w:pPr>
                              <w:spacing w:after="0" w:line="240" w:lineRule="auto"/>
                              <w:rPr>
                                <w:rFonts w:cs="Times New Roman"/>
                                <w:smallCaps/>
                                <w:color w:val="404040" w:themeColor="text1" w:themeTint="BF"/>
                                <w:sz w:val="36"/>
                                <w:szCs w:val="36"/>
                              </w:rPr>
                            </w:pPr>
                          </w:p>
                          <w:p w14:paraId="21B2BC32" w14:textId="77777777" w:rsidR="00240C0E" w:rsidRPr="00EB247F" w:rsidRDefault="00240C0E" w:rsidP="00EB247F">
                            <w:pPr>
                              <w:spacing w:after="0" w:line="240" w:lineRule="auto"/>
                              <w:rPr>
                                <w:rFonts w:cs="Times New Roman"/>
                                <w:smallCaps/>
                                <w:color w:val="404040" w:themeColor="text1" w:themeTint="BF"/>
                                <w:sz w:val="36"/>
                                <w:szCs w:val="36"/>
                              </w:rPr>
                            </w:pPr>
                          </w:p>
                          <w:p w14:paraId="0EF4437F" w14:textId="77777777" w:rsidR="00240C0E" w:rsidRPr="00EB247F" w:rsidRDefault="00240C0E" w:rsidP="00EB247F">
                            <w:pPr>
                              <w:spacing w:after="0" w:line="240" w:lineRule="auto"/>
                              <w:rPr>
                                <w:rFonts w:cs="Times New Roman"/>
                                <w:smallCaps/>
                                <w:color w:val="404040" w:themeColor="text1" w:themeTint="BF"/>
                                <w:sz w:val="36"/>
                                <w:szCs w:val="36"/>
                              </w:rPr>
                            </w:pPr>
                          </w:p>
                          <w:p w14:paraId="66C10BC1" w14:textId="77777777" w:rsidR="00240C0E" w:rsidRPr="00EB247F" w:rsidRDefault="00240C0E"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02143E38" w14:textId="18265EB0" w:rsidR="00240C0E" w:rsidRDefault="00240C0E"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Priyanka desouza</w:t>
                            </w:r>
                            <w:r w:rsidRPr="00EB247F">
                              <w:rPr>
                                <w:rFonts w:cs="Times New Roman"/>
                                <w:smallCaps/>
                                <w:color w:val="404040" w:themeColor="text1" w:themeTint="BF"/>
                                <w:sz w:val="28"/>
                                <w:szCs w:val="28"/>
                              </w:rPr>
                              <w:t>, Research Fellow</w:t>
                            </w:r>
                          </w:p>
                          <w:p w14:paraId="12250688" w14:textId="3394A76D" w:rsidR="00240C0E" w:rsidRDefault="00240C0E" w:rsidP="003D50A7">
                            <w:pPr>
                              <w:spacing w:after="0" w:line="276" w:lineRule="auto"/>
                              <w:rPr>
                                <w:rFonts w:cs="Times New Roman"/>
                                <w:smallCaps/>
                                <w:color w:val="404040" w:themeColor="text1" w:themeTint="BF"/>
                                <w:sz w:val="28"/>
                                <w:szCs w:val="28"/>
                              </w:rPr>
                            </w:pPr>
                            <w:r w:rsidRPr="00775666">
                              <w:rPr>
                                <w:rFonts w:cs="Times New Roman"/>
                                <w:smallCaps/>
                                <w:color w:val="404040" w:themeColor="text1" w:themeTint="BF"/>
                                <w:sz w:val="28"/>
                                <w:szCs w:val="28"/>
                              </w:rPr>
                              <w:t>Abdulmutalib Yussuff</w:t>
                            </w:r>
                            <w:r>
                              <w:rPr>
                                <w:rFonts w:cs="Times New Roman"/>
                                <w:smallCaps/>
                                <w:color w:val="404040" w:themeColor="text1" w:themeTint="BF"/>
                                <w:sz w:val="28"/>
                                <w:szCs w:val="28"/>
                              </w:rPr>
                              <w:t xml:space="preserve">, </w:t>
                            </w:r>
                            <w:r w:rsidRPr="00EB247F">
                              <w:rPr>
                                <w:rFonts w:cs="Times New Roman"/>
                                <w:smallCaps/>
                                <w:color w:val="404040" w:themeColor="text1" w:themeTint="BF"/>
                                <w:sz w:val="28"/>
                                <w:szCs w:val="28"/>
                              </w:rPr>
                              <w:t>Research Fellow</w:t>
                            </w:r>
                          </w:p>
                          <w:p w14:paraId="216BEF98" w14:textId="77777777" w:rsidR="00240C0E" w:rsidRPr="003B3B35" w:rsidRDefault="00240C0E" w:rsidP="003B3B35">
                            <w:pPr>
                              <w:spacing w:after="0" w:line="276" w:lineRule="auto"/>
                              <w:rPr>
                                <w:rFonts w:cs="Times New Roman"/>
                                <w:smallCaps/>
                                <w:color w:val="404040" w:themeColor="text1" w:themeTint="BF"/>
                                <w:sz w:val="28"/>
                                <w:szCs w:val="28"/>
                              </w:rPr>
                            </w:pPr>
                            <w:r w:rsidRPr="003B3B35">
                              <w:rPr>
                                <w:rFonts w:cs="Times New Roman"/>
                                <w:smallCaps/>
                                <w:color w:val="404040" w:themeColor="text1" w:themeTint="BF"/>
                                <w:sz w:val="28"/>
                                <w:szCs w:val="28"/>
                              </w:rPr>
                              <w:t>João Pedro Gouveia, Senior Research Fellow</w:t>
                            </w:r>
                          </w:p>
                          <w:p w14:paraId="68E7D890" w14:textId="77777777" w:rsidR="00240C0E" w:rsidRPr="00775666" w:rsidRDefault="00240C0E" w:rsidP="003D50A7">
                            <w:pPr>
                              <w:spacing w:after="0" w:line="276" w:lineRule="auto"/>
                              <w:rPr>
                                <w:rFonts w:cs="Times New Roman"/>
                                <w:smallCaps/>
                                <w:color w:val="404040" w:themeColor="text1" w:themeTint="BF"/>
                                <w:sz w:val="28"/>
                                <w:szCs w:val="28"/>
                              </w:rPr>
                            </w:pPr>
                          </w:p>
                          <w:p w14:paraId="1C3CFB47" w14:textId="4ADA77BB" w:rsidR="00240C0E" w:rsidRPr="003B3B35" w:rsidRDefault="00240C0E" w:rsidP="007864AB">
                            <w:pPr>
                              <w:rPr>
                                <w:rFonts w:cs="Times New Roman"/>
                                <w:smallCaps/>
                                <w:color w:val="404040" w:themeColor="text1" w:themeTint="BF"/>
                              </w:rPr>
                            </w:pPr>
                          </w:p>
                          <w:p w14:paraId="3A3012FB" w14:textId="77777777" w:rsidR="00240C0E" w:rsidRPr="003B3B35" w:rsidRDefault="00240C0E" w:rsidP="007864AB">
                            <w:pPr>
                              <w:rPr>
                                <w:rFonts w:cs="Times New Roman"/>
                                <w:smallCaps/>
                                <w:color w:val="404040" w:themeColor="text1" w:themeTint="BF"/>
                              </w:rPr>
                            </w:pPr>
                          </w:p>
                          <w:p w14:paraId="4481356F" w14:textId="6C098178" w:rsidR="00240C0E" w:rsidRPr="00EB247F" w:rsidRDefault="00240C0E"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0170571A" w:rsidR="00240C0E" w:rsidRPr="0065586D" w:rsidRDefault="004A0C3D" w:rsidP="007864AB">
                            <w:pPr>
                              <w:rPr>
                                <w:rFonts w:asciiTheme="minorHAnsi" w:hAnsiTheme="minorHAnsi"/>
                                <w:smallCaps/>
                                <w:color w:val="808080" w:themeColor="background1" w:themeShade="80"/>
                                <w:sz w:val="20"/>
                                <w:szCs w:val="20"/>
                              </w:rPr>
                            </w:pPr>
                            <w:hyperlink r:id="rId10" w:history="1">
                              <w:r w:rsidR="00240C0E" w:rsidRPr="0065586D">
                                <w:rPr>
                                  <w:rFonts w:asciiTheme="minorHAnsi" w:hAnsiTheme="minorHAnsi"/>
                                  <w:color w:val="808080" w:themeColor="background1" w:themeShade="80"/>
                                </w:rPr>
                                <w:t>info@drawdown.org</w:t>
                              </w:r>
                            </w:hyperlink>
                            <w:r w:rsidR="00240C0E" w:rsidRPr="0065586D">
                              <w:rPr>
                                <w:rFonts w:asciiTheme="minorHAnsi" w:hAnsiTheme="minorHAnsi"/>
                                <w:smallCaps/>
                                <w:color w:val="808080" w:themeColor="background1" w:themeShade="80"/>
                                <w:sz w:val="20"/>
                                <w:szCs w:val="20"/>
                              </w:rPr>
                              <w:t xml:space="preserve">             </w:t>
                            </w:r>
                            <w:hyperlink r:id="rId11" w:history="1">
                              <w:r w:rsidR="00240C0E" w:rsidRPr="0065586D">
                                <w:rPr>
                                  <w:rFonts w:asciiTheme="minorHAnsi" w:hAnsiTheme="minorHAnsi"/>
                                  <w:color w:val="808080" w:themeColor="background1" w:themeShade="80"/>
                                </w:rPr>
                                <w:t>www.drawdown.org</w:t>
                              </w:r>
                            </w:hyperlink>
                            <w:r w:rsidR="00240C0E" w:rsidRPr="0065586D">
                              <w:rPr>
                                <w:rFonts w:asciiTheme="minorHAnsi" w:hAnsiTheme="minorHAnsi"/>
                                <w:smallCaps/>
                                <w:color w:val="808080" w:themeColor="background1" w:themeShade="80"/>
                                <w:sz w:val="20"/>
                                <w:szCs w:val="20"/>
                              </w:rPr>
                              <w:t xml:space="preserve">  </w:t>
                            </w:r>
                          </w:p>
                          <w:p w14:paraId="05DAFFE7" w14:textId="77777777" w:rsidR="00240C0E" w:rsidRPr="0065586D" w:rsidRDefault="00240C0E" w:rsidP="00C81D94">
                            <w:pPr>
                              <w:rPr>
                                <w:rFonts w:cs="Times New Roman"/>
                                <w:smallCaps/>
                                <w:color w:val="404040" w:themeColor="text1" w:themeTint="BF"/>
                                <w:sz w:val="36"/>
                                <w:szCs w:val="36"/>
                              </w:rPr>
                            </w:pPr>
                          </w:p>
                          <w:p w14:paraId="3D97FBF6" w14:textId="77777777" w:rsidR="00240C0E" w:rsidRPr="0065586D" w:rsidRDefault="00240C0E"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240C0E" w:rsidRPr="00EB247F" w:rsidRDefault="00240C0E"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282A7772" w:rsidR="00240C0E" w:rsidRPr="00EB247F" w:rsidRDefault="00240C0E"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Micro Wind Turbines</w:t>
                      </w:r>
                    </w:p>
                    <w:p w14:paraId="4BEC3072" w14:textId="77777777" w:rsidR="00240C0E" w:rsidRDefault="00240C0E" w:rsidP="00EB247F">
                      <w:pPr>
                        <w:spacing w:line="240" w:lineRule="auto"/>
                        <w:jc w:val="center"/>
                        <w:rPr>
                          <w:rFonts w:cs="Times New Roman"/>
                          <w:smallCaps/>
                          <w:color w:val="404040" w:themeColor="text1" w:themeTint="BF"/>
                          <w:sz w:val="36"/>
                          <w:szCs w:val="36"/>
                        </w:rPr>
                      </w:pPr>
                    </w:p>
                    <w:p w14:paraId="3F0B52E4" w14:textId="77777777" w:rsidR="00240C0E" w:rsidRDefault="00240C0E" w:rsidP="00EB247F">
                      <w:pPr>
                        <w:spacing w:line="240" w:lineRule="auto"/>
                        <w:jc w:val="center"/>
                        <w:rPr>
                          <w:rFonts w:cs="Times New Roman"/>
                          <w:smallCaps/>
                          <w:color w:val="404040" w:themeColor="text1" w:themeTint="BF"/>
                          <w:sz w:val="36"/>
                          <w:szCs w:val="36"/>
                        </w:rPr>
                      </w:pPr>
                    </w:p>
                    <w:p w14:paraId="30E4023E" w14:textId="5F3CC6ED" w:rsidR="00240C0E" w:rsidRPr="00EB247F" w:rsidRDefault="00240C0E"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2594C251" w:rsidR="00240C0E" w:rsidRPr="00EB247F" w:rsidRDefault="00240C0E"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w:t>
                      </w:r>
                      <w:r w:rsidRPr="00E107C9">
                        <w:rPr>
                          <w:rFonts w:cs="Times New Roman"/>
                          <w:smallCaps/>
                          <w:color w:val="404040" w:themeColor="text1" w:themeTint="BF"/>
                          <w:sz w:val="36"/>
                          <w:szCs w:val="36"/>
                        </w:rPr>
                        <w:t>Level: Households and Commercial</w:t>
                      </w:r>
                    </w:p>
                    <w:p w14:paraId="4CF7CB6C" w14:textId="5FA28F03" w:rsidR="00240C0E" w:rsidRPr="00EB247F" w:rsidRDefault="00240C0E"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Wind</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240C0E" w:rsidRPr="00EB247F" w:rsidRDefault="00240C0E" w:rsidP="00EB247F">
                      <w:pPr>
                        <w:spacing w:line="240" w:lineRule="auto"/>
                        <w:rPr>
                          <w:rFonts w:cs="Times New Roman"/>
                          <w:smallCaps/>
                          <w:color w:val="404040" w:themeColor="text1" w:themeTint="BF"/>
                          <w:sz w:val="36"/>
                          <w:szCs w:val="36"/>
                        </w:rPr>
                      </w:pPr>
                    </w:p>
                    <w:p w14:paraId="1922C9C8" w14:textId="77777777" w:rsidR="00240C0E" w:rsidRPr="00EB247F" w:rsidRDefault="00240C0E" w:rsidP="00EB247F">
                      <w:pPr>
                        <w:spacing w:line="240" w:lineRule="auto"/>
                        <w:rPr>
                          <w:rFonts w:cs="Times New Roman"/>
                          <w:smallCaps/>
                          <w:color w:val="404040" w:themeColor="text1" w:themeTint="BF"/>
                          <w:sz w:val="36"/>
                          <w:szCs w:val="36"/>
                        </w:rPr>
                      </w:pPr>
                    </w:p>
                    <w:p w14:paraId="0B02E81E" w14:textId="77777777" w:rsidR="00240C0E" w:rsidRPr="00EB247F" w:rsidRDefault="00240C0E" w:rsidP="00EB247F">
                      <w:pPr>
                        <w:spacing w:line="240" w:lineRule="auto"/>
                        <w:rPr>
                          <w:rFonts w:cs="Times New Roman"/>
                          <w:smallCaps/>
                          <w:color w:val="404040" w:themeColor="text1" w:themeTint="BF"/>
                          <w:sz w:val="36"/>
                          <w:szCs w:val="36"/>
                        </w:rPr>
                      </w:pPr>
                    </w:p>
                    <w:p w14:paraId="596D7C93" w14:textId="7DDB568B" w:rsidR="00240C0E" w:rsidRPr="00EB247F" w:rsidRDefault="00240C0E"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240C0E" w:rsidRPr="00EB247F" w:rsidRDefault="00240C0E" w:rsidP="00EB247F">
                      <w:pPr>
                        <w:spacing w:after="0" w:line="240" w:lineRule="auto"/>
                        <w:rPr>
                          <w:rFonts w:cs="Times New Roman"/>
                          <w:smallCaps/>
                          <w:color w:val="404040" w:themeColor="text1" w:themeTint="BF"/>
                          <w:sz w:val="36"/>
                          <w:szCs w:val="36"/>
                        </w:rPr>
                      </w:pPr>
                    </w:p>
                    <w:p w14:paraId="338A969E" w14:textId="77777777" w:rsidR="00240C0E" w:rsidRPr="00EB247F" w:rsidRDefault="00240C0E" w:rsidP="00EB247F">
                      <w:pPr>
                        <w:spacing w:after="0" w:line="240" w:lineRule="auto"/>
                        <w:rPr>
                          <w:rFonts w:cs="Times New Roman"/>
                          <w:smallCaps/>
                          <w:color w:val="404040" w:themeColor="text1" w:themeTint="BF"/>
                          <w:sz w:val="36"/>
                          <w:szCs w:val="36"/>
                        </w:rPr>
                      </w:pPr>
                    </w:p>
                    <w:p w14:paraId="21B2BC32" w14:textId="77777777" w:rsidR="00240C0E" w:rsidRPr="00EB247F" w:rsidRDefault="00240C0E" w:rsidP="00EB247F">
                      <w:pPr>
                        <w:spacing w:after="0" w:line="240" w:lineRule="auto"/>
                        <w:rPr>
                          <w:rFonts w:cs="Times New Roman"/>
                          <w:smallCaps/>
                          <w:color w:val="404040" w:themeColor="text1" w:themeTint="BF"/>
                          <w:sz w:val="36"/>
                          <w:szCs w:val="36"/>
                        </w:rPr>
                      </w:pPr>
                    </w:p>
                    <w:p w14:paraId="0EF4437F" w14:textId="77777777" w:rsidR="00240C0E" w:rsidRPr="00EB247F" w:rsidRDefault="00240C0E" w:rsidP="00EB247F">
                      <w:pPr>
                        <w:spacing w:after="0" w:line="240" w:lineRule="auto"/>
                        <w:rPr>
                          <w:rFonts w:cs="Times New Roman"/>
                          <w:smallCaps/>
                          <w:color w:val="404040" w:themeColor="text1" w:themeTint="BF"/>
                          <w:sz w:val="36"/>
                          <w:szCs w:val="36"/>
                        </w:rPr>
                      </w:pPr>
                    </w:p>
                    <w:p w14:paraId="66C10BC1" w14:textId="77777777" w:rsidR="00240C0E" w:rsidRPr="00EB247F" w:rsidRDefault="00240C0E"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02143E38" w14:textId="18265EB0" w:rsidR="00240C0E" w:rsidRDefault="00240C0E"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Priyanka desouza</w:t>
                      </w:r>
                      <w:r w:rsidRPr="00EB247F">
                        <w:rPr>
                          <w:rFonts w:cs="Times New Roman"/>
                          <w:smallCaps/>
                          <w:color w:val="404040" w:themeColor="text1" w:themeTint="BF"/>
                          <w:sz w:val="28"/>
                          <w:szCs w:val="28"/>
                        </w:rPr>
                        <w:t>, Research Fellow</w:t>
                      </w:r>
                    </w:p>
                    <w:p w14:paraId="12250688" w14:textId="3394A76D" w:rsidR="00240C0E" w:rsidRDefault="00240C0E" w:rsidP="003D50A7">
                      <w:pPr>
                        <w:spacing w:after="0" w:line="276" w:lineRule="auto"/>
                        <w:rPr>
                          <w:rFonts w:cs="Times New Roman"/>
                          <w:smallCaps/>
                          <w:color w:val="404040" w:themeColor="text1" w:themeTint="BF"/>
                          <w:sz w:val="28"/>
                          <w:szCs w:val="28"/>
                        </w:rPr>
                      </w:pPr>
                      <w:r w:rsidRPr="00775666">
                        <w:rPr>
                          <w:rFonts w:cs="Times New Roman"/>
                          <w:smallCaps/>
                          <w:color w:val="404040" w:themeColor="text1" w:themeTint="BF"/>
                          <w:sz w:val="28"/>
                          <w:szCs w:val="28"/>
                        </w:rPr>
                        <w:t>Abdulmutalib Yussuff</w:t>
                      </w:r>
                      <w:r>
                        <w:rPr>
                          <w:rFonts w:cs="Times New Roman"/>
                          <w:smallCaps/>
                          <w:color w:val="404040" w:themeColor="text1" w:themeTint="BF"/>
                          <w:sz w:val="28"/>
                          <w:szCs w:val="28"/>
                        </w:rPr>
                        <w:t xml:space="preserve">, </w:t>
                      </w:r>
                      <w:r w:rsidRPr="00EB247F">
                        <w:rPr>
                          <w:rFonts w:cs="Times New Roman"/>
                          <w:smallCaps/>
                          <w:color w:val="404040" w:themeColor="text1" w:themeTint="BF"/>
                          <w:sz w:val="28"/>
                          <w:szCs w:val="28"/>
                        </w:rPr>
                        <w:t>Research Fellow</w:t>
                      </w:r>
                    </w:p>
                    <w:p w14:paraId="216BEF98" w14:textId="77777777" w:rsidR="00240C0E" w:rsidRPr="003B3B35" w:rsidRDefault="00240C0E" w:rsidP="003B3B35">
                      <w:pPr>
                        <w:spacing w:after="0" w:line="276" w:lineRule="auto"/>
                        <w:rPr>
                          <w:rFonts w:cs="Times New Roman"/>
                          <w:smallCaps/>
                          <w:color w:val="404040" w:themeColor="text1" w:themeTint="BF"/>
                          <w:sz w:val="28"/>
                          <w:szCs w:val="28"/>
                        </w:rPr>
                      </w:pPr>
                      <w:r w:rsidRPr="003B3B35">
                        <w:rPr>
                          <w:rFonts w:cs="Times New Roman"/>
                          <w:smallCaps/>
                          <w:color w:val="404040" w:themeColor="text1" w:themeTint="BF"/>
                          <w:sz w:val="28"/>
                          <w:szCs w:val="28"/>
                        </w:rPr>
                        <w:t>João Pedro Gouveia, Senior Research Fellow</w:t>
                      </w:r>
                    </w:p>
                    <w:p w14:paraId="68E7D890" w14:textId="77777777" w:rsidR="00240C0E" w:rsidRPr="00775666" w:rsidRDefault="00240C0E" w:rsidP="003D50A7">
                      <w:pPr>
                        <w:spacing w:after="0" w:line="276" w:lineRule="auto"/>
                        <w:rPr>
                          <w:rFonts w:cs="Times New Roman"/>
                          <w:smallCaps/>
                          <w:color w:val="404040" w:themeColor="text1" w:themeTint="BF"/>
                          <w:sz w:val="28"/>
                          <w:szCs w:val="28"/>
                        </w:rPr>
                      </w:pPr>
                    </w:p>
                    <w:p w14:paraId="1C3CFB47" w14:textId="4ADA77BB" w:rsidR="00240C0E" w:rsidRPr="003B3B35" w:rsidRDefault="00240C0E" w:rsidP="007864AB">
                      <w:pPr>
                        <w:rPr>
                          <w:rFonts w:cs="Times New Roman"/>
                          <w:smallCaps/>
                          <w:color w:val="404040" w:themeColor="text1" w:themeTint="BF"/>
                        </w:rPr>
                      </w:pPr>
                    </w:p>
                    <w:p w14:paraId="3A3012FB" w14:textId="77777777" w:rsidR="00240C0E" w:rsidRPr="003B3B35" w:rsidRDefault="00240C0E" w:rsidP="007864AB">
                      <w:pPr>
                        <w:rPr>
                          <w:rFonts w:cs="Times New Roman"/>
                          <w:smallCaps/>
                          <w:color w:val="404040" w:themeColor="text1" w:themeTint="BF"/>
                        </w:rPr>
                      </w:pPr>
                    </w:p>
                    <w:p w14:paraId="4481356F" w14:textId="6C098178" w:rsidR="00240C0E" w:rsidRPr="00EB247F" w:rsidRDefault="00240C0E"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0170571A" w:rsidR="00240C0E" w:rsidRPr="0065586D" w:rsidRDefault="00ED0B70" w:rsidP="007864AB">
                      <w:pPr>
                        <w:rPr>
                          <w:rFonts w:asciiTheme="minorHAnsi" w:hAnsiTheme="minorHAnsi"/>
                          <w:smallCaps/>
                          <w:color w:val="808080" w:themeColor="background1" w:themeShade="80"/>
                          <w:sz w:val="20"/>
                          <w:szCs w:val="20"/>
                        </w:rPr>
                      </w:pPr>
                      <w:hyperlink r:id="rId13" w:history="1">
                        <w:r w:rsidR="00240C0E" w:rsidRPr="0065586D">
                          <w:rPr>
                            <w:rFonts w:asciiTheme="minorHAnsi" w:hAnsiTheme="minorHAnsi"/>
                            <w:color w:val="808080" w:themeColor="background1" w:themeShade="80"/>
                          </w:rPr>
                          <w:t>info@drawdown.org</w:t>
                        </w:r>
                      </w:hyperlink>
                      <w:r w:rsidR="00240C0E" w:rsidRPr="0065586D">
                        <w:rPr>
                          <w:rFonts w:asciiTheme="minorHAnsi" w:hAnsiTheme="minorHAnsi"/>
                          <w:smallCaps/>
                          <w:color w:val="808080" w:themeColor="background1" w:themeShade="80"/>
                          <w:sz w:val="20"/>
                          <w:szCs w:val="20"/>
                        </w:rPr>
                        <w:t xml:space="preserve">             </w:t>
                      </w:r>
                      <w:hyperlink r:id="rId14" w:history="1">
                        <w:r w:rsidR="00240C0E" w:rsidRPr="0065586D">
                          <w:rPr>
                            <w:rFonts w:asciiTheme="minorHAnsi" w:hAnsiTheme="minorHAnsi"/>
                            <w:color w:val="808080" w:themeColor="background1" w:themeShade="80"/>
                          </w:rPr>
                          <w:t>www.drawdown.org</w:t>
                        </w:r>
                      </w:hyperlink>
                      <w:r w:rsidR="00240C0E" w:rsidRPr="0065586D">
                        <w:rPr>
                          <w:rFonts w:asciiTheme="minorHAnsi" w:hAnsiTheme="minorHAnsi"/>
                          <w:smallCaps/>
                          <w:color w:val="808080" w:themeColor="background1" w:themeShade="80"/>
                          <w:sz w:val="20"/>
                          <w:szCs w:val="20"/>
                        </w:rPr>
                        <w:t xml:space="preserve">  </w:t>
                      </w:r>
                    </w:p>
                    <w:p w14:paraId="05DAFFE7" w14:textId="77777777" w:rsidR="00240C0E" w:rsidRPr="0065586D" w:rsidRDefault="00240C0E" w:rsidP="00C81D94">
                      <w:pPr>
                        <w:rPr>
                          <w:rFonts w:cs="Times New Roman"/>
                          <w:smallCaps/>
                          <w:color w:val="404040" w:themeColor="text1" w:themeTint="BF"/>
                          <w:sz w:val="36"/>
                          <w:szCs w:val="36"/>
                        </w:rPr>
                      </w:pPr>
                    </w:p>
                    <w:p w14:paraId="3D97FBF6" w14:textId="77777777" w:rsidR="00240C0E" w:rsidRPr="0065586D" w:rsidRDefault="00240C0E"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2B2B1C6E" w14:textId="0E885C0C" w:rsidR="00A01B42" w:rsidRDefault="00640665">
          <w:pPr>
            <w:pStyle w:val="TOC1"/>
            <w:tabs>
              <w:tab w:val="right" w:leader="dot" w:pos="9350"/>
            </w:tabs>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23613434" w:history="1">
            <w:r w:rsidR="00A01B42" w:rsidRPr="00845181">
              <w:rPr>
                <w:rStyle w:val="Hyperlink"/>
                <w:noProof/>
              </w:rPr>
              <w:t>List of Figures</w:t>
            </w:r>
            <w:r w:rsidR="00A01B42">
              <w:rPr>
                <w:noProof/>
                <w:webHidden/>
              </w:rPr>
              <w:tab/>
            </w:r>
            <w:r w:rsidR="00A01B42">
              <w:rPr>
                <w:noProof/>
                <w:webHidden/>
              </w:rPr>
              <w:fldChar w:fldCharType="begin"/>
            </w:r>
            <w:r w:rsidR="00A01B42">
              <w:rPr>
                <w:noProof/>
                <w:webHidden/>
              </w:rPr>
              <w:instrText xml:space="preserve"> PAGEREF _Toc23613434 \h </w:instrText>
            </w:r>
            <w:r w:rsidR="00A01B42">
              <w:rPr>
                <w:noProof/>
                <w:webHidden/>
              </w:rPr>
            </w:r>
            <w:r w:rsidR="00A01B42">
              <w:rPr>
                <w:noProof/>
                <w:webHidden/>
              </w:rPr>
              <w:fldChar w:fldCharType="separate"/>
            </w:r>
            <w:r w:rsidR="005E2B26">
              <w:rPr>
                <w:noProof/>
                <w:webHidden/>
              </w:rPr>
              <w:t>4</w:t>
            </w:r>
            <w:r w:rsidR="00A01B42">
              <w:rPr>
                <w:noProof/>
                <w:webHidden/>
              </w:rPr>
              <w:fldChar w:fldCharType="end"/>
            </w:r>
          </w:hyperlink>
        </w:p>
        <w:p w14:paraId="2FEE69C0" w14:textId="0D4711CC" w:rsidR="00A01B42" w:rsidRDefault="004A0C3D">
          <w:pPr>
            <w:pStyle w:val="TOC1"/>
            <w:tabs>
              <w:tab w:val="right" w:leader="dot" w:pos="9350"/>
            </w:tabs>
            <w:rPr>
              <w:rFonts w:asciiTheme="minorHAnsi" w:hAnsiTheme="minorHAnsi"/>
              <w:noProof/>
              <w:sz w:val="24"/>
              <w:szCs w:val="24"/>
              <w:lang w:eastAsia="en-US"/>
            </w:rPr>
          </w:pPr>
          <w:hyperlink w:anchor="_Toc23613435" w:history="1">
            <w:r w:rsidR="00A01B42" w:rsidRPr="00845181">
              <w:rPr>
                <w:rStyle w:val="Hyperlink"/>
                <w:noProof/>
              </w:rPr>
              <w:t>List of Tables</w:t>
            </w:r>
            <w:r w:rsidR="00A01B42">
              <w:rPr>
                <w:noProof/>
                <w:webHidden/>
              </w:rPr>
              <w:tab/>
            </w:r>
            <w:r w:rsidR="00A01B42">
              <w:rPr>
                <w:noProof/>
                <w:webHidden/>
              </w:rPr>
              <w:fldChar w:fldCharType="begin"/>
            </w:r>
            <w:r w:rsidR="00A01B42">
              <w:rPr>
                <w:noProof/>
                <w:webHidden/>
              </w:rPr>
              <w:instrText xml:space="preserve"> PAGEREF _Toc23613435 \h </w:instrText>
            </w:r>
            <w:r w:rsidR="00A01B42">
              <w:rPr>
                <w:noProof/>
                <w:webHidden/>
              </w:rPr>
            </w:r>
            <w:r w:rsidR="00A01B42">
              <w:rPr>
                <w:noProof/>
                <w:webHidden/>
              </w:rPr>
              <w:fldChar w:fldCharType="separate"/>
            </w:r>
            <w:r w:rsidR="005E2B26">
              <w:rPr>
                <w:noProof/>
                <w:webHidden/>
              </w:rPr>
              <w:t>4</w:t>
            </w:r>
            <w:r w:rsidR="00A01B42">
              <w:rPr>
                <w:noProof/>
                <w:webHidden/>
              </w:rPr>
              <w:fldChar w:fldCharType="end"/>
            </w:r>
          </w:hyperlink>
        </w:p>
        <w:p w14:paraId="685BB0A8" w14:textId="46B6290D" w:rsidR="00A01B42" w:rsidRDefault="004A0C3D">
          <w:pPr>
            <w:pStyle w:val="TOC1"/>
            <w:tabs>
              <w:tab w:val="right" w:leader="dot" w:pos="9350"/>
            </w:tabs>
            <w:rPr>
              <w:rFonts w:asciiTheme="minorHAnsi" w:hAnsiTheme="minorHAnsi"/>
              <w:noProof/>
              <w:sz w:val="24"/>
              <w:szCs w:val="24"/>
              <w:lang w:eastAsia="en-US"/>
            </w:rPr>
          </w:pPr>
          <w:hyperlink w:anchor="_Toc23613436" w:history="1">
            <w:r w:rsidR="00A01B42" w:rsidRPr="00845181">
              <w:rPr>
                <w:rStyle w:val="Hyperlink"/>
                <w:noProof/>
              </w:rPr>
              <w:t>Acronyms and Symbols</w:t>
            </w:r>
            <w:r w:rsidR="00A01B42">
              <w:rPr>
                <w:noProof/>
                <w:webHidden/>
              </w:rPr>
              <w:tab/>
            </w:r>
            <w:r w:rsidR="00A01B42">
              <w:rPr>
                <w:noProof/>
                <w:webHidden/>
              </w:rPr>
              <w:fldChar w:fldCharType="begin"/>
            </w:r>
            <w:r w:rsidR="00A01B42">
              <w:rPr>
                <w:noProof/>
                <w:webHidden/>
              </w:rPr>
              <w:instrText xml:space="preserve"> PAGEREF _Toc23613436 \h </w:instrText>
            </w:r>
            <w:r w:rsidR="00A01B42">
              <w:rPr>
                <w:noProof/>
                <w:webHidden/>
              </w:rPr>
            </w:r>
            <w:r w:rsidR="00A01B42">
              <w:rPr>
                <w:noProof/>
                <w:webHidden/>
              </w:rPr>
              <w:fldChar w:fldCharType="separate"/>
            </w:r>
            <w:r w:rsidR="005E2B26">
              <w:rPr>
                <w:noProof/>
                <w:webHidden/>
              </w:rPr>
              <w:t>5</w:t>
            </w:r>
            <w:r w:rsidR="00A01B42">
              <w:rPr>
                <w:noProof/>
                <w:webHidden/>
              </w:rPr>
              <w:fldChar w:fldCharType="end"/>
            </w:r>
          </w:hyperlink>
        </w:p>
        <w:p w14:paraId="209508EE" w14:textId="41B6DBD2" w:rsidR="00A01B42" w:rsidRDefault="004A0C3D">
          <w:pPr>
            <w:pStyle w:val="TOC1"/>
            <w:tabs>
              <w:tab w:val="right" w:leader="dot" w:pos="9350"/>
            </w:tabs>
            <w:rPr>
              <w:rFonts w:asciiTheme="minorHAnsi" w:hAnsiTheme="minorHAnsi"/>
              <w:noProof/>
              <w:sz w:val="24"/>
              <w:szCs w:val="24"/>
              <w:lang w:eastAsia="en-US"/>
            </w:rPr>
          </w:pPr>
          <w:hyperlink w:anchor="_Toc23613437" w:history="1">
            <w:r w:rsidR="00A01B42" w:rsidRPr="00845181">
              <w:rPr>
                <w:rStyle w:val="Hyperlink"/>
                <w:noProof/>
              </w:rPr>
              <w:t>Executive Summary</w:t>
            </w:r>
            <w:r w:rsidR="00A01B42">
              <w:rPr>
                <w:noProof/>
                <w:webHidden/>
              </w:rPr>
              <w:tab/>
            </w:r>
            <w:r w:rsidR="00A01B42">
              <w:rPr>
                <w:noProof/>
                <w:webHidden/>
              </w:rPr>
              <w:fldChar w:fldCharType="begin"/>
            </w:r>
            <w:r w:rsidR="00A01B42">
              <w:rPr>
                <w:noProof/>
                <w:webHidden/>
              </w:rPr>
              <w:instrText xml:space="preserve"> PAGEREF _Toc23613437 \h </w:instrText>
            </w:r>
            <w:r w:rsidR="00A01B42">
              <w:rPr>
                <w:noProof/>
                <w:webHidden/>
              </w:rPr>
            </w:r>
            <w:r w:rsidR="00A01B42">
              <w:rPr>
                <w:noProof/>
                <w:webHidden/>
              </w:rPr>
              <w:fldChar w:fldCharType="separate"/>
            </w:r>
            <w:r w:rsidR="005E2B26">
              <w:rPr>
                <w:noProof/>
                <w:webHidden/>
              </w:rPr>
              <w:t>6</w:t>
            </w:r>
            <w:r w:rsidR="00A01B42">
              <w:rPr>
                <w:noProof/>
                <w:webHidden/>
              </w:rPr>
              <w:fldChar w:fldCharType="end"/>
            </w:r>
          </w:hyperlink>
        </w:p>
        <w:p w14:paraId="10845B85" w14:textId="3B53E81D" w:rsidR="00A01B42" w:rsidRDefault="004A0C3D">
          <w:pPr>
            <w:pStyle w:val="TOC1"/>
            <w:tabs>
              <w:tab w:val="left" w:pos="440"/>
              <w:tab w:val="right" w:leader="dot" w:pos="9350"/>
            </w:tabs>
            <w:rPr>
              <w:rFonts w:asciiTheme="minorHAnsi" w:hAnsiTheme="minorHAnsi"/>
              <w:noProof/>
              <w:sz w:val="24"/>
              <w:szCs w:val="24"/>
              <w:lang w:eastAsia="en-US"/>
            </w:rPr>
          </w:pPr>
          <w:hyperlink w:anchor="_Toc23613438" w:history="1">
            <w:r w:rsidR="00A01B42" w:rsidRPr="00845181">
              <w:rPr>
                <w:rStyle w:val="Hyperlink"/>
                <w:noProof/>
              </w:rPr>
              <w:t>1.</w:t>
            </w:r>
            <w:r w:rsidR="00A01B42">
              <w:rPr>
                <w:rFonts w:asciiTheme="minorHAnsi" w:hAnsiTheme="minorHAnsi"/>
                <w:noProof/>
                <w:sz w:val="24"/>
                <w:szCs w:val="24"/>
                <w:lang w:eastAsia="en-US"/>
              </w:rPr>
              <w:tab/>
            </w:r>
            <w:r w:rsidR="00A01B42" w:rsidRPr="00845181">
              <w:rPr>
                <w:rStyle w:val="Hyperlink"/>
                <w:noProof/>
              </w:rPr>
              <w:t>Literature Review</w:t>
            </w:r>
            <w:r w:rsidR="00A01B42">
              <w:rPr>
                <w:noProof/>
                <w:webHidden/>
              </w:rPr>
              <w:tab/>
            </w:r>
            <w:r w:rsidR="00A01B42">
              <w:rPr>
                <w:noProof/>
                <w:webHidden/>
              </w:rPr>
              <w:fldChar w:fldCharType="begin"/>
            </w:r>
            <w:r w:rsidR="00A01B42">
              <w:rPr>
                <w:noProof/>
                <w:webHidden/>
              </w:rPr>
              <w:instrText xml:space="preserve"> PAGEREF _Toc23613438 \h </w:instrText>
            </w:r>
            <w:r w:rsidR="00A01B42">
              <w:rPr>
                <w:noProof/>
                <w:webHidden/>
              </w:rPr>
            </w:r>
            <w:r w:rsidR="00A01B42">
              <w:rPr>
                <w:noProof/>
                <w:webHidden/>
              </w:rPr>
              <w:fldChar w:fldCharType="separate"/>
            </w:r>
            <w:r w:rsidR="005E2B26">
              <w:rPr>
                <w:noProof/>
                <w:webHidden/>
              </w:rPr>
              <w:t>7</w:t>
            </w:r>
            <w:r w:rsidR="00A01B42">
              <w:rPr>
                <w:noProof/>
                <w:webHidden/>
              </w:rPr>
              <w:fldChar w:fldCharType="end"/>
            </w:r>
          </w:hyperlink>
        </w:p>
        <w:p w14:paraId="40B7B49D" w14:textId="494B8DD9" w:rsidR="00A01B42" w:rsidRDefault="004A0C3D">
          <w:pPr>
            <w:pStyle w:val="TOC2"/>
            <w:tabs>
              <w:tab w:val="right" w:leader="dot" w:pos="9350"/>
            </w:tabs>
            <w:rPr>
              <w:rFonts w:asciiTheme="minorHAnsi" w:hAnsiTheme="minorHAnsi"/>
              <w:noProof/>
              <w:sz w:val="24"/>
              <w:szCs w:val="24"/>
              <w:lang w:eastAsia="en-US"/>
            </w:rPr>
          </w:pPr>
          <w:hyperlink w:anchor="_Toc23613439" w:history="1">
            <w:r w:rsidR="00A01B42" w:rsidRPr="00845181">
              <w:rPr>
                <w:rStyle w:val="Hyperlink"/>
                <w:noProof/>
              </w:rPr>
              <w:t>1.1 State of Micro Wind Turbines technology</w:t>
            </w:r>
            <w:r w:rsidR="00A01B42">
              <w:rPr>
                <w:noProof/>
                <w:webHidden/>
              </w:rPr>
              <w:tab/>
            </w:r>
            <w:r w:rsidR="00A01B42">
              <w:rPr>
                <w:noProof/>
                <w:webHidden/>
              </w:rPr>
              <w:fldChar w:fldCharType="begin"/>
            </w:r>
            <w:r w:rsidR="00A01B42">
              <w:rPr>
                <w:noProof/>
                <w:webHidden/>
              </w:rPr>
              <w:instrText xml:space="preserve"> PAGEREF _Toc23613439 \h </w:instrText>
            </w:r>
            <w:r w:rsidR="00A01B42">
              <w:rPr>
                <w:noProof/>
                <w:webHidden/>
              </w:rPr>
            </w:r>
            <w:r w:rsidR="00A01B42">
              <w:rPr>
                <w:noProof/>
                <w:webHidden/>
              </w:rPr>
              <w:fldChar w:fldCharType="separate"/>
            </w:r>
            <w:r w:rsidR="005E2B26">
              <w:rPr>
                <w:noProof/>
                <w:webHidden/>
              </w:rPr>
              <w:t>7</w:t>
            </w:r>
            <w:r w:rsidR="00A01B42">
              <w:rPr>
                <w:noProof/>
                <w:webHidden/>
              </w:rPr>
              <w:fldChar w:fldCharType="end"/>
            </w:r>
          </w:hyperlink>
        </w:p>
        <w:p w14:paraId="6298C6D2" w14:textId="1622F3EC" w:rsidR="00A01B42" w:rsidRDefault="004A0C3D">
          <w:pPr>
            <w:pStyle w:val="TOC2"/>
            <w:tabs>
              <w:tab w:val="right" w:leader="dot" w:pos="9350"/>
            </w:tabs>
            <w:rPr>
              <w:rFonts w:asciiTheme="minorHAnsi" w:hAnsiTheme="minorHAnsi"/>
              <w:noProof/>
              <w:sz w:val="24"/>
              <w:szCs w:val="24"/>
              <w:lang w:eastAsia="en-US"/>
            </w:rPr>
          </w:pPr>
          <w:hyperlink w:anchor="_Toc23613440" w:history="1">
            <w:r w:rsidR="00A01B42" w:rsidRPr="00845181">
              <w:rPr>
                <w:rStyle w:val="Hyperlink"/>
                <w:noProof/>
              </w:rPr>
              <w:t>1.2 Adoption Path</w:t>
            </w:r>
            <w:r w:rsidR="00A01B42">
              <w:rPr>
                <w:noProof/>
                <w:webHidden/>
              </w:rPr>
              <w:tab/>
            </w:r>
            <w:r w:rsidR="00A01B42">
              <w:rPr>
                <w:noProof/>
                <w:webHidden/>
              </w:rPr>
              <w:fldChar w:fldCharType="begin"/>
            </w:r>
            <w:r w:rsidR="00A01B42">
              <w:rPr>
                <w:noProof/>
                <w:webHidden/>
              </w:rPr>
              <w:instrText xml:space="preserve"> PAGEREF _Toc23613440 \h </w:instrText>
            </w:r>
            <w:r w:rsidR="00A01B42">
              <w:rPr>
                <w:noProof/>
                <w:webHidden/>
              </w:rPr>
            </w:r>
            <w:r w:rsidR="00A01B42">
              <w:rPr>
                <w:noProof/>
                <w:webHidden/>
              </w:rPr>
              <w:fldChar w:fldCharType="separate"/>
            </w:r>
            <w:r w:rsidR="005E2B26">
              <w:rPr>
                <w:noProof/>
                <w:webHidden/>
              </w:rPr>
              <w:t>13</w:t>
            </w:r>
            <w:r w:rsidR="00A01B42">
              <w:rPr>
                <w:noProof/>
                <w:webHidden/>
              </w:rPr>
              <w:fldChar w:fldCharType="end"/>
            </w:r>
          </w:hyperlink>
        </w:p>
        <w:p w14:paraId="1A1053B0" w14:textId="252FB0AE" w:rsidR="00A01B42" w:rsidRDefault="004A0C3D">
          <w:pPr>
            <w:pStyle w:val="TOC3"/>
            <w:tabs>
              <w:tab w:val="right" w:leader="dot" w:pos="9350"/>
            </w:tabs>
            <w:rPr>
              <w:rFonts w:asciiTheme="minorHAnsi" w:hAnsiTheme="minorHAnsi"/>
              <w:noProof/>
              <w:sz w:val="24"/>
              <w:szCs w:val="24"/>
              <w:lang w:eastAsia="en-US"/>
            </w:rPr>
          </w:pPr>
          <w:hyperlink w:anchor="_Toc23613441" w:history="1">
            <w:r w:rsidR="00A01B42" w:rsidRPr="00845181">
              <w:rPr>
                <w:rStyle w:val="Hyperlink"/>
                <w:noProof/>
              </w:rPr>
              <w:t>1.2.1 Current Adoption</w:t>
            </w:r>
            <w:r w:rsidR="00A01B42">
              <w:rPr>
                <w:noProof/>
                <w:webHidden/>
              </w:rPr>
              <w:tab/>
            </w:r>
            <w:r w:rsidR="00A01B42">
              <w:rPr>
                <w:noProof/>
                <w:webHidden/>
              </w:rPr>
              <w:fldChar w:fldCharType="begin"/>
            </w:r>
            <w:r w:rsidR="00A01B42">
              <w:rPr>
                <w:noProof/>
                <w:webHidden/>
              </w:rPr>
              <w:instrText xml:space="preserve"> PAGEREF _Toc23613441 \h </w:instrText>
            </w:r>
            <w:r w:rsidR="00A01B42">
              <w:rPr>
                <w:noProof/>
                <w:webHidden/>
              </w:rPr>
            </w:r>
            <w:r w:rsidR="00A01B42">
              <w:rPr>
                <w:noProof/>
                <w:webHidden/>
              </w:rPr>
              <w:fldChar w:fldCharType="separate"/>
            </w:r>
            <w:r w:rsidR="005E2B26">
              <w:rPr>
                <w:noProof/>
                <w:webHidden/>
              </w:rPr>
              <w:t>13</w:t>
            </w:r>
            <w:r w:rsidR="00A01B42">
              <w:rPr>
                <w:noProof/>
                <w:webHidden/>
              </w:rPr>
              <w:fldChar w:fldCharType="end"/>
            </w:r>
          </w:hyperlink>
        </w:p>
        <w:p w14:paraId="7F6741E7" w14:textId="610F88F8" w:rsidR="00A01B42" w:rsidRDefault="004A0C3D">
          <w:pPr>
            <w:pStyle w:val="TOC3"/>
            <w:tabs>
              <w:tab w:val="right" w:leader="dot" w:pos="9350"/>
            </w:tabs>
            <w:rPr>
              <w:rFonts w:asciiTheme="minorHAnsi" w:hAnsiTheme="minorHAnsi"/>
              <w:noProof/>
              <w:sz w:val="24"/>
              <w:szCs w:val="24"/>
              <w:lang w:eastAsia="en-US"/>
            </w:rPr>
          </w:pPr>
          <w:hyperlink w:anchor="_Toc23613442" w:history="1">
            <w:r w:rsidR="00A01B42" w:rsidRPr="00845181">
              <w:rPr>
                <w:rStyle w:val="Hyperlink"/>
                <w:noProof/>
              </w:rPr>
              <w:t>1.2.2 Trends to Accelerate Adoption</w:t>
            </w:r>
            <w:r w:rsidR="00A01B42">
              <w:rPr>
                <w:noProof/>
                <w:webHidden/>
              </w:rPr>
              <w:tab/>
            </w:r>
            <w:r w:rsidR="00A01B42">
              <w:rPr>
                <w:noProof/>
                <w:webHidden/>
              </w:rPr>
              <w:fldChar w:fldCharType="begin"/>
            </w:r>
            <w:r w:rsidR="00A01B42">
              <w:rPr>
                <w:noProof/>
                <w:webHidden/>
              </w:rPr>
              <w:instrText xml:space="preserve"> PAGEREF _Toc23613442 \h </w:instrText>
            </w:r>
            <w:r w:rsidR="00A01B42">
              <w:rPr>
                <w:noProof/>
                <w:webHidden/>
              </w:rPr>
            </w:r>
            <w:r w:rsidR="00A01B42">
              <w:rPr>
                <w:noProof/>
                <w:webHidden/>
              </w:rPr>
              <w:fldChar w:fldCharType="separate"/>
            </w:r>
            <w:r w:rsidR="005E2B26">
              <w:rPr>
                <w:noProof/>
                <w:webHidden/>
              </w:rPr>
              <w:t>15</w:t>
            </w:r>
            <w:r w:rsidR="00A01B42">
              <w:rPr>
                <w:noProof/>
                <w:webHidden/>
              </w:rPr>
              <w:fldChar w:fldCharType="end"/>
            </w:r>
          </w:hyperlink>
        </w:p>
        <w:p w14:paraId="3758393F" w14:textId="624916E8" w:rsidR="00A01B42" w:rsidRDefault="004A0C3D">
          <w:pPr>
            <w:pStyle w:val="TOC3"/>
            <w:tabs>
              <w:tab w:val="right" w:leader="dot" w:pos="9350"/>
            </w:tabs>
            <w:rPr>
              <w:rFonts w:asciiTheme="minorHAnsi" w:hAnsiTheme="minorHAnsi"/>
              <w:noProof/>
              <w:sz w:val="24"/>
              <w:szCs w:val="24"/>
              <w:lang w:eastAsia="en-US"/>
            </w:rPr>
          </w:pPr>
          <w:hyperlink w:anchor="_Toc23613443" w:history="1">
            <w:r w:rsidR="00A01B42" w:rsidRPr="00845181">
              <w:rPr>
                <w:rStyle w:val="Hyperlink"/>
                <w:noProof/>
              </w:rPr>
              <w:t>1.2.3 Barriers to Adoption</w:t>
            </w:r>
            <w:r w:rsidR="00A01B42">
              <w:rPr>
                <w:noProof/>
                <w:webHidden/>
              </w:rPr>
              <w:tab/>
            </w:r>
            <w:r w:rsidR="00A01B42">
              <w:rPr>
                <w:noProof/>
                <w:webHidden/>
              </w:rPr>
              <w:fldChar w:fldCharType="begin"/>
            </w:r>
            <w:r w:rsidR="00A01B42">
              <w:rPr>
                <w:noProof/>
                <w:webHidden/>
              </w:rPr>
              <w:instrText xml:space="preserve"> PAGEREF _Toc23613443 \h </w:instrText>
            </w:r>
            <w:r w:rsidR="00A01B42">
              <w:rPr>
                <w:noProof/>
                <w:webHidden/>
              </w:rPr>
            </w:r>
            <w:r w:rsidR="00A01B42">
              <w:rPr>
                <w:noProof/>
                <w:webHidden/>
              </w:rPr>
              <w:fldChar w:fldCharType="separate"/>
            </w:r>
            <w:r w:rsidR="005E2B26">
              <w:rPr>
                <w:noProof/>
                <w:webHidden/>
              </w:rPr>
              <w:t>15</w:t>
            </w:r>
            <w:r w:rsidR="00A01B42">
              <w:rPr>
                <w:noProof/>
                <w:webHidden/>
              </w:rPr>
              <w:fldChar w:fldCharType="end"/>
            </w:r>
          </w:hyperlink>
        </w:p>
        <w:p w14:paraId="4E990951" w14:textId="784BD90E" w:rsidR="00A01B42" w:rsidRDefault="004A0C3D">
          <w:pPr>
            <w:pStyle w:val="TOC3"/>
            <w:tabs>
              <w:tab w:val="right" w:leader="dot" w:pos="9350"/>
            </w:tabs>
            <w:rPr>
              <w:rFonts w:asciiTheme="minorHAnsi" w:hAnsiTheme="minorHAnsi"/>
              <w:noProof/>
              <w:sz w:val="24"/>
              <w:szCs w:val="24"/>
              <w:lang w:eastAsia="en-US"/>
            </w:rPr>
          </w:pPr>
          <w:hyperlink w:anchor="_Toc23613444" w:history="1">
            <w:r w:rsidR="00A01B42" w:rsidRPr="00845181">
              <w:rPr>
                <w:rStyle w:val="Hyperlink"/>
                <w:noProof/>
              </w:rPr>
              <w:t>1.2.4 Adoption Potential</w:t>
            </w:r>
            <w:r w:rsidR="00A01B42">
              <w:rPr>
                <w:noProof/>
                <w:webHidden/>
              </w:rPr>
              <w:tab/>
            </w:r>
            <w:r w:rsidR="00A01B42">
              <w:rPr>
                <w:noProof/>
                <w:webHidden/>
              </w:rPr>
              <w:fldChar w:fldCharType="begin"/>
            </w:r>
            <w:r w:rsidR="00A01B42">
              <w:rPr>
                <w:noProof/>
                <w:webHidden/>
              </w:rPr>
              <w:instrText xml:space="preserve"> PAGEREF _Toc23613444 \h </w:instrText>
            </w:r>
            <w:r w:rsidR="00A01B42">
              <w:rPr>
                <w:noProof/>
                <w:webHidden/>
              </w:rPr>
            </w:r>
            <w:r w:rsidR="00A01B42">
              <w:rPr>
                <w:noProof/>
                <w:webHidden/>
              </w:rPr>
              <w:fldChar w:fldCharType="separate"/>
            </w:r>
            <w:r w:rsidR="005E2B26">
              <w:rPr>
                <w:noProof/>
                <w:webHidden/>
              </w:rPr>
              <w:t>15</w:t>
            </w:r>
            <w:r w:rsidR="00A01B42">
              <w:rPr>
                <w:noProof/>
                <w:webHidden/>
              </w:rPr>
              <w:fldChar w:fldCharType="end"/>
            </w:r>
          </w:hyperlink>
        </w:p>
        <w:p w14:paraId="600743B0" w14:textId="0EA211F0" w:rsidR="00A01B42" w:rsidRDefault="004A0C3D">
          <w:pPr>
            <w:pStyle w:val="TOC2"/>
            <w:tabs>
              <w:tab w:val="left" w:pos="960"/>
              <w:tab w:val="right" w:leader="dot" w:pos="9350"/>
            </w:tabs>
            <w:rPr>
              <w:rFonts w:asciiTheme="minorHAnsi" w:hAnsiTheme="minorHAnsi"/>
              <w:noProof/>
              <w:sz w:val="24"/>
              <w:szCs w:val="24"/>
              <w:lang w:eastAsia="en-US"/>
            </w:rPr>
          </w:pPr>
          <w:hyperlink w:anchor="_Toc23613445" w:history="1">
            <w:r w:rsidR="00A01B42" w:rsidRPr="00845181">
              <w:rPr>
                <w:rStyle w:val="Hyperlink"/>
                <w:noProof/>
              </w:rPr>
              <w:t>1.3</w:t>
            </w:r>
            <w:r w:rsidR="00A01B42">
              <w:rPr>
                <w:rFonts w:asciiTheme="minorHAnsi" w:hAnsiTheme="minorHAnsi"/>
                <w:noProof/>
                <w:sz w:val="24"/>
                <w:szCs w:val="24"/>
                <w:lang w:eastAsia="en-US"/>
              </w:rPr>
              <w:tab/>
            </w:r>
            <w:r w:rsidR="00A01B42" w:rsidRPr="00845181">
              <w:rPr>
                <w:rStyle w:val="Hyperlink"/>
                <w:noProof/>
              </w:rPr>
              <w:t>Advantages and disadvantages of Micro Wind Turbines</w:t>
            </w:r>
            <w:r w:rsidR="00A01B42">
              <w:rPr>
                <w:noProof/>
                <w:webHidden/>
              </w:rPr>
              <w:tab/>
            </w:r>
            <w:r w:rsidR="00A01B42">
              <w:rPr>
                <w:noProof/>
                <w:webHidden/>
              </w:rPr>
              <w:fldChar w:fldCharType="begin"/>
            </w:r>
            <w:r w:rsidR="00A01B42">
              <w:rPr>
                <w:noProof/>
                <w:webHidden/>
              </w:rPr>
              <w:instrText xml:space="preserve"> PAGEREF _Toc23613445 \h </w:instrText>
            </w:r>
            <w:r w:rsidR="00A01B42">
              <w:rPr>
                <w:noProof/>
                <w:webHidden/>
              </w:rPr>
            </w:r>
            <w:r w:rsidR="00A01B42">
              <w:rPr>
                <w:noProof/>
                <w:webHidden/>
              </w:rPr>
              <w:fldChar w:fldCharType="separate"/>
            </w:r>
            <w:r w:rsidR="005E2B26">
              <w:rPr>
                <w:noProof/>
                <w:webHidden/>
              </w:rPr>
              <w:t>16</w:t>
            </w:r>
            <w:r w:rsidR="00A01B42">
              <w:rPr>
                <w:noProof/>
                <w:webHidden/>
              </w:rPr>
              <w:fldChar w:fldCharType="end"/>
            </w:r>
          </w:hyperlink>
        </w:p>
        <w:p w14:paraId="11BC99EC" w14:textId="176DADF2" w:rsidR="00A01B42" w:rsidRDefault="004A0C3D">
          <w:pPr>
            <w:pStyle w:val="TOC3"/>
            <w:tabs>
              <w:tab w:val="right" w:leader="dot" w:pos="9350"/>
            </w:tabs>
            <w:rPr>
              <w:rFonts w:asciiTheme="minorHAnsi" w:hAnsiTheme="minorHAnsi"/>
              <w:noProof/>
              <w:sz w:val="24"/>
              <w:szCs w:val="24"/>
              <w:lang w:eastAsia="en-US"/>
            </w:rPr>
          </w:pPr>
          <w:hyperlink w:anchor="_Toc23613446" w:history="1">
            <w:r w:rsidR="00A01B42" w:rsidRPr="00845181">
              <w:rPr>
                <w:rStyle w:val="Hyperlink"/>
                <w:noProof/>
              </w:rPr>
              <w:t>1.3.1 Similar Solutions</w:t>
            </w:r>
            <w:r w:rsidR="00A01B42">
              <w:rPr>
                <w:noProof/>
                <w:webHidden/>
              </w:rPr>
              <w:tab/>
            </w:r>
            <w:r w:rsidR="00A01B42">
              <w:rPr>
                <w:noProof/>
                <w:webHidden/>
              </w:rPr>
              <w:fldChar w:fldCharType="begin"/>
            </w:r>
            <w:r w:rsidR="00A01B42">
              <w:rPr>
                <w:noProof/>
                <w:webHidden/>
              </w:rPr>
              <w:instrText xml:space="preserve"> PAGEREF _Toc23613446 \h </w:instrText>
            </w:r>
            <w:r w:rsidR="00A01B42">
              <w:rPr>
                <w:noProof/>
                <w:webHidden/>
              </w:rPr>
            </w:r>
            <w:r w:rsidR="00A01B42">
              <w:rPr>
                <w:noProof/>
                <w:webHidden/>
              </w:rPr>
              <w:fldChar w:fldCharType="separate"/>
            </w:r>
            <w:r w:rsidR="005E2B26">
              <w:rPr>
                <w:noProof/>
                <w:webHidden/>
              </w:rPr>
              <w:t>16</w:t>
            </w:r>
            <w:r w:rsidR="00A01B42">
              <w:rPr>
                <w:noProof/>
                <w:webHidden/>
              </w:rPr>
              <w:fldChar w:fldCharType="end"/>
            </w:r>
          </w:hyperlink>
        </w:p>
        <w:p w14:paraId="0B69A431" w14:textId="790F7E30" w:rsidR="00A01B42" w:rsidRDefault="004A0C3D">
          <w:pPr>
            <w:pStyle w:val="TOC3"/>
            <w:tabs>
              <w:tab w:val="right" w:leader="dot" w:pos="9350"/>
            </w:tabs>
            <w:rPr>
              <w:rFonts w:asciiTheme="minorHAnsi" w:hAnsiTheme="minorHAnsi"/>
              <w:noProof/>
              <w:sz w:val="24"/>
              <w:szCs w:val="24"/>
              <w:lang w:eastAsia="en-US"/>
            </w:rPr>
          </w:pPr>
          <w:hyperlink w:anchor="_Toc23613447" w:history="1">
            <w:r w:rsidR="00A01B42" w:rsidRPr="00845181">
              <w:rPr>
                <w:rStyle w:val="Hyperlink"/>
                <w:noProof/>
              </w:rPr>
              <w:t>1.3.2 Arguments for Adoption</w:t>
            </w:r>
            <w:r w:rsidR="00A01B42">
              <w:rPr>
                <w:noProof/>
                <w:webHidden/>
              </w:rPr>
              <w:tab/>
            </w:r>
            <w:r w:rsidR="00A01B42">
              <w:rPr>
                <w:noProof/>
                <w:webHidden/>
              </w:rPr>
              <w:fldChar w:fldCharType="begin"/>
            </w:r>
            <w:r w:rsidR="00A01B42">
              <w:rPr>
                <w:noProof/>
                <w:webHidden/>
              </w:rPr>
              <w:instrText xml:space="preserve"> PAGEREF _Toc23613447 \h </w:instrText>
            </w:r>
            <w:r w:rsidR="00A01B42">
              <w:rPr>
                <w:noProof/>
                <w:webHidden/>
              </w:rPr>
            </w:r>
            <w:r w:rsidR="00A01B42">
              <w:rPr>
                <w:noProof/>
                <w:webHidden/>
              </w:rPr>
              <w:fldChar w:fldCharType="separate"/>
            </w:r>
            <w:r w:rsidR="005E2B26">
              <w:rPr>
                <w:noProof/>
                <w:webHidden/>
              </w:rPr>
              <w:t>17</w:t>
            </w:r>
            <w:r w:rsidR="00A01B42">
              <w:rPr>
                <w:noProof/>
                <w:webHidden/>
              </w:rPr>
              <w:fldChar w:fldCharType="end"/>
            </w:r>
          </w:hyperlink>
        </w:p>
        <w:p w14:paraId="6ECC9AC7" w14:textId="20258573" w:rsidR="00A01B42" w:rsidRDefault="004A0C3D">
          <w:pPr>
            <w:pStyle w:val="TOC3"/>
            <w:tabs>
              <w:tab w:val="right" w:leader="dot" w:pos="9350"/>
            </w:tabs>
            <w:rPr>
              <w:rFonts w:asciiTheme="minorHAnsi" w:hAnsiTheme="minorHAnsi"/>
              <w:noProof/>
              <w:sz w:val="24"/>
              <w:szCs w:val="24"/>
              <w:lang w:eastAsia="en-US"/>
            </w:rPr>
          </w:pPr>
          <w:hyperlink w:anchor="_Toc23613448" w:history="1">
            <w:r w:rsidR="00A01B42" w:rsidRPr="00845181">
              <w:rPr>
                <w:rStyle w:val="Hyperlink"/>
                <w:noProof/>
              </w:rPr>
              <w:t>1.3.3 Additional Benefits and Burdens</w:t>
            </w:r>
            <w:r w:rsidR="00A01B42">
              <w:rPr>
                <w:noProof/>
                <w:webHidden/>
              </w:rPr>
              <w:tab/>
            </w:r>
            <w:r w:rsidR="00A01B42">
              <w:rPr>
                <w:noProof/>
                <w:webHidden/>
              </w:rPr>
              <w:fldChar w:fldCharType="begin"/>
            </w:r>
            <w:r w:rsidR="00A01B42">
              <w:rPr>
                <w:noProof/>
                <w:webHidden/>
              </w:rPr>
              <w:instrText xml:space="preserve"> PAGEREF _Toc23613448 \h </w:instrText>
            </w:r>
            <w:r w:rsidR="00A01B42">
              <w:rPr>
                <w:noProof/>
                <w:webHidden/>
              </w:rPr>
            </w:r>
            <w:r w:rsidR="00A01B42">
              <w:rPr>
                <w:noProof/>
                <w:webHidden/>
              </w:rPr>
              <w:fldChar w:fldCharType="separate"/>
            </w:r>
            <w:r w:rsidR="005E2B26">
              <w:rPr>
                <w:noProof/>
                <w:webHidden/>
              </w:rPr>
              <w:t>18</w:t>
            </w:r>
            <w:r w:rsidR="00A01B42">
              <w:rPr>
                <w:noProof/>
                <w:webHidden/>
              </w:rPr>
              <w:fldChar w:fldCharType="end"/>
            </w:r>
          </w:hyperlink>
        </w:p>
        <w:p w14:paraId="3A5AC03A" w14:textId="523AA45D" w:rsidR="00A01B42" w:rsidRDefault="004A0C3D">
          <w:pPr>
            <w:pStyle w:val="TOC1"/>
            <w:tabs>
              <w:tab w:val="left" w:pos="440"/>
              <w:tab w:val="right" w:leader="dot" w:pos="9350"/>
            </w:tabs>
            <w:rPr>
              <w:rFonts w:asciiTheme="minorHAnsi" w:hAnsiTheme="minorHAnsi"/>
              <w:noProof/>
              <w:sz w:val="24"/>
              <w:szCs w:val="24"/>
              <w:lang w:eastAsia="en-US"/>
            </w:rPr>
          </w:pPr>
          <w:hyperlink w:anchor="_Toc23613449" w:history="1">
            <w:r w:rsidR="00A01B42" w:rsidRPr="00845181">
              <w:rPr>
                <w:rStyle w:val="Hyperlink"/>
                <w:noProof/>
              </w:rPr>
              <w:t>2.</w:t>
            </w:r>
            <w:r w:rsidR="00A01B42">
              <w:rPr>
                <w:rFonts w:asciiTheme="minorHAnsi" w:hAnsiTheme="minorHAnsi"/>
                <w:noProof/>
                <w:sz w:val="24"/>
                <w:szCs w:val="24"/>
                <w:lang w:eastAsia="en-US"/>
              </w:rPr>
              <w:tab/>
            </w:r>
            <w:r w:rsidR="00A01B42" w:rsidRPr="00845181">
              <w:rPr>
                <w:rStyle w:val="Hyperlink"/>
                <w:noProof/>
              </w:rPr>
              <w:t>Methodology</w:t>
            </w:r>
            <w:r w:rsidR="00A01B42">
              <w:rPr>
                <w:noProof/>
                <w:webHidden/>
              </w:rPr>
              <w:tab/>
            </w:r>
            <w:r w:rsidR="00A01B42">
              <w:rPr>
                <w:noProof/>
                <w:webHidden/>
              </w:rPr>
              <w:fldChar w:fldCharType="begin"/>
            </w:r>
            <w:r w:rsidR="00A01B42">
              <w:rPr>
                <w:noProof/>
                <w:webHidden/>
              </w:rPr>
              <w:instrText xml:space="preserve"> PAGEREF _Toc23613449 \h </w:instrText>
            </w:r>
            <w:r w:rsidR="00A01B42">
              <w:rPr>
                <w:noProof/>
                <w:webHidden/>
              </w:rPr>
            </w:r>
            <w:r w:rsidR="00A01B42">
              <w:rPr>
                <w:noProof/>
                <w:webHidden/>
              </w:rPr>
              <w:fldChar w:fldCharType="separate"/>
            </w:r>
            <w:r w:rsidR="005E2B26">
              <w:rPr>
                <w:noProof/>
                <w:webHidden/>
              </w:rPr>
              <w:t>21</w:t>
            </w:r>
            <w:r w:rsidR="00A01B42">
              <w:rPr>
                <w:noProof/>
                <w:webHidden/>
              </w:rPr>
              <w:fldChar w:fldCharType="end"/>
            </w:r>
          </w:hyperlink>
        </w:p>
        <w:p w14:paraId="468D3554" w14:textId="5D0A37A3" w:rsidR="00A01B42" w:rsidRDefault="004A0C3D">
          <w:pPr>
            <w:pStyle w:val="TOC2"/>
            <w:tabs>
              <w:tab w:val="right" w:leader="dot" w:pos="9350"/>
            </w:tabs>
            <w:rPr>
              <w:rFonts w:asciiTheme="minorHAnsi" w:hAnsiTheme="minorHAnsi"/>
              <w:noProof/>
              <w:sz w:val="24"/>
              <w:szCs w:val="24"/>
              <w:lang w:eastAsia="en-US"/>
            </w:rPr>
          </w:pPr>
          <w:hyperlink w:anchor="_Toc23613450" w:history="1">
            <w:r w:rsidR="00A01B42" w:rsidRPr="00845181">
              <w:rPr>
                <w:rStyle w:val="Hyperlink"/>
                <w:noProof/>
              </w:rPr>
              <w:t>2.1 Introduction</w:t>
            </w:r>
            <w:r w:rsidR="00A01B42">
              <w:rPr>
                <w:noProof/>
                <w:webHidden/>
              </w:rPr>
              <w:tab/>
            </w:r>
            <w:r w:rsidR="00A01B42">
              <w:rPr>
                <w:noProof/>
                <w:webHidden/>
              </w:rPr>
              <w:fldChar w:fldCharType="begin"/>
            </w:r>
            <w:r w:rsidR="00A01B42">
              <w:rPr>
                <w:noProof/>
                <w:webHidden/>
              </w:rPr>
              <w:instrText xml:space="preserve"> PAGEREF _Toc23613450 \h </w:instrText>
            </w:r>
            <w:r w:rsidR="00A01B42">
              <w:rPr>
                <w:noProof/>
                <w:webHidden/>
              </w:rPr>
            </w:r>
            <w:r w:rsidR="00A01B42">
              <w:rPr>
                <w:noProof/>
                <w:webHidden/>
              </w:rPr>
              <w:fldChar w:fldCharType="separate"/>
            </w:r>
            <w:r w:rsidR="005E2B26">
              <w:rPr>
                <w:noProof/>
                <w:webHidden/>
              </w:rPr>
              <w:t>21</w:t>
            </w:r>
            <w:r w:rsidR="00A01B42">
              <w:rPr>
                <w:noProof/>
                <w:webHidden/>
              </w:rPr>
              <w:fldChar w:fldCharType="end"/>
            </w:r>
          </w:hyperlink>
        </w:p>
        <w:p w14:paraId="3243C390" w14:textId="7BBE9389" w:rsidR="00A01B42" w:rsidRDefault="004A0C3D">
          <w:pPr>
            <w:pStyle w:val="TOC2"/>
            <w:tabs>
              <w:tab w:val="left" w:pos="960"/>
              <w:tab w:val="right" w:leader="dot" w:pos="9350"/>
            </w:tabs>
            <w:rPr>
              <w:rFonts w:asciiTheme="minorHAnsi" w:hAnsiTheme="minorHAnsi"/>
              <w:noProof/>
              <w:sz w:val="24"/>
              <w:szCs w:val="24"/>
              <w:lang w:eastAsia="en-US"/>
            </w:rPr>
          </w:pPr>
          <w:hyperlink w:anchor="_Toc23613451" w:history="1">
            <w:r w:rsidR="00A01B42" w:rsidRPr="00845181">
              <w:rPr>
                <w:rStyle w:val="Hyperlink"/>
                <w:noProof/>
              </w:rPr>
              <w:t>2.2.</w:t>
            </w:r>
            <w:r w:rsidR="00A01B42">
              <w:rPr>
                <w:rFonts w:asciiTheme="minorHAnsi" w:hAnsiTheme="minorHAnsi"/>
                <w:noProof/>
                <w:sz w:val="24"/>
                <w:szCs w:val="24"/>
                <w:lang w:eastAsia="en-US"/>
              </w:rPr>
              <w:tab/>
            </w:r>
            <w:r w:rsidR="00A01B42" w:rsidRPr="00845181">
              <w:rPr>
                <w:rStyle w:val="Hyperlink"/>
                <w:noProof/>
              </w:rPr>
              <w:t>Data Sources</w:t>
            </w:r>
            <w:r w:rsidR="00A01B42">
              <w:rPr>
                <w:noProof/>
                <w:webHidden/>
              </w:rPr>
              <w:tab/>
            </w:r>
            <w:r w:rsidR="00A01B42">
              <w:rPr>
                <w:noProof/>
                <w:webHidden/>
              </w:rPr>
              <w:fldChar w:fldCharType="begin"/>
            </w:r>
            <w:r w:rsidR="00A01B42">
              <w:rPr>
                <w:noProof/>
                <w:webHidden/>
              </w:rPr>
              <w:instrText xml:space="preserve"> PAGEREF _Toc23613451 \h </w:instrText>
            </w:r>
            <w:r w:rsidR="00A01B42">
              <w:rPr>
                <w:noProof/>
                <w:webHidden/>
              </w:rPr>
            </w:r>
            <w:r w:rsidR="00A01B42">
              <w:rPr>
                <w:noProof/>
                <w:webHidden/>
              </w:rPr>
              <w:fldChar w:fldCharType="separate"/>
            </w:r>
            <w:r w:rsidR="005E2B26">
              <w:rPr>
                <w:noProof/>
                <w:webHidden/>
              </w:rPr>
              <w:t>22</w:t>
            </w:r>
            <w:r w:rsidR="00A01B42">
              <w:rPr>
                <w:noProof/>
                <w:webHidden/>
              </w:rPr>
              <w:fldChar w:fldCharType="end"/>
            </w:r>
          </w:hyperlink>
        </w:p>
        <w:p w14:paraId="6CB2424D" w14:textId="2ED5A85B" w:rsidR="00A01B42" w:rsidRDefault="004A0C3D">
          <w:pPr>
            <w:pStyle w:val="TOC2"/>
            <w:tabs>
              <w:tab w:val="left" w:pos="960"/>
              <w:tab w:val="right" w:leader="dot" w:pos="9350"/>
            </w:tabs>
            <w:rPr>
              <w:rFonts w:asciiTheme="minorHAnsi" w:hAnsiTheme="minorHAnsi"/>
              <w:noProof/>
              <w:sz w:val="24"/>
              <w:szCs w:val="24"/>
              <w:lang w:eastAsia="en-US"/>
            </w:rPr>
          </w:pPr>
          <w:hyperlink w:anchor="_Toc23613452" w:history="1">
            <w:r w:rsidR="00A01B42" w:rsidRPr="00845181">
              <w:rPr>
                <w:rStyle w:val="Hyperlink"/>
                <w:noProof/>
              </w:rPr>
              <w:t>2.3.</w:t>
            </w:r>
            <w:r w:rsidR="00A01B42">
              <w:rPr>
                <w:rFonts w:asciiTheme="minorHAnsi" w:hAnsiTheme="minorHAnsi"/>
                <w:noProof/>
                <w:sz w:val="24"/>
                <w:szCs w:val="24"/>
                <w:lang w:eastAsia="en-US"/>
              </w:rPr>
              <w:tab/>
            </w:r>
            <w:r w:rsidR="00A01B42" w:rsidRPr="00845181">
              <w:rPr>
                <w:rStyle w:val="Hyperlink"/>
                <w:noProof/>
              </w:rPr>
              <w:t>Total Addressable Market</w:t>
            </w:r>
            <w:r w:rsidR="00A01B42">
              <w:rPr>
                <w:noProof/>
                <w:webHidden/>
              </w:rPr>
              <w:tab/>
            </w:r>
            <w:r w:rsidR="00A01B42">
              <w:rPr>
                <w:noProof/>
                <w:webHidden/>
              </w:rPr>
              <w:fldChar w:fldCharType="begin"/>
            </w:r>
            <w:r w:rsidR="00A01B42">
              <w:rPr>
                <w:noProof/>
                <w:webHidden/>
              </w:rPr>
              <w:instrText xml:space="preserve"> PAGEREF _Toc23613452 \h </w:instrText>
            </w:r>
            <w:r w:rsidR="00A01B42">
              <w:rPr>
                <w:noProof/>
                <w:webHidden/>
              </w:rPr>
            </w:r>
            <w:r w:rsidR="00A01B42">
              <w:rPr>
                <w:noProof/>
                <w:webHidden/>
              </w:rPr>
              <w:fldChar w:fldCharType="separate"/>
            </w:r>
            <w:r w:rsidR="005E2B26">
              <w:rPr>
                <w:noProof/>
                <w:webHidden/>
              </w:rPr>
              <w:t>24</w:t>
            </w:r>
            <w:r w:rsidR="00A01B42">
              <w:rPr>
                <w:noProof/>
                <w:webHidden/>
              </w:rPr>
              <w:fldChar w:fldCharType="end"/>
            </w:r>
          </w:hyperlink>
        </w:p>
        <w:p w14:paraId="0DA67FC2" w14:textId="70266463" w:rsidR="00A01B42" w:rsidRDefault="004A0C3D">
          <w:pPr>
            <w:pStyle w:val="TOC2"/>
            <w:tabs>
              <w:tab w:val="left" w:pos="960"/>
              <w:tab w:val="right" w:leader="dot" w:pos="9350"/>
            </w:tabs>
            <w:rPr>
              <w:rFonts w:asciiTheme="minorHAnsi" w:hAnsiTheme="minorHAnsi"/>
              <w:noProof/>
              <w:sz w:val="24"/>
              <w:szCs w:val="24"/>
              <w:lang w:eastAsia="en-US"/>
            </w:rPr>
          </w:pPr>
          <w:hyperlink w:anchor="_Toc23613453" w:history="1">
            <w:r w:rsidR="00A01B42" w:rsidRPr="00845181">
              <w:rPr>
                <w:rStyle w:val="Hyperlink"/>
                <w:noProof/>
              </w:rPr>
              <w:t>2.4.</w:t>
            </w:r>
            <w:r w:rsidR="00A01B42">
              <w:rPr>
                <w:rFonts w:asciiTheme="minorHAnsi" w:hAnsiTheme="minorHAnsi"/>
                <w:noProof/>
                <w:sz w:val="24"/>
                <w:szCs w:val="24"/>
                <w:lang w:eastAsia="en-US"/>
              </w:rPr>
              <w:tab/>
            </w:r>
            <w:r w:rsidR="00A01B42" w:rsidRPr="00845181">
              <w:rPr>
                <w:rStyle w:val="Hyperlink"/>
                <w:noProof/>
              </w:rPr>
              <w:t>Adoption Scenarios</w:t>
            </w:r>
            <w:r w:rsidR="00A01B42">
              <w:rPr>
                <w:noProof/>
                <w:webHidden/>
              </w:rPr>
              <w:tab/>
            </w:r>
            <w:r w:rsidR="00A01B42">
              <w:rPr>
                <w:noProof/>
                <w:webHidden/>
              </w:rPr>
              <w:fldChar w:fldCharType="begin"/>
            </w:r>
            <w:r w:rsidR="00A01B42">
              <w:rPr>
                <w:noProof/>
                <w:webHidden/>
              </w:rPr>
              <w:instrText xml:space="preserve"> PAGEREF _Toc23613453 \h </w:instrText>
            </w:r>
            <w:r w:rsidR="00A01B42">
              <w:rPr>
                <w:noProof/>
                <w:webHidden/>
              </w:rPr>
            </w:r>
            <w:r w:rsidR="00A01B42">
              <w:rPr>
                <w:noProof/>
                <w:webHidden/>
              </w:rPr>
              <w:fldChar w:fldCharType="separate"/>
            </w:r>
            <w:r w:rsidR="005E2B26">
              <w:rPr>
                <w:noProof/>
                <w:webHidden/>
              </w:rPr>
              <w:t>25</w:t>
            </w:r>
            <w:r w:rsidR="00A01B42">
              <w:rPr>
                <w:noProof/>
                <w:webHidden/>
              </w:rPr>
              <w:fldChar w:fldCharType="end"/>
            </w:r>
          </w:hyperlink>
        </w:p>
        <w:p w14:paraId="477FEBA6" w14:textId="2B384F44" w:rsidR="00A01B42" w:rsidRDefault="004A0C3D">
          <w:pPr>
            <w:pStyle w:val="TOC3"/>
            <w:tabs>
              <w:tab w:val="left" w:pos="1200"/>
              <w:tab w:val="right" w:leader="dot" w:pos="9350"/>
            </w:tabs>
            <w:rPr>
              <w:rFonts w:asciiTheme="minorHAnsi" w:hAnsiTheme="minorHAnsi"/>
              <w:noProof/>
              <w:sz w:val="24"/>
              <w:szCs w:val="24"/>
              <w:lang w:eastAsia="en-US"/>
            </w:rPr>
          </w:pPr>
          <w:hyperlink w:anchor="_Toc23613454" w:history="1">
            <w:r w:rsidR="00A01B42" w:rsidRPr="00845181">
              <w:rPr>
                <w:rStyle w:val="Hyperlink"/>
                <w:noProof/>
              </w:rPr>
              <w:t>2.4.1</w:t>
            </w:r>
            <w:r w:rsidR="00A01B42">
              <w:rPr>
                <w:rFonts w:asciiTheme="minorHAnsi" w:hAnsiTheme="minorHAnsi"/>
                <w:noProof/>
                <w:sz w:val="24"/>
                <w:szCs w:val="24"/>
                <w:lang w:eastAsia="en-US"/>
              </w:rPr>
              <w:tab/>
            </w:r>
            <w:r w:rsidR="00A01B42" w:rsidRPr="00845181">
              <w:rPr>
                <w:rStyle w:val="Hyperlink"/>
                <w:noProof/>
              </w:rPr>
              <w:t>Reference Case / Current Adoption</w:t>
            </w:r>
            <w:r w:rsidR="00A01B42">
              <w:rPr>
                <w:noProof/>
                <w:webHidden/>
              </w:rPr>
              <w:tab/>
            </w:r>
            <w:r w:rsidR="00A01B42">
              <w:rPr>
                <w:noProof/>
                <w:webHidden/>
              </w:rPr>
              <w:fldChar w:fldCharType="begin"/>
            </w:r>
            <w:r w:rsidR="00A01B42">
              <w:rPr>
                <w:noProof/>
                <w:webHidden/>
              </w:rPr>
              <w:instrText xml:space="preserve"> PAGEREF _Toc23613454 \h </w:instrText>
            </w:r>
            <w:r w:rsidR="00A01B42">
              <w:rPr>
                <w:noProof/>
                <w:webHidden/>
              </w:rPr>
            </w:r>
            <w:r w:rsidR="00A01B42">
              <w:rPr>
                <w:noProof/>
                <w:webHidden/>
              </w:rPr>
              <w:fldChar w:fldCharType="separate"/>
            </w:r>
            <w:r w:rsidR="005E2B26">
              <w:rPr>
                <w:noProof/>
                <w:webHidden/>
              </w:rPr>
              <w:t>25</w:t>
            </w:r>
            <w:r w:rsidR="00A01B42">
              <w:rPr>
                <w:noProof/>
                <w:webHidden/>
              </w:rPr>
              <w:fldChar w:fldCharType="end"/>
            </w:r>
          </w:hyperlink>
        </w:p>
        <w:p w14:paraId="118025A9" w14:textId="5861BF2B" w:rsidR="00A01B42" w:rsidRDefault="004A0C3D">
          <w:pPr>
            <w:pStyle w:val="TOC3"/>
            <w:tabs>
              <w:tab w:val="left" w:pos="1200"/>
              <w:tab w:val="right" w:leader="dot" w:pos="9350"/>
            </w:tabs>
            <w:rPr>
              <w:rFonts w:asciiTheme="minorHAnsi" w:hAnsiTheme="minorHAnsi"/>
              <w:noProof/>
              <w:sz w:val="24"/>
              <w:szCs w:val="24"/>
              <w:lang w:eastAsia="en-US"/>
            </w:rPr>
          </w:pPr>
          <w:hyperlink w:anchor="_Toc23613455" w:history="1">
            <w:r w:rsidR="00A01B42" w:rsidRPr="00845181">
              <w:rPr>
                <w:rStyle w:val="Hyperlink"/>
                <w:noProof/>
              </w:rPr>
              <w:t>2.4.2</w:t>
            </w:r>
            <w:r w:rsidR="00A01B42">
              <w:rPr>
                <w:rFonts w:asciiTheme="minorHAnsi" w:hAnsiTheme="minorHAnsi"/>
                <w:noProof/>
                <w:sz w:val="24"/>
                <w:szCs w:val="24"/>
                <w:lang w:eastAsia="en-US"/>
              </w:rPr>
              <w:tab/>
            </w:r>
            <w:r w:rsidR="00A01B42" w:rsidRPr="00845181">
              <w:rPr>
                <w:rStyle w:val="Hyperlink"/>
                <w:noProof/>
              </w:rPr>
              <w:t>Project Drawdown Scenarios</w:t>
            </w:r>
            <w:r w:rsidR="00A01B42">
              <w:rPr>
                <w:noProof/>
                <w:webHidden/>
              </w:rPr>
              <w:tab/>
            </w:r>
            <w:r w:rsidR="00A01B42">
              <w:rPr>
                <w:noProof/>
                <w:webHidden/>
              </w:rPr>
              <w:fldChar w:fldCharType="begin"/>
            </w:r>
            <w:r w:rsidR="00A01B42">
              <w:rPr>
                <w:noProof/>
                <w:webHidden/>
              </w:rPr>
              <w:instrText xml:space="preserve"> PAGEREF _Toc23613455 \h </w:instrText>
            </w:r>
            <w:r w:rsidR="00A01B42">
              <w:rPr>
                <w:noProof/>
                <w:webHidden/>
              </w:rPr>
            </w:r>
            <w:r w:rsidR="00A01B42">
              <w:rPr>
                <w:noProof/>
                <w:webHidden/>
              </w:rPr>
              <w:fldChar w:fldCharType="separate"/>
            </w:r>
            <w:r w:rsidR="005E2B26">
              <w:rPr>
                <w:noProof/>
                <w:webHidden/>
              </w:rPr>
              <w:t>25</w:t>
            </w:r>
            <w:r w:rsidR="00A01B42">
              <w:rPr>
                <w:noProof/>
                <w:webHidden/>
              </w:rPr>
              <w:fldChar w:fldCharType="end"/>
            </w:r>
          </w:hyperlink>
        </w:p>
        <w:p w14:paraId="7C317C83" w14:textId="30FB4E42" w:rsidR="00A01B42" w:rsidRDefault="004A0C3D">
          <w:pPr>
            <w:pStyle w:val="TOC2"/>
            <w:tabs>
              <w:tab w:val="left" w:pos="960"/>
              <w:tab w:val="right" w:leader="dot" w:pos="9350"/>
            </w:tabs>
            <w:rPr>
              <w:rFonts w:asciiTheme="minorHAnsi" w:hAnsiTheme="minorHAnsi"/>
              <w:noProof/>
              <w:sz w:val="24"/>
              <w:szCs w:val="24"/>
              <w:lang w:eastAsia="en-US"/>
            </w:rPr>
          </w:pPr>
          <w:hyperlink w:anchor="_Toc23613456" w:history="1">
            <w:r w:rsidR="00A01B42" w:rsidRPr="00845181">
              <w:rPr>
                <w:rStyle w:val="Hyperlink"/>
                <w:noProof/>
              </w:rPr>
              <w:t>2.5</w:t>
            </w:r>
            <w:r w:rsidR="00A01B42">
              <w:rPr>
                <w:rFonts w:asciiTheme="minorHAnsi" w:hAnsiTheme="minorHAnsi"/>
                <w:noProof/>
                <w:sz w:val="24"/>
                <w:szCs w:val="24"/>
                <w:lang w:eastAsia="en-US"/>
              </w:rPr>
              <w:tab/>
            </w:r>
            <w:r w:rsidR="00A01B42" w:rsidRPr="00845181">
              <w:rPr>
                <w:rStyle w:val="Hyperlink"/>
                <w:noProof/>
              </w:rPr>
              <w:t>Inputs</w:t>
            </w:r>
            <w:r w:rsidR="00A01B42">
              <w:rPr>
                <w:noProof/>
                <w:webHidden/>
              </w:rPr>
              <w:tab/>
            </w:r>
            <w:r w:rsidR="00A01B42">
              <w:rPr>
                <w:noProof/>
                <w:webHidden/>
              </w:rPr>
              <w:fldChar w:fldCharType="begin"/>
            </w:r>
            <w:r w:rsidR="00A01B42">
              <w:rPr>
                <w:noProof/>
                <w:webHidden/>
              </w:rPr>
              <w:instrText xml:space="preserve"> PAGEREF _Toc23613456 \h </w:instrText>
            </w:r>
            <w:r w:rsidR="00A01B42">
              <w:rPr>
                <w:noProof/>
                <w:webHidden/>
              </w:rPr>
            </w:r>
            <w:r w:rsidR="00A01B42">
              <w:rPr>
                <w:noProof/>
                <w:webHidden/>
              </w:rPr>
              <w:fldChar w:fldCharType="separate"/>
            </w:r>
            <w:r w:rsidR="005E2B26">
              <w:rPr>
                <w:noProof/>
                <w:webHidden/>
              </w:rPr>
              <w:t>26</w:t>
            </w:r>
            <w:r w:rsidR="00A01B42">
              <w:rPr>
                <w:noProof/>
                <w:webHidden/>
              </w:rPr>
              <w:fldChar w:fldCharType="end"/>
            </w:r>
          </w:hyperlink>
        </w:p>
        <w:p w14:paraId="1182AFAB" w14:textId="0F969797" w:rsidR="00A01B42" w:rsidRDefault="004A0C3D">
          <w:pPr>
            <w:pStyle w:val="TOC3"/>
            <w:tabs>
              <w:tab w:val="right" w:leader="dot" w:pos="9350"/>
            </w:tabs>
            <w:rPr>
              <w:rFonts w:asciiTheme="minorHAnsi" w:hAnsiTheme="minorHAnsi"/>
              <w:noProof/>
              <w:sz w:val="24"/>
              <w:szCs w:val="24"/>
              <w:lang w:eastAsia="en-US"/>
            </w:rPr>
          </w:pPr>
          <w:hyperlink w:anchor="_Toc23613457" w:history="1">
            <w:r w:rsidR="00A01B42" w:rsidRPr="00845181">
              <w:rPr>
                <w:rStyle w:val="Hyperlink"/>
                <w:noProof/>
              </w:rPr>
              <w:t>2.5.1 Climate Inputs</w:t>
            </w:r>
            <w:r w:rsidR="00A01B42">
              <w:rPr>
                <w:noProof/>
                <w:webHidden/>
              </w:rPr>
              <w:tab/>
            </w:r>
            <w:r w:rsidR="00A01B42">
              <w:rPr>
                <w:noProof/>
                <w:webHidden/>
              </w:rPr>
              <w:fldChar w:fldCharType="begin"/>
            </w:r>
            <w:r w:rsidR="00A01B42">
              <w:rPr>
                <w:noProof/>
                <w:webHidden/>
              </w:rPr>
              <w:instrText xml:space="preserve"> PAGEREF _Toc23613457 \h </w:instrText>
            </w:r>
            <w:r w:rsidR="00A01B42">
              <w:rPr>
                <w:noProof/>
                <w:webHidden/>
              </w:rPr>
            </w:r>
            <w:r w:rsidR="00A01B42">
              <w:rPr>
                <w:noProof/>
                <w:webHidden/>
              </w:rPr>
              <w:fldChar w:fldCharType="separate"/>
            </w:r>
            <w:r w:rsidR="005E2B26">
              <w:rPr>
                <w:noProof/>
                <w:webHidden/>
              </w:rPr>
              <w:t>26</w:t>
            </w:r>
            <w:r w:rsidR="00A01B42">
              <w:rPr>
                <w:noProof/>
                <w:webHidden/>
              </w:rPr>
              <w:fldChar w:fldCharType="end"/>
            </w:r>
          </w:hyperlink>
        </w:p>
        <w:p w14:paraId="5D99F32F" w14:textId="76350594" w:rsidR="00A01B42" w:rsidRDefault="004A0C3D">
          <w:pPr>
            <w:pStyle w:val="TOC3"/>
            <w:tabs>
              <w:tab w:val="left" w:pos="1200"/>
              <w:tab w:val="right" w:leader="dot" w:pos="9350"/>
            </w:tabs>
            <w:rPr>
              <w:rFonts w:asciiTheme="minorHAnsi" w:hAnsiTheme="minorHAnsi"/>
              <w:noProof/>
              <w:sz w:val="24"/>
              <w:szCs w:val="24"/>
              <w:lang w:eastAsia="en-US"/>
            </w:rPr>
          </w:pPr>
          <w:hyperlink w:anchor="_Toc23613458" w:history="1">
            <w:r w:rsidR="00A01B42" w:rsidRPr="00845181">
              <w:rPr>
                <w:rStyle w:val="Hyperlink"/>
                <w:noProof/>
              </w:rPr>
              <w:t>2.5.2</w:t>
            </w:r>
            <w:r w:rsidR="00A01B42">
              <w:rPr>
                <w:rFonts w:asciiTheme="minorHAnsi" w:hAnsiTheme="minorHAnsi"/>
                <w:noProof/>
                <w:sz w:val="24"/>
                <w:szCs w:val="24"/>
                <w:lang w:eastAsia="en-US"/>
              </w:rPr>
              <w:tab/>
            </w:r>
            <w:r w:rsidR="00A01B42" w:rsidRPr="00845181">
              <w:rPr>
                <w:rStyle w:val="Hyperlink"/>
                <w:noProof/>
              </w:rPr>
              <w:t>Financial Inputs</w:t>
            </w:r>
            <w:r w:rsidR="00A01B42">
              <w:rPr>
                <w:noProof/>
                <w:webHidden/>
              </w:rPr>
              <w:tab/>
            </w:r>
            <w:r w:rsidR="00A01B42">
              <w:rPr>
                <w:noProof/>
                <w:webHidden/>
              </w:rPr>
              <w:fldChar w:fldCharType="begin"/>
            </w:r>
            <w:r w:rsidR="00A01B42">
              <w:rPr>
                <w:noProof/>
                <w:webHidden/>
              </w:rPr>
              <w:instrText xml:space="preserve"> PAGEREF _Toc23613458 \h </w:instrText>
            </w:r>
            <w:r w:rsidR="00A01B42">
              <w:rPr>
                <w:noProof/>
                <w:webHidden/>
              </w:rPr>
            </w:r>
            <w:r w:rsidR="00A01B42">
              <w:rPr>
                <w:noProof/>
                <w:webHidden/>
              </w:rPr>
              <w:fldChar w:fldCharType="separate"/>
            </w:r>
            <w:r w:rsidR="005E2B26">
              <w:rPr>
                <w:noProof/>
                <w:webHidden/>
              </w:rPr>
              <w:t>27</w:t>
            </w:r>
            <w:r w:rsidR="00A01B42">
              <w:rPr>
                <w:noProof/>
                <w:webHidden/>
              </w:rPr>
              <w:fldChar w:fldCharType="end"/>
            </w:r>
          </w:hyperlink>
        </w:p>
        <w:p w14:paraId="76133786" w14:textId="11FF3E33" w:rsidR="00A01B42" w:rsidRDefault="004A0C3D">
          <w:pPr>
            <w:pStyle w:val="TOC3"/>
            <w:tabs>
              <w:tab w:val="left" w:pos="1200"/>
              <w:tab w:val="right" w:leader="dot" w:pos="9350"/>
            </w:tabs>
            <w:rPr>
              <w:rFonts w:asciiTheme="minorHAnsi" w:hAnsiTheme="minorHAnsi"/>
              <w:noProof/>
              <w:sz w:val="24"/>
              <w:szCs w:val="24"/>
              <w:lang w:eastAsia="en-US"/>
            </w:rPr>
          </w:pPr>
          <w:hyperlink w:anchor="_Toc23613459" w:history="1">
            <w:r w:rsidR="00A01B42" w:rsidRPr="00845181">
              <w:rPr>
                <w:rStyle w:val="Hyperlink"/>
                <w:noProof/>
              </w:rPr>
              <w:t>2.5.3</w:t>
            </w:r>
            <w:r w:rsidR="00A01B42">
              <w:rPr>
                <w:rFonts w:asciiTheme="minorHAnsi" w:hAnsiTheme="minorHAnsi"/>
                <w:noProof/>
                <w:sz w:val="24"/>
                <w:szCs w:val="24"/>
                <w:lang w:eastAsia="en-US"/>
              </w:rPr>
              <w:tab/>
            </w:r>
            <w:r w:rsidR="00A01B42" w:rsidRPr="00845181">
              <w:rPr>
                <w:rStyle w:val="Hyperlink"/>
                <w:noProof/>
              </w:rPr>
              <w:t>Technical Inputs</w:t>
            </w:r>
            <w:r w:rsidR="00A01B42">
              <w:rPr>
                <w:noProof/>
                <w:webHidden/>
              </w:rPr>
              <w:tab/>
            </w:r>
            <w:r w:rsidR="00A01B42">
              <w:rPr>
                <w:noProof/>
                <w:webHidden/>
              </w:rPr>
              <w:fldChar w:fldCharType="begin"/>
            </w:r>
            <w:r w:rsidR="00A01B42">
              <w:rPr>
                <w:noProof/>
                <w:webHidden/>
              </w:rPr>
              <w:instrText xml:space="preserve"> PAGEREF _Toc23613459 \h </w:instrText>
            </w:r>
            <w:r w:rsidR="00A01B42">
              <w:rPr>
                <w:noProof/>
                <w:webHidden/>
              </w:rPr>
            </w:r>
            <w:r w:rsidR="00A01B42">
              <w:rPr>
                <w:noProof/>
                <w:webHidden/>
              </w:rPr>
              <w:fldChar w:fldCharType="separate"/>
            </w:r>
            <w:r w:rsidR="005E2B26">
              <w:rPr>
                <w:noProof/>
                <w:webHidden/>
              </w:rPr>
              <w:t>29</w:t>
            </w:r>
            <w:r w:rsidR="00A01B42">
              <w:rPr>
                <w:noProof/>
                <w:webHidden/>
              </w:rPr>
              <w:fldChar w:fldCharType="end"/>
            </w:r>
          </w:hyperlink>
        </w:p>
        <w:p w14:paraId="5A460DA2" w14:textId="082D1777" w:rsidR="00A01B42" w:rsidRDefault="004A0C3D">
          <w:pPr>
            <w:pStyle w:val="TOC2"/>
            <w:tabs>
              <w:tab w:val="left" w:pos="960"/>
              <w:tab w:val="right" w:leader="dot" w:pos="9350"/>
            </w:tabs>
            <w:rPr>
              <w:rFonts w:asciiTheme="minorHAnsi" w:hAnsiTheme="minorHAnsi"/>
              <w:noProof/>
              <w:sz w:val="24"/>
              <w:szCs w:val="24"/>
              <w:lang w:eastAsia="en-US"/>
            </w:rPr>
          </w:pPr>
          <w:hyperlink w:anchor="_Toc23613460" w:history="1">
            <w:r w:rsidR="00A01B42" w:rsidRPr="00845181">
              <w:rPr>
                <w:rStyle w:val="Hyperlink"/>
                <w:noProof/>
              </w:rPr>
              <w:t>2.6</w:t>
            </w:r>
            <w:r w:rsidR="00A01B42">
              <w:rPr>
                <w:rFonts w:asciiTheme="minorHAnsi" w:hAnsiTheme="minorHAnsi"/>
                <w:noProof/>
                <w:sz w:val="24"/>
                <w:szCs w:val="24"/>
                <w:lang w:eastAsia="en-US"/>
              </w:rPr>
              <w:tab/>
            </w:r>
            <w:r w:rsidR="00A01B42" w:rsidRPr="00845181">
              <w:rPr>
                <w:rStyle w:val="Hyperlink"/>
                <w:noProof/>
              </w:rPr>
              <w:t>Assumptions</w:t>
            </w:r>
            <w:r w:rsidR="00A01B42">
              <w:rPr>
                <w:noProof/>
                <w:webHidden/>
              </w:rPr>
              <w:tab/>
            </w:r>
            <w:r w:rsidR="00A01B42">
              <w:rPr>
                <w:noProof/>
                <w:webHidden/>
              </w:rPr>
              <w:fldChar w:fldCharType="begin"/>
            </w:r>
            <w:r w:rsidR="00A01B42">
              <w:rPr>
                <w:noProof/>
                <w:webHidden/>
              </w:rPr>
              <w:instrText xml:space="preserve"> PAGEREF _Toc23613460 \h </w:instrText>
            </w:r>
            <w:r w:rsidR="00A01B42">
              <w:rPr>
                <w:noProof/>
                <w:webHidden/>
              </w:rPr>
            </w:r>
            <w:r w:rsidR="00A01B42">
              <w:rPr>
                <w:noProof/>
                <w:webHidden/>
              </w:rPr>
              <w:fldChar w:fldCharType="separate"/>
            </w:r>
            <w:r w:rsidR="005E2B26">
              <w:rPr>
                <w:noProof/>
                <w:webHidden/>
              </w:rPr>
              <w:t>29</w:t>
            </w:r>
            <w:r w:rsidR="00A01B42">
              <w:rPr>
                <w:noProof/>
                <w:webHidden/>
              </w:rPr>
              <w:fldChar w:fldCharType="end"/>
            </w:r>
          </w:hyperlink>
        </w:p>
        <w:p w14:paraId="4C85E6BA" w14:textId="1B538BEE" w:rsidR="00A01B42" w:rsidRDefault="004A0C3D">
          <w:pPr>
            <w:pStyle w:val="TOC2"/>
            <w:tabs>
              <w:tab w:val="left" w:pos="960"/>
              <w:tab w:val="right" w:leader="dot" w:pos="9350"/>
            </w:tabs>
            <w:rPr>
              <w:rFonts w:asciiTheme="minorHAnsi" w:hAnsiTheme="minorHAnsi"/>
              <w:noProof/>
              <w:sz w:val="24"/>
              <w:szCs w:val="24"/>
              <w:lang w:eastAsia="en-US"/>
            </w:rPr>
          </w:pPr>
          <w:hyperlink w:anchor="_Toc23613461" w:history="1">
            <w:r w:rsidR="00A01B42" w:rsidRPr="00845181">
              <w:rPr>
                <w:rStyle w:val="Hyperlink"/>
                <w:noProof/>
              </w:rPr>
              <w:t>2.7</w:t>
            </w:r>
            <w:r w:rsidR="00A01B42">
              <w:rPr>
                <w:rFonts w:asciiTheme="minorHAnsi" w:hAnsiTheme="minorHAnsi"/>
                <w:noProof/>
                <w:sz w:val="24"/>
                <w:szCs w:val="24"/>
                <w:lang w:eastAsia="en-US"/>
              </w:rPr>
              <w:tab/>
            </w:r>
            <w:r w:rsidR="00A01B42" w:rsidRPr="00845181">
              <w:rPr>
                <w:rStyle w:val="Hyperlink"/>
                <w:noProof/>
              </w:rPr>
              <w:t>Integration</w:t>
            </w:r>
            <w:r w:rsidR="00A01B42">
              <w:rPr>
                <w:noProof/>
                <w:webHidden/>
              </w:rPr>
              <w:tab/>
            </w:r>
            <w:r w:rsidR="00A01B42">
              <w:rPr>
                <w:noProof/>
                <w:webHidden/>
              </w:rPr>
              <w:fldChar w:fldCharType="begin"/>
            </w:r>
            <w:r w:rsidR="00A01B42">
              <w:rPr>
                <w:noProof/>
                <w:webHidden/>
              </w:rPr>
              <w:instrText xml:space="preserve"> PAGEREF _Toc23613461 \h </w:instrText>
            </w:r>
            <w:r w:rsidR="00A01B42">
              <w:rPr>
                <w:noProof/>
                <w:webHidden/>
              </w:rPr>
            </w:r>
            <w:r w:rsidR="00A01B42">
              <w:rPr>
                <w:noProof/>
                <w:webHidden/>
              </w:rPr>
              <w:fldChar w:fldCharType="separate"/>
            </w:r>
            <w:r w:rsidR="005E2B26">
              <w:rPr>
                <w:noProof/>
                <w:webHidden/>
              </w:rPr>
              <w:t>30</w:t>
            </w:r>
            <w:r w:rsidR="00A01B42">
              <w:rPr>
                <w:noProof/>
                <w:webHidden/>
              </w:rPr>
              <w:fldChar w:fldCharType="end"/>
            </w:r>
          </w:hyperlink>
        </w:p>
        <w:p w14:paraId="47F15678" w14:textId="12520108" w:rsidR="00A01B42" w:rsidRDefault="004A0C3D">
          <w:pPr>
            <w:pStyle w:val="TOC2"/>
            <w:tabs>
              <w:tab w:val="left" w:pos="960"/>
              <w:tab w:val="right" w:leader="dot" w:pos="9350"/>
            </w:tabs>
            <w:rPr>
              <w:rFonts w:asciiTheme="minorHAnsi" w:hAnsiTheme="minorHAnsi"/>
              <w:noProof/>
              <w:sz w:val="24"/>
              <w:szCs w:val="24"/>
              <w:lang w:eastAsia="en-US"/>
            </w:rPr>
          </w:pPr>
          <w:hyperlink w:anchor="_Toc23613462" w:history="1">
            <w:r w:rsidR="00A01B42" w:rsidRPr="00845181">
              <w:rPr>
                <w:rStyle w:val="Hyperlink"/>
                <w:noProof/>
              </w:rPr>
              <w:t>2.8</w:t>
            </w:r>
            <w:r w:rsidR="00A01B42">
              <w:rPr>
                <w:rFonts w:asciiTheme="minorHAnsi" w:hAnsiTheme="minorHAnsi"/>
                <w:noProof/>
                <w:sz w:val="24"/>
                <w:szCs w:val="24"/>
                <w:lang w:eastAsia="en-US"/>
              </w:rPr>
              <w:tab/>
            </w:r>
            <w:r w:rsidR="00A01B42" w:rsidRPr="00845181">
              <w:rPr>
                <w:rStyle w:val="Hyperlink"/>
                <w:noProof/>
              </w:rPr>
              <w:t>Limitations / Further Developments</w:t>
            </w:r>
            <w:r w:rsidR="00A01B42">
              <w:rPr>
                <w:noProof/>
                <w:webHidden/>
              </w:rPr>
              <w:tab/>
            </w:r>
            <w:r w:rsidR="00A01B42">
              <w:rPr>
                <w:noProof/>
                <w:webHidden/>
              </w:rPr>
              <w:fldChar w:fldCharType="begin"/>
            </w:r>
            <w:r w:rsidR="00A01B42">
              <w:rPr>
                <w:noProof/>
                <w:webHidden/>
              </w:rPr>
              <w:instrText xml:space="preserve"> PAGEREF _Toc23613462 \h </w:instrText>
            </w:r>
            <w:r w:rsidR="00A01B42">
              <w:rPr>
                <w:noProof/>
                <w:webHidden/>
              </w:rPr>
            </w:r>
            <w:r w:rsidR="00A01B42">
              <w:rPr>
                <w:noProof/>
                <w:webHidden/>
              </w:rPr>
              <w:fldChar w:fldCharType="separate"/>
            </w:r>
            <w:r w:rsidR="005E2B26">
              <w:rPr>
                <w:noProof/>
                <w:webHidden/>
              </w:rPr>
              <w:t>31</w:t>
            </w:r>
            <w:r w:rsidR="00A01B42">
              <w:rPr>
                <w:noProof/>
                <w:webHidden/>
              </w:rPr>
              <w:fldChar w:fldCharType="end"/>
            </w:r>
          </w:hyperlink>
        </w:p>
        <w:p w14:paraId="108F1ED3" w14:textId="615F600F" w:rsidR="00A01B42" w:rsidRDefault="004A0C3D">
          <w:pPr>
            <w:pStyle w:val="TOC1"/>
            <w:tabs>
              <w:tab w:val="left" w:pos="440"/>
              <w:tab w:val="right" w:leader="dot" w:pos="9350"/>
            </w:tabs>
            <w:rPr>
              <w:rFonts w:asciiTheme="minorHAnsi" w:hAnsiTheme="minorHAnsi"/>
              <w:noProof/>
              <w:sz w:val="24"/>
              <w:szCs w:val="24"/>
              <w:lang w:eastAsia="en-US"/>
            </w:rPr>
          </w:pPr>
          <w:hyperlink w:anchor="_Toc23613463" w:history="1">
            <w:r w:rsidR="00A01B42" w:rsidRPr="00845181">
              <w:rPr>
                <w:rStyle w:val="Hyperlink"/>
                <w:noProof/>
              </w:rPr>
              <w:t>3.</w:t>
            </w:r>
            <w:r w:rsidR="00A01B42">
              <w:rPr>
                <w:rFonts w:asciiTheme="minorHAnsi" w:hAnsiTheme="minorHAnsi"/>
                <w:noProof/>
                <w:sz w:val="24"/>
                <w:szCs w:val="24"/>
                <w:lang w:eastAsia="en-US"/>
              </w:rPr>
              <w:tab/>
            </w:r>
            <w:r w:rsidR="00A01B42" w:rsidRPr="00845181">
              <w:rPr>
                <w:rStyle w:val="Hyperlink"/>
                <w:noProof/>
              </w:rPr>
              <w:t>Results</w:t>
            </w:r>
            <w:r w:rsidR="00A01B42">
              <w:rPr>
                <w:noProof/>
                <w:webHidden/>
              </w:rPr>
              <w:tab/>
            </w:r>
            <w:r w:rsidR="00A01B42">
              <w:rPr>
                <w:noProof/>
                <w:webHidden/>
              </w:rPr>
              <w:fldChar w:fldCharType="begin"/>
            </w:r>
            <w:r w:rsidR="00A01B42">
              <w:rPr>
                <w:noProof/>
                <w:webHidden/>
              </w:rPr>
              <w:instrText xml:space="preserve"> PAGEREF _Toc23613463 \h </w:instrText>
            </w:r>
            <w:r w:rsidR="00A01B42">
              <w:rPr>
                <w:noProof/>
                <w:webHidden/>
              </w:rPr>
            </w:r>
            <w:r w:rsidR="00A01B42">
              <w:rPr>
                <w:noProof/>
                <w:webHidden/>
              </w:rPr>
              <w:fldChar w:fldCharType="separate"/>
            </w:r>
            <w:r w:rsidR="005E2B26">
              <w:rPr>
                <w:noProof/>
                <w:webHidden/>
              </w:rPr>
              <w:t>32</w:t>
            </w:r>
            <w:r w:rsidR="00A01B42">
              <w:rPr>
                <w:noProof/>
                <w:webHidden/>
              </w:rPr>
              <w:fldChar w:fldCharType="end"/>
            </w:r>
          </w:hyperlink>
        </w:p>
        <w:p w14:paraId="5D9E4756" w14:textId="06821BFF" w:rsidR="00A01B42" w:rsidRDefault="004A0C3D">
          <w:pPr>
            <w:pStyle w:val="TOC2"/>
            <w:tabs>
              <w:tab w:val="left" w:pos="960"/>
              <w:tab w:val="right" w:leader="dot" w:pos="9350"/>
            </w:tabs>
            <w:rPr>
              <w:rFonts w:asciiTheme="minorHAnsi" w:hAnsiTheme="minorHAnsi"/>
              <w:noProof/>
              <w:sz w:val="24"/>
              <w:szCs w:val="24"/>
              <w:lang w:eastAsia="en-US"/>
            </w:rPr>
          </w:pPr>
          <w:hyperlink w:anchor="_Toc23613464" w:history="1">
            <w:r w:rsidR="00A01B42" w:rsidRPr="00845181">
              <w:rPr>
                <w:rStyle w:val="Hyperlink"/>
                <w:noProof/>
              </w:rPr>
              <w:t>3.1</w:t>
            </w:r>
            <w:r w:rsidR="00A01B42">
              <w:rPr>
                <w:rFonts w:asciiTheme="minorHAnsi" w:hAnsiTheme="minorHAnsi"/>
                <w:noProof/>
                <w:sz w:val="24"/>
                <w:szCs w:val="24"/>
                <w:lang w:eastAsia="en-US"/>
              </w:rPr>
              <w:tab/>
            </w:r>
            <w:r w:rsidR="00A01B42" w:rsidRPr="00845181">
              <w:rPr>
                <w:rStyle w:val="Hyperlink"/>
                <w:noProof/>
              </w:rPr>
              <w:t>Adoption</w:t>
            </w:r>
            <w:r w:rsidR="00A01B42">
              <w:rPr>
                <w:noProof/>
                <w:webHidden/>
              </w:rPr>
              <w:tab/>
            </w:r>
            <w:r w:rsidR="00A01B42">
              <w:rPr>
                <w:noProof/>
                <w:webHidden/>
              </w:rPr>
              <w:fldChar w:fldCharType="begin"/>
            </w:r>
            <w:r w:rsidR="00A01B42">
              <w:rPr>
                <w:noProof/>
                <w:webHidden/>
              </w:rPr>
              <w:instrText xml:space="preserve"> PAGEREF _Toc23613464 \h </w:instrText>
            </w:r>
            <w:r w:rsidR="00A01B42">
              <w:rPr>
                <w:noProof/>
                <w:webHidden/>
              </w:rPr>
            </w:r>
            <w:r w:rsidR="00A01B42">
              <w:rPr>
                <w:noProof/>
                <w:webHidden/>
              </w:rPr>
              <w:fldChar w:fldCharType="separate"/>
            </w:r>
            <w:r w:rsidR="005E2B26">
              <w:rPr>
                <w:noProof/>
                <w:webHidden/>
              </w:rPr>
              <w:t>32</w:t>
            </w:r>
            <w:r w:rsidR="00A01B42">
              <w:rPr>
                <w:noProof/>
                <w:webHidden/>
              </w:rPr>
              <w:fldChar w:fldCharType="end"/>
            </w:r>
          </w:hyperlink>
        </w:p>
        <w:p w14:paraId="1C23A169" w14:textId="00AE2AB0" w:rsidR="00A01B42" w:rsidRDefault="004A0C3D">
          <w:pPr>
            <w:pStyle w:val="TOC2"/>
            <w:tabs>
              <w:tab w:val="left" w:pos="960"/>
              <w:tab w:val="right" w:leader="dot" w:pos="9350"/>
            </w:tabs>
            <w:rPr>
              <w:rFonts w:asciiTheme="minorHAnsi" w:hAnsiTheme="minorHAnsi"/>
              <w:noProof/>
              <w:sz w:val="24"/>
              <w:szCs w:val="24"/>
              <w:lang w:eastAsia="en-US"/>
            </w:rPr>
          </w:pPr>
          <w:hyperlink w:anchor="_Toc23613465" w:history="1">
            <w:r w:rsidR="00A01B42" w:rsidRPr="00845181">
              <w:rPr>
                <w:rStyle w:val="Hyperlink"/>
                <w:noProof/>
              </w:rPr>
              <w:t>3.2</w:t>
            </w:r>
            <w:r w:rsidR="00A01B42">
              <w:rPr>
                <w:rFonts w:asciiTheme="minorHAnsi" w:hAnsiTheme="minorHAnsi"/>
                <w:noProof/>
                <w:sz w:val="24"/>
                <w:szCs w:val="24"/>
                <w:lang w:eastAsia="en-US"/>
              </w:rPr>
              <w:tab/>
            </w:r>
            <w:r w:rsidR="00A01B42" w:rsidRPr="00845181">
              <w:rPr>
                <w:rStyle w:val="Hyperlink"/>
                <w:noProof/>
              </w:rPr>
              <w:t>Climate Impacts</w:t>
            </w:r>
            <w:r w:rsidR="00A01B42">
              <w:rPr>
                <w:noProof/>
                <w:webHidden/>
              </w:rPr>
              <w:tab/>
            </w:r>
            <w:r w:rsidR="00A01B42">
              <w:rPr>
                <w:noProof/>
                <w:webHidden/>
              </w:rPr>
              <w:fldChar w:fldCharType="begin"/>
            </w:r>
            <w:r w:rsidR="00A01B42">
              <w:rPr>
                <w:noProof/>
                <w:webHidden/>
              </w:rPr>
              <w:instrText xml:space="preserve"> PAGEREF _Toc23613465 \h </w:instrText>
            </w:r>
            <w:r w:rsidR="00A01B42">
              <w:rPr>
                <w:noProof/>
                <w:webHidden/>
              </w:rPr>
            </w:r>
            <w:r w:rsidR="00A01B42">
              <w:rPr>
                <w:noProof/>
                <w:webHidden/>
              </w:rPr>
              <w:fldChar w:fldCharType="separate"/>
            </w:r>
            <w:r w:rsidR="005E2B26">
              <w:rPr>
                <w:noProof/>
                <w:webHidden/>
              </w:rPr>
              <w:t>33</w:t>
            </w:r>
            <w:r w:rsidR="00A01B42">
              <w:rPr>
                <w:noProof/>
                <w:webHidden/>
              </w:rPr>
              <w:fldChar w:fldCharType="end"/>
            </w:r>
          </w:hyperlink>
        </w:p>
        <w:p w14:paraId="1DF3F397" w14:textId="2FA98EB5" w:rsidR="00A01B42" w:rsidRDefault="004A0C3D">
          <w:pPr>
            <w:pStyle w:val="TOC2"/>
            <w:tabs>
              <w:tab w:val="left" w:pos="960"/>
              <w:tab w:val="right" w:leader="dot" w:pos="9350"/>
            </w:tabs>
            <w:rPr>
              <w:rFonts w:asciiTheme="minorHAnsi" w:hAnsiTheme="minorHAnsi"/>
              <w:noProof/>
              <w:sz w:val="24"/>
              <w:szCs w:val="24"/>
              <w:lang w:eastAsia="en-US"/>
            </w:rPr>
          </w:pPr>
          <w:hyperlink w:anchor="_Toc23613466" w:history="1">
            <w:r w:rsidR="00A01B42" w:rsidRPr="00845181">
              <w:rPr>
                <w:rStyle w:val="Hyperlink"/>
                <w:noProof/>
              </w:rPr>
              <w:t>3.3</w:t>
            </w:r>
            <w:r w:rsidR="00A01B42">
              <w:rPr>
                <w:rFonts w:asciiTheme="minorHAnsi" w:hAnsiTheme="minorHAnsi"/>
                <w:noProof/>
                <w:sz w:val="24"/>
                <w:szCs w:val="24"/>
                <w:lang w:eastAsia="en-US"/>
              </w:rPr>
              <w:tab/>
            </w:r>
            <w:r w:rsidR="00A01B42" w:rsidRPr="00845181">
              <w:rPr>
                <w:rStyle w:val="Hyperlink"/>
                <w:noProof/>
              </w:rPr>
              <w:t>Financial Impacts</w:t>
            </w:r>
            <w:r w:rsidR="00A01B42">
              <w:rPr>
                <w:noProof/>
                <w:webHidden/>
              </w:rPr>
              <w:tab/>
            </w:r>
            <w:r w:rsidR="00A01B42">
              <w:rPr>
                <w:noProof/>
                <w:webHidden/>
              </w:rPr>
              <w:fldChar w:fldCharType="begin"/>
            </w:r>
            <w:r w:rsidR="00A01B42">
              <w:rPr>
                <w:noProof/>
                <w:webHidden/>
              </w:rPr>
              <w:instrText xml:space="preserve"> PAGEREF _Toc23613466 \h </w:instrText>
            </w:r>
            <w:r w:rsidR="00A01B42">
              <w:rPr>
                <w:noProof/>
                <w:webHidden/>
              </w:rPr>
            </w:r>
            <w:r w:rsidR="00A01B42">
              <w:rPr>
                <w:noProof/>
                <w:webHidden/>
              </w:rPr>
              <w:fldChar w:fldCharType="separate"/>
            </w:r>
            <w:r w:rsidR="005E2B26">
              <w:rPr>
                <w:noProof/>
                <w:webHidden/>
              </w:rPr>
              <w:t>35</w:t>
            </w:r>
            <w:r w:rsidR="00A01B42">
              <w:rPr>
                <w:noProof/>
                <w:webHidden/>
              </w:rPr>
              <w:fldChar w:fldCharType="end"/>
            </w:r>
          </w:hyperlink>
        </w:p>
        <w:p w14:paraId="32D4B568" w14:textId="3B900B63" w:rsidR="00A01B42" w:rsidRDefault="004A0C3D">
          <w:pPr>
            <w:pStyle w:val="TOC1"/>
            <w:tabs>
              <w:tab w:val="left" w:pos="440"/>
              <w:tab w:val="right" w:leader="dot" w:pos="9350"/>
            </w:tabs>
            <w:rPr>
              <w:rFonts w:asciiTheme="minorHAnsi" w:hAnsiTheme="minorHAnsi"/>
              <w:noProof/>
              <w:sz w:val="24"/>
              <w:szCs w:val="24"/>
              <w:lang w:eastAsia="en-US"/>
            </w:rPr>
          </w:pPr>
          <w:hyperlink w:anchor="_Toc23613467" w:history="1">
            <w:r w:rsidR="00A01B42" w:rsidRPr="00845181">
              <w:rPr>
                <w:rStyle w:val="Hyperlink"/>
                <w:noProof/>
              </w:rPr>
              <w:t>4.</w:t>
            </w:r>
            <w:r w:rsidR="00A01B42">
              <w:rPr>
                <w:rFonts w:asciiTheme="minorHAnsi" w:hAnsiTheme="minorHAnsi"/>
                <w:noProof/>
                <w:sz w:val="24"/>
                <w:szCs w:val="24"/>
                <w:lang w:eastAsia="en-US"/>
              </w:rPr>
              <w:tab/>
            </w:r>
            <w:r w:rsidR="00A01B42" w:rsidRPr="00845181">
              <w:rPr>
                <w:rStyle w:val="Hyperlink"/>
                <w:noProof/>
              </w:rPr>
              <w:t>Discussion</w:t>
            </w:r>
            <w:r w:rsidR="00A01B42">
              <w:rPr>
                <w:noProof/>
                <w:webHidden/>
              </w:rPr>
              <w:tab/>
            </w:r>
            <w:r w:rsidR="00A01B42">
              <w:rPr>
                <w:noProof/>
                <w:webHidden/>
              </w:rPr>
              <w:fldChar w:fldCharType="begin"/>
            </w:r>
            <w:r w:rsidR="00A01B42">
              <w:rPr>
                <w:noProof/>
                <w:webHidden/>
              </w:rPr>
              <w:instrText xml:space="preserve"> PAGEREF _Toc23613467 \h </w:instrText>
            </w:r>
            <w:r w:rsidR="00A01B42">
              <w:rPr>
                <w:noProof/>
                <w:webHidden/>
              </w:rPr>
            </w:r>
            <w:r w:rsidR="00A01B42">
              <w:rPr>
                <w:noProof/>
                <w:webHidden/>
              </w:rPr>
              <w:fldChar w:fldCharType="separate"/>
            </w:r>
            <w:r w:rsidR="005E2B26">
              <w:rPr>
                <w:noProof/>
                <w:webHidden/>
              </w:rPr>
              <w:t>37</w:t>
            </w:r>
            <w:r w:rsidR="00A01B42">
              <w:rPr>
                <w:noProof/>
                <w:webHidden/>
              </w:rPr>
              <w:fldChar w:fldCharType="end"/>
            </w:r>
          </w:hyperlink>
        </w:p>
        <w:p w14:paraId="2540308C" w14:textId="7DC2366C" w:rsidR="00A01B42" w:rsidRDefault="004A0C3D">
          <w:pPr>
            <w:pStyle w:val="TOC2"/>
            <w:tabs>
              <w:tab w:val="left" w:pos="960"/>
              <w:tab w:val="right" w:leader="dot" w:pos="9350"/>
            </w:tabs>
            <w:rPr>
              <w:rFonts w:asciiTheme="minorHAnsi" w:hAnsiTheme="minorHAnsi"/>
              <w:noProof/>
              <w:sz w:val="24"/>
              <w:szCs w:val="24"/>
              <w:lang w:eastAsia="en-US"/>
            </w:rPr>
          </w:pPr>
          <w:hyperlink w:anchor="_Toc23613468" w:history="1">
            <w:r w:rsidR="00A01B42" w:rsidRPr="00845181">
              <w:rPr>
                <w:rStyle w:val="Hyperlink"/>
                <w:noProof/>
              </w:rPr>
              <w:t>4.1</w:t>
            </w:r>
            <w:r w:rsidR="00A01B42">
              <w:rPr>
                <w:rFonts w:asciiTheme="minorHAnsi" w:hAnsiTheme="minorHAnsi"/>
                <w:noProof/>
                <w:sz w:val="24"/>
                <w:szCs w:val="24"/>
                <w:lang w:eastAsia="en-US"/>
              </w:rPr>
              <w:tab/>
            </w:r>
            <w:r w:rsidR="00A01B42" w:rsidRPr="00845181">
              <w:rPr>
                <w:rStyle w:val="Hyperlink"/>
                <w:noProof/>
              </w:rPr>
              <w:t>Limitations</w:t>
            </w:r>
            <w:r w:rsidR="00A01B42">
              <w:rPr>
                <w:noProof/>
                <w:webHidden/>
              </w:rPr>
              <w:tab/>
            </w:r>
            <w:r w:rsidR="00A01B42">
              <w:rPr>
                <w:noProof/>
                <w:webHidden/>
              </w:rPr>
              <w:fldChar w:fldCharType="begin"/>
            </w:r>
            <w:r w:rsidR="00A01B42">
              <w:rPr>
                <w:noProof/>
                <w:webHidden/>
              </w:rPr>
              <w:instrText xml:space="preserve"> PAGEREF _Toc23613468 \h </w:instrText>
            </w:r>
            <w:r w:rsidR="00A01B42">
              <w:rPr>
                <w:noProof/>
                <w:webHidden/>
              </w:rPr>
            </w:r>
            <w:r w:rsidR="00A01B42">
              <w:rPr>
                <w:noProof/>
                <w:webHidden/>
              </w:rPr>
              <w:fldChar w:fldCharType="separate"/>
            </w:r>
            <w:r w:rsidR="005E2B26">
              <w:rPr>
                <w:noProof/>
                <w:webHidden/>
              </w:rPr>
              <w:t>37</w:t>
            </w:r>
            <w:r w:rsidR="00A01B42">
              <w:rPr>
                <w:noProof/>
                <w:webHidden/>
              </w:rPr>
              <w:fldChar w:fldCharType="end"/>
            </w:r>
          </w:hyperlink>
        </w:p>
        <w:p w14:paraId="2A933591" w14:textId="1CF9D7D3" w:rsidR="00A01B42" w:rsidRDefault="004A0C3D">
          <w:pPr>
            <w:pStyle w:val="TOC2"/>
            <w:tabs>
              <w:tab w:val="left" w:pos="960"/>
              <w:tab w:val="right" w:leader="dot" w:pos="9350"/>
            </w:tabs>
            <w:rPr>
              <w:rFonts w:asciiTheme="minorHAnsi" w:hAnsiTheme="minorHAnsi"/>
              <w:noProof/>
              <w:sz w:val="24"/>
              <w:szCs w:val="24"/>
              <w:lang w:eastAsia="en-US"/>
            </w:rPr>
          </w:pPr>
          <w:hyperlink w:anchor="_Toc23613469" w:history="1">
            <w:r w:rsidR="00A01B42" w:rsidRPr="00845181">
              <w:rPr>
                <w:rStyle w:val="Hyperlink"/>
                <w:noProof/>
              </w:rPr>
              <w:t>4.2</w:t>
            </w:r>
            <w:r w:rsidR="00A01B42">
              <w:rPr>
                <w:rFonts w:asciiTheme="minorHAnsi" w:hAnsiTheme="minorHAnsi"/>
                <w:noProof/>
                <w:sz w:val="24"/>
                <w:szCs w:val="24"/>
                <w:lang w:eastAsia="en-US"/>
              </w:rPr>
              <w:tab/>
            </w:r>
            <w:r w:rsidR="00A01B42" w:rsidRPr="00845181">
              <w:rPr>
                <w:rStyle w:val="Hyperlink"/>
                <w:noProof/>
              </w:rPr>
              <w:t>Benchmarks</w:t>
            </w:r>
            <w:r w:rsidR="00A01B42">
              <w:rPr>
                <w:noProof/>
                <w:webHidden/>
              </w:rPr>
              <w:tab/>
            </w:r>
            <w:r w:rsidR="00A01B42">
              <w:rPr>
                <w:noProof/>
                <w:webHidden/>
              </w:rPr>
              <w:fldChar w:fldCharType="begin"/>
            </w:r>
            <w:r w:rsidR="00A01B42">
              <w:rPr>
                <w:noProof/>
                <w:webHidden/>
              </w:rPr>
              <w:instrText xml:space="preserve"> PAGEREF _Toc23613469 \h </w:instrText>
            </w:r>
            <w:r w:rsidR="00A01B42">
              <w:rPr>
                <w:noProof/>
                <w:webHidden/>
              </w:rPr>
            </w:r>
            <w:r w:rsidR="00A01B42">
              <w:rPr>
                <w:noProof/>
                <w:webHidden/>
              </w:rPr>
              <w:fldChar w:fldCharType="separate"/>
            </w:r>
            <w:r w:rsidR="005E2B26">
              <w:rPr>
                <w:noProof/>
                <w:webHidden/>
              </w:rPr>
              <w:t>38</w:t>
            </w:r>
            <w:r w:rsidR="00A01B42">
              <w:rPr>
                <w:noProof/>
                <w:webHidden/>
              </w:rPr>
              <w:fldChar w:fldCharType="end"/>
            </w:r>
          </w:hyperlink>
        </w:p>
        <w:p w14:paraId="6C7AB2D2" w14:textId="751491D0" w:rsidR="00A01B42" w:rsidRDefault="004A0C3D">
          <w:pPr>
            <w:pStyle w:val="TOC1"/>
            <w:tabs>
              <w:tab w:val="left" w:pos="440"/>
              <w:tab w:val="right" w:leader="dot" w:pos="9350"/>
            </w:tabs>
            <w:rPr>
              <w:rFonts w:asciiTheme="minorHAnsi" w:hAnsiTheme="minorHAnsi"/>
              <w:noProof/>
              <w:sz w:val="24"/>
              <w:szCs w:val="24"/>
              <w:lang w:eastAsia="en-US"/>
            </w:rPr>
          </w:pPr>
          <w:hyperlink w:anchor="_Toc23613470" w:history="1">
            <w:r w:rsidR="00A01B42" w:rsidRPr="00845181">
              <w:rPr>
                <w:rStyle w:val="Hyperlink"/>
                <w:noProof/>
              </w:rPr>
              <w:t>5.</w:t>
            </w:r>
            <w:r w:rsidR="00A01B42">
              <w:rPr>
                <w:rFonts w:asciiTheme="minorHAnsi" w:hAnsiTheme="minorHAnsi"/>
                <w:noProof/>
                <w:sz w:val="24"/>
                <w:szCs w:val="24"/>
                <w:lang w:eastAsia="en-US"/>
              </w:rPr>
              <w:tab/>
            </w:r>
            <w:r w:rsidR="00A01B42" w:rsidRPr="00845181">
              <w:rPr>
                <w:rStyle w:val="Hyperlink"/>
                <w:noProof/>
              </w:rPr>
              <w:t>References</w:t>
            </w:r>
            <w:r w:rsidR="00A01B42">
              <w:rPr>
                <w:noProof/>
                <w:webHidden/>
              </w:rPr>
              <w:tab/>
            </w:r>
            <w:r w:rsidR="00A01B42">
              <w:rPr>
                <w:noProof/>
                <w:webHidden/>
              </w:rPr>
              <w:fldChar w:fldCharType="begin"/>
            </w:r>
            <w:r w:rsidR="00A01B42">
              <w:rPr>
                <w:noProof/>
                <w:webHidden/>
              </w:rPr>
              <w:instrText xml:space="preserve"> PAGEREF _Toc23613470 \h </w:instrText>
            </w:r>
            <w:r w:rsidR="00A01B42">
              <w:rPr>
                <w:noProof/>
                <w:webHidden/>
              </w:rPr>
            </w:r>
            <w:r w:rsidR="00A01B42">
              <w:rPr>
                <w:noProof/>
                <w:webHidden/>
              </w:rPr>
              <w:fldChar w:fldCharType="separate"/>
            </w:r>
            <w:r w:rsidR="005E2B26">
              <w:rPr>
                <w:noProof/>
                <w:webHidden/>
              </w:rPr>
              <w:t>39</w:t>
            </w:r>
            <w:r w:rsidR="00A01B42">
              <w:rPr>
                <w:noProof/>
                <w:webHidden/>
              </w:rPr>
              <w:fldChar w:fldCharType="end"/>
            </w:r>
          </w:hyperlink>
        </w:p>
        <w:p w14:paraId="3A2B1681" w14:textId="48DDF29A" w:rsidR="00A01B42" w:rsidRDefault="004A0C3D">
          <w:pPr>
            <w:pStyle w:val="TOC1"/>
            <w:tabs>
              <w:tab w:val="left" w:pos="440"/>
              <w:tab w:val="right" w:leader="dot" w:pos="9350"/>
            </w:tabs>
            <w:rPr>
              <w:rFonts w:asciiTheme="minorHAnsi" w:hAnsiTheme="minorHAnsi"/>
              <w:noProof/>
              <w:sz w:val="24"/>
              <w:szCs w:val="24"/>
              <w:lang w:eastAsia="en-US"/>
            </w:rPr>
          </w:pPr>
          <w:hyperlink w:anchor="_Toc23613471" w:history="1">
            <w:r w:rsidR="00A01B42" w:rsidRPr="00845181">
              <w:rPr>
                <w:rStyle w:val="Hyperlink"/>
                <w:noProof/>
              </w:rPr>
              <w:t>6.</w:t>
            </w:r>
            <w:r w:rsidR="00A01B42">
              <w:rPr>
                <w:rFonts w:asciiTheme="minorHAnsi" w:hAnsiTheme="minorHAnsi"/>
                <w:noProof/>
                <w:sz w:val="24"/>
                <w:szCs w:val="24"/>
                <w:lang w:eastAsia="en-US"/>
              </w:rPr>
              <w:tab/>
            </w:r>
            <w:r w:rsidR="00A01B42" w:rsidRPr="00845181">
              <w:rPr>
                <w:rStyle w:val="Hyperlink"/>
                <w:noProof/>
              </w:rPr>
              <w:t>Glossary</w:t>
            </w:r>
            <w:r w:rsidR="00A01B42">
              <w:rPr>
                <w:noProof/>
                <w:webHidden/>
              </w:rPr>
              <w:tab/>
            </w:r>
            <w:r w:rsidR="00A01B42">
              <w:rPr>
                <w:noProof/>
                <w:webHidden/>
              </w:rPr>
              <w:fldChar w:fldCharType="begin"/>
            </w:r>
            <w:r w:rsidR="00A01B42">
              <w:rPr>
                <w:noProof/>
                <w:webHidden/>
              </w:rPr>
              <w:instrText xml:space="preserve"> PAGEREF _Toc23613471 \h </w:instrText>
            </w:r>
            <w:r w:rsidR="00A01B42">
              <w:rPr>
                <w:noProof/>
                <w:webHidden/>
              </w:rPr>
            </w:r>
            <w:r w:rsidR="00A01B42">
              <w:rPr>
                <w:noProof/>
                <w:webHidden/>
              </w:rPr>
              <w:fldChar w:fldCharType="separate"/>
            </w:r>
            <w:r w:rsidR="005E2B26">
              <w:rPr>
                <w:noProof/>
                <w:webHidden/>
              </w:rPr>
              <w:t>52</w:t>
            </w:r>
            <w:r w:rsidR="00A01B42">
              <w:rPr>
                <w:noProof/>
                <w:webHidden/>
              </w:rPr>
              <w:fldChar w:fldCharType="end"/>
            </w:r>
          </w:hyperlink>
        </w:p>
        <w:p w14:paraId="12C7DAF6" w14:textId="696D8F9B"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4DF0A92F" w:rsidR="2D56E7D4" w:rsidRPr="00E069AC" w:rsidRDefault="00C23CAC" w:rsidP="000362B8">
      <w:pPr>
        <w:pStyle w:val="Heading1"/>
        <w:rPr>
          <w:noProof/>
        </w:rPr>
      </w:pPr>
      <w:bookmarkStart w:id="0" w:name="_Toc23613434"/>
      <w:r w:rsidRPr="00E069AC">
        <w:rPr>
          <w:noProof/>
        </w:rPr>
        <w:lastRenderedPageBreak/>
        <w:t xml:space="preserve">List of </w:t>
      </w:r>
      <w:r w:rsidR="2D56E7D4" w:rsidRPr="00E069AC">
        <w:rPr>
          <w:noProof/>
        </w:rPr>
        <w:t>Figures</w:t>
      </w:r>
      <w:bookmarkEnd w:id="0"/>
    </w:p>
    <w:p w14:paraId="712D8503" w14:textId="01E57166" w:rsidR="005E2B26" w:rsidRDefault="00F15AEE" w:rsidP="005E2B26">
      <w:pPr>
        <w:pStyle w:val="TableofFigures"/>
        <w:tabs>
          <w:tab w:val="right" w:leader="dot" w:pos="9350"/>
        </w:tabs>
        <w:rPr>
          <w:rFonts w:asciiTheme="minorHAnsi" w:hAnsiTheme="minorHAnsi"/>
          <w:noProof/>
          <w:sz w:val="24"/>
          <w:szCs w:val="24"/>
          <w:lang w:eastAsia="en-US"/>
        </w:rPr>
      </w:pPr>
      <w:r w:rsidRPr="00EE2211">
        <w:fldChar w:fldCharType="begin"/>
      </w:r>
      <w:r w:rsidRPr="00EE2211">
        <w:instrText xml:space="preserve"> TOC \h \z \c "Figure" </w:instrText>
      </w:r>
      <w:r w:rsidRPr="00EE2211">
        <w:fldChar w:fldCharType="separate"/>
      </w:r>
      <w:hyperlink w:anchor="_Toc44543237" w:history="1">
        <w:r w:rsidR="005E2B26" w:rsidRPr="00D33BDE">
          <w:rPr>
            <w:rStyle w:val="Hyperlink"/>
            <w:noProof/>
          </w:rPr>
          <w:t>Figure 1.1 Typical Wind Turbine Power Curve</w:t>
        </w:r>
        <w:r w:rsidR="005E2B26">
          <w:rPr>
            <w:noProof/>
            <w:webHidden/>
          </w:rPr>
          <w:tab/>
        </w:r>
        <w:r w:rsidR="005E2B26">
          <w:rPr>
            <w:noProof/>
            <w:webHidden/>
          </w:rPr>
          <w:fldChar w:fldCharType="begin"/>
        </w:r>
        <w:r w:rsidR="005E2B26">
          <w:rPr>
            <w:noProof/>
            <w:webHidden/>
          </w:rPr>
          <w:instrText xml:space="preserve"> PAGEREF _Toc44543237 \h </w:instrText>
        </w:r>
        <w:r w:rsidR="005E2B26">
          <w:rPr>
            <w:noProof/>
            <w:webHidden/>
          </w:rPr>
        </w:r>
        <w:r w:rsidR="005E2B26">
          <w:rPr>
            <w:noProof/>
            <w:webHidden/>
          </w:rPr>
          <w:fldChar w:fldCharType="separate"/>
        </w:r>
        <w:r w:rsidR="005E2B26">
          <w:rPr>
            <w:noProof/>
            <w:webHidden/>
          </w:rPr>
          <w:t>8</w:t>
        </w:r>
        <w:r w:rsidR="005E2B26">
          <w:rPr>
            <w:noProof/>
            <w:webHidden/>
          </w:rPr>
          <w:fldChar w:fldCharType="end"/>
        </w:r>
      </w:hyperlink>
    </w:p>
    <w:p w14:paraId="7A54BE4B" w14:textId="025095D4" w:rsidR="005E2B26" w:rsidRDefault="004A0C3D" w:rsidP="005E2B26">
      <w:pPr>
        <w:pStyle w:val="TableofFigures"/>
        <w:tabs>
          <w:tab w:val="right" w:leader="dot" w:pos="9350"/>
        </w:tabs>
        <w:rPr>
          <w:rFonts w:asciiTheme="minorHAnsi" w:hAnsiTheme="minorHAnsi"/>
          <w:noProof/>
          <w:sz w:val="24"/>
          <w:szCs w:val="24"/>
          <w:lang w:eastAsia="en-US"/>
        </w:rPr>
      </w:pPr>
      <w:hyperlink w:anchor="_Toc44543238" w:history="1">
        <w:r w:rsidR="005E2B26" w:rsidRPr="00D33BDE">
          <w:rPr>
            <w:rStyle w:val="Hyperlink"/>
            <w:noProof/>
          </w:rPr>
          <w:t>Figure 3.1 World Annual Adoption 2015-2060</w:t>
        </w:r>
        <w:r w:rsidR="005E2B26">
          <w:rPr>
            <w:noProof/>
            <w:webHidden/>
          </w:rPr>
          <w:tab/>
        </w:r>
        <w:r w:rsidR="005E2B26">
          <w:rPr>
            <w:noProof/>
            <w:webHidden/>
          </w:rPr>
          <w:fldChar w:fldCharType="begin"/>
        </w:r>
        <w:r w:rsidR="005E2B26">
          <w:rPr>
            <w:noProof/>
            <w:webHidden/>
          </w:rPr>
          <w:instrText xml:space="preserve"> PAGEREF _Toc44543238 \h </w:instrText>
        </w:r>
        <w:r w:rsidR="005E2B26">
          <w:rPr>
            <w:noProof/>
            <w:webHidden/>
          </w:rPr>
        </w:r>
        <w:r w:rsidR="005E2B26">
          <w:rPr>
            <w:noProof/>
            <w:webHidden/>
          </w:rPr>
          <w:fldChar w:fldCharType="separate"/>
        </w:r>
        <w:r w:rsidR="005E2B26">
          <w:rPr>
            <w:noProof/>
            <w:webHidden/>
          </w:rPr>
          <w:t>33</w:t>
        </w:r>
        <w:r w:rsidR="005E2B26">
          <w:rPr>
            <w:noProof/>
            <w:webHidden/>
          </w:rPr>
          <w:fldChar w:fldCharType="end"/>
        </w:r>
      </w:hyperlink>
    </w:p>
    <w:p w14:paraId="20154D57" w14:textId="22B375A2" w:rsidR="005E2B26" w:rsidRDefault="004A0C3D" w:rsidP="005E2B26">
      <w:pPr>
        <w:pStyle w:val="TableofFigures"/>
        <w:tabs>
          <w:tab w:val="right" w:leader="dot" w:pos="9350"/>
        </w:tabs>
        <w:rPr>
          <w:rFonts w:asciiTheme="minorHAnsi" w:hAnsiTheme="minorHAnsi"/>
          <w:noProof/>
          <w:sz w:val="24"/>
          <w:szCs w:val="24"/>
          <w:lang w:eastAsia="en-US"/>
        </w:rPr>
      </w:pPr>
      <w:hyperlink w:anchor="_Toc44543239" w:history="1">
        <w:r w:rsidR="005E2B26" w:rsidRPr="00D33BDE">
          <w:rPr>
            <w:rStyle w:val="Hyperlink"/>
            <w:noProof/>
          </w:rPr>
          <w:t>Figure 3.2 World Annual</w:t>
        </w:r>
        <w:r w:rsidR="005E2B26" w:rsidRPr="00D33BDE">
          <w:rPr>
            <w:rStyle w:val="Hyperlink"/>
            <w:noProof/>
            <w:vertAlign w:val="subscript"/>
          </w:rPr>
          <w:t xml:space="preserve"> </w:t>
        </w:r>
        <w:r w:rsidR="005E2B26" w:rsidRPr="00D33BDE">
          <w:rPr>
            <w:rStyle w:val="Hyperlink"/>
            <w:noProof/>
          </w:rPr>
          <w:t>Greenhouse Gas Emissions Reduction</w:t>
        </w:r>
        <w:r w:rsidR="005E2B26">
          <w:rPr>
            <w:noProof/>
            <w:webHidden/>
          </w:rPr>
          <w:tab/>
        </w:r>
        <w:r w:rsidR="005E2B26">
          <w:rPr>
            <w:noProof/>
            <w:webHidden/>
          </w:rPr>
          <w:fldChar w:fldCharType="begin"/>
        </w:r>
        <w:r w:rsidR="005E2B26">
          <w:rPr>
            <w:noProof/>
            <w:webHidden/>
          </w:rPr>
          <w:instrText xml:space="preserve"> PAGEREF _Toc44543239 \h </w:instrText>
        </w:r>
        <w:r w:rsidR="005E2B26">
          <w:rPr>
            <w:noProof/>
            <w:webHidden/>
          </w:rPr>
        </w:r>
        <w:r w:rsidR="005E2B26">
          <w:rPr>
            <w:noProof/>
            <w:webHidden/>
          </w:rPr>
          <w:fldChar w:fldCharType="separate"/>
        </w:r>
        <w:r w:rsidR="005E2B26">
          <w:rPr>
            <w:noProof/>
            <w:webHidden/>
          </w:rPr>
          <w:t>35</w:t>
        </w:r>
        <w:r w:rsidR="005E2B26">
          <w:rPr>
            <w:noProof/>
            <w:webHidden/>
          </w:rPr>
          <w:fldChar w:fldCharType="end"/>
        </w:r>
      </w:hyperlink>
    </w:p>
    <w:p w14:paraId="5AD133BD" w14:textId="2656F624" w:rsidR="00640665" w:rsidRPr="00E069AC" w:rsidRDefault="00F15AEE" w:rsidP="00A01B42">
      <w:r w:rsidRPr="00EE2211">
        <w:fldChar w:fldCharType="end"/>
      </w:r>
    </w:p>
    <w:p w14:paraId="6055DED9" w14:textId="24973E3A" w:rsidR="006A4A08" w:rsidRPr="00E069AC" w:rsidRDefault="00C23CAC" w:rsidP="000362B8">
      <w:pPr>
        <w:pStyle w:val="Heading1"/>
      </w:pPr>
      <w:bookmarkStart w:id="1" w:name="_Toc23613435"/>
      <w:r w:rsidRPr="00E069AC">
        <w:t xml:space="preserve">List of </w:t>
      </w:r>
      <w:r w:rsidR="2D56E7D4" w:rsidRPr="00E069AC">
        <w:t>Tables</w:t>
      </w:r>
      <w:bookmarkEnd w:id="1"/>
    </w:p>
    <w:p w14:paraId="351E3DD5" w14:textId="01BD361A" w:rsidR="00A01B42" w:rsidRDefault="006A4A08" w:rsidP="00A01B42">
      <w:pPr>
        <w:pStyle w:val="TableofFigures"/>
        <w:tabs>
          <w:tab w:val="right" w:leader="dot" w:pos="9350"/>
        </w:tabs>
        <w:spacing w:after="120"/>
        <w:rPr>
          <w:rFonts w:asciiTheme="minorHAnsi" w:hAnsiTheme="minorHAnsi"/>
          <w:noProof/>
          <w:sz w:val="24"/>
          <w:szCs w:val="24"/>
          <w:lang w:eastAsia="en-US"/>
        </w:rPr>
      </w:pPr>
      <w:r w:rsidRPr="00E069AC">
        <w:fldChar w:fldCharType="begin"/>
      </w:r>
      <w:r w:rsidRPr="00E069AC">
        <w:instrText xml:space="preserve"> TOC \h \z \c "Table" </w:instrText>
      </w:r>
      <w:r w:rsidRPr="00E069AC">
        <w:fldChar w:fldCharType="separate"/>
      </w:r>
      <w:hyperlink w:anchor="_Toc23613082" w:history="1">
        <w:r w:rsidR="00A01B42" w:rsidRPr="00835F61">
          <w:rPr>
            <w:rStyle w:val="Hyperlink"/>
            <w:noProof/>
          </w:rPr>
          <w:t>Table 1.1 Micro wind solution compared to other similar alternatives sand to conventional electricity generation technologies</w:t>
        </w:r>
        <w:r w:rsidR="00A01B42">
          <w:rPr>
            <w:noProof/>
            <w:webHidden/>
          </w:rPr>
          <w:tab/>
        </w:r>
        <w:r w:rsidR="00A01B42">
          <w:rPr>
            <w:noProof/>
            <w:webHidden/>
          </w:rPr>
          <w:fldChar w:fldCharType="begin"/>
        </w:r>
        <w:r w:rsidR="00A01B42">
          <w:rPr>
            <w:noProof/>
            <w:webHidden/>
          </w:rPr>
          <w:instrText xml:space="preserve"> PAGEREF _Toc23613082 \h </w:instrText>
        </w:r>
        <w:r w:rsidR="00A01B42">
          <w:rPr>
            <w:noProof/>
            <w:webHidden/>
          </w:rPr>
        </w:r>
        <w:r w:rsidR="00A01B42">
          <w:rPr>
            <w:noProof/>
            <w:webHidden/>
          </w:rPr>
          <w:fldChar w:fldCharType="separate"/>
        </w:r>
        <w:r w:rsidR="005E2B26">
          <w:rPr>
            <w:noProof/>
            <w:webHidden/>
          </w:rPr>
          <w:t>19</w:t>
        </w:r>
        <w:r w:rsidR="00A01B42">
          <w:rPr>
            <w:noProof/>
            <w:webHidden/>
          </w:rPr>
          <w:fldChar w:fldCharType="end"/>
        </w:r>
      </w:hyperlink>
    </w:p>
    <w:p w14:paraId="6436D7D0" w14:textId="2335FF3B"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83" w:history="1">
        <w:r w:rsidR="00A01B42" w:rsidRPr="00835F61">
          <w:rPr>
            <w:rStyle w:val="Hyperlink"/>
            <w:noProof/>
          </w:rPr>
          <w:t>Table 2.1 Climate Inputs</w:t>
        </w:r>
        <w:r w:rsidR="00A01B42">
          <w:rPr>
            <w:noProof/>
            <w:webHidden/>
          </w:rPr>
          <w:tab/>
        </w:r>
        <w:r w:rsidR="00A01B42">
          <w:rPr>
            <w:noProof/>
            <w:webHidden/>
          </w:rPr>
          <w:fldChar w:fldCharType="begin"/>
        </w:r>
        <w:r w:rsidR="00A01B42">
          <w:rPr>
            <w:noProof/>
            <w:webHidden/>
          </w:rPr>
          <w:instrText xml:space="preserve"> PAGEREF _Toc23613083 \h </w:instrText>
        </w:r>
        <w:r w:rsidR="00A01B42">
          <w:rPr>
            <w:noProof/>
            <w:webHidden/>
          </w:rPr>
        </w:r>
        <w:r w:rsidR="00A01B42">
          <w:rPr>
            <w:noProof/>
            <w:webHidden/>
          </w:rPr>
          <w:fldChar w:fldCharType="separate"/>
        </w:r>
        <w:r w:rsidR="005E2B26">
          <w:rPr>
            <w:noProof/>
            <w:webHidden/>
          </w:rPr>
          <w:t>27</w:t>
        </w:r>
        <w:r w:rsidR="00A01B42">
          <w:rPr>
            <w:noProof/>
            <w:webHidden/>
          </w:rPr>
          <w:fldChar w:fldCharType="end"/>
        </w:r>
      </w:hyperlink>
    </w:p>
    <w:p w14:paraId="270232B0" w14:textId="2A6BCC53"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84" w:history="1">
        <w:r w:rsidR="00A01B42" w:rsidRPr="00835F61">
          <w:rPr>
            <w:rStyle w:val="Hyperlink"/>
            <w:noProof/>
          </w:rPr>
          <w:t>Table 2.2 Financial Inputs for Conventional Technologies</w:t>
        </w:r>
        <w:r w:rsidR="00A01B42">
          <w:rPr>
            <w:noProof/>
            <w:webHidden/>
          </w:rPr>
          <w:tab/>
        </w:r>
        <w:r w:rsidR="00A01B42">
          <w:rPr>
            <w:noProof/>
            <w:webHidden/>
          </w:rPr>
          <w:fldChar w:fldCharType="begin"/>
        </w:r>
        <w:r w:rsidR="00A01B42">
          <w:rPr>
            <w:noProof/>
            <w:webHidden/>
          </w:rPr>
          <w:instrText xml:space="preserve"> PAGEREF _Toc23613084 \h </w:instrText>
        </w:r>
        <w:r w:rsidR="00A01B42">
          <w:rPr>
            <w:noProof/>
            <w:webHidden/>
          </w:rPr>
        </w:r>
        <w:r w:rsidR="00A01B42">
          <w:rPr>
            <w:noProof/>
            <w:webHidden/>
          </w:rPr>
          <w:fldChar w:fldCharType="separate"/>
        </w:r>
        <w:r w:rsidR="005E2B26">
          <w:rPr>
            <w:noProof/>
            <w:webHidden/>
          </w:rPr>
          <w:t>28</w:t>
        </w:r>
        <w:r w:rsidR="00A01B42">
          <w:rPr>
            <w:noProof/>
            <w:webHidden/>
          </w:rPr>
          <w:fldChar w:fldCharType="end"/>
        </w:r>
      </w:hyperlink>
    </w:p>
    <w:p w14:paraId="1A5F4189" w14:textId="600E62BE"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85" w:history="1">
        <w:r w:rsidR="00A01B42" w:rsidRPr="00835F61">
          <w:rPr>
            <w:rStyle w:val="Hyperlink"/>
            <w:noProof/>
          </w:rPr>
          <w:t>Table 2.3 Financial Inputs for Solution</w:t>
        </w:r>
        <w:r w:rsidR="00A01B42">
          <w:rPr>
            <w:noProof/>
            <w:webHidden/>
          </w:rPr>
          <w:tab/>
        </w:r>
        <w:r w:rsidR="00A01B42">
          <w:rPr>
            <w:noProof/>
            <w:webHidden/>
          </w:rPr>
          <w:fldChar w:fldCharType="begin"/>
        </w:r>
        <w:r w:rsidR="00A01B42">
          <w:rPr>
            <w:noProof/>
            <w:webHidden/>
          </w:rPr>
          <w:instrText xml:space="preserve"> PAGEREF _Toc23613085 \h </w:instrText>
        </w:r>
        <w:r w:rsidR="00A01B42">
          <w:rPr>
            <w:noProof/>
            <w:webHidden/>
          </w:rPr>
        </w:r>
        <w:r w:rsidR="00A01B42">
          <w:rPr>
            <w:noProof/>
            <w:webHidden/>
          </w:rPr>
          <w:fldChar w:fldCharType="separate"/>
        </w:r>
        <w:r w:rsidR="005E2B26">
          <w:rPr>
            <w:noProof/>
            <w:webHidden/>
          </w:rPr>
          <w:t>28</w:t>
        </w:r>
        <w:r w:rsidR="00A01B42">
          <w:rPr>
            <w:noProof/>
            <w:webHidden/>
          </w:rPr>
          <w:fldChar w:fldCharType="end"/>
        </w:r>
      </w:hyperlink>
    </w:p>
    <w:p w14:paraId="5361F611" w14:textId="55A1DB9C"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86" w:history="1">
        <w:r w:rsidR="00A01B42" w:rsidRPr="00835F61">
          <w:rPr>
            <w:rStyle w:val="Hyperlink"/>
            <w:noProof/>
          </w:rPr>
          <w:t>Table 2.4 Technical Inputs Conventional Technologies</w:t>
        </w:r>
        <w:r w:rsidR="00A01B42">
          <w:rPr>
            <w:noProof/>
            <w:webHidden/>
          </w:rPr>
          <w:tab/>
        </w:r>
        <w:r w:rsidR="00A01B42">
          <w:rPr>
            <w:noProof/>
            <w:webHidden/>
          </w:rPr>
          <w:fldChar w:fldCharType="begin"/>
        </w:r>
        <w:r w:rsidR="00A01B42">
          <w:rPr>
            <w:noProof/>
            <w:webHidden/>
          </w:rPr>
          <w:instrText xml:space="preserve"> PAGEREF _Toc23613086 \h </w:instrText>
        </w:r>
        <w:r w:rsidR="00A01B42">
          <w:rPr>
            <w:noProof/>
            <w:webHidden/>
          </w:rPr>
        </w:r>
        <w:r w:rsidR="00A01B42">
          <w:rPr>
            <w:noProof/>
            <w:webHidden/>
          </w:rPr>
          <w:fldChar w:fldCharType="separate"/>
        </w:r>
        <w:r w:rsidR="005E2B26">
          <w:rPr>
            <w:noProof/>
            <w:webHidden/>
          </w:rPr>
          <w:t>29</w:t>
        </w:r>
        <w:r w:rsidR="00A01B42">
          <w:rPr>
            <w:noProof/>
            <w:webHidden/>
          </w:rPr>
          <w:fldChar w:fldCharType="end"/>
        </w:r>
      </w:hyperlink>
    </w:p>
    <w:p w14:paraId="7029C716" w14:textId="34E903CA"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87" w:history="1">
        <w:r w:rsidR="00A01B42" w:rsidRPr="00835F61">
          <w:rPr>
            <w:rStyle w:val="Hyperlink"/>
            <w:noProof/>
          </w:rPr>
          <w:t>Table 2.5 Technical Inputs Solution</w:t>
        </w:r>
        <w:r w:rsidR="00A01B42">
          <w:rPr>
            <w:noProof/>
            <w:webHidden/>
          </w:rPr>
          <w:tab/>
        </w:r>
        <w:r w:rsidR="00A01B42">
          <w:rPr>
            <w:noProof/>
            <w:webHidden/>
          </w:rPr>
          <w:fldChar w:fldCharType="begin"/>
        </w:r>
        <w:r w:rsidR="00A01B42">
          <w:rPr>
            <w:noProof/>
            <w:webHidden/>
          </w:rPr>
          <w:instrText xml:space="preserve"> PAGEREF _Toc23613087 \h </w:instrText>
        </w:r>
        <w:r w:rsidR="00A01B42">
          <w:rPr>
            <w:noProof/>
            <w:webHidden/>
          </w:rPr>
        </w:r>
        <w:r w:rsidR="00A01B42">
          <w:rPr>
            <w:noProof/>
            <w:webHidden/>
          </w:rPr>
          <w:fldChar w:fldCharType="separate"/>
        </w:r>
        <w:r w:rsidR="005E2B26">
          <w:rPr>
            <w:noProof/>
            <w:webHidden/>
          </w:rPr>
          <w:t>29</w:t>
        </w:r>
        <w:r w:rsidR="00A01B42">
          <w:rPr>
            <w:noProof/>
            <w:webHidden/>
          </w:rPr>
          <w:fldChar w:fldCharType="end"/>
        </w:r>
      </w:hyperlink>
    </w:p>
    <w:p w14:paraId="0DC779D3" w14:textId="694367D1"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88" w:history="1">
        <w:r w:rsidR="00A01B42" w:rsidRPr="00835F61">
          <w:rPr>
            <w:rStyle w:val="Hyperlink"/>
            <w:noProof/>
          </w:rPr>
          <w:t>Table 3.1 World Adoption of the Solution</w:t>
        </w:r>
        <w:r w:rsidR="00A01B42">
          <w:rPr>
            <w:noProof/>
            <w:webHidden/>
          </w:rPr>
          <w:tab/>
        </w:r>
        <w:r w:rsidR="00A01B42">
          <w:rPr>
            <w:noProof/>
            <w:webHidden/>
          </w:rPr>
          <w:fldChar w:fldCharType="begin"/>
        </w:r>
        <w:r w:rsidR="00A01B42">
          <w:rPr>
            <w:noProof/>
            <w:webHidden/>
          </w:rPr>
          <w:instrText xml:space="preserve"> PAGEREF _Toc23613088 \h </w:instrText>
        </w:r>
        <w:r w:rsidR="00A01B42">
          <w:rPr>
            <w:noProof/>
            <w:webHidden/>
          </w:rPr>
        </w:r>
        <w:r w:rsidR="00A01B42">
          <w:rPr>
            <w:noProof/>
            <w:webHidden/>
          </w:rPr>
          <w:fldChar w:fldCharType="separate"/>
        </w:r>
        <w:r w:rsidR="005E2B26">
          <w:rPr>
            <w:noProof/>
            <w:webHidden/>
          </w:rPr>
          <w:t>32</w:t>
        </w:r>
        <w:r w:rsidR="00A01B42">
          <w:rPr>
            <w:noProof/>
            <w:webHidden/>
          </w:rPr>
          <w:fldChar w:fldCharType="end"/>
        </w:r>
      </w:hyperlink>
    </w:p>
    <w:p w14:paraId="38995D9B" w14:textId="5EB883A8"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89" w:history="1">
        <w:r w:rsidR="00A01B42" w:rsidRPr="00835F61">
          <w:rPr>
            <w:rStyle w:val="Hyperlink"/>
            <w:noProof/>
          </w:rPr>
          <w:t>Table 3.2 Climate Impacts</w:t>
        </w:r>
        <w:r w:rsidR="00A01B42">
          <w:rPr>
            <w:noProof/>
            <w:webHidden/>
          </w:rPr>
          <w:tab/>
        </w:r>
        <w:r w:rsidR="00A01B42">
          <w:rPr>
            <w:noProof/>
            <w:webHidden/>
          </w:rPr>
          <w:fldChar w:fldCharType="begin"/>
        </w:r>
        <w:r w:rsidR="00A01B42">
          <w:rPr>
            <w:noProof/>
            <w:webHidden/>
          </w:rPr>
          <w:instrText xml:space="preserve"> PAGEREF _Toc23613089 \h </w:instrText>
        </w:r>
        <w:r w:rsidR="00A01B42">
          <w:rPr>
            <w:noProof/>
            <w:webHidden/>
          </w:rPr>
        </w:r>
        <w:r w:rsidR="00A01B42">
          <w:rPr>
            <w:noProof/>
            <w:webHidden/>
          </w:rPr>
          <w:fldChar w:fldCharType="separate"/>
        </w:r>
        <w:r w:rsidR="005E2B26">
          <w:rPr>
            <w:noProof/>
            <w:webHidden/>
          </w:rPr>
          <w:t>34</w:t>
        </w:r>
        <w:r w:rsidR="00A01B42">
          <w:rPr>
            <w:noProof/>
            <w:webHidden/>
          </w:rPr>
          <w:fldChar w:fldCharType="end"/>
        </w:r>
      </w:hyperlink>
    </w:p>
    <w:p w14:paraId="6EA8E7DC" w14:textId="68D87560"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90" w:history="1">
        <w:r w:rsidR="00A01B42" w:rsidRPr="00835F61">
          <w:rPr>
            <w:rStyle w:val="Hyperlink"/>
            <w:noProof/>
          </w:rPr>
          <w:t>Table 3.3 Impacts on Atmospheric Concentrations of CO</w:t>
        </w:r>
        <w:r w:rsidR="00A01B42" w:rsidRPr="00835F61">
          <w:rPr>
            <w:rStyle w:val="Hyperlink"/>
            <w:noProof/>
            <w:vertAlign w:val="subscript"/>
          </w:rPr>
          <w:t>2</w:t>
        </w:r>
        <w:r w:rsidR="00A01B42" w:rsidRPr="00835F61">
          <w:rPr>
            <w:rStyle w:val="Hyperlink"/>
            <w:noProof/>
          </w:rPr>
          <w:t>-eq</w:t>
        </w:r>
        <w:r w:rsidR="00A01B42">
          <w:rPr>
            <w:noProof/>
            <w:webHidden/>
          </w:rPr>
          <w:tab/>
        </w:r>
        <w:r w:rsidR="00A01B42">
          <w:rPr>
            <w:noProof/>
            <w:webHidden/>
          </w:rPr>
          <w:fldChar w:fldCharType="begin"/>
        </w:r>
        <w:r w:rsidR="00A01B42">
          <w:rPr>
            <w:noProof/>
            <w:webHidden/>
          </w:rPr>
          <w:instrText xml:space="preserve"> PAGEREF _Toc23613090 \h </w:instrText>
        </w:r>
        <w:r w:rsidR="00A01B42">
          <w:rPr>
            <w:noProof/>
            <w:webHidden/>
          </w:rPr>
        </w:r>
        <w:r w:rsidR="00A01B42">
          <w:rPr>
            <w:noProof/>
            <w:webHidden/>
          </w:rPr>
          <w:fldChar w:fldCharType="separate"/>
        </w:r>
        <w:r w:rsidR="005E2B26">
          <w:rPr>
            <w:noProof/>
            <w:webHidden/>
          </w:rPr>
          <w:t>34</w:t>
        </w:r>
        <w:r w:rsidR="00A01B42">
          <w:rPr>
            <w:noProof/>
            <w:webHidden/>
          </w:rPr>
          <w:fldChar w:fldCharType="end"/>
        </w:r>
      </w:hyperlink>
    </w:p>
    <w:p w14:paraId="60D3D9FB" w14:textId="72D1B870" w:rsidR="00A01B42" w:rsidRDefault="004A0C3D" w:rsidP="00A01B42">
      <w:pPr>
        <w:pStyle w:val="TableofFigures"/>
        <w:tabs>
          <w:tab w:val="right" w:leader="dot" w:pos="9350"/>
        </w:tabs>
        <w:spacing w:after="120"/>
        <w:rPr>
          <w:rFonts w:asciiTheme="minorHAnsi" w:hAnsiTheme="minorHAnsi"/>
          <w:noProof/>
          <w:sz w:val="24"/>
          <w:szCs w:val="24"/>
          <w:lang w:eastAsia="en-US"/>
        </w:rPr>
      </w:pPr>
      <w:hyperlink w:anchor="_Toc23613091" w:history="1">
        <w:r w:rsidR="00A01B42" w:rsidRPr="00835F61">
          <w:rPr>
            <w:rStyle w:val="Hyperlink"/>
            <w:noProof/>
          </w:rPr>
          <w:t>Table 3.4 Financial Impacts</w:t>
        </w:r>
        <w:r w:rsidR="00A01B42">
          <w:rPr>
            <w:noProof/>
            <w:webHidden/>
          </w:rPr>
          <w:tab/>
        </w:r>
        <w:r w:rsidR="00A01B42">
          <w:rPr>
            <w:noProof/>
            <w:webHidden/>
          </w:rPr>
          <w:fldChar w:fldCharType="begin"/>
        </w:r>
        <w:r w:rsidR="00A01B42">
          <w:rPr>
            <w:noProof/>
            <w:webHidden/>
          </w:rPr>
          <w:instrText xml:space="preserve"> PAGEREF _Toc23613091 \h </w:instrText>
        </w:r>
        <w:r w:rsidR="00A01B42">
          <w:rPr>
            <w:noProof/>
            <w:webHidden/>
          </w:rPr>
        </w:r>
        <w:r w:rsidR="00A01B42">
          <w:rPr>
            <w:noProof/>
            <w:webHidden/>
          </w:rPr>
          <w:fldChar w:fldCharType="separate"/>
        </w:r>
        <w:r w:rsidR="005E2B26">
          <w:rPr>
            <w:noProof/>
            <w:webHidden/>
          </w:rPr>
          <w:t>36</w:t>
        </w:r>
        <w:r w:rsidR="00A01B42">
          <w:rPr>
            <w:noProof/>
            <w:webHidden/>
          </w:rPr>
          <w:fldChar w:fldCharType="end"/>
        </w:r>
      </w:hyperlink>
    </w:p>
    <w:p w14:paraId="4825AD3F" w14:textId="191426B9" w:rsidR="00640665" w:rsidRPr="00E069AC" w:rsidRDefault="006A4A08" w:rsidP="00A01B42">
      <w:r w:rsidRPr="00E069AC">
        <w:fldChar w:fldCharType="end"/>
      </w:r>
      <w:r w:rsidR="00640665" w:rsidRPr="00E069AC">
        <w:br w:type="page"/>
      </w:r>
    </w:p>
    <w:p w14:paraId="314CD877" w14:textId="5451454D" w:rsidR="00FA6897" w:rsidRPr="00E069AC" w:rsidRDefault="2D56E7D4" w:rsidP="000362B8">
      <w:pPr>
        <w:pStyle w:val="Heading1"/>
      </w:pPr>
      <w:bookmarkStart w:id="2" w:name="_Toc23613436"/>
      <w:r w:rsidRPr="00E069AC">
        <w:lastRenderedPageBreak/>
        <w:t>Acronyms and Symbols</w:t>
      </w:r>
      <w:bookmarkEnd w:id="2"/>
    </w:p>
    <w:p w14:paraId="27F995F1" w14:textId="22A04456" w:rsidR="00775666" w:rsidRDefault="00775666" w:rsidP="00EB247F">
      <w:pPr>
        <w:pStyle w:val="ListParagraph"/>
        <w:numPr>
          <w:ilvl w:val="0"/>
          <w:numId w:val="14"/>
        </w:numPr>
        <w:rPr>
          <w:bCs/>
        </w:rPr>
      </w:pPr>
      <w:r>
        <w:rPr>
          <w:bCs/>
        </w:rPr>
        <w:t>CF – Capacity Factor</w:t>
      </w:r>
    </w:p>
    <w:p w14:paraId="5D53F0BB" w14:textId="49D26856" w:rsidR="00775666" w:rsidRPr="00B966A8" w:rsidRDefault="00775666" w:rsidP="00EB247F">
      <w:pPr>
        <w:pStyle w:val="ListParagraph"/>
        <w:numPr>
          <w:ilvl w:val="0"/>
          <w:numId w:val="14"/>
        </w:numPr>
        <w:rPr>
          <w:bCs/>
        </w:rPr>
      </w:pPr>
      <w:r w:rsidRPr="00B966A8">
        <w:rPr>
          <w:bCs/>
        </w:rPr>
        <w:t>DOE – Department of Energy (US).</w:t>
      </w:r>
    </w:p>
    <w:p w14:paraId="78471936" w14:textId="77777777" w:rsidR="00775666" w:rsidRPr="00B966A8" w:rsidRDefault="00775666" w:rsidP="00EB247F">
      <w:pPr>
        <w:pStyle w:val="ListParagraph"/>
        <w:numPr>
          <w:ilvl w:val="0"/>
          <w:numId w:val="14"/>
        </w:numPr>
        <w:rPr>
          <w:bCs/>
        </w:rPr>
      </w:pPr>
      <w:r w:rsidRPr="00B966A8">
        <w:rPr>
          <w:rFonts w:cs="Times New Roman"/>
        </w:rPr>
        <w:t xml:space="preserve">EIA - U.S. Energy Information Administration </w:t>
      </w:r>
    </w:p>
    <w:p w14:paraId="5A9F204E" w14:textId="77777777" w:rsidR="00775666" w:rsidRDefault="00775666" w:rsidP="00EB247F">
      <w:pPr>
        <w:pStyle w:val="ListParagraph"/>
        <w:numPr>
          <w:ilvl w:val="0"/>
          <w:numId w:val="14"/>
        </w:numPr>
        <w:rPr>
          <w:bCs/>
        </w:rPr>
      </w:pPr>
      <w:r w:rsidRPr="00B966A8">
        <w:rPr>
          <w:bCs/>
        </w:rPr>
        <w:t>ETP – Energy Technology Perspectives</w:t>
      </w:r>
    </w:p>
    <w:p w14:paraId="25A73B8F" w14:textId="77777777" w:rsidR="00775666" w:rsidRDefault="00775666" w:rsidP="00EB247F">
      <w:pPr>
        <w:pStyle w:val="ListParagraph"/>
        <w:numPr>
          <w:ilvl w:val="0"/>
          <w:numId w:val="14"/>
        </w:numPr>
        <w:rPr>
          <w:bCs/>
        </w:rPr>
      </w:pPr>
      <w:r>
        <w:rPr>
          <w:bCs/>
        </w:rPr>
        <w:t>EWEA – European Wind Energy Association</w:t>
      </w:r>
    </w:p>
    <w:p w14:paraId="1BA4B405" w14:textId="77777777" w:rsidR="00775666" w:rsidRPr="00B966A8" w:rsidRDefault="00775666" w:rsidP="00EB247F">
      <w:pPr>
        <w:pStyle w:val="ListParagraph"/>
        <w:numPr>
          <w:ilvl w:val="0"/>
          <w:numId w:val="14"/>
        </w:numPr>
        <w:rPr>
          <w:bCs/>
        </w:rPr>
      </w:pPr>
      <w:r>
        <w:rPr>
          <w:bCs/>
        </w:rPr>
        <w:t>EWG – Energy Watch Group</w:t>
      </w:r>
    </w:p>
    <w:p w14:paraId="189AD9D8" w14:textId="77777777" w:rsidR="00775666" w:rsidRPr="00B966A8" w:rsidRDefault="00775666" w:rsidP="00EB247F">
      <w:pPr>
        <w:pStyle w:val="ListParagraph"/>
        <w:numPr>
          <w:ilvl w:val="0"/>
          <w:numId w:val="14"/>
        </w:numPr>
        <w:rPr>
          <w:bCs/>
        </w:rPr>
      </w:pPr>
      <w:r w:rsidRPr="00B966A8">
        <w:rPr>
          <w:bCs/>
        </w:rPr>
        <w:t>GBP – Great Britain Pounds</w:t>
      </w:r>
    </w:p>
    <w:p w14:paraId="07A3E586" w14:textId="77777777" w:rsidR="00775666" w:rsidRPr="00B966A8" w:rsidRDefault="00775666" w:rsidP="00EB247F">
      <w:pPr>
        <w:pStyle w:val="ListParagraph"/>
        <w:numPr>
          <w:ilvl w:val="0"/>
          <w:numId w:val="14"/>
        </w:numPr>
        <w:rPr>
          <w:bCs/>
        </w:rPr>
      </w:pPr>
      <w:r w:rsidRPr="00B966A8">
        <w:rPr>
          <w:rFonts w:eastAsia="Times New Roman"/>
          <w:color w:val="000000"/>
        </w:rPr>
        <w:t>GHG – Greenhouse Gases Emissions</w:t>
      </w:r>
    </w:p>
    <w:p w14:paraId="35A9060B" w14:textId="77777777" w:rsidR="00775666" w:rsidRPr="00B966A8" w:rsidRDefault="00775666" w:rsidP="00EB247F">
      <w:pPr>
        <w:pStyle w:val="ListParagraph"/>
        <w:numPr>
          <w:ilvl w:val="0"/>
          <w:numId w:val="14"/>
        </w:numPr>
        <w:rPr>
          <w:bCs/>
        </w:rPr>
      </w:pPr>
      <w:r w:rsidRPr="00B966A8">
        <w:rPr>
          <w:bCs/>
        </w:rPr>
        <w:t>GW - Gigawatts</w:t>
      </w:r>
    </w:p>
    <w:p w14:paraId="3059AEF6" w14:textId="77777777" w:rsidR="00775666" w:rsidRPr="00B966A8" w:rsidRDefault="00775666" w:rsidP="00EB247F">
      <w:pPr>
        <w:pStyle w:val="ListParagraph"/>
        <w:numPr>
          <w:ilvl w:val="0"/>
          <w:numId w:val="14"/>
        </w:numPr>
        <w:rPr>
          <w:bCs/>
        </w:rPr>
      </w:pPr>
      <w:r w:rsidRPr="00B966A8">
        <w:rPr>
          <w:bCs/>
        </w:rPr>
        <w:t>HAWT – Horizontal Axis Wind Turbines</w:t>
      </w:r>
    </w:p>
    <w:p w14:paraId="7B99DA79" w14:textId="77777777" w:rsidR="00775666" w:rsidRPr="00B966A8" w:rsidRDefault="00775666" w:rsidP="00EB247F">
      <w:pPr>
        <w:pStyle w:val="ListParagraph"/>
        <w:numPr>
          <w:ilvl w:val="0"/>
          <w:numId w:val="14"/>
        </w:numPr>
        <w:rPr>
          <w:bCs/>
        </w:rPr>
      </w:pPr>
      <w:r w:rsidRPr="00B966A8">
        <w:rPr>
          <w:bCs/>
        </w:rPr>
        <w:t>IEA - International Energy Agency’s</w:t>
      </w:r>
    </w:p>
    <w:p w14:paraId="585F3C42" w14:textId="77777777" w:rsidR="00775666" w:rsidRDefault="00775666" w:rsidP="00EB247F">
      <w:pPr>
        <w:pStyle w:val="ListParagraph"/>
        <w:numPr>
          <w:ilvl w:val="0"/>
          <w:numId w:val="14"/>
        </w:numPr>
        <w:rPr>
          <w:bCs/>
        </w:rPr>
      </w:pPr>
      <w:r w:rsidRPr="00B966A8">
        <w:rPr>
          <w:bCs/>
        </w:rPr>
        <w:t>LCA – Life Cycle Assessment</w:t>
      </w:r>
    </w:p>
    <w:p w14:paraId="589783D2" w14:textId="77777777" w:rsidR="00775666" w:rsidRDefault="00775666" w:rsidP="00EB247F">
      <w:pPr>
        <w:pStyle w:val="ListParagraph"/>
        <w:numPr>
          <w:ilvl w:val="0"/>
          <w:numId w:val="14"/>
        </w:numPr>
        <w:rPr>
          <w:bCs/>
        </w:rPr>
      </w:pPr>
      <w:r>
        <w:rPr>
          <w:bCs/>
        </w:rPr>
        <w:t xml:space="preserve">LUT – </w:t>
      </w:r>
      <w:r w:rsidRPr="00434098">
        <w:rPr>
          <w:bCs/>
        </w:rPr>
        <w:t>Lappeenranta University of Technology</w:t>
      </w:r>
    </w:p>
    <w:p w14:paraId="47A8F2F2" w14:textId="77777777" w:rsidR="00775666" w:rsidRDefault="00775666" w:rsidP="00EB247F">
      <w:pPr>
        <w:pStyle w:val="ListParagraph"/>
        <w:numPr>
          <w:ilvl w:val="0"/>
          <w:numId w:val="14"/>
        </w:numPr>
        <w:rPr>
          <w:bCs/>
        </w:rPr>
      </w:pPr>
      <w:r>
        <w:rPr>
          <w:bCs/>
        </w:rPr>
        <w:t>M-HAWT – Micro-Horizontal Axis Wind Turbine</w:t>
      </w:r>
    </w:p>
    <w:p w14:paraId="377CF7B8" w14:textId="77777777" w:rsidR="00775666" w:rsidRPr="00B966A8" w:rsidRDefault="00775666" w:rsidP="00EB247F">
      <w:pPr>
        <w:pStyle w:val="ListParagraph"/>
        <w:numPr>
          <w:ilvl w:val="0"/>
          <w:numId w:val="14"/>
        </w:numPr>
        <w:rPr>
          <w:bCs/>
        </w:rPr>
      </w:pPr>
      <w:r>
        <w:rPr>
          <w:bCs/>
        </w:rPr>
        <w:t>M-VAWT – Micro-Vertical Axis Wind Turbine</w:t>
      </w:r>
    </w:p>
    <w:p w14:paraId="50382476" w14:textId="77777777" w:rsidR="00775666" w:rsidRPr="00B966A8" w:rsidRDefault="00775666" w:rsidP="00EB247F">
      <w:pPr>
        <w:pStyle w:val="ListParagraph"/>
        <w:numPr>
          <w:ilvl w:val="0"/>
          <w:numId w:val="14"/>
        </w:numPr>
      </w:pPr>
      <w:r w:rsidRPr="00B966A8">
        <w:t>MW – Megawatt</w:t>
      </w:r>
    </w:p>
    <w:p w14:paraId="14DB9BCF" w14:textId="77777777" w:rsidR="00775666" w:rsidRPr="00B966A8" w:rsidRDefault="00775666" w:rsidP="00EB247F">
      <w:pPr>
        <w:pStyle w:val="ListParagraph"/>
        <w:numPr>
          <w:ilvl w:val="0"/>
          <w:numId w:val="14"/>
        </w:numPr>
        <w:rPr>
          <w:bCs/>
        </w:rPr>
      </w:pPr>
      <w:r w:rsidRPr="00B966A8">
        <w:rPr>
          <w:rFonts w:cs="Times New Roman"/>
        </w:rPr>
        <w:t>MWT – Micro Wind Turbines</w:t>
      </w:r>
    </w:p>
    <w:p w14:paraId="47F51EFA" w14:textId="77777777" w:rsidR="00775666" w:rsidRPr="00B966A8" w:rsidRDefault="00775666" w:rsidP="00EB247F">
      <w:pPr>
        <w:pStyle w:val="ListParagraph"/>
        <w:numPr>
          <w:ilvl w:val="0"/>
          <w:numId w:val="14"/>
        </w:numPr>
      </w:pPr>
      <w:r w:rsidRPr="00B966A8">
        <w:t>NREL - National Renewable Energy Laboratory</w:t>
      </w:r>
    </w:p>
    <w:p w14:paraId="21B2414D" w14:textId="77777777" w:rsidR="00775666" w:rsidRPr="00B966A8" w:rsidRDefault="00775666" w:rsidP="00EB247F">
      <w:pPr>
        <w:pStyle w:val="ListParagraph"/>
        <w:numPr>
          <w:ilvl w:val="0"/>
          <w:numId w:val="14"/>
        </w:numPr>
        <w:rPr>
          <w:bCs/>
        </w:rPr>
      </w:pPr>
      <w:r w:rsidRPr="00B966A8">
        <w:rPr>
          <w:rFonts w:eastAsia="Times New Roman"/>
          <w:color w:val="000000"/>
        </w:rPr>
        <w:t>O&amp;M - Operation and Maintenance</w:t>
      </w:r>
    </w:p>
    <w:p w14:paraId="4E7FF0B4" w14:textId="77777777" w:rsidR="00775666" w:rsidRPr="00B966A8" w:rsidRDefault="00775666" w:rsidP="00EB247F">
      <w:pPr>
        <w:pStyle w:val="ListParagraph"/>
        <w:numPr>
          <w:ilvl w:val="0"/>
          <w:numId w:val="14"/>
        </w:numPr>
        <w:rPr>
          <w:bCs/>
        </w:rPr>
      </w:pPr>
      <w:r w:rsidRPr="00B966A8">
        <w:rPr>
          <w:bCs/>
        </w:rPr>
        <w:t>PDS – Project Drawdown Scenario</w:t>
      </w:r>
    </w:p>
    <w:p w14:paraId="1D41F90B" w14:textId="77777777" w:rsidR="00775666" w:rsidRPr="00B966A8" w:rsidRDefault="00775666" w:rsidP="00B966A8">
      <w:pPr>
        <w:pStyle w:val="ListParagraph"/>
        <w:numPr>
          <w:ilvl w:val="0"/>
          <w:numId w:val="14"/>
        </w:numPr>
      </w:pPr>
      <w:r w:rsidRPr="00B966A8">
        <w:t>PV – Photovoltaic</w:t>
      </w:r>
    </w:p>
    <w:p w14:paraId="06FBD1B3" w14:textId="77777777" w:rsidR="00775666" w:rsidRPr="005814D6" w:rsidRDefault="00775666" w:rsidP="00EB247F">
      <w:pPr>
        <w:pStyle w:val="ListParagraph"/>
        <w:numPr>
          <w:ilvl w:val="0"/>
          <w:numId w:val="14"/>
        </w:numPr>
        <w:rPr>
          <w:bCs/>
        </w:rPr>
      </w:pPr>
      <w:r w:rsidRPr="00B966A8">
        <w:rPr>
          <w:bCs/>
        </w:rPr>
        <w:t xml:space="preserve">RRS – Project Drawdown </w:t>
      </w:r>
      <w:r w:rsidRPr="00B966A8">
        <w:rPr>
          <w:rFonts w:cs="Times New Roman"/>
        </w:rPr>
        <w:t>Reduction and Replacement Solutions Model</w:t>
      </w:r>
    </w:p>
    <w:p w14:paraId="05A86412" w14:textId="77777777" w:rsidR="00775666" w:rsidRPr="00B966A8" w:rsidRDefault="00775666" w:rsidP="00EB247F">
      <w:pPr>
        <w:pStyle w:val="ListParagraph"/>
        <w:numPr>
          <w:ilvl w:val="0"/>
          <w:numId w:val="14"/>
        </w:numPr>
        <w:rPr>
          <w:bCs/>
        </w:rPr>
      </w:pPr>
      <w:r>
        <w:rPr>
          <w:bCs/>
        </w:rPr>
        <w:t>SWWR – Small Wind World Report</w:t>
      </w:r>
    </w:p>
    <w:p w14:paraId="2813C82E" w14:textId="77777777" w:rsidR="00775666" w:rsidRPr="00B966A8" w:rsidRDefault="00775666" w:rsidP="00EB247F">
      <w:pPr>
        <w:pStyle w:val="ListParagraph"/>
        <w:numPr>
          <w:ilvl w:val="0"/>
          <w:numId w:val="14"/>
        </w:numPr>
        <w:rPr>
          <w:bCs/>
        </w:rPr>
      </w:pPr>
      <w:r w:rsidRPr="00B966A8">
        <w:rPr>
          <w:bCs/>
        </w:rPr>
        <w:t>TAM - Total Addressable Market</w:t>
      </w:r>
    </w:p>
    <w:p w14:paraId="19F344AF" w14:textId="77777777" w:rsidR="00775666" w:rsidRPr="00B966A8" w:rsidRDefault="00775666" w:rsidP="00EB247F">
      <w:pPr>
        <w:pStyle w:val="ListParagraph"/>
        <w:numPr>
          <w:ilvl w:val="0"/>
          <w:numId w:val="14"/>
        </w:numPr>
        <w:rPr>
          <w:bCs/>
        </w:rPr>
      </w:pPr>
      <w:r w:rsidRPr="00B966A8">
        <w:rPr>
          <w:bCs/>
        </w:rPr>
        <w:t>TWh - Terawatt-Hours</w:t>
      </w:r>
    </w:p>
    <w:p w14:paraId="249EBB5A" w14:textId="77777777" w:rsidR="00775666" w:rsidRPr="00B966A8" w:rsidRDefault="00775666" w:rsidP="00EB247F">
      <w:pPr>
        <w:pStyle w:val="ListParagraph"/>
        <w:numPr>
          <w:ilvl w:val="0"/>
          <w:numId w:val="14"/>
        </w:numPr>
        <w:rPr>
          <w:bCs/>
        </w:rPr>
      </w:pPr>
      <w:r w:rsidRPr="00B966A8">
        <w:rPr>
          <w:bCs/>
        </w:rPr>
        <w:t>UK – United Kingdom</w:t>
      </w:r>
    </w:p>
    <w:p w14:paraId="788633FF" w14:textId="77777777" w:rsidR="00775666" w:rsidRPr="00B966A8" w:rsidRDefault="00775666" w:rsidP="00EB247F">
      <w:pPr>
        <w:pStyle w:val="ListParagraph"/>
        <w:numPr>
          <w:ilvl w:val="0"/>
          <w:numId w:val="14"/>
        </w:numPr>
        <w:rPr>
          <w:bCs/>
        </w:rPr>
      </w:pPr>
      <w:r w:rsidRPr="00B966A8">
        <w:rPr>
          <w:bCs/>
        </w:rPr>
        <w:t>US – United States</w:t>
      </w:r>
    </w:p>
    <w:p w14:paraId="4F85C8B4" w14:textId="77777777" w:rsidR="00775666" w:rsidRDefault="00775666" w:rsidP="00EB247F">
      <w:pPr>
        <w:pStyle w:val="ListParagraph"/>
        <w:numPr>
          <w:ilvl w:val="0"/>
          <w:numId w:val="14"/>
        </w:numPr>
        <w:rPr>
          <w:bCs/>
        </w:rPr>
      </w:pPr>
      <w:r w:rsidRPr="00B966A8">
        <w:rPr>
          <w:bCs/>
        </w:rPr>
        <w:t>VAWT – Vertical Axis Wind Turbines</w:t>
      </w:r>
    </w:p>
    <w:p w14:paraId="5A718006" w14:textId="77777777" w:rsidR="00775666" w:rsidRPr="00B966A8" w:rsidRDefault="00775666" w:rsidP="00EB247F">
      <w:pPr>
        <w:pStyle w:val="ListParagraph"/>
        <w:numPr>
          <w:ilvl w:val="0"/>
          <w:numId w:val="14"/>
        </w:numPr>
        <w:rPr>
          <w:bCs/>
        </w:rPr>
      </w:pPr>
      <w:r>
        <w:rPr>
          <w:bCs/>
        </w:rPr>
        <w:t>WEO – World Energy Outlook</w:t>
      </w:r>
    </w:p>
    <w:p w14:paraId="4F494FD4" w14:textId="77777777" w:rsidR="00775666" w:rsidRPr="00B966A8" w:rsidRDefault="00775666" w:rsidP="00EB247F">
      <w:pPr>
        <w:pStyle w:val="ListParagraph"/>
        <w:numPr>
          <w:ilvl w:val="0"/>
          <w:numId w:val="14"/>
        </w:numPr>
        <w:rPr>
          <w:bCs/>
        </w:rPr>
      </w:pPr>
      <w:r w:rsidRPr="00B966A8">
        <w:rPr>
          <w:bCs/>
        </w:rPr>
        <w:t>WWEA – World Wind Energy Association</w:t>
      </w:r>
    </w:p>
    <w:p w14:paraId="4D24B57A" w14:textId="6EF9EFED" w:rsidR="00FA6897" w:rsidRPr="00E069AC" w:rsidRDefault="00FA6897" w:rsidP="00EB247F">
      <w:pPr>
        <w:sectPr w:rsidR="00FA6897" w:rsidRPr="00E069AC" w:rsidSect="00EB247F">
          <w:footerReference w:type="even" r:id="rId15"/>
          <w:footerReference w:type="default" r:id="rId16"/>
          <w:pgSz w:w="12240" w:h="15840"/>
          <w:pgMar w:top="1440" w:right="1440" w:bottom="1440" w:left="1440" w:header="720" w:footer="720" w:gutter="0"/>
          <w:cols w:space="720"/>
          <w:titlePg/>
          <w:docGrid w:linePitch="299"/>
        </w:sectPr>
      </w:pPr>
    </w:p>
    <w:p w14:paraId="258D1C7E" w14:textId="623AAE82" w:rsidR="00E844EA" w:rsidRPr="00E069AC" w:rsidRDefault="551A77D0" w:rsidP="000362B8">
      <w:pPr>
        <w:pStyle w:val="Heading1"/>
      </w:pPr>
      <w:bookmarkStart w:id="3" w:name="_Toc23613437"/>
      <w:r w:rsidRPr="00E069AC">
        <w:lastRenderedPageBreak/>
        <w:t>Executive Summary</w:t>
      </w:r>
      <w:bookmarkEnd w:id="3"/>
    </w:p>
    <w:p w14:paraId="029F46D0" w14:textId="1D0A1D6C" w:rsidR="00554184" w:rsidRPr="00BE1F3F" w:rsidRDefault="00554184" w:rsidP="00554184">
      <w:pPr>
        <w:pStyle w:val="NormalWeb"/>
        <w:spacing w:before="0" w:beforeAutospacing="0" w:after="120" w:afterAutospacing="0" w:line="240" w:lineRule="auto"/>
        <w:rPr>
          <w:rFonts w:eastAsiaTheme="minorEastAsia" w:cstheme="minorBidi"/>
          <w:sz w:val="22"/>
          <w:szCs w:val="22"/>
          <w:lang w:eastAsia="ja-JP"/>
        </w:rPr>
      </w:pPr>
      <w:r w:rsidRPr="00394AE0">
        <w:rPr>
          <w:rFonts w:eastAsiaTheme="minorEastAsia" w:cstheme="minorBidi"/>
          <w:sz w:val="22"/>
          <w:szCs w:val="22"/>
          <w:lang w:eastAsia="ja-JP"/>
        </w:rPr>
        <w:t xml:space="preserve">Project Drawdown defines </w:t>
      </w:r>
      <w:r w:rsidRPr="00394AE0">
        <w:rPr>
          <w:rFonts w:eastAsiaTheme="minorEastAsia" w:cstheme="minorBidi"/>
          <w:i/>
          <w:iCs/>
          <w:sz w:val="22"/>
          <w:szCs w:val="22"/>
          <w:lang w:eastAsia="ja-JP"/>
        </w:rPr>
        <w:t>micro wind</w:t>
      </w:r>
      <w:r w:rsidRPr="00394AE0">
        <w:rPr>
          <w:rFonts w:eastAsiaTheme="minorEastAsia" w:cstheme="minorBidi"/>
          <w:sz w:val="22"/>
          <w:szCs w:val="22"/>
          <w:lang w:eastAsia="ja-JP"/>
        </w:rPr>
        <w:t xml:space="preserve"> as: electricity-generating wind turbines with capacity of 100 kilowatts or less. This solution replaces conventional electricity-generating technologies such as coal, oil, and natural gas power plants. In recent years, attention has been given to large utility-scale wind turbines, though the </w:t>
      </w:r>
      <w:r w:rsidRPr="00394AE0">
        <w:rPr>
          <w:rFonts w:eastAsiaTheme="minorEastAsia" w:cstheme="minorBidi"/>
          <w:i/>
          <w:iCs/>
          <w:sz w:val="22"/>
          <w:szCs w:val="22"/>
          <w:lang w:eastAsia="ja-JP"/>
        </w:rPr>
        <w:t>micro wind</w:t>
      </w:r>
      <w:r w:rsidRPr="00394AE0">
        <w:rPr>
          <w:rFonts w:eastAsiaTheme="minorEastAsia" w:cstheme="minorBidi"/>
          <w:sz w:val="22"/>
          <w:szCs w:val="22"/>
          <w:lang w:eastAsia="ja-JP"/>
        </w:rPr>
        <w:t xml:space="preserve"> market offers individuals a good opportunity to become more self-reliant and less dependent on the grid to serve their electricity needs. Small wind turbines remain more expensive than large turbines, especially if the objective is to produce electricity for the grid, since the electrical connection and maintenance are a much higher proportion of the capital value of a distributed system. However, small wind turbines can be integrated into urban infrastructure, such as building-mounted micro turbines. The micro turbine market has been growing steadily over the past few years. Though it has thus far been concentrated mostly in the United States, China, the United Kingdom, and Germany, the increasing electrification of the developing world </w:t>
      </w:r>
      <w:r w:rsidRPr="00BE1F3F">
        <w:rPr>
          <w:rFonts w:eastAsiaTheme="minorEastAsia" w:cstheme="minorBidi"/>
          <w:sz w:val="22"/>
          <w:szCs w:val="22"/>
          <w:lang w:eastAsia="ja-JP"/>
        </w:rPr>
        <w:t>offers the industry phenomenal inroads for further expansion and development.</w:t>
      </w:r>
    </w:p>
    <w:p w14:paraId="15875387" w14:textId="79043A28" w:rsidR="00554184" w:rsidRPr="00394AE0" w:rsidRDefault="00554184" w:rsidP="00554184">
      <w:pPr>
        <w:spacing w:line="240" w:lineRule="auto"/>
      </w:pPr>
      <w:r w:rsidRPr="00BE1F3F">
        <w:rPr>
          <w:rFonts w:eastAsia="Times New Roman" w:cs="Times New Roman"/>
          <w:lang w:eastAsia="en-US"/>
        </w:rPr>
        <w:t xml:space="preserve">This analysis models any wind turbine that is rated less than or equal to 100 kilowatts. </w:t>
      </w:r>
      <w:r w:rsidRPr="00BE1F3F">
        <w:t xml:space="preserve">The total addressable market for </w:t>
      </w:r>
      <w:r w:rsidRPr="00BE1F3F">
        <w:rPr>
          <w:rStyle w:val="Emphasis"/>
        </w:rPr>
        <w:t>micro wind</w:t>
      </w:r>
      <w:r w:rsidRPr="00BE1F3F">
        <w:t xml:space="preserve"> is based on projected global electricity generation in terawatt-hours from 2020-2050, with current adoption </w:t>
      </w:r>
      <w:r w:rsidR="00BE1F3F" w:rsidRPr="00BE1F3F">
        <w:t xml:space="preserve">in 2018 </w:t>
      </w:r>
      <w:r w:rsidRPr="00BE1F3F">
        <w:t>estimated from installed capacity figures at 0.00</w:t>
      </w:r>
      <w:r w:rsidR="00BE1F3F" w:rsidRPr="00BE1F3F">
        <w:t>97</w:t>
      </w:r>
      <w:r w:rsidRPr="00BE1F3F">
        <w:t xml:space="preserve"> percent (</w:t>
      </w:r>
      <w:r w:rsidR="00BE1F3F" w:rsidRPr="00BE1F3F">
        <w:t>2.18</w:t>
      </w:r>
      <w:r w:rsidR="00B741A1" w:rsidRPr="00BE1F3F">
        <w:t xml:space="preserve"> </w:t>
      </w:r>
      <w:r w:rsidRPr="00BE1F3F">
        <w:t xml:space="preserve">terawatt-hours) of global generation </w:t>
      </w:r>
      <w:r w:rsidR="00B741A1" w:rsidRPr="00BE1F3F">
        <w:t>or TAM – total addressable market</w:t>
      </w:r>
      <w:r w:rsidR="00BE1F3F">
        <w:t>.</w:t>
      </w:r>
    </w:p>
    <w:p w14:paraId="5E9B7EC4" w14:textId="1C814692" w:rsidR="00554184" w:rsidRPr="00394AE0" w:rsidRDefault="00554184" w:rsidP="00554184">
      <w:pPr>
        <w:spacing w:line="240" w:lineRule="auto"/>
      </w:pPr>
      <w:r w:rsidRPr="00394AE0">
        <w:t xml:space="preserve">Impacts of increased </w:t>
      </w:r>
      <w:r w:rsidRPr="00BE1F3F">
        <w:t xml:space="preserve">adoption of </w:t>
      </w:r>
      <w:r w:rsidRPr="00BE1F3F">
        <w:rPr>
          <w:i/>
          <w:iCs/>
        </w:rPr>
        <w:t xml:space="preserve">micro wind </w:t>
      </w:r>
      <w:r w:rsidRPr="00BE1F3F">
        <w:t>from 2020-2050 were generated based on three growth scenarios derived from the evaluation of scenarios from</w:t>
      </w:r>
      <w:r w:rsidR="00BE1F3F" w:rsidRPr="00BE1F3F">
        <w:t xml:space="preserve"> </w:t>
      </w:r>
      <w:r w:rsidRPr="00BE1F3F">
        <w:t>global energy systems models. These three scenarios were assessed in comparison to a </w:t>
      </w:r>
      <w:r w:rsidRPr="00BE1F3F">
        <w:rPr>
          <w:i/>
          <w:iCs/>
        </w:rPr>
        <w:t>Reference </w:t>
      </w:r>
      <w:r w:rsidRPr="00BE1F3F">
        <w:t>Scenario where the solution’s market share was fixed at the current levels</w:t>
      </w:r>
      <w:r w:rsidR="00BE1F3F" w:rsidRPr="00BE1F3F">
        <w:t xml:space="preserve"> of 2018</w:t>
      </w:r>
      <w:r w:rsidRPr="00BE1F3F">
        <w:t xml:space="preserve">. The </w:t>
      </w:r>
      <w:r w:rsidRPr="00BE1F3F">
        <w:rPr>
          <w:i/>
          <w:iCs/>
        </w:rPr>
        <w:t>Plausible</w:t>
      </w:r>
      <w:r w:rsidRPr="00BE1F3F">
        <w:t xml:space="preserve"> Scenario </w:t>
      </w:r>
      <w:r w:rsidR="00B87C21" w:rsidRPr="005972FB">
        <w:rPr>
          <w:rFonts w:asciiTheme="minorHAnsi" w:hAnsiTheme="minorHAnsi" w:cstheme="minorHAnsi"/>
        </w:rPr>
        <w:t xml:space="preserve">This scenario </w:t>
      </w:r>
      <w:r w:rsidR="00B87C21" w:rsidRPr="005972FB">
        <w:rPr>
          <w:rFonts w:asciiTheme="minorHAnsi" w:hAnsiTheme="minorHAnsi" w:cstheme="minorHAnsi"/>
          <w:bCs/>
        </w:rPr>
        <w:t xml:space="preserve">follows ambitious adoption trajectories of onshore wind adoption from </w:t>
      </w:r>
      <w:r w:rsidR="00B87C21" w:rsidRPr="005972FB">
        <w:rPr>
          <w:rFonts w:asciiTheme="minorHAnsi" w:hAnsiTheme="minorHAnsi" w:cstheme="minorHAnsi"/>
        </w:rPr>
        <w:t xml:space="preserve">IEA (2017) Energy Technology Perspectives 2DS and B2DS scenarios; IEA (2018) World Energy Outlook SDS; and Grantham Institute and Carbon Tracker (2017) Strong climate mitigation policies with </w:t>
      </w:r>
      <w:r w:rsidR="00871D38">
        <w:rPr>
          <w:rFonts w:asciiTheme="minorHAnsi" w:hAnsiTheme="minorHAnsi" w:cstheme="minorHAnsi"/>
        </w:rPr>
        <w:t>l</w:t>
      </w:r>
      <w:r w:rsidR="00B87C21" w:rsidRPr="005972FB">
        <w:rPr>
          <w:rFonts w:asciiTheme="minorHAnsi" w:hAnsiTheme="minorHAnsi" w:cstheme="minorHAnsi"/>
        </w:rPr>
        <w:t xml:space="preserve">ower costs for solar </w:t>
      </w:r>
      <w:r w:rsidR="00B87C21">
        <w:rPr>
          <w:rFonts w:asciiTheme="minorHAnsi" w:hAnsiTheme="minorHAnsi" w:cstheme="minorHAnsi"/>
        </w:rPr>
        <w:t xml:space="preserve">photovoltaics </w:t>
      </w:r>
      <w:r w:rsidR="00B87C21" w:rsidRPr="005972FB">
        <w:rPr>
          <w:rFonts w:asciiTheme="minorHAnsi" w:hAnsiTheme="minorHAnsi" w:cstheme="minorHAnsi"/>
        </w:rPr>
        <w:t xml:space="preserve">and </w:t>
      </w:r>
      <w:r w:rsidR="00871D38">
        <w:rPr>
          <w:rFonts w:asciiTheme="minorHAnsi" w:hAnsiTheme="minorHAnsi" w:cstheme="minorHAnsi"/>
        </w:rPr>
        <w:t>e</w:t>
      </w:r>
      <w:r w:rsidR="00B87C21">
        <w:rPr>
          <w:rFonts w:asciiTheme="minorHAnsi" w:hAnsiTheme="minorHAnsi" w:cstheme="minorHAnsi"/>
        </w:rPr>
        <w:t>lectric vehicles</w:t>
      </w:r>
      <w:r w:rsidR="00B87C21" w:rsidRPr="005972FB">
        <w:rPr>
          <w:rFonts w:asciiTheme="minorHAnsi" w:hAnsiTheme="minorHAnsi" w:cstheme="minorHAnsi"/>
        </w:rPr>
        <w:t xml:space="preserve"> scenario using a medium growth trajectory. </w:t>
      </w:r>
      <w:r w:rsidR="00B87C21" w:rsidRPr="005972FB">
        <w:rPr>
          <w:rFonts w:asciiTheme="minorHAnsi" w:hAnsiTheme="minorHAnsi" w:cstheme="minorHAnsi"/>
          <w:i/>
        </w:rPr>
        <w:t>M</w:t>
      </w:r>
      <w:r w:rsidR="00B87C21" w:rsidRPr="005972FB">
        <w:rPr>
          <w:rFonts w:asciiTheme="minorHAnsi" w:hAnsiTheme="minorHAnsi" w:cstheme="minorHAnsi"/>
          <w:bCs/>
          <w:i/>
        </w:rPr>
        <w:t>icro wind’s</w:t>
      </w:r>
      <w:r w:rsidR="00B87C21" w:rsidRPr="005972FB">
        <w:rPr>
          <w:rFonts w:asciiTheme="minorHAnsi" w:hAnsiTheme="minorHAnsi" w:cstheme="minorHAnsi"/>
          <w:bCs/>
        </w:rPr>
        <w:t xml:space="preserve"> current share (0.22 percent) of total onshore wind is assumed to grow in parallel, capturing 0.04 percent of the market share in 2050.</w:t>
      </w:r>
      <w:r w:rsidR="00BE1F3F" w:rsidRPr="00BE1F3F">
        <w:t xml:space="preserve"> </w:t>
      </w:r>
      <w:r w:rsidRPr="00BE1F3F">
        <w:rPr>
          <w:i/>
          <w:iCs/>
        </w:rPr>
        <w:t>The Drawdown</w:t>
      </w:r>
      <w:r w:rsidRPr="00BE1F3F">
        <w:t xml:space="preserve"> Scenario </w:t>
      </w:r>
      <w:r w:rsidR="00B87C21" w:rsidRPr="005972FB">
        <w:rPr>
          <w:rFonts w:asciiTheme="minorHAnsi" w:hAnsiTheme="minorHAnsi" w:cstheme="minorHAnsi"/>
          <w:bCs/>
        </w:rPr>
        <w:t>follows a high growth trend derived from the same abovementioned scenarios</w:t>
      </w:r>
      <w:r w:rsidR="00B87C21">
        <w:rPr>
          <w:rFonts w:asciiTheme="minorHAnsi" w:hAnsiTheme="minorHAnsi" w:cstheme="minorHAnsi"/>
          <w:bCs/>
        </w:rPr>
        <w:t xml:space="preserve"> estimated yearly adoption</w:t>
      </w:r>
      <w:r w:rsidR="00B87C21" w:rsidRPr="005972FB">
        <w:rPr>
          <w:rFonts w:asciiTheme="minorHAnsi" w:hAnsiTheme="minorHAnsi" w:cstheme="minorHAnsi"/>
          <w:bCs/>
        </w:rPr>
        <w:t>, representing 0.0</w:t>
      </w:r>
      <w:r w:rsidR="00871D38">
        <w:rPr>
          <w:rFonts w:asciiTheme="minorHAnsi" w:hAnsiTheme="minorHAnsi" w:cstheme="minorHAnsi"/>
          <w:bCs/>
        </w:rPr>
        <w:t>35</w:t>
      </w:r>
      <w:r w:rsidR="00B87C21" w:rsidRPr="005972FB">
        <w:rPr>
          <w:rFonts w:asciiTheme="minorHAnsi" w:hAnsiTheme="minorHAnsi" w:cstheme="minorHAnsi"/>
          <w:bCs/>
        </w:rPr>
        <w:t xml:space="preserve"> percent of the electricity generation mix in 2050.</w:t>
      </w:r>
      <w:r w:rsidR="00B87C21">
        <w:rPr>
          <w:rFonts w:asciiTheme="minorHAnsi" w:hAnsiTheme="minorHAnsi" w:cstheme="minorHAnsi"/>
          <w:bCs/>
        </w:rPr>
        <w:t xml:space="preserve"> </w:t>
      </w:r>
      <w:r w:rsidRPr="00BE1F3F">
        <w:t xml:space="preserve">The </w:t>
      </w:r>
      <w:r w:rsidRPr="00BE1F3F">
        <w:rPr>
          <w:i/>
          <w:iCs/>
        </w:rPr>
        <w:t>Optimum</w:t>
      </w:r>
      <w:r w:rsidRPr="00BE1F3F">
        <w:t xml:space="preserve"> Scenario</w:t>
      </w:r>
      <w:r w:rsidR="00BE1F3F" w:rsidRPr="00BE1F3F">
        <w:t xml:space="preserve"> is based on </w:t>
      </w:r>
      <w:r w:rsidR="00BE1F3F" w:rsidRPr="00BE1F3F">
        <w:rPr>
          <w:rFonts w:cs="Times New Roman"/>
        </w:rPr>
        <w:t xml:space="preserve">the 100% RES scenarios of electricity generation by 2050 of Ram </w:t>
      </w:r>
      <w:r w:rsidR="00BE1F3F" w:rsidRPr="00BE1F3F">
        <w:rPr>
          <w:rFonts w:cs="Times New Roman"/>
          <w:i/>
        </w:rPr>
        <w:t xml:space="preserve">et al. </w:t>
      </w:r>
      <w:r w:rsidR="00BE1F3F" w:rsidRPr="00BE1F3F">
        <w:rPr>
          <w:rFonts w:cs="Times New Roman"/>
        </w:rPr>
        <w:t>(2019)</w:t>
      </w:r>
      <w:r w:rsidR="00871D38">
        <w:rPr>
          <w:rFonts w:cs="Times New Roman"/>
        </w:rPr>
        <w:t xml:space="preserve"> portraying a 0.08% of the electricity generation mix in 2050 with 59.7TWh.</w:t>
      </w:r>
    </w:p>
    <w:p w14:paraId="6D717126" w14:textId="7E613820" w:rsidR="00554184" w:rsidRPr="00A01B42" w:rsidRDefault="00554184" w:rsidP="00554184">
      <w:pPr>
        <w:spacing w:line="240" w:lineRule="auto"/>
        <w:rPr>
          <w:rFonts w:eastAsia="Times New Roman" w:cs="Times New Roman"/>
          <w:lang w:eastAsia="en-US"/>
        </w:rPr>
      </w:pPr>
      <w:r w:rsidRPr="00A01B42">
        <w:rPr>
          <w:rFonts w:eastAsia="Times New Roman" w:cs="Times New Roman"/>
          <w:lang w:eastAsia="en-US"/>
        </w:rPr>
        <w:t xml:space="preserve">The results for the </w:t>
      </w:r>
      <w:r w:rsidRPr="00A01B42">
        <w:rPr>
          <w:rFonts w:eastAsia="Times New Roman" w:cs="Times New Roman"/>
          <w:i/>
          <w:iCs/>
          <w:lang w:eastAsia="en-US"/>
        </w:rPr>
        <w:t xml:space="preserve">Plausible </w:t>
      </w:r>
      <w:r w:rsidRPr="00A01B42">
        <w:rPr>
          <w:rFonts w:eastAsia="Times New Roman" w:cs="Times New Roman"/>
          <w:lang w:eastAsia="en-US"/>
        </w:rPr>
        <w:t>Scenario show that the</w:t>
      </w:r>
      <w:r w:rsidR="00A01B42" w:rsidRPr="00A01B42">
        <w:rPr>
          <w:rFonts w:eastAsia="Times New Roman" w:cs="Times New Roman"/>
          <w:lang w:eastAsia="en-US"/>
        </w:rPr>
        <w:t xml:space="preserve"> marginal first</w:t>
      </w:r>
      <w:r w:rsidRPr="00A01B42">
        <w:rPr>
          <w:rFonts w:eastAsia="Times New Roman" w:cs="Times New Roman"/>
          <w:lang w:eastAsia="en-US"/>
        </w:rPr>
        <w:t xml:space="preserve"> cost compared to the </w:t>
      </w:r>
      <w:r w:rsidRPr="00A01B42">
        <w:rPr>
          <w:rFonts w:eastAsia="Times New Roman" w:cs="Times New Roman"/>
          <w:i/>
          <w:iCs/>
          <w:lang w:eastAsia="en-US"/>
        </w:rPr>
        <w:t>Reference</w:t>
      </w:r>
      <w:r w:rsidRPr="00A01B42">
        <w:rPr>
          <w:rFonts w:eastAsia="Times New Roman" w:cs="Times New Roman"/>
          <w:lang w:eastAsia="en-US"/>
        </w:rPr>
        <w:t xml:space="preserve"> Scenario would be US$</w:t>
      </w:r>
      <w:r w:rsidR="00871D38">
        <w:rPr>
          <w:rFonts w:eastAsia="Times New Roman" w:cs="Times New Roman"/>
          <w:lang w:eastAsia="en-US"/>
        </w:rPr>
        <w:t>54.1</w:t>
      </w:r>
      <w:r w:rsidRPr="00A01B42">
        <w:rPr>
          <w:rFonts w:eastAsia="Times New Roman" w:cs="Times New Roman"/>
          <w:lang w:eastAsia="en-US"/>
        </w:rPr>
        <w:t xml:space="preserve"> billion from 2020-50, with approximately </w:t>
      </w:r>
      <w:r w:rsidR="00A01B42" w:rsidRPr="00A01B42">
        <w:rPr>
          <w:rFonts w:eastAsia="Times New Roman" w:cs="Times New Roman"/>
          <w:lang w:eastAsia="en-US"/>
        </w:rPr>
        <w:t>-</w:t>
      </w:r>
      <w:r w:rsidRPr="00A01B42">
        <w:rPr>
          <w:rFonts w:eastAsia="Times New Roman" w:cs="Times New Roman"/>
          <w:lang w:eastAsia="en-US"/>
        </w:rPr>
        <w:t>US$1</w:t>
      </w:r>
      <w:r w:rsidR="00A01B42" w:rsidRPr="00A01B42">
        <w:rPr>
          <w:rFonts w:eastAsia="Times New Roman" w:cs="Times New Roman"/>
          <w:lang w:eastAsia="en-US"/>
        </w:rPr>
        <w:t>1</w:t>
      </w:r>
      <w:r w:rsidRPr="00A01B42">
        <w:rPr>
          <w:rFonts w:eastAsia="Times New Roman" w:cs="Times New Roman"/>
          <w:lang w:eastAsia="en-US"/>
        </w:rPr>
        <w:t>.</w:t>
      </w:r>
      <w:r w:rsidR="00A01B42" w:rsidRPr="00A01B42">
        <w:rPr>
          <w:rFonts w:eastAsia="Times New Roman" w:cs="Times New Roman"/>
          <w:lang w:eastAsia="en-US"/>
        </w:rPr>
        <w:t>6</w:t>
      </w:r>
      <w:r w:rsidRPr="00A01B42">
        <w:rPr>
          <w:rFonts w:eastAsia="Times New Roman" w:cs="Times New Roman"/>
          <w:lang w:eastAsia="en-US"/>
        </w:rPr>
        <w:t xml:space="preserve"> billion in savings from </w:t>
      </w:r>
      <w:r w:rsidRPr="00A01B42">
        <w:rPr>
          <w:rFonts w:eastAsia="Times New Roman" w:cs="Times New Roman"/>
          <w:i/>
          <w:iCs/>
          <w:lang w:eastAsia="en-US"/>
        </w:rPr>
        <w:t>micro wind</w:t>
      </w:r>
      <w:r w:rsidRPr="00A01B42">
        <w:rPr>
          <w:rFonts w:eastAsia="Times New Roman" w:cs="Times New Roman"/>
          <w:lang w:eastAsia="en-US"/>
        </w:rPr>
        <w:t xml:space="preserve"> over the same period. Increasing the use of </w:t>
      </w:r>
      <w:r w:rsidRPr="00A01B42">
        <w:rPr>
          <w:rFonts w:eastAsia="Times New Roman" w:cs="Times New Roman"/>
          <w:i/>
          <w:iCs/>
          <w:lang w:eastAsia="en-US"/>
        </w:rPr>
        <w:t>micro wind</w:t>
      </w:r>
      <w:r w:rsidRPr="00A01B42">
        <w:rPr>
          <w:rFonts w:eastAsia="Times New Roman" w:cs="Times New Roman"/>
          <w:lang w:eastAsia="en-US"/>
        </w:rPr>
        <w:t xml:space="preserve"> from 0.007 percent in 2014 to 0.0</w:t>
      </w:r>
      <w:r w:rsidR="00A01B42" w:rsidRPr="00A01B42">
        <w:rPr>
          <w:rFonts w:eastAsia="Times New Roman" w:cs="Times New Roman"/>
          <w:lang w:eastAsia="en-US"/>
        </w:rPr>
        <w:t>3</w:t>
      </w:r>
      <w:r w:rsidR="00871D38">
        <w:rPr>
          <w:rFonts w:eastAsia="Times New Roman" w:cs="Times New Roman"/>
          <w:lang w:eastAsia="en-US"/>
        </w:rPr>
        <w:t>5</w:t>
      </w:r>
      <w:r w:rsidRPr="00A01B42">
        <w:rPr>
          <w:rFonts w:eastAsia="Times New Roman" w:cs="Times New Roman"/>
          <w:lang w:eastAsia="en-US"/>
        </w:rPr>
        <w:t xml:space="preserve"> percent of world electricity generation by 2050 would require an estimated US$</w:t>
      </w:r>
      <w:r w:rsidR="00871D38">
        <w:rPr>
          <w:rFonts w:eastAsia="Times New Roman" w:cs="Times New Roman"/>
          <w:lang w:eastAsia="en-US"/>
        </w:rPr>
        <w:t>80.1</w:t>
      </w:r>
      <w:r w:rsidRPr="00A01B42">
        <w:rPr>
          <w:rFonts w:eastAsia="Times New Roman" w:cs="Times New Roman"/>
          <w:lang w:eastAsia="en-US"/>
        </w:rPr>
        <w:t xml:space="preserve"> billion in cumulative first costs. Under the </w:t>
      </w:r>
      <w:r w:rsidRPr="00A01B42">
        <w:rPr>
          <w:rFonts w:eastAsia="Times New Roman" w:cs="Times New Roman"/>
          <w:i/>
          <w:iCs/>
          <w:lang w:eastAsia="en-US"/>
        </w:rPr>
        <w:t>Plausible</w:t>
      </w:r>
      <w:r w:rsidRPr="00A01B42">
        <w:rPr>
          <w:rFonts w:eastAsia="Times New Roman" w:cs="Times New Roman"/>
          <w:lang w:eastAsia="en-US"/>
        </w:rPr>
        <w:t xml:space="preserve"> Scenario, this solution has a </w:t>
      </w:r>
      <w:r w:rsidR="00A01B42" w:rsidRPr="00A01B42">
        <w:rPr>
          <w:rFonts w:eastAsia="Times New Roman" w:cs="Times New Roman"/>
          <w:lang w:eastAsia="en-US"/>
        </w:rPr>
        <w:t xml:space="preserve">limited </w:t>
      </w:r>
      <w:r w:rsidRPr="00A01B42">
        <w:rPr>
          <w:rFonts w:eastAsia="Times New Roman" w:cs="Times New Roman"/>
          <w:lang w:eastAsia="en-US"/>
        </w:rPr>
        <w:t>contribution to avoided emissions during 2020-2050 of just 0.</w:t>
      </w:r>
      <w:r w:rsidR="00A01B42" w:rsidRPr="00A01B42">
        <w:rPr>
          <w:rFonts w:eastAsia="Times New Roman" w:cs="Times New Roman"/>
          <w:lang w:eastAsia="en-US"/>
        </w:rPr>
        <w:t>10</w:t>
      </w:r>
      <w:r w:rsidRPr="00A01B42">
        <w:rPr>
          <w:rFonts w:eastAsia="Times New Roman" w:cs="Times New Roman"/>
          <w:lang w:eastAsia="en-US"/>
        </w:rPr>
        <w:t xml:space="preserve"> gigatons of carbon dioxide-equivalent. </w:t>
      </w:r>
      <w:r w:rsidRPr="00A01B42">
        <w:rPr>
          <w:rFonts w:eastAsia="Times New Roman" w:cs="Times New Roman"/>
          <w:i/>
          <w:iCs/>
          <w:lang w:eastAsia="en-US"/>
        </w:rPr>
        <w:t>Drawdown</w:t>
      </w:r>
      <w:r w:rsidRPr="00A01B42">
        <w:rPr>
          <w:rFonts w:eastAsia="Times New Roman" w:cs="Times New Roman"/>
          <w:lang w:eastAsia="en-US"/>
        </w:rPr>
        <w:t xml:space="preserve"> and </w:t>
      </w:r>
      <w:r w:rsidRPr="00A01B42">
        <w:rPr>
          <w:rFonts w:eastAsia="Times New Roman" w:cs="Times New Roman"/>
          <w:i/>
          <w:iCs/>
          <w:lang w:eastAsia="en-US"/>
        </w:rPr>
        <w:t xml:space="preserve">Optimum </w:t>
      </w:r>
      <w:r w:rsidRPr="00A01B42">
        <w:rPr>
          <w:rFonts w:eastAsia="Times New Roman" w:cs="Times New Roman"/>
          <w:lang w:eastAsia="en-US"/>
        </w:rPr>
        <w:t xml:space="preserve">Scenarios </w:t>
      </w:r>
      <w:r w:rsidR="00A01B42" w:rsidRPr="00A01B42">
        <w:rPr>
          <w:rFonts w:eastAsia="Times New Roman" w:cs="Times New Roman"/>
          <w:lang w:eastAsia="en-US"/>
        </w:rPr>
        <w:t>have slightly</w:t>
      </w:r>
      <w:r w:rsidRPr="00A01B42">
        <w:rPr>
          <w:rFonts w:eastAsia="Times New Roman" w:cs="Times New Roman"/>
          <w:lang w:eastAsia="en-US"/>
        </w:rPr>
        <w:t xml:space="preserve"> </w:t>
      </w:r>
      <w:r w:rsidR="00A01B42" w:rsidRPr="00A01B42">
        <w:rPr>
          <w:rFonts w:eastAsia="Times New Roman" w:cs="Times New Roman"/>
          <w:lang w:eastAsia="en-US"/>
        </w:rPr>
        <w:t xml:space="preserve">higher </w:t>
      </w:r>
      <w:r w:rsidRPr="00A01B42">
        <w:rPr>
          <w:rFonts w:eastAsia="Times New Roman" w:cs="Times New Roman"/>
          <w:lang w:eastAsia="en-US"/>
        </w:rPr>
        <w:t>impacts on greenhouse gas emission reductions over 2020-2050 of 0.1</w:t>
      </w:r>
      <w:r w:rsidR="00871D38">
        <w:rPr>
          <w:rFonts w:eastAsia="Times New Roman" w:cs="Times New Roman"/>
          <w:lang w:eastAsia="en-US"/>
        </w:rPr>
        <w:t>3</w:t>
      </w:r>
      <w:r w:rsidRPr="00A01B42">
        <w:rPr>
          <w:rFonts w:eastAsia="Times New Roman" w:cs="Times New Roman"/>
          <w:lang w:eastAsia="en-US"/>
        </w:rPr>
        <w:t xml:space="preserve"> and 0.</w:t>
      </w:r>
      <w:r w:rsidR="00871D38">
        <w:rPr>
          <w:rFonts w:eastAsia="Times New Roman" w:cs="Times New Roman"/>
          <w:lang w:eastAsia="en-US"/>
        </w:rPr>
        <w:t>29</w:t>
      </w:r>
      <w:r w:rsidRPr="00A01B42">
        <w:rPr>
          <w:rFonts w:eastAsia="Times New Roman" w:cs="Times New Roman"/>
          <w:lang w:eastAsia="en-US"/>
        </w:rPr>
        <w:t xml:space="preserve"> gigatons, respectively.</w:t>
      </w:r>
    </w:p>
    <w:p w14:paraId="632EC54F" w14:textId="281771EE" w:rsidR="00554184" w:rsidRPr="00394AE0" w:rsidRDefault="00554184" w:rsidP="00554184">
      <w:pPr>
        <w:spacing w:line="240" w:lineRule="auto"/>
        <w:rPr>
          <w:rFonts w:eastAsia="Times New Roman" w:cs="Times New Roman"/>
          <w:lang w:eastAsia="en-US"/>
        </w:rPr>
      </w:pPr>
      <w:r w:rsidRPr="00A01B42">
        <w:rPr>
          <w:rFonts w:eastAsia="Times New Roman" w:cs="Times New Roman"/>
          <w:lang w:eastAsia="en-US"/>
        </w:rPr>
        <w:t>Because micro</w:t>
      </w:r>
      <w:r w:rsidRPr="00394AE0">
        <w:rPr>
          <w:rFonts w:eastAsia="Times New Roman" w:cs="Times New Roman"/>
          <w:lang w:eastAsia="en-US"/>
        </w:rPr>
        <w:t xml:space="preserve"> wind turbines are such an emerging technology, there is a lot of uncertainty around how the technology will grow. Advancements in the lifetimes of micro turbines are the type of benefit that take decades to creep into the marketplace. As such, their impact may not be felt until midway through the 21</w:t>
      </w:r>
      <w:r w:rsidRPr="00394AE0">
        <w:rPr>
          <w:rFonts w:eastAsia="Times New Roman" w:cs="Times New Roman"/>
          <w:vertAlign w:val="superscript"/>
          <w:lang w:eastAsia="en-US"/>
        </w:rPr>
        <w:t>st</w:t>
      </w:r>
      <w:r w:rsidRPr="00394AE0">
        <w:rPr>
          <w:rFonts w:eastAsia="Times New Roman" w:cs="Times New Roman"/>
          <w:lang w:eastAsia="en-US"/>
        </w:rPr>
        <w:t xml:space="preserve"> century. The potential of building-integrated micro wind turbines is increasingly being explored to generate clean energy on-site. However, at the moment, uncertainty about how factors such as low wind speeds, high levels of turbulence, noise, visual impact, and animal strikes influence the performance of micro wind turbines make it hard to determine their true potential in this form.</w:t>
      </w:r>
    </w:p>
    <w:p w14:paraId="34916870" w14:textId="3399E0BA" w:rsidR="00E815C8" w:rsidRPr="00E069AC" w:rsidRDefault="551A77D0" w:rsidP="000E4DBE">
      <w:pPr>
        <w:pStyle w:val="Heading1"/>
        <w:numPr>
          <w:ilvl w:val="0"/>
          <w:numId w:val="24"/>
        </w:numPr>
      </w:pPr>
      <w:bookmarkStart w:id="4" w:name="_Toc23613438"/>
      <w:r w:rsidRPr="00E069AC">
        <w:lastRenderedPageBreak/>
        <w:t>Literature Review</w:t>
      </w:r>
      <w:bookmarkEnd w:id="4"/>
    </w:p>
    <w:p w14:paraId="05406D4C" w14:textId="2CF74F55" w:rsidR="006A4A08" w:rsidRDefault="00507E76" w:rsidP="00EB247F">
      <w:pPr>
        <w:pStyle w:val="Heading2"/>
      </w:pPr>
      <w:bookmarkStart w:id="5" w:name="_Toc23613439"/>
      <w:r>
        <w:t xml:space="preserve">1.1 </w:t>
      </w:r>
      <w:r w:rsidR="551A77D0" w:rsidRPr="00E069AC">
        <w:t>State of</w:t>
      </w:r>
      <w:r w:rsidR="00554184">
        <w:t xml:space="preserve"> Micro Wind Turbines </w:t>
      </w:r>
      <w:r w:rsidR="00DA1392" w:rsidRPr="00E069AC">
        <w:t>technology</w:t>
      </w:r>
      <w:bookmarkEnd w:id="5"/>
    </w:p>
    <w:p w14:paraId="5A9B8710" w14:textId="055EB5EB" w:rsidR="00554184" w:rsidRPr="00554184" w:rsidRDefault="00554184" w:rsidP="00554184">
      <w:r w:rsidRPr="00C84E91">
        <w:rPr>
          <w:rFonts w:cstheme="minorHAnsi"/>
          <w:shd w:val="clear" w:color="auto" w:fill="FFFFFF"/>
        </w:rPr>
        <w:t>Wind or moving air is caused by difference in air pressure within our atmosphere. These differences in pressure in our atmosphere are created by the sun unevenly heating the surface of the earth creating hot and cold spots. Warm air </w:t>
      </w:r>
      <w:r w:rsidRPr="00554184">
        <w:t>rises, creating a low pressure zone near the surface. Colder, denser air near the surface in a high pressure zone, flows in to take its place. This flow is called ‘wind’</w:t>
      </w:r>
      <w:r>
        <w:t xml:space="preserve"> (DOE, 2008)</w:t>
      </w:r>
      <w:r w:rsidRPr="00554184">
        <w:t>.</w:t>
      </w:r>
    </w:p>
    <w:p w14:paraId="64476987" w14:textId="0E5D3AB8" w:rsidR="00554184" w:rsidRPr="00554184" w:rsidRDefault="00554184" w:rsidP="00632C3B">
      <w:r w:rsidRPr="00554184">
        <w:t>Humans have been harnessing the power in the wind since early recorded history. As early as 5000 B</w:t>
      </w:r>
      <w:r>
        <w:t>.</w:t>
      </w:r>
      <w:r w:rsidRPr="00554184">
        <w:t>C</w:t>
      </w:r>
      <w:r>
        <w:t>.</w:t>
      </w:r>
      <w:r w:rsidRPr="00554184">
        <w:t>, wind was used to propel boats along the Nile River. Between 500 and 900 B</w:t>
      </w:r>
      <w:r>
        <w:t>.</w:t>
      </w:r>
      <w:r w:rsidRPr="00554184">
        <w:t>C</w:t>
      </w:r>
      <w:r>
        <w:t>.</w:t>
      </w:r>
      <w:r w:rsidRPr="00554184">
        <w:t>, the Persians used wind power to pump water and grid grain. Eventually around 1000 A</w:t>
      </w:r>
      <w:r>
        <w:t>.</w:t>
      </w:r>
      <w:r w:rsidRPr="00554184">
        <w:t>D</w:t>
      </w:r>
      <w:r>
        <w:t>.</w:t>
      </w:r>
      <w:r w:rsidRPr="00554184">
        <w:t xml:space="preserve"> wind power technology spread north to European countries such as the Netherlands which adapted windmills to help drain lakes and marshes.  The close of the 19th century ushered in a new era of electrification. But it was</w:t>
      </w:r>
      <w:r>
        <w:t xml:space="preserve"> not</w:t>
      </w:r>
      <w:r w:rsidRPr="00554184">
        <w:t xml:space="preserve"> until the late 20th century that older technologies, like windmills, were adopted for generating electricity</w:t>
      </w:r>
      <w:r>
        <w:t xml:space="preserve"> (Wiser</w:t>
      </w:r>
      <w:r w:rsidR="00632C3B">
        <w:t>, 2011).</w:t>
      </w:r>
    </w:p>
    <w:p w14:paraId="2AE3E339" w14:textId="29A2631C" w:rsidR="00554184" w:rsidRPr="00554184" w:rsidRDefault="00554184" w:rsidP="00632C3B">
      <w:r w:rsidRPr="00554184">
        <w:t>Wind turbines convert the kinetic energy in the wind to mechanical energy which is eventually converted to electricity. The blades of modern wind turbines are modeled after airplane wings. As air moves past the blades, lift is generated. In the context of wind turbines, the lift results in rotational motion. This mechanical motion is converted to electricity by a series of gears and power converters. Newer turbines, with state-of-the-art conversion electronics, are able to bypass the need for gearboxes, altogether</w:t>
      </w:r>
      <w:r w:rsidR="00632C3B">
        <w:t xml:space="preserve"> (DOE, ND)</w:t>
      </w:r>
      <w:r w:rsidRPr="00554184">
        <w:t>.</w:t>
      </w:r>
    </w:p>
    <w:p w14:paraId="0390D003" w14:textId="12C739A6" w:rsidR="00554184" w:rsidRPr="00554184" w:rsidRDefault="00554184" w:rsidP="00632C3B">
      <w:r w:rsidRPr="00554184">
        <w:t xml:space="preserve">Three different wind speeds characterize the performance of wind turbines: cut in speed, rated speed and cut out speed. These metrics are typically plotted on a power curve, an example of which can be seen in </w:t>
      </w:r>
      <w:r w:rsidRPr="00632C3B">
        <w:t xml:space="preserve">Figure </w:t>
      </w:r>
      <w:r w:rsidR="00632C3B">
        <w:t>1.</w:t>
      </w:r>
      <w:r w:rsidRPr="00632C3B">
        <w:t>1</w:t>
      </w:r>
      <w:r w:rsidR="00775666">
        <w:t>.</w:t>
      </w:r>
    </w:p>
    <w:p w14:paraId="0415D210" w14:textId="77777777" w:rsidR="00554184" w:rsidRPr="00C84E91" w:rsidRDefault="00554184" w:rsidP="00632C3B">
      <w:pPr>
        <w:keepNext/>
        <w:jc w:val="center"/>
        <w:rPr>
          <w:rFonts w:cstheme="minorHAnsi"/>
        </w:rPr>
      </w:pPr>
      <w:r w:rsidRPr="00C84E91">
        <w:rPr>
          <w:rFonts w:cstheme="minorHAnsi"/>
          <w:bCs/>
          <w:noProof/>
          <w:lang w:val="en-GB" w:eastAsia="en-GB" w:bidi="hi-IN"/>
        </w:rPr>
        <w:lastRenderedPageBreak/>
        <w:drawing>
          <wp:inline distT="0" distB="0" distL="0" distR="0" wp14:anchorId="6FB852F1" wp14:editId="0D52E92E">
            <wp:extent cx="3822405" cy="3027895"/>
            <wp:effectExtent l="0" t="0" r="0" b="0"/>
            <wp:docPr id="19" name="Picture 19" descr="Snow Leopard:Users:George:Desktop:Power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now Leopard:Users:George:Desktop:Power Cur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2835" cy="3028236"/>
                    </a:xfrm>
                    <a:prstGeom prst="rect">
                      <a:avLst/>
                    </a:prstGeom>
                    <a:noFill/>
                    <a:ln>
                      <a:noFill/>
                    </a:ln>
                  </pic:spPr>
                </pic:pic>
              </a:graphicData>
            </a:graphic>
          </wp:inline>
        </w:drawing>
      </w:r>
    </w:p>
    <w:p w14:paraId="542865FC" w14:textId="19BDABE3" w:rsidR="00554184" w:rsidRPr="00632C3B" w:rsidRDefault="00554184" w:rsidP="00632C3B">
      <w:pPr>
        <w:pStyle w:val="Caption"/>
        <w:spacing w:after="120"/>
        <w:jc w:val="center"/>
      </w:pPr>
      <w:bookmarkStart w:id="6" w:name="_Toc298344762"/>
      <w:bookmarkStart w:id="7" w:name="_Toc44543237"/>
      <w:r w:rsidRPr="00632C3B">
        <w:t xml:space="preserve">Figure </w:t>
      </w:r>
      <w:fldSimple w:instr=" SEQ Figure \* ARABIC ">
        <w:r w:rsidRPr="00632C3B">
          <w:t>1</w:t>
        </w:r>
      </w:fldSimple>
      <w:r w:rsidR="00632C3B">
        <w:t>.1</w:t>
      </w:r>
      <w:r w:rsidRPr="00632C3B">
        <w:t xml:space="preserve"> Typical Wind Turbine Power Curve</w:t>
      </w:r>
      <w:bookmarkEnd w:id="6"/>
      <w:bookmarkEnd w:id="7"/>
    </w:p>
    <w:p w14:paraId="2CDD5AE7" w14:textId="7FFB4FF8" w:rsidR="00554184" w:rsidRPr="00C84E91" w:rsidRDefault="00554184" w:rsidP="00632C3B">
      <w:pPr>
        <w:rPr>
          <w:rFonts w:cstheme="minorHAnsi"/>
          <w:bCs/>
        </w:rPr>
      </w:pPr>
      <w:r w:rsidRPr="00C84E91">
        <w:rPr>
          <w:rFonts w:cstheme="minorHAnsi"/>
          <w:bCs/>
        </w:rPr>
        <w:t xml:space="preserve">The cut in wind speed is the speed at which the turbine starts to convert the power in the wind to mechanical power—i.e. “starts working.” The rated speed is the speed at which the maximum power output of the turbine is achieved. The cut out wind speed is the speed at which the turbine can no longer function: For safety and engineering reasons, wind turbines don’t operate when the winds are higher than a certain level. To prevent damage during abnormally high wind events (e.g. hurricanes, tornadoes or strong thunderstorms) turbines </w:t>
      </w:r>
      <w:r w:rsidR="00B741A1">
        <w:rPr>
          <w:rFonts w:cstheme="minorHAnsi"/>
          <w:bCs/>
        </w:rPr>
        <w:t xml:space="preserve">ceases to </w:t>
      </w:r>
      <w:r w:rsidRPr="00C84E91">
        <w:rPr>
          <w:rFonts w:cstheme="minorHAnsi"/>
          <w:bCs/>
        </w:rPr>
        <w:t>operate</w:t>
      </w:r>
      <w:r w:rsidR="00632C3B">
        <w:rPr>
          <w:rFonts w:cstheme="minorHAnsi"/>
          <w:bCs/>
        </w:rPr>
        <w:t xml:space="preserve"> (Zayas </w:t>
      </w:r>
      <w:r w:rsidR="00632C3B" w:rsidRPr="00091999">
        <w:rPr>
          <w:rFonts w:cstheme="minorHAnsi"/>
          <w:bCs/>
          <w:i/>
        </w:rPr>
        <w:t>et al</w:t>
      </w:r>
      <w:r w:rsidR="00632C3B">
        <w:rPr>
          <w:rFonts w:cstheme="minorHAnsi"/>
          <w:bCs/>
        </w:rPr>
        <w:t>., 2015)</w:t>
      </w:r>
      <w:r w:rsidRPr="00C84E91">
        <w:rPr>
          <w:rFonts w:cstheme="minorHAnsi"/>
          <w:bCs/>
        </w:rPr>
        <w:t>.</w:t>
      </w:r>
    </w:p>
    <w:p w14:paraId="10CDE00A" w14:textId="34E37019" w:rsidR="00554184" w:rsidRPr="00FD2F7A" w:rsidRDefault="00554184" w:rsidP="00FD2F7A">
      <w:pPr>
        <w:autoSpaceDE w:val="0"/>
        <w:autoSpaceDN w:val="0"/>
        <w:adjustRightInd w:val="0"/>
        <w:spacing w:after="0"/>
        <w:rPr>
          <w:rFonts w:cstheme="minorHAnsi"/>
          <w:shd w:val="clear" w:color="auto" w:fill="FFFFFF"/>
        </w:rPr>
      </w:pPr>
      <w:r w:rsidRPr="00C84E91">
        <w:rPr>
          <w:rFonts w:cstheme="minorHAnsi"/>
          <w:shd w:val="clear" w:color="auto" w:fill="FFFFFF"/>
        </w:rPr>
        <w:t>Wind energy available for conversion depends on the wind speed and the swept area of the turbine. The output power from a wind turbine is proportional to the kinetic energy (0.5ρv</w:t>
      </w:r>
      <w:r w:rsidRPr="00C84E91">
        <w:rPr>
          <w:rFonts w:cstheme="minorHAnsi"/>
          <w:shd w:val="clear" w:color="auto" w:fill="FFFFFF"/>
          <w:vertAlign w:val="superscript"/>
        </w:rPr>
        <w:t>3</w:t>
      </w:r>
      <w:r w:rsidRPr="00C84E91">
        <w:rPr>
          <w:rFonts w:cstheme="minorHAnsi"/>
          <w:shd w:val="clear" w:color="auto" w:fill="FFFFFF"/>
        </w:rPr>
        <w:t xml:space="preserve">) present in the wind that impinges on the turbine blades, and is thus proportional to the cube of the </w:t>
      </w:r>
      <w:r w:rsidR="00D77849">
        <w:rPr>
          <w:rFonts w:cstheme="minorHAnsi"/>
          <w:shd w:val="clear" w:color="auto" w:fill="FFFFFF"/>
        </w:rPr>
        <w:t xml:space="preserve">average </w:t>
      </w:r>
      <w:r w:rsidRPr="00C84E91">
        <w:rPr>
          <w:rFonts w:cstheme="minorHAnsi"/>
          <w:shd w:val="clear" w:color="auto" w:fill="FFFFFF"/>
        </w:rPr>
        <w:t>wind speed. For the purposes of this analysis, it’s necessary to define capacity factor: a quantity describing how efficiently wind turbines extract power from the wind. The underlying laws of physics dictate that the maximum capacity factor for any wind turbine is the Betz limit: 0.59</w:t>
      </w:r>
      <w:r w:rsidR="00FD2F7A">
        <w:rPr>
          <w:rFonts w:cstheme="minorHAnsi"/>
          <w:shd w:val="clear" w:color="auto" w:fill="FFFFFF"/>
        </w:rPr>
        <w:t xml:space="preserve">. </w:t>
      </w:r>
      <w:r w:rsidR="00FD2F7A" w:rsidRPr="00FD2F7A">
        <w:rPr>
          <w:rFonts w:cstheme="minorHAnsi"/>
          <w:shd w:val="clear" w:color="auto" w:fill="FFFFFF"/>
        </w:rPr>
        <w:t>The betz limit dictates the maximum fraction of</w:t>
      </w:r>
      <w:r w:rsidR="00FD2F7A">
        <w:rPr>
          <w:rFonts w:cstheme="minorHAnsi"/>
          <w:shd w:val="clear" w:color="auto" w:fill="FFFFFF"/>
        </w:rPr>
        <w:t xml:space="preserve">. </w:t>
      </w:r>
      <w:r w:rsidR="00FD2F7A" w:rsidRPr="00FD2F7A">
        <w:rPr>
          <w:rFonts w:cstheme="minorHAnsi"/>
          <w:shd w:val="clear" w:color="auto" w:fill="FFFFFF"/>
        </w:rPr>
        <w:t>kinetic energy that can be extracted from a moving fluid</w:t>
      </w:r>
      <w:r w:rsidR="00FD2F7A">
        <w:rPr>
          <w:rFonts w:cstheme="minorHAnsi"/>
          <w:shd w:val="clear" w:color="auto" w:fill="FFFFFF"/>
        </w:rPr>
        <w:t xml:space="preserve"> </w:t>
      </w:r>
      <w:r w:rsidR="00FD2F7A" w:rsidRPr="00FD2F7A">
        <w:rPr>
          <w:rFonts w:cstheme="minorHAnsi"/>
          <w:shd w:val="clear" w:color="auto" w:fill="FFFFFF"/>
        </w:rPr>
        <w:t>under free stream conditions where is the capacity factor as</w:t>
      </w:r>
      <w:r w:rsidR="00FD2F7A">
        <w:rPr>
          <w:rFonts w:cstheme="minorHAnsi"/>
          <w:shd w:val="clear" w:color="auto" w:fill="FFFFFF"/>
        </w:rPr>
        <w:t xml:space="preserve"> </w:t>
      </w:r>
      <w:r w:rsidR="00FD2F7A" w:rsidRPr="00FD2F7A">
        <w:rPr>
          <w:rFonts w:cstheme="minorHAnsi"/>
          <w:shd w:val="clear" w:color="auto" w:fill="FFFFFF"/>
        </w:rPr>
        <w:t>commonly defined is a ratio of generation actual generation</w:t>
      </w:r>
      <w:r w:rsidR="00FD2F7A">
        <w:rPr>
          <w:rFonts w:cstheme="minorHAnsi"/>
          <w:shd w:val="clear" w:color="auto" w:fill="FFFFFF"/>
        </w:rPr>
        <w:t xml:space="preserve"> </w:t>
      </w:r>
      <w:r w:rsidR="00FD2F7A" w:rsidRPr="00FD2F7A">
        <w:rPr>
          <w:rFonts w:cstheme="minorHAnsi"/>
          <w:shd w:val="clear" w:color="auto" w:fill="FFFFFF"/>
        </w:rPr>
        <w:t>to the potential generation based upon continuous</w:t>
      </w:r>
      <w:r w:rsidR="00FD2F7A">
        <w:rPr>
          <w:rFonts w:cstheme="minorHAnsi"/>
          <w:shd w:val="clear" w:color="auto" w:fill="FFFFFF"/>
        </w:rPr>
        <w:t xml:space="preserve"> </w:t>
      </w:r>
      <w:r w:rsidR="00FD2F7A" w:rsidRPr="00FD2F7A">
        <w:rPr>
          <w:rFonts w:cstheme="minorHAnsi"/>
          <w:shd w:val="clear" w:color="auto" w:fill="FFFFFF"/>
        </w:rPr>
        <w:t>operation at rated power. Therefore the bezs limit is an</w:t>
      </w:r>
      <w:r w:rsidR="00FD2F7A">
        <w:rPr>
          <w:rFonts w:cstheme="minorHAnsi"/>
          <w:shd w:val="clear" w:color="auto" w:fill="FFFFFF"/>
        </w:rPr>
        <w:t xml:space="preserve"> </w:t>
      </w:r>
      <w:r w:rsidR="00FD2F7A" w:rsidRPr="00FD2F7A">
        <w:rPr>
          <w:rFonts w:cstheme="minorHAnsi"/>
          <w:shd w:val="clear" w:color="auto" w:fill="FFFFFF"/>
        </w:rPr>
        <w:t>instantaneous value and our limits to efficiency not the</w:t>
      </w:r>
      <w:r w:rsidR="00FD2F7A">
        <w:rPr>
          <w:rFonts w:cstheme="minorHAnsi"/>
          <w:shd w:val="clear" w:color="auto" w:fill="FFFFFF"/>
        </w:rPr>
        <w:t xml:space="preserve"> </w:t>
      </w:r>
      <w:r w:rsidR="00FD2F7A" w:rsidRPr="00FD2F7A">
        <w:rPr>
          <w:rFonts w:cstheme="minorHAnsi"/>
          <w:shd w:val="clear" w:color="auto" w:fill="FFFFFF"/>
        </w:rPr>
        <w:t>capacity factor.</w:t>
      </w:r>
      <w:r w:rsidR="00FD2F7A">
        <w:rPr>
          <w:rFonts w:cstheme="minorHAnsi"/>
          <w:shd w:val="clear" w:color="auto" w:fill="FFFFFF"/>
        </w:rPr>
        <w:t xml:space="preserve"> </w:t>
      </w:r>
      <w:r w:rsidRPr="00FD2F7A">
        <w:rPr>
          <w:rFonts w:cstheme="minorHAnsi"/>
          <w:shd w:val="clear" w:color="auto" w:fill="FFFFFF"/>
        </w:rPr>
        <w:t>Equation</w:t>
      </w:r>
      <w:r w:rsidRPr="00C84E91">
        <w:rPr>
          <w:rFonts w:cstheme="minorHAnsi"/>
          <w:bCs/>
        </w:rPr>
        <w:t xml:space="preserve"> 1 provides an easy estimate for calculating capacity factor</w:t>
      </w:r>
      <w:r w:rsidR="00A2308B">
        <w:rPr>
          <w:rFonts w:cstheme="minorHAnsi"/>
          <w:bCs/>
        </w:rPr>
        <w:t xml:space="preserve"> (CF)</w:t>
      </w:r>
      <w:r w:rsidRPr="00C84E91">
        <w:rPr>
          <w:rFonts w:cstheme="minorHAnsi"/>
          <w:bCs/>
        </w:rPr>
        <w:t>:</w:t>
      </w:r>
    </w:p>
    <w:p w14:paraId="3341E6E0" w14:textId="597A38CD" w:rsidR="006D3575" w:rsidRPr="00C84E91" w:rsidRDefault="00FD2F7A" w:rsidP="00632C3B">
      <w:pPr>
        <w:jc w:val="center"/>
        <w:rPr>
          <w:rFonts w:cstheme="minorHAnsi"/>
          <w:bCs/>
        </w:rPr>
      </w:pPr>
      <w:r>
        <w:rPr>
          <w:noProof/>
        </w:rPr>
        <w:drawing>
          <wp:inline distT="0" distB="0" distL="0" distR="0" wp14:anchorId="40E1F63A" wp14:editId="1B5A4091">
            <wp:extent cx="3896591" cy="5595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0 at 14.21.23.png"/>
                    <pic:cNvPicPr/>
                  </pic:nvPicPr>
                  <pic:blipFill>
                    <a:blip r:embed="rId18"/>
                    <a:stretch>
                      <a:fillRect/>
                    </a:stretch>
                  </pic:blipFill>
                  <pic:spPr>
                    <a:xfrm>
                      <a:off x="0" y="0"/>
                      <a:ext cx="3952194" cy="567548"/>
                    </a:xfrm>
                    <a:prstGeom prst="rect">
                      <a:avLst/>
                    </a:prstGeom>
                  </pic:spPr>
                </pic:pic>
              </a:graphicData>
            </a:graphic>
          </wp:inline>
        </w:drawing>
      </w:r>
      <w:r w:rsidR="006D3575">
        <w:t xml:space="preserve">         Eq. 1</w:t>
      </w:r>
    </w:p>
    <w:p w14:paraId="451890B6" w14:textId="2EAA3C40" w:rsidR="00554184" w:rsidRPr="00C84E91" w:rsidRDefault="00554184" w:rsidP="00632C3B">
      <w:pPr>
        <w:rPr>
          <w:rFonts w:cstheme="minorHAnsi"/>
          <w:bCs/>
        </w:rPr>
      </w:pPr>
      <w:r w:rsidRPr="00C84E91">
        <w:rPr>
          <w:rFonts w:cstheme="minorHAnsi"/>
          <w:bCs/>
        </w:rPr>
        <w:lastRenderedPageBreak/>
        <w:t>Note that annual turbine energy output is sensitive to the annual average wind speed: the higher the wind speed, the higher the annual energy output. Doubly so, considering the cubic relationship between wind speed and power. For reference, real world capacity factors range from 25% to 50%.</w:t>
      </w:r>
    </w:p>
    <w:p w14:paraId="4264453D" w14:textId="69222398" w:rsidR="00554184" w:rsidRPr="00C84E91" w:rsidRDefault="00554184" w:rsidP="00632C3B">
      <w:pPr>
        <w:rPr>
          <w:rFonts w:cstheme="minorHAnsi"/>
          <w:bCs/>
        </w:rPr>
      </w:pPr>
      <w:r w:rsidRPr="00C84E91">
        <w:rPr>
          <w:rFonts w:cstheme="minorHAnsi"/>
          <w:bCs/>
        </w:rPr>
        <w:t>Wind turbines come in a variety of sizes. Large, utility scale turbines are able to generate upwards of 5</w:t>
      </w:r>
      <w:r w:rsidR="000362B8">
        <w:rPr>
          <w:rFonts w:cstheme="minorHAnsi"/>
          <w:bCs/>
        </w:rPr>
        <w:t xml:space="preserve"> </w:t>
      </w:r>
      <w:r w:rsidRPr="00C84E91">
        <w:rPr>
          <w:rFonts w:cstheme="minorHAnsi"/>
          <w:bCs/>
        </w:rPr>
        <w:t>MW and are typically installed in a group, a so-called “wind farm.” Micro wind turbines are more akin to windmills of old: only one is installed at a particular location. In fact, until about the 1980s when interest in megawatt-size turbines piqued, all wind energy was considered “micro.”</w:t>
      </w:r>
      <w:r w:rsidR="00632C3B">
        <w:rPr>
          <w:rFonts w:cstheme="minorHAnsi"/>
          <w:bCs/>
        </w:rPr>
        <w:t xml:space="preserve"> (WWEA, 2015).</w:t>
      </w:r>
    </w:p>
    <w:p w14:paraId="5877A406" w14:textId="5DBC6FA9" w:rsidR="00554184" w:rsidRPr="00C84E91" w:rsidRDefault="00554184" w:rsidP="00632C3B">
      <w:pPr>
        <w:rPr>
          <w:rFonts w:cstheme="minorHAnsi"/>
          <w:shd w:val="clear" w:color="auto" w:fill="FFFFFF"/>
        </w:rPr>
      </w:pPr>
      <w:r w:rsidRPr="00C84E91">
        <w:rPr>
          <w:rFonts w:cstheme="minorHAnsi"/>
          <w:shd w:val="clear" w:color="auto" w:fill="FFFFFF"/>
        </w:rPr>
        <w:t>The exponential growth of turbine size was driven by economies of scale. Small wind turbines remain still more expensive than large ones, especially if the objective is to produce electricity for the grid (the cost of turbines of size &lt; 2.5 kW is ~$ 8000/kW, while that of utility scale wind turbines can go as low as $ 5000/kW) Sources say that this is because the controls, electrical connection to the grid and maintenance are a much higher proportion of the capital value of the system. However, small wind turbines can be integrated into urban infrastructure such as building</w:t>
      </w:r>
      <w:r w:rsidR="00B631D9">
        <w:rPr>
          <w:rFonts w:cstheme="minorHAnsi"/>
          <w:shd w:val="clear" w:color="auto" w:fill="FFFFFF"/>
        </w:rPr>
        <w:t>s</w:t>
      </w:r>
      <w:r w:rsidRPr="00C84E91">
        <w:rPr>
          <w:rFonts w:cstheme="minorHAnsi"/>
          <w:shd w:val="clear" w:color="auto" w:fill="FFFFFF"/>
        </w:rPr>
        <w:t xml:space="preserve"> mounted MWTs, while larger turbines cannot. They thus have </w:t>
      </w:r>
      <w:r w:rsidR="00B631D9">
        <w:rPr>
          <w:rFonts w:cstheme="minorHAnsi"/>
          <w:shd w:val="clear" w:color="auto" w:fill="FFFFFF"/>
        </w:rPr>
        <w:t xml:space="preserve">modularity </w:t>
      </w:r>
      <w:r w:rsidRPr="00C84E91">
        <w:rPr>
          <w:rFonts w:cstheme="minorHAnsi"/>
          <w:shd w:val="clear" w:color="auto" w:fill="FFFFFF"/>
        </w:rPr>
        <w:t>advantages. In addition, no further infrastructure is required to connect MWTs unlike in the case of large scaled commercial wind turbines</w:t>
      </w:r>
      <w:r w:rsidR="003D50A7">
        <w:rPr>
          <w:rFonts w:cstheme="minorHAnsi"/>
          <w:shd w:val="clear" w:color="auto" w:fill="FFFFFF"/>
        </w:rPr>
        <w:t>.</w:t>
      </w:r>
    </w:p>
    <w:p w14:paraId="2228179E" w14:textId="68E541AA" w:rsidR="00554184" w:rsidRPr="000362B8" w:rsidRDefault="00554184" w:rsidP="00632C3B">
      <w:pPr>
        <w:rPr>
          <w:rFonts w:cstheme="minorHAnsi"/>
          <w:bCs/>
          <w:vertAlign w:val="superscript"/>
        </w:rPr>
      </w:pPr>
      <w:r w:rsidRPr="00C84E91">
        <w:rPr>
          <w:rFonts w:cstheme="minorHAnsi"/>
          <w:bCs/>
        </w:rPr>
        <w:t>Frustratingly, there is no universal definition of small/micro wind turbines. Some organizations explicitly differentiate between micro and small,</w:t>
      </w:r>
      <w:r w:rsidR="00FD2F7A">
        <w:rPr>
          <w:rFonts w:cstheme="minorHAnsi"/>
          <w:bCs/>
        </w:rPr>
        <w:t xml:space="preserve"> c</w:t>
      </w:r>
      <w:r w:rsidRPr="00C84E91">
        <w:rPr>
          <w:rFonts w:cstheme="minorHAnsi"/>
          <w:bCs/>
        </w:rPr>
        <w:t xml:space="preserve">iting specific generating capacities for each category. For example, the International Energy Agency </w:t>
      </w:r>
      <w:r w:rsidR="007B0863">
        <w:rPr>
          <w:rFonts w:cstheme="minorHAnsi"/>
          <w:bCs/>
        </w:rPr>
        <w:t xml:space="preserve">(IEA) </w:t>
      </w:r>
      <w:r w:rsidRPr="00C84E91">
        <w:rPr>
          <w:rFonts w:cstheme="minorHAnsi"/>
          <w:bCs/>
        </w:rPr>
        <w:t>defines micro wind as any turbine with a swept area smaller than 200 m</w:t>
      </w:r>
      <w:r w:rsidRPr="00C84E91">
        <w:rPr>
          <w:rFonts w:cstheme="minorHAnsi"/>
          <w:bCs/>
          <w:vertAlign w:val="superscript"/>
        </w:rPr>
        <w:t>2</w:t>
      </w:r>
      <w:r w:rsidRPr="00C84E91">
        <w:rPr>
          <w:rFonts w:cstheme="minorHAnsi"/>
          <w:bCs/>
        </w:rPr>
        <w:t xml:space="preserve"> and a capacity under 50 kW. Alternatively, the American Wind Energy Association specifies small wind as any turbine with a capacity of less than 100 kW. Others </w:t>
      </w:r>
      <w:r w:rsidR="00FD2F7A">
        <w:rPr>
          <w:rFonts w:cstheme="minorHAnsi"/>
          <w:bCs/>
        </w:rPr>
        <w:t>combine</w:t>
      </w:r>
      <w:r w:rsidRPr="00C84E91">
        <w:rPr>
          <w:rFonts w:cstheme="minorHAnsi"/>
          <w:bCs/>
        </w:rPr>
        <w:t xml:space="preserve"> everything that’s not part of a utility scale wind farm under the label of “small.” Figure </w:t>
      </w:r>
      <w:r w:rsidR="00632C3B">
        <w:rPr>
          <w:rFonts w:cstheme="minorHAnsi"/>
          <w:bCs/>
        </w:rPr>
        <w:t>1.2</w:t>
      </w:r>
      <w:r w:rsidRPr="00C84E91">
        <w:rPr>
          <w:rFonts w:cstheme="minorHAnsi"/>
          <w:bCs/>
        </w:rPr>
        <w:t xml:space="preserve"> describes how various wind energy associations define “micro wind.” </w:t>
      </w:r>
      <w:r w:rsidR="00632C3B">
        <w:rPr>
          <w:rFonts w:cstheme="minorHAnsi"/>
          <w:bCs/>
        </w:rPr>
        <w:t>(WWEA, 2015).</w:t>
      </w:r>
    </w:p>
    <w:p w14:paraId="771EC28A" w14:textId="77777777" w:rsidR="00554184" w:rsidRPr="00C84E91" w:rsidRDefault="00554184" w:rsidP="00632C3B">
      <w:pPr>
        <w:keepNext/>
        <w:jc w:val="center"/>
        <w:rPr>
          <w:rFonts w:cstheme="minorHAnsi"/>
        </w:rPr>
      </w:pPr>
      <w:r w:rsidRPr="00C84E91">
        <w:rPr>
          <w:rFonts w:cstheme="minorHAnsi"/>
          <w:bCs/>
          <w:noProof/>
          <w:lang w:val="en-GB" w:eastAsia="en-GB" w:bidi="hi-IN"/>
        </w:rPr>
        <w:lastRenderedPageBreak/>
        <w:drawing>
          <wp:inline distT="0" distB="0" distL="0" distR="0" wp14:anchorId="0854E4A5" wp14:editId="053E169B">
            <wp:extent cx="4349578" cy="5076825"/>
            <wp:effectExtent l="12700" t="12700" r="6985" b="15875"/>
            <wp:docPr id="10" name="Picture 10" descr="Snow Leopard:Users:George:Documents:School:Fellowships:Drawdown:Micro Wind Turbines:Literature Review:2014 world market repor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w Leopard:Users:George:Documents:School:Fellowships:Drawdown:Micro Wind Turbines:Literature Review:2014 world market report 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73" cy="5082538"/>
                    </a:xfrm>
                    <a:prstGeom prst="rect">
                      <a:avLst/>
                    </a:prstGeom>
                    <a:noFill/>
                    <a:ln>
                      <a:solidFill>
                        <a:schemeClr val="tx1"/>
                      </a:solid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21A3209" w14:textId="3C631B09" w:rsidR="00554184" w:rsidRPr="00C84E91" w:rsidRDefault="00554184" w:rsidP="00632C3B">
      <w:pPr>
        <w:pStyle w:val="Caption"/>
        <w:spacing w:after="120"/>
        <w:jc w:val="center"/>
        <w:rPr>
          <w:rFonts w:cstheme="minorHAnsi"/>
          <w:bCs/>
          <w:color w:val="auto"/>
          <w:sz w:val="22"/>
          <w:szCs w:val="22"/>
        </w:rPr>
      </w:pPr>
      <w:bookmarkStart w:id="8" w:name="_Toc298344763"/>
      <w:r w:rsidRPr="00632C3B">
        <w:t xml:space="preserve">Figure </w:t>
      </w:r>
      <w:r w:rsidR="00632C3B" w:rsidRPr="00632C3B">
        <w:t>1.2</w:t>
      </w:r>
      <w:r w:rsidRPr="00632C3B">
        <w:t xml:space="preserve"> Turbine sizes and classifications (</w:t>
      </w:r>
      <w:r w:rsidR="00632C3B" w:rsidRPr="00632C3B">
        <w:t xml:space="preserve">Source: adapted </w:t>
      </w:r>
      <w:r w:rsidR="003D50A7">
        <w:t xml:space="preserve">from </w:t>
      </w:r>
      <w:r w:rsidRPr="00632C3B">
        <w:t>2015 World Wind Market Report)</w:t>
      </w:r>
      <w:bookmarkEnd w:id="8"/>
    </w:p>
    <w:p w14:paraId="2342C61E" w14:textId="77777777" w:rsidR="00A01B42" w:rsidRDefault="00A01B42" w:rsidP="00632C3B">
      <w:pPr>
        <w:rPr>
          <w:rFonts w:cstheme="minorHAnsi"/>
          <w:bCs/>
        </w:rPr>
      </w:pPr>
    </w:p>
    <w:p w14:paraId="21428B43" w14:textId="69E22217" w:rsidR="00554184" w:rsidRPr="00C84E91" w:rsidRDefault="00554184" w:rsidP="00632C3B">
      <w:pPr>
        <w:rPr>
          <w:rFonts w:cstheme="minorHAnsi"/>
          <w:bCs/>
        </w:rPr>
      </w:pPr>
      <w:r w:rsidRPr="00C84E91">
        <w:rPr>
          <w:rFonts w:cstheme="minorHAnsi"/>
          <w:bCs/>
        </w:rPr>
        <w:t xml:space="preserve">For the purposes of this analysis, wind turbines that have a capacity of 100 kW or less will be defined as a micro wind turbine (MWT). </w:t>
      </w:r>
      <w:r w:rsidRPr="00C84E91">
        <w:rPr>
          <w:rFonts w:cstheme="minorHAnsi"/>
          <w:shd w:val="clear" w:color="auto" w:fill="FFFFFF"/>
        </w:rPr>
        <w:t>This is because it encapsulates all the above definitions of micro</w:t>
      </w:r>
      <w:r w:rsidR="00424303">
        <w:rPr>
          <w:rFonts w:cstheme="minorHAnsi"/>
          <w:shd w:val="clear" w:color="auto" w:fill="FFFFFF"/>
        </w:rPr>
        <w:t xml:space="preserve"> and small </w:t>
      </w:r>
      <w:r w:rsidRPr="00C84E91">
        <w:rPr>
          <w:rFonts w:cstheme="minorHAnsi"/>
          <w:shd w:val="clear" w:color="auto" w:fill="FFFFFF"/>
        </w:rPr>
        <w:t>turbines. The Project Drawdown ‘Wind Solution’ examines the effect of all wind turbines greater than 100 kW.</w:t>
      </w:r>
      <w:r w:rsidR="00632C3B">
        <w:rPr>
          <w:rFonts w:cstheme="minorHAnsi"/>
          <w:bCs/>
        </w:rPr>
        <w:t xml:space="preserve"> </w:t>
      </w:r>
      <w:r w:rsidRPr="00C84E91">
        <w:rPr>
          <w:rFonts w:cstheme="minorHAnsi"/>
          <w:bCs/>
        </w:rPr>
        <w:t xml:space="preserve">To further help understand the scales at which MWTs operate, Figure </w:t>
      </w:r>
      <w:r w:rsidR="00632C3B">
        <w:rPr>
          <w:rFonts w:cstheme="minorHAnsi"/>
          <w:bCs/>
        </w:rPr>
        <w:t>1.3</w:t>
      </w:r>
      <w:r w:rsidRPr="00C84E91">
        <w:rPr>
          <w:rFonts w:cstheme="minorHAnsi"/>
          <w:bCs/>
        </w:rPr>
        <w:t xml:space="preserve"> illustrates the size discrepancy between utility scale wind turbines and MWTs</w:t>
      </w:r>
      <w:r w:rsidR="00632C3B">
        <w:rPr>
          <w:rFonts w:cstheme="minorHAnsi"/>
          <w:bCs/>
        </w:rPr>
        <w:t>.</w:t>
      </w:r>
    </w:p>
    <w:p w14:paraId="10E54A28" w14:textId="77777777" w:rsidR="00554184" w:rsidRPr="00C84E91" w:rsidRDefault="00554184" w:rsidP="00632C3B">
      <w:pPr>
        <w:rPr>
          <w:rFonts w:cstheme="minorHAnsi"/>
          <w:bCs/>
        </w:rPr>
      </w:pPr>
    </w:p>
    <w:p w14:paraId="475A9894" w14:textId="77777777" w:rsidR="00554184" w:rsidRPr="00C84E91" w:rsidRDefault="00554184" w:rsidP="00632C3B">
      <w:pPr>
        <w:keepNext/>
        <w:rPr>
          <w:rFonts w:cstheme="minorHAnsi"/>
        </w:rPr>
      </w:pPr>
      <w:r w:rsidRPr="00C84E91">
        <w:rPr>
          <w:rFonts w:cstheme="minorHAnsi"/>
          <w:bCs/>
        </w:rPr>
        <w:lastRenderedPageBreak/>
        <w:t xml:space="preserve"> </w:t>
      </w:r>
      <w:r w:rsidRPr="00C84E91">
        <w:rPr>
          <w:rFonts w:cstheme="minorHAnsi"/>
          <w:bCs/>
          <w:noProof/>
          <w:lang w:val="en-GB" w:eastAsia="en-GB" w:bidi="hi-IN"/>
        </w:rPr>
        <w:drawing>
          <wp:inline distT="0" distB="0" distL="0" distR="0" wp14:anchorId="59151516" wp14:editId="18D6C4D0">
            <wp:extent cx="5932805" cy="3944620"/>
            <wp:effectExtent l="25400" t="25400" r="36195" b="17780"/>
            <wp:docPr id="11" name="Picture 11" descr="Snow Leopard:Users:George:Documents:School:Fellowships:Drawdown:Micro Wind Turbines:Turbine Si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 Leopard:Users:George:Documents:School:Fellowships:Drawdown:Micro Wind Turbines:Turbine Siz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944620"/>
                    </a:xfrm>
                    <a:prstGeom prst="rect">
                      <a:avLst/>
                    </a:prstGeom>
                    <a:noFill/>
                    <a:ln>
                      <a:solidFill>
                        <a:schemeClr val="tx1"/>
                      </a:solidFill>
                    </a:ln>
                  </pic:spPr>
                </pic:pic>
              </a:graphicData>
            </a:graphic>
          </wp:inline>
        </w:drawing>
      </w:r>
    </w:p>
    <w:p w14:paraId="63788B9F" w14:textId="3D53474B" w:rsidR="00632C3B" w:rsidRDefault="00554184" w:rsidP="00632C3B">
      <w:pPr>
        <w:pStyle w:val="Caption"/>
        <w:spacing w:after="120"/>
        <w:jc w:val="center"/>
      </w:pPr>
      <w:bookmarkStart w:id="9" w:name="_Toc298344764"/>
      <w:r w:rsidRPr="00632C3B">
        <w:t xml:space="preserve">Figure </w:t>
      </w:r>
      <w:r w:rsidR="00632C3B" w:rsidRPr="00632C3B">
        <w:t>1.3</w:t>
      </w:r>
      <w:r w:rsidRPr="00632C3B">
        <w:t xml:space="preserve"> Micro Wind Turbine vs Utility Turbine Sizes </w:t>
      </w:r>
      <w:r w:rsidR="00B35331">
        <w:t>(</w:t>
      </w:r>
      <w:r w:rsidR="003D50A7">
        <w:t xml:space="preserve">Source: </w:t>
      </w:r>
      <w:r w:rsidR="00B35331">
        <w:t>Carbon Trust, 2008)</w:t>
      </w:r>
    </w:p>
    <w:p w14:paraId="799C3A82" w14:textId="1F8DEFD2" w:rsidR="00554184" w:rsidRPr="00632C3B" w:rsidRDefault="00554184" w:rsidP="00632C3B">
      <w:pPr>
        <w:pStyle w:val="Caption"/>
        <w:spacing w:after="120"/>
        <w:jc w:val="left"/>
        <w:rPr>
          <w:i w:val="0"/>
          <w:color w:val="000000" w:themeColor="text1"/>
        </w:rPr>
      </w:pPr>
      <w:r w:rsidRPr="00632C3B">
        <w:rPr>
          <w:i w:val="0"/>
          <w:color w:val="000000" w:themeColor="text1"/>
        </w:rPr>
        <w:t xml:space="preserve"> </w:t>
      </w:r>
      <w:r w:rsidR="00632C3B" w:rsidRPr="00632C3B">
        <w:rPr>
          <w:i w:val="0"/>
          <w:color w:val="000000" w:themeColor="text1"/>
        </w:rPr>
        <w:t>Note: The</w:t>
      </w:r>
      <w:r w:rsidRPr="00632C3B">
        <w:rPr>
          <w:i w:val="0"/>
          <w:color w:val="000000" w:themeColor="text1"/>
        </w:rPr>
        <w:t xml:space="preserve"> utility scale turbine is rated 1,650 kW or 1.7 MW</w:t>
      </w:r>
      <w:bookmarkEnd w:id="9"/>
    </w:p>
    <w:p w14:paraId="797D77C5" w14:textId="77777777" w:rsidR="00554184" w:rsidRPr="00C84E91" w:rsidRDefault="00554184" w:rsidP="00632C3B">
      <w:pPr>
        <w:rPr>
          <w:rFonts w:cstheme="minorHAnsi"/>
          <w:bCs/>
        </w:rPr>
      </w:pPr>
      <w:r w:rsidRPr="00C84E91">
        <w:rPr>
          <w:rFonts w:cstheme="minorHAnsi"/>
          <w:bCs/>
        </w:rPr>
        <w:t>Their comparatively small stature greatly affects the capacity of MWTs: a hub height difference of 67m correlates to 3 orders of magnitude of capacity: 2.4 kW vs 1,650 kW. These differences are important to understand when discussing the results of the study: MWTs have a far smaller impact than their larger, utility scale counterparts.</w:t>
      </w:r>
    </w:p>
    <w:p w14:paraId="5325A888" w14:textId="69FD3343" w:rsidR="00554184" w:rsidRPr="00C84E91" w:rsidRDefault="00554184" w:rsidP="00632C3B">
      <w:pPr>
        <w:rPr>
          <w:rFonts w:cstheme="minorHAnsi"/>
          <w:bCs/>
        </w:rPr>
      </w:pPr>
      <w:r w:rsidRPr="00C84E91">
        <w:rPr>
          <w:rFonts w:cstheme="minorHAnsi"/>
          <w:bCs/>
        </w:rPr>
        <w:t>MWTs are either used in a distributed generation scenario, where the electricity generated interacts with the grid, or in stand-alone or “off-grid” applications. Paralleling the history of windmills, MWTs were originally installed in rural areas to help with water pumping and farming applications. Typically installed in conjunction with a generator, these off-grid hybrid systems still play a major role in the MWT market. Upwards of 80% of MWT manufacturers sell stand-alone systems and in China alone, 97% of MWT sold were for off-grid purposes in 2009</w:t>
      </w:r>
      <w:r w:rsidR="005F5705">
        <w:rPr>
          <w:rFonts w:cstheme="minorHAnsi"/>
          <w:bCs/>
        </w:rPr>
        <w:t xml:space="preserve"> (WWEA, 2014, 2016). </w:t>
      </w:r>
      <w:r w:rsidRPr="00C84E91">
        <w:rPr>
          <w:rFonts w:cstheme="minorHAnsi"/>
          <w:bCs/>
        </w:rPr>
        <w:t>Indeed, the growing electrification of China (and the rest of the world, for that matter) will be a boo</w:t>
      </w:r>
      <w:r w:rsidR="005F5705">
        <w:rPr>
          <w:rFonts w:cstheme="minorHAnsi"/>
          <w:bCs/>
        </w:rPr>
        <w:t>n</w:t>
      </w:r>
      <w:r w:rsidRPr="00C84E91">
        <w:rPr>
          <w:rFonts w:cstheme="minorHAnsi"/>
          <w:bCs/>
        </w:rPr>
        <w:t xml:space="preserve"> to the MWT market. Other off-grid MWT applications include powering road signs</w:t>
      </w:r>
      <w:r w:rsidR="00D20A6B">
        <w:rPr>
          <w:rFonts w:cstheme="minorHAnsi"/>
          <w:bCs/>
        </w:rPr>
        <w:t>, security cameras in streets,</w:t>
      </w:r>
      <w:r w:rsidRPr="00C84E91">
        <w:rPr>
          <w:rFonts w:cstheme="minorHAnsi"/>
          <w:bCs/>
        </w:rPr>
        <w:t xml:space="preserve"> and navigation beacons and on </w:t>
      </w:r>
      <w:r w:rsidR="004207FA" w:rsidRPr="00C84E91">
        <w:rPr>
          <w:rFonts w:cstheme="minorHAnsi"/>
          <w:bCs/>
        </w:rPr>
        <w:t>ya</w:t>
      </w:r>
      <w:r w:rsidR="004207FA">
        <w:rPr>
          <w:rFonts w:cstheme="minorHAnsi"/>
          <w:bCs/>
        </w:rPr>
        <w:t>c</w:t>
      </w:r>
      <w:r w:rsidR="004207FA" w:rsidRPr="00C84E91">
        <w:rPr>
          <w:rFonts w:cstheme="minorHAnsi"/>
          <w:bCs/>
        </w:rPr>
        <w:t>ht</w:t>
      </w:r>
      <w:r w:rsidR="004207FA">
        <w:rPr>
          <w:rFonts w:cstheme="minorHAnsi"/>
          <w:bCs/>
        </w:rPr>
        <w:t>s</w:t>
      </w:r>
      <w:r w:rsidRPr="00C84E91">
        <w:rPr>
          <w:rFonts w:cstheme="minorHAnsi"/>
          <w:bCs/>
        </w:rPr>
        <w:t xml:space="preserve">. On-grid </w:t>
      </w:r>
      <w:r w:rsidRPr="00C84E91">
        <w:rPr>
          <w:rFonts w:cstheme="minorHAnsi"/>
          <w:bCs/>
        </w:rPr>
        <w:lastRenderedPageBreak/>
        <w:t>applications have seen a growing demand in developed markets too, especially in the US, UK and Denmark</w:t>
      </w:r>
      <w:r w:rsidR="005F5705">
        <w:rPr>
          <w:rFonts w:cstheme="minorHAnsi"/>
          <w:bCs/>
        </w:rPr>
        <w:t xml:space="preserve"> (WWEA, 2014)</w:t>
      </w:r>
      <w:r w:rsidRPr="00C84E91">
        <w:rPr>
          <w:rFonts w:cstheme="minorHAnsi"/>
          <w:bCs/>
        </w:rPr>
        <w:t>.</w:t>
      </w:r>
    </w:p>
    <w:p w14:paraId="1064FD52" w14:textId="1DA13EDA" w:rsidR="00554184" w:rsidRDefault="00554184" w:rsidP="002B53DF">
      <w:pPr>
        <w:rPr>
          <w:rFonts w:cstheme="minorHAnsi"/>
          <w:bCs/>
        </w:rPr>
      </w:pPr>
      <w:r w:rsidRPr="00C84E91">
        <w:rPr>
          <w:rFonts w:cstheme="minorHAnsi"/>
          <w:bCs/>
        </w:rPr>
        <w:t>Building integrated MWTs is another form that is currently being explored to generate energy on-site.  Although there have been successful demonstrations of such MWTs</w:t>
      </w:r>
      <w:r w:rsidR="005F5705">
        <w:rPr>
          <w:rFonts w:cstheme="minorHAnsi"/>
          <w:bCs/>
        </w:rPr>
        <w:t xml:space="preserve"> (Ragheb, 2014)</w:t>
      </w:r>
      <w:r w:rsidRPr="00C84E91">
        <w:rPr>
          <w:rFonts w:cstheme="minorHAnsi"/>
          <w:bCs/>
        </w:rPr>
        <w:t>, at the moment the up-take of MWTs in high density suburban sites is still very small. Uncertainty around the effect of factors such as low wind speeds, high turbulence, noise, visual impact, animal strikes</w:t>
      </w:r>
      <w:r w:rsidR="005F5705">
        <w:rPr>
          <w:rFonts w:cstheme="minorHAnsi"/>
          <w:bCs/>
        </w:rPr>
        <w:t xml:space="preserve"> (Peacock et al., 2008)</w:t>
      </w:r>
      <w:r w:rsidRPr="00C84E91">
        <w:rPr>
          <w:rFonts w:cstheme="minorHAnsi"/>
          <w:bCs/>
        </w:rPr>
        <w:t xml:space="preserve"> make it difficult to determine the feasibility, efficiency and safety of the deployment of these systems. Makkawi </w:t>
      </w:r>
      <w:r w:rsidRPr="003D50A7">
        <w:rPr>
          <w:rFonts w:cstheme="minorHAnsi"/>
          <w:bCs/>
          <w:i/>
        </w:rPr>
        <w:t>et al</w:t>
      </w:r>
      <w:r w:rsidR="003D50A7" w:rsidRPr="003D50A7">
        <w:rPr>
          <w:rFonts w:cstheme="minorHAnsi"/>
          <w:bCs/>
          <w:i/>
        </w:rPr>
        <w:t>.</w:t>
      </w:r>
      <w:r w:rsidRPr="00C84E91">
        <w:rPr>
          <w:rFonts w:cstheme="minorHAnsi"/>
          <w:bCs/>
        </w:rPr>
        <w:t xml:space="preserve"> (2009)</w:t>
      </w:r>
      <w:r w:rsidR="005F5705" w:rsidRPr="00C84E91">
        <w:rPr>
          <w:rFonts w:cstheme="minorHAnsi"/>
          <w:bCs/>
        </w:rPr>
        <w:t xml:space="preserve"> </w:t>
      </w:r>
      <w:r w:rsidRPr="00C84E91">
        <w:rPr>
          <w:rFonts w:cstheme="minorHAnsi"/>
          <w:bCs/>
        </w:rPr>
        <w:t xml:space="preserve">and Ledo </w:t>
      </w:r>
      <w:r w:rsidRPr="003D50A7">
        <w:rPr>
          <w:rFonts w:cstheme="minorHAnsi"/>
          <w:bCs/>
          <w:i/>
        </w:rPr>
        <w:t>et al</w:t>
      </w:r>
      <w:r w:rsidR="003D50A7" w:rsidRPr="003D50A7">
        <w:rPr>
          <w:rFonts w:cstheme="minorHAnsi"/>
          <w:bCs/>
          <w:i/>
        </w:rPr>
        <w:t>.</w:t>
      </w:r>
      <w:r w:rsidRPr="00C84E91">
        <w:rPr>
          <w:rFonts w:cstheme="minorHAnsi"/>
          <w:bCs/>
        </w:rPr>
        <w:t xml:space="preserve"> (2011) further note that at the present moment small wind manufacturers have not fabricated MWTs that operate under low wind speeds, high turbulence and this may explain the modest growth of building mounted wind turbines.</w:t>
      </w:r>
    </w:p>
    <w:p w14:paraId="241B8E42" w14:textId="76E4F32A" w:rsidR="006E63EC" w:rsidRDefault="002B53DF" w:rsidP="002B53DF">
      <w:pPr>
        <w:autoSpaceDE w:val="0"/>
        <w:spacing w:after="0"/>
        <w:rPr>
          <w:rFonts w:cstheme="minorHAnsi"/>
          <w:bCs/>
        </w:rPr>
      </w:pPr>
      <w:r w:rsidRPr="002B53DF">
        <w:rPr>
          <w:rFonts w:cstheme="minorHAnsi"/>
          <w:bCs/>
        </w:rPr>
        <w:t xml:space="preserve">There are two types of MWTs: </w:t>
      </w:r>
      <w:r w:rsidR="00466039">
        <w:rPr>
          <w:rFonts w:cstheme="minorHAnsi"/>
          <w:bCs/>
        </w:rPr>
        <w:t xml:space="preserve">micro </w:t>
      </w:r>
      <w:r w:rsidRPr="002B53DF">
        <w:rPr>
          <w:rFonts w:cstheme="minorHAnsi"/>
          <w:bCs/>
        </w:rPr>
        <w:t>horizontal axis wind turbines (</w:t>
      </w:r>
      <w:r w:rsidR="00466039">
        <w:rPr>
          <w:rFonts w:cstheme="minorHAnsi"/>
          <w:bCs/>
        </w:rPr>
        <w:t>m</w:t>
      </w:r>
      <w:r w:rsidRPr="002B53DF">
        <w:rPr>
          <w:rFonts w:cstheme="minorHAnsi"/>
          <w:bCs/>
        </w:rPr>
        <w:t xml:space="preserve">HAWTs) and </w:t>
      </w:r>
      <w:r w:rsidR="00466039">
        <w:rPr>
          <w:rFonts w:cstheme="minorHAnsi"/>
          <w:bCs/>
        </w:rPr>
        <w:t xml:space="preserve">micro </w:t>
      </w:r>
      <w:r w:rsidRPr="002B53DF">
        <w:rPr>
          <w:rFonts w:cstheme="minorHAnsi"/>
          <w:bCs/>
        </w:rPr>
        <w:t>vertical axis wind turbines (</w:t>
      </w:r>
      <w:r w:rsidR="00466039">
        <w:rPr>
          <w:rFonts w:cstheme="minorHAnsi"/>
          <w:bCs/>
        </w:rPr>
        <w:t>m</w:t>
      </w:r>
      <w:r w:rsidRPr="002B53DF">
        <w:rPr>
          <w:rFonts w:cstheme="minorHAnsi"/>
          <w:bCs/>
        </w:rPr>
        <w:t>VAWTs).</w:t>
      </w:r>
    </w:p>
    <w:p w14:paraId="429E3501" w14:textId="12C6FD02" w:rsidR="008579FD" w:rsidRPr="002C20C8" w:rsidRDefault="00C51E0C" w:rsidP="002C20C8">
      <w:pPr>
        <w:pStyle w:val="ListParagraph"/>
        <w:numPr>
          <w:ilvl w:val="0"/>
          <w:numId w:val="51"/>
        </w:numPr>
        <w:autoSpaceDE w:val="0"/>
        <w:spacing w:after="0"/>
        <w:ind w:left="284" w:hanging="284"/>
        <w:rPr>
          <w:rFonts w:cstheme="minorHAnsi"/>
          <w:bCs/>
        </w:rPr>
      </w:pPr>
      <w:r w:rsidRPr="00C51E0C">
        <w:rPr>
          <w:rFonts w:cstheme="minorHAnsi"/>
          <w:bCs/>
        </w:rPr>
        <w:t>M</w:t>
      </w:r>
      <w:r>
        <w:rPr>
          <w:rFonts w:cstheme="minorHAnsi"/>
          <w:bCs/>
        </w:rPr>
        <w:t>icro-</w:t>
      </w:r>
      <w:r w:rsidR="002B53DF" w:rsidRPr="00C51E0C">
        <w:rPr>
          <w:rFonts w:cstheme="minorHAnsi"/>
          <w:bCs/>
        </w:rPr>
        <w:t>HAWTs are essentially miniature versions of utility scale three blade</w:t>
      </w:r>
      <w:r w:rsidR="009B6BC6" w:rsidRPr="00C51E0C">
        <w:rPr>
          <w:rFonts w:cstheme="minorHAnsi"/>
          <w:bCs/>
        </w:rPr>
        <w:t>d</w:t>
      </w:r>
      <w:r w:rsidR="002B53DF" w:rsidRPr="00C51E0C">
        <w:rPr>
          <w:rFonts w:cstheme="minorHAnsi"/>
          <w:bCs/>
        </w:rPr>
        <w:t xml:space="preserve"> </w:t>
      </w:r>
      <w:r w:rsidR="00345D35" w:rsidRPr="00C51E0C">
        <w:rPr>
          <w:rFonts w:cstheme="minorHAnsi"/>
          <w:bCs/>
        </w:rPr>
        <w:t>turbines and</w:t>
      </w:r>
      <w:r w:rsidR="00345D35" w:rsidRPr="008579FD">
        <w:rPr>
          <w:rFonts w:cstheme="minorHAnsi"/>
          <w:bCs/>
        </w:rPr>
        <w:t xml:space="preserve"> having rotor axis</w:t>
      </w:r>
      <w:r w:rsidR="008579FD">
        <w:rPr>
          <w:rFonts w:cstheme="minorHAnsi"/>
          <w:bCs/>
        </w:rPr>
        <w:t xml:space="preserve"> parallel </w:t>
      </w:r>
      <w:r w:rsidR="00511617">
        <w:rPr>
          <w:rFonts w:cstheme="minorHAnsi"/>
          <w:bCs/>
        </w:rPr>
        <w:t>to</w:t>
      </w:r>
      <w:r w:rsidR="008579FD">
        <w:rPr>
          <w:rFonts w:cstheme="minorHAnsi"/>
          <w:bCs/>
        </w:rPr>
        <w:t xml:space="preserve"> the ground</w:t>
      </w:r>
      <w:r w:rsidR="00345D35" w:rsidRPr="008579FD">
        <w:rPr>
          <w:rFonts w:cstheme="minorHAnsi"/>
          <w:bCs/>
        </w:rPr>
        <w:t>. Unlike VAWT, HAWT has the inertia to start operating by itself, and to automatically yaw and position the turbine blades at the correct angle of attack to the incoming wind at all times (</w:t>
      </w:r>
      <w:r w:rsidR="00345D35">
        <w:t>Tummala et al., 2016</w:t>
      </w:r>
      <w:r w:rsidR="00345D35" w:rsidRPr="00C51E0C">
        <w:rPr>
          <w:rFonts w:cstheme="minorHAnsi"/>
          <w:bCs/>
        </w:rPr>
        <w:t>)</w:t>
      </w:r>
      <w:r w:rsidR="002B53DF" w:rsidRPr="00C51E0C">
        <w:rPr>
          <w:rFonts w:cstheme="minorHAnsi"/>
          <w:bCs/>
        </w:rPr>
        <w:t>. The earlier HAWT has dominated the MWT for over 30 years.</w:t>
      </w:r>
      <w:r w:rsidR="008579FD">
        <w:rPr>
          <w:rFonts w:cstheme="minorHAnsi"/>
          <w:bCs/>
        </w:rPr>
        <w:t xml:space="preserve"> Owing to high dependence on wind direction, HAWT requires positioning at greater heights where wind condition is consistent. HAWT is best suited to </w:t>
      </w:r>
      <w:r w:rsidR="00511617">
        <w:rPr>
          <w:rFonts w:cstheme="minorHAnsi"/>
          <w:bCs/>
        </w:rPr>
        <w:t xml:space="preserve">large-scale power generation, </w:t>
      </w:r>
      <w:r w:rsidR="00FC4F38">
        <w:rPr>
          <w:rFonts w:cstheme="minorHAnsi"/>
          <w:bCs/>
        </w:rPr>
        <w:t xml:space="preserve">greater heights, </w:t>
      </w:r>
      <w:r w:rsidR="00511617">
        <w:rPr>
          <w:rFonts w:cstheme="minorHAnsi"/>
          <w:bCs/>
        </w:rPr>
        <w:t>and at a site with less turbulent wind.</w:t>
      </w:r>
    </w:p>
    <w:p w14:paraId="19FEC542" w14:textId="44DE4535" w:rsidR="00430D1D" w:rsidRDefault="00C51E0C" w:rsidP="003D50A7">
      <w:pPr>
        <w:pStyle w:val="ListParagraph"/>
        <w:numPr>
          <w:ilvl w:val="0"/>
          <w:numId w:val="51"/>
        </w:numPr>
        <w:autoSpaceDE w:val="0"/>
        <w:spacing w:after="0"/>
        <w:ind w:left="284" w:hanging="284"/>
        <w:rPr>
          <w:rFonts w:cstheme="minorHAnsi"/>
          <w:bCs/>
        </w:rPr>
      </w:pPr>
      <w:r w:rsidRPr="00C51E0C">
        <w:rPr>
          <w:rFonts w:cstheme="minorHAnsi"/>
          <w:bCs/>
        </w:rPr>
        <w:t>M</w:t>
      </w:r>
      <w:r>
        <w:rPr>
          <w:rFonts w:cstheme="minorHAnsi"/>
          <w:bCs/>
        </w:rPr>
        <w:t>icro-</w:t>
      </w:r>
      <w:r w:rsidR="002B53DF" w:rsidRPr="00C51E0C">
        <w:rPr>
          <w:rFonts w:cstheme="minorHAnsi"/>
          <w:bCs/>
        </w:rPr>
        <w:t>VAWTs are relatively new and have varying shapes and designs</w:t>
      </w:r>
      <w:r w:rsidR="00345D35" w:rsidRPr="00C51E0C">
        <w:rPr>
          <w:rFonts w:cstheme="minorHAnsi"/>
          <w:bCs/>
        </w:rPr>
        <w:t xml:space="preserve"> with the rotor axis </w:t>
      </w:r>
      <w:r w:rsidR="00511617">
        <w:rPr>
          <w:rFonts w:cstheme="minorHAnsi"/>
          <w:bCs/>
        </w:rPr>
        <w:t>perpendicular to the ground</w:t>
      </w:r>
      <w:r w:rsidR="002B53DF" w:rsidRPr="00C51E0C">
        <w:rPr>
          <w:rFonts w:cstheme="minorHAnsi"/>
          <w:bCs/>
        </w:rPr>
        <w:t>.</w:t>
      </w:r>
      <w:r w:rsidR="00511617">
        <w:rPr>
          <w:rFonts w:cstheme="minorHAnsi"/>
          <w:bCs/>
        </w:rPr>
        <w:t xml:space="preserve"> Because VAWT is able to capture wind flowing in all directions, it is best suited to urban areas and could still generate power even at a shorter height, making it easier to maintain and/or decommissioned. Unlike in HAWT, VAWT do not </w:t>
      </w:r>
      <w:r w:rsidR="007F1623">
        <w:rPr>
          <w:rFonts w:cstheme="minorHAnsi"/>
          <w:bCs/>
        </w:rPr>
        <w:t>need</w:t>
      </w:r>
      <w:r w:rsidR="00511617">
        <w:rPr>
          <w:rFonts w:cstheme="minorHAnsi"/>
          <w:bCs/>
        </w:rPr>
        <w:t xml:space="preserve"> self-starting and/or yaw</w:t>
      </w:r>
      <w:r w:rsidR="007F1623">
        <w:rPr>
          <w:rFonts w:cstheme="minorHAnsi"/>
          <w:bCs/>
        </w:rPr>
        <w:t xml:space="preserve"> mechanisms</w:t>
      </w:r>
      <w:r w:rsidR="00430D1D">
        <w:rPr>
          <w:rFonts w:cstheme="minorHAnsi"/>
          <w:bCs/>
        </w:rPr>
        <w:t>. VAWT are in two categories</w:t>
      </w:r>
      <w:r w:rsidR="00511617">
        <w:rPr>
          <w:rFonts w:cstheme="minorHAnsi"/>
          <w:bCs/>
        </w:rPr>
        <w:t xml:space="preserve"> </w:t>
      </w:r>
      <w:r w:rsidR="00511617" w:rsidRPr="00FD0F70">
        <w:rPr>
          <w:rFonts w:cstheme="minorHAnsi"/>
          <w:bCs/>
        </w:rPr>
        <w:t>(</w:t>
      </w:r>
      <w:r w:rsidR="00511617">
        <w:t>Tummala et al., 2016</w:t>
      </w:r>
      <w:r w:rsidR="00511617" w:rsidRPr="00C51E0C">
        <w:rPr>
          <w:rFonts w:cstheme="minorHAnsi"/>
          <w:bCs/>
        </w:rPr>
        <w:t>)</w:t>
      </w:r>
      <w:r w:rsidR="00430D1D">
        <w:rPr>
          <w:rFonts w:cstheme="minorHAnsi"/>
          <w:bCs/>
        </w:rPr>
        <w:t xml:space="preserve">: </w:t>
      </w:r>
    </w:p>
    <w:p w14:paraId="4BB276D3" w14:textId="77777777" w:rsidR="006E63EC" w:rsidRPr="006E63EC" w:rsidRDefault="006E63EC" w:rsidP="003D50A7">
      <w:pPr>
        <w:autoSpaceDE w:val="0"/>
        <w:spacing w:after="0"/>
        <w:ind w:left="284" w:hanging="284"/>
        <w:rPr>
          <w:rFonts w:cstheme="minorHAnsi"/>
          <w:bCs/>
        </w:rPr>
      </w:pPr>
    </w:p>
    <w:p w14:paraId="433A2209" w14:textId="13B4EB88" w:rsidR="00430D1D" w:rsidRDefault="00430D1D" w:rsidP="003D50A7">
      <w:pPr>
        <w:pStyle w:val="ListParagraph"/>
        <w:numPr>
          <w:ilvl w:val="0"/>
          <w:numId w:val="52"/>
        </w:numPr>
        <w:autoSpaceDE w:val="0"/>
        <w:spacing w:after="0"/>
        <w:ind w:left="284" w:hanging="284"/>
        <w:rPr>
          <w:rFonts w:cstheme="minorHAnsi"/>
          <w:bCs/>
        </w:rPr>
      </w:pPr>
      <w:r w:rsidRPr="00775666">
        <w:rPr>
          <w:rFonts w:cstheme="minorHAnsi"/>
          <w:b/>
          <w:bCs/>
        </w:rPr>
        <w:t>Darrieus wind turbine</w:t>
      </w:r>
      <w:r>
        <w:rPr>
          <w:rFonts w:cstheme="minorHAnsi"/>
          <w:bCs/>
        </w:rPr>
        <w:t xml:space="preserve"> – characterized by straight or curved blades anchored on a vertical hub, and usually driven by the lift forces of the rotating blades; </w:t>
      </w:r>
    </w:p>
    <w:p w14:paraId="36A5DA4F" w14:textId="77777777" w:rsidR="006E63EC" w:rsidRDefault="006E63EC" w:rsidP="003D50A7">
      <w:pPr>
        <w:pStyle w:val="ListParagraph"/>
        <w:autoSpaceDE w:val="0"/>
        <w:spacing w:after="0"/>
        <w:ind w:left="284" w:hanging="284"/>
        <w:rPr>
          <w:rFonts w:cstheme="minorHAnsi"/>
          <w:bCs/>
        </w:rPr>
      </w:pPr>
    </w:p>
    <w:p w14:paraId="784EB13E" w14:textId="57BF556F" w:rsidR="00511617" w:rsidRPr="006E63EC" w:rsidRDefault="00430D1D" w:rsidP="003D50A7">
      <w:pPr>
        <w:pStyle w:val="ListParagraph"/>
        <w:numPr>
          <w:ilvl w:val="0"/>
          <w:numId w:val="52"/>
        </w:numPr>
        <w:autoSpaceDE w:val="0"/>
        <w:spacing w:after="0"/>
        <w:ind w:left="284" w:hanging="284"/>
        <w:rPr>
          <w:rFonts w:cstheme="minorHAnsi"/>
          <w:bCs/>
        </w:rPr>
      </w:pPr>
      <w:r w:rsidRPr="00775666">
        <w:rPr>
          <w:rFonts w:cstheme="minorHAnsi"/>
          <w:b/>
          <w:bCs/>
        </w:rPr>
        <w:t>Savonius wind turbine</w:t>
      </w:r>
      <w:r>
        <w:rPr>
          <w:rFonts w:cstheme="minorHAnsi"/>
          <w:bCs/>
        </w:rPr>
        <w:t xml:space="preserve"> – characterized by S-shaped cross-section </w:t>
      </w:r>
      <w:r w:rsidR="00C5505A">
        <w:rPr>
          <w:rFonts w:cstheme="minorHAnsi"/>
          <w:bCs/>
        </w:rPr>
        <w:t>visible</w:t>
      </w:r>
      <w:r>
        <w:rPr>
          <w:rFonts w:cstheme="minorHAnsi"/>
          <w:bCs/>
        </w:rPr>
        <w:t xml:space="preserve"> from </w:t>
      </w:r>
      <w:r w:rsidR="00C5505A">
        <w:rPr>
          <w:rFonts w:cstheme="minorHAnsi"/>
          <w:bCs/>
        </w:rPr>
        <w:t xml:space="preserve">top view, </w:t>
      </w:r>
      <w:r w:rsidR="006E63EC">
        <w:rPr>
          <w:rFonts w:cstheme="minorHAnsi"/>
          <w:bCs/>
        </w:rPr>
        <w:t>a</w:t>
      </w:r>
      <w:r w:rsidR="00C5505A" w:rsidRPr="006E63EC">
        <w:rPr>
          <w:rFonts w:cstheme="minorHAnsi"/>
          <w:bCs/>
        </w:rPr>
        <w:t>nd</w:t>
      </w:r>
      <w:r w:rsidR="006E63EC" w:rsidRPr="006E63EC">
        <w:rPr>
          <w:rFonts w:cstheme="minorHAnsi"/>
          <w:bCs/>
        </w:rPr>
        <w:t xml:space="preserve"> </w:t>
      </w:r>
      <w:r w:rsidR="00C5505A" w:rsidRPr="006E63EC">
        <w:rPr>
          <w:rFonts w:cstheme="minorHAnsi"/>
          <w:bCs/>
        </w:rPr>
        <w:t xml:space="preserve">it is driven by differential drag forces that help the turbine to spin. Because it is drag drive, it has lower efficiency when compared to other counterparts. </w:t>
      </w:r>
    </w:p>
    <w:p w14:paraId="4C9EF120" w14:textId="29340364" w:rsidR="001B6292" w:rsidRPr="001B6292" w:rsidRDefault="002B53DF" w:rsidP="003D50A7">
      <w:pPr>
        <w:pStyle w:val="ListParagraph"/>
        <w:autoSpaceDE w:val="0"/>
        <w:spacing w:after="0"/>
        <w:ind w:left="0"/>
        <w:rPr>
          <w:rFonts w:cstheme="minorHAnsi"/>
          <w:bCs/>
        </w:rPr>
      </w:pPr>
      <w:r w:rsidRPr="00C51E0C">
        <w:rPr>
          <w:rFonts w:cstheme="minorHAnsi"/>
          <w:bCs/>
        </w:rPr>
        <w:t xml:space="preserve">A survey done in 2011 indicated that of a sample set of 327 small wind manufacturers, 74% had invested in </w:t>
      </w:r>
      <w:r w:rsidR="009B6BC6" w:rsidRPr="008579FD">
        <w:rPr>
          <w:rFonts w:cstheme="minorHAnsi"/>
          <w:bCs/>
        </w:rPr>
        <w:t>m</w:t>
      </w:r>
      <w:r w:rsidRPr="008579FD">
        <w:rPr>
          <w:rFonts w:cstheme="minorHAnsi"/>
          <w:bCs/>
        </w:rPr>
        <w:t xml:space="preserve">HAWTs, while only 18% had adopted </w:t>
      </w:r>
      <w:r w:rsidR="009B6BC6" w:rsidRPr="008579FD">
        <w:rPr>
          <w:rFonts w:cstheme="minorHAnsi"/>
          <w:bCs/>
        </w:rPr>
        <w:t>m</w:t>
      </w:r>
      <w:r w:rsidRPr="008579FD">
        <w:rPr>
          <w:rFonts w:cstheme="minorHAnsi"/>
          <w:bCs/>
        </w:rPr>
        <w:t>VAWTs</w:t>
      </w:r>
      <w:r w:rsidR="00CC5263" w:rsidRPr="008579FD">
        <w:rPr>
          <w:rFonts w:cstheme="minorHAnsi"/>
          <w:bCs/>
        </w:rPr>
        <w:t xml:space="preserve"> (WWEA, 2016)</w:t>
      </w:r>
      <w:r w:rsidRPr="002B53DF">
        <w:footnoteReference w:id="1"/>
      </w:r>
      <w:r w:rsidRPr="00C51E0C">
        <w:rPr>
          <w:rFonts w:cstheme="minorHAnsi"/>
          <w:bCs/>
        </w:rPr>
        <w:t xml:space="preserve">. The primary advantage of </w:t>
      </w:r>
      <w:r w:rsidR="00CE4140" w:rsidRPr="00C51E0C">
        <w:rPr>
          <w:rFonts w:cstheme="minorHAnsi"/>
          <w:bCs/>
        </w:rPr>
        <w:t>m</w:t>
      </w:r>
      <w:r w:rsidRPr="00C51E0C">
        <w:rPr>
          <w:rFonts w:cstheme="minorHAnsi"/>
          <w:bCs/>
        </w:rPr>
        <w:t xml:space="preserve">VAWTs is that they are able to capture winds from any direction. MWTs are installed mostly in wind regimes close to the ground, or in turbulent urban environments. The added benefit of a MWT being omnidirectional may prove critical. But since this technology is still so young and untested, additional information is need to prove the validity of the </w:t>
      </w:r>
      <w:r w:rsidR="001D49CF" w:rsidRPr="00C51E0C">
        <w:rPr>
          <w:rFonts w:cstheme="minorHAnsi"/>
          <w:bCs/>
        </w:rPr>
        <w:t>m</w:t>
      </w:r>
      <w:r w:rsidRPr="00C51E0C">
        <w:rPr>
          <w:rFonts w:cstheme="minorHAnsi"/>
          <w:bCs/>
        </w:rPr>
        <w:t>VAWT industry’s claims</w:t>
      </w:r>
      <w:r w:rsidR="006E1CCE" w:rsidRPr="00C51E0C">
        <w:rPr>
          <w:rFonts w:cstheme="minorHAnsi"/>
          <w:bCs/>
        </w:rPr>
        <w:t xml:space="preserve"> (Figure 1.4)</w:t>
      </w:r>
      <w:r w:rsidR="001B6292">
        <w:rPr>
          <w:rFonts w:cstheme="minorHAnsi"/>
          <w:bCs/>
        </w:rPr>
        <w:t>.</w:t>
      </w:r>
    </w:p>
    <w:p w14:paraId="4069E9F3" w14:textId="77777777" w:rsidR="002B53DF" w:rsidRPr="002B53DF" w:rsidRDefault="002B53DF" w:rsidP="002B53DF">
      <w:pPr>
        <w:autoSpaceDE w:val="0"/>
        <w:spacing w:after="0"/>
        <w:rPr>
          <w:rFonts w:cstheme="minorHAnsi"/>
          <w:bCs/>
        </w:rPr>
      </w:pPr>
    </w:p>
    <w:p w14:paraId="3A40DFE7" w14:textId="50A446A5" w:rsidR="002B53DF" w:rsidRDefault="002B53DF" w:rsidP="006E1CCE">
      <w:pPr>
        <w:autoSpaceDE w:val="0"/>
        <w:spacing w:after="0"/>
        <w:jc w:val="center"/>
        <w:rPr>
          <w:rFonts w:cstheme="minorHAnsi"/>
          <w:bCs/>
        </w:rPr>
      </w:pPr>
    </w:p>
    <w:p w14:paraId="0B9A766F" w14:textId="5FB99622" w:rsidR="006E6919" w:rsidRPr="002B53DF" w:rsidRDefault="006E6919" w:rsidP="006E1CCE">
      <w:pPr>
        <w:autoSpaceDE w:val="0"/>
        <w:spacing w:after="0"/>
        <w:jc w:val="center"/>
        <w:rPr>
          <w:rFonts w:cstheme="minorHAnsi"/>
          <w:bCs/>
        </w:rPr>
      </w:pPr>
      <w:r>
        <w:rPr>
          <w:noProof/>
        </w:rPr>
        <w:drawing>
          <wp:inline distT="0" distB="0" distL="0" distR="0" wp14:anchorId="554F56FD" wp14:editId="7EDC4125">
            <wp:extent cx="5117824" cy="3181350"/>
            <wp:effectExtent l="0" t="0" r="6985" b="0"/>
            <wp:docPr id="2" name="Picture 2" descr="-The diagram shows horizontal and vertical axis wind turbine design (Scottish government 2010).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horizontal and vertical axis wind turbine design (Scottish government 2010). Â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745" cy="3189382"/>
                    </a:xfrm>
                    <a:prstGeom prst="rect">
                      <a:avLst/>
                    </a:prstGeom>
                    <a:noFill/>
                    <a:ln>
                      <a:noFill/>
                    </a:ln>
                  </pic:spPr>
                </pic:pic>
              </a:graphicData>
            </a:graphic>
          </wp:inline>
        </w:drawing>
      </w:r>
    </w:p>
    <w:p w14:paraId="65DA657A" w14:textId="19105DEB" w:rsidR="002B53DF" w:rsidRPr="006E1CCE" w:rsidRDefault="002B53DF" w:rsidP="006E1CCE">
      <w:pPr>
        <w:autoSpaceDE w:val="0"/>
        <w:spacing w:after="0"/>
        <w:jc w:val="center"/>
        <w:rPr>
          <w:i/>
          <w:iCs/>
          <w:color w:val="1F497D" w:themeColor="text2"/>
          <w:sz w:val="18"/>
          <w:szCs w:val="18"/>
        </w:rPr>
      </w:pPr>
      <w:r w:rsidRPr="006E1CCE">
        <w:rPr>
          <w:i/>
          <w:iCs/>
          <w:color w:val="1F497D" w:themeColor="text2"/>
          <w:sz w:val="18"/>
          <w:szCs w:val="18"/>
        </w:rPr>
        <w:t xml:space="preserve">Figure </w:t>
      </w:r>
      <w:r w:rsidR="006E1CCE">
        <w:rPr>
          <w:i/>
          <w:iCs/>
          <w:color w:val="1F497D" w:themeColor="text2"/>
          <w:sz w:val="18"/>
          <w:szCs w:val="18"/>
        </w:rPr>
        <w:t>1.4</w:t>
      </w:r>
      <w:r w:rsidRPr="006E1CCE">
        <w:rPr>
          <w:i/>
          <w:iCs/>
          <w:color w:val="1F497D" w:themeColor="text2"/>
          <w:sz w:val="18"/>
          <w:szCs w:val="18"/>
        </w:rPr>
        <w:t xml:space="preserve">  The left figure shows </w:t>
      </w:r>
      <w:r w:rsidR="001962E7">
        <w:rPr>
          <w:i/>
          <w:iCs/>
          <w:color w:val="1F497D" w:themeColor="text2"/>
          <w:sz w:val="18"/>
          <w:szCs w:val="18"/>
        </w:rPr>
        <w:t>m</w:t>
      </w:r>
      <w:r w:rsidRPr="006E1CCE">
        <w:rPr>
          <w:i/>
          <w:iCs/>
          <w:color w:val="1F497D" w:themeColor="text2"/>
          <w:sz w:val="18"/>
          <w:szCs w:val="18"/>
        </w:rPr>
        <w:t>HAWT . The figure on the right depicts a</w:t>
      </w:r>
      <w:r w:rsidR="001B6292">
        <w:rPr>
          <w:i/>
          <w:iCs/>
          <w:color w:val="1F497D" w:themeColor="text2"/>
          <w:sz w:val="18"/>
          <w:szCs w:val="18"/>
        </w:rPr>
        <w:t xml:space="preserve"> Darrieus-type</w:t>
      </w:r>
      <w:r w:rsidRPr="006E1CCE">
        <w:rPr>
          <w:i/>
          <w:iCs/>
          <w:color w:val="1F497D" w:themeColor="text2"/>
          <w:sz w:val="18"/>
          <w:szCs w:val="18"/>
        </w:rPr>
        <w:t xml:space="preserve"> </w:t>
      </w:r>
      <w:r w:rsidR="001962E7">
        <w:rPr>
          <w:i/>
          <w:iCs/>
          <w:color w:val="1F497D" w:themeColor="text2"/>
          <w:sz w:val="18"/>
          <w:szCs w:val="18"/>
        </w:rPr>
        <w:t>m</w:t>
      </w:r>
      <w:r w:rsidRPr="006E1CCE">
        <w:rPr>
          <w:i/>
          <w:iCs/>
          <w:color w:val="1F497D" w:themeColor="text2"/>
          <w:sz w:val="18"/>
          <w:szCs w:val="18"/>
        </w:rPr>
        <w:t xml:space="preserve">VAWT </w:t>
      </w:r>
      <w:r w:rsidR="006E6919">
        <w:rPr>
          <w:i/>
          <w:iCs/>
          <w:color w:val="1F497D" w:themeColor="text2"/>
          <w:sz w:val="18"/>
          <w:szCs w:val="18"/>
        </w:rPr>
        <w:t>(</w:t>
      </w:r>
      <w:r w:rsidR="003D50A7">
        <w:rPr>
          <w:i/>
          <w:iCs/>
          <w:color w:val="1F497D" w:themeColor="text2"/>
          <w:sz w:val="18"/>
          <w:szCs w:val="18"/>
        </w:rPr>
        <w:t xml:space="preserve">Source: </w:t>
      </w:r>
      <w:r w:rsidR="006E6919">
        <w:rPr>
          <w:i/>
          <w:iCs/>
          <w:color w:val="1F497D" w:themeColor="text2"/>
          <w:sz w:val="18"/>
          <w:szCs w:val="18"/>
        </w:rPr>
        <w:t>Spence, 2012)</w:t>
      </w:r>
    </w:p>
    <w:p w14:paraId="21385F98" w14:textId="77777777" w:rsidR="002B53DF" w:rsidRPr="005F5705" w:rsidRDefault="002B53DF" w:rsidP="00554184">
      <w:pPr>
        <w:rPr>
          <w:rFonts w:cstheme="minorHAnsi"/>
          <w:bCs/>
        </w:rPr>
      </w:pPr>
    </w:p>
    <w:p w14:paraId="111F4010" w14:textId="30EDEB54" w:rsidR="00434F61" w:rsidRPr="00E069AC" w:rsidRDefault="00507E76" w:rsidP="00EB247F">
      <w:pPr>
        <w:pStyle w:val="Heading2"/>
      </w:pPr>
      <w:bookmarkStart w:id="10" w:name="_Toc23613440"/>
      <w:r>
        <w:t xml:space="preserve">1.2 </w:t>
      </w:r>
      <w:r w:rsidR="551A77D0" w:rsidRPr="00E069AC">
        <w:t>Adoption Path</w:t>
      </w:r>
      <w:bookmarkEnd w:id="10"/>
    </w:p>
    <w:p w14:paraId="2027DBA6" w14:textId="36E957DA" w:rsidR="00D1508C" w:rsidRPr="00E069AC" w:rsidRDefault="00507E76" w:rsidP="005D49A8">
      <w:pPr>
        <w:pStyle w:val="Heading3"/>
      </w:pPr>
      <w:bookmarkStart w:id="11" w:name="_Toc23613441"/>
      <w:r>
        <w:t xml:space="preserve">1.2.1 </w:t>
      </w:r>
      <w:r w:rsidR="551A77D0" w:rsidRPr="00E069AC">
        <w:t>Current Adoption</w:t>
      </w:r>
      <w:bookmarkEnd w:id="11"/>
    </w:p>
    <w:p w14:paraId="1828A8FB" w14:textId="39627C2B" w:rsidR="005F5705" w:rsidRDefault="00BB7662" w:rsidP="00775666">
      <w:pPr>
        <w:rPr>
          <w:rFonts w:cstheme="minorHAnsi"/>
          <w:bCs/>
        </w:rPr>
      </w:pPr>
      <w:r w:rsidRPr="00BB7662">
        <w:rPr>
          <w:rFonts w:cstheme="minorHAnsi"/>
          <w:bCs/>
        </w:rPr>
        <w:t>Th current adoption of micro wind turbines, estimated from installed capacity figures at 0.007 percent (1.</w:t>
      </w:r>
      <w:r w:rsidR="001962E7">
        <w:rPr>
          <w:rFonts w:cstheme="minorHAnsi"/>
          <w:bCs/>
        </w:rPr>
        <w:t xml:space="preserve">72 </w:t>
      </w:r>
      <w:r w:rsidRPr="00BB7662">
        <w:rPr>
          <w:rFonts w:cstheme="minorHAnsi"/>
          <w:bCs/>
        </w:rPr>
        <w:t xml:space="preserve">terawatt-hours) of global generation (WWEA, 2016). </w:t>
      </w:r>
      <w:r w:rsidR="005F5705" w:rsidRPr="00C84E91">
        <w:rPr>
          <w:rFonts w:cstheme="minorHAnsi"/>
          <w:bCs/>
        </w:rPr>
        <w:t>MWTs are manufactured primarily in five countries: US, China, UK, Germany and Canada.</w:t>
      </w:r>
      <w:r w:rsidR="005F5705" w:rsidRPr="00C84E91">
        <w:rPr>
          <w:rFonts w:cstheme="minorHAnsi"/>
          <w:shd w:val="clear" w:color="auto" w:fill="FFFFFF"/>
        </w:rPr>
        <w:t xml:space="preserve">. </w:t>
      </w:r>
      <w:r w:rsidR="007548D8">
        <w:rPr>
          <w:rFonts w:cstheme="minorHAnsi"/>
          <w:shd w:val="clear" w:color="auto" w:fill="FFFFFF"/>
        </w:rPr>
        <w:t>In 2017, t</w:t>
      </w:r>
      <w:r w:rsidR="007548D8" w:rsidRPr="00C84E91">
        <w:rPr>
          <w:rFonts w:cstheme="minorHAnsi"/>
          <w:shd w:val="clear" w:color="auto" w:fill="FFFFFF"/>
        </w:rPr>
        <w:t xml:space="preserve">he majority of MWTs are installed in just </w:t>
      </w:r>
      <w:r w:rsidR="00054F4B">
        <w:rPr>
          <w:rFonts w:cstheme="minorHAnsi"/>
          <w:shd w:val="clear" w:color="auto" w:fill="FFFFFF"/>
        </w:rPr>
        <w:t>four</w:t>
      </w:r>
      <w:r w:rsidR="007548D8" w:rsidRPr="00C84E91">
        <w:rPr>
          <w:rFonts w:cstheme="minorHAnsi"/>
          <w:shd w:val="clear" w:color="auto" w:fill="FFFFFF"/>
        </w:rPr>
        <w:t xml:space="preserve"> countries: China (4</w:t>
      </w:r>
      <w:r w:rsidR="007548D8">
        <w:rPr>
          <w:rFonts w:cstheme="minorHAnsi"/>
          <w:shd w:val="clear" w:color="auto" w:fill="FFFFFF"/>
        </w:rPr>
        <w:t>4</w:t>
      </w:r>
      <w:r w:rsidR="007548D8" w:rsidRPr="00C84E91">
        <w:rPr>
          <w:rFonts w:cstheme="minorHAnsi"/>
          <w:shd w:val="clear" w:color="auto" w:fill="FFFFFF"/>
        </w:rPr>
        <w:t>%), U</w:t>
      </w:r>
      <w:r w:rsidR="007548D8">
        <w:rPr>
          <w:rFonts w:cstheme="minorHAnsi"/>
          <w:shd w:val="clear" w:color="auto" w:fill="FFFFFF"/>
        </w:rPr>
        <w:t>S</w:t>
      </w:r>
      <w:r w:rsidR="007548D8" w:rsidRPr="00C84E91">
        <w:rPr>
          <w:rFonts w:cstheme="minorHAnsi"/>
          <w:shd w:val="clear" w:color="auto" w:fill="FFFFFF"/>
        </w:rPr>
        <w:t xml:space="preserve"> (</w:t>
      </w:r>
      <w:r w:rsidR="007548D8">
        <w:rPr>
          <w:rFonts w:cstheme="minorHAnsi"/>
          <w:shd w:val="clear" w:color="auto" w:fill="FFFFFF"/>
        </w:rPr>
        <w:t>2</w:t>
      </w:r>
      <w:r w:rsidR="007548D8" w:rsidRPr="00C84E91">
        <w:rPr>
          <w:rFonts w:cstheme="minorHAnsi"/>
          <w:shd w:val="clear" w:color="auto" w:fill="FFFFFF"/>
        </w:rPr>
        <w:t>5%)</w:t>
      </w:r>
      <w:r w:rsidR="008775D1">
        <w:rPr>
          <w:rFonts w:cstheme="minorHAnsi"/>
          <w:shd w:val="clear" w:color="auto" w:fill="FFFFFF"/>
        </w:rPr>
        <w:t>,</w:t>
      </w:r>
      <w:r w:rsidR="007548D8" w:rsidRPr="00C84E91">
        <w:rPr>
          <w:rFonts w:cstheme="minorHAnsi"/>
          <w:shd w:val="clear" w:color="auto" w:fill="FFFFFF"/>
        </w:rPr>
        <w:t xml:space="preserve"> U</w:t>
      </w:r>
      <w:r w:rsidR="007548D8">
        <w:rPr>
          <w:rFonts w:cstheme="minorHAnsi"/>
          <w:shd w:val="clear" w:color="auto" w:fill="FFFFFF"/>
        </w:rPr>
        <w:t>K</w:t>
      </w:r>
      <w:r w:rsidR="007548D8" w:rsidRPr="00C84E91">
        <w:rPr>
          <w:rFonts w:cstheme="minorHAnsi"/>
          <w:shd w:val="clear" w:color="auto" w:fill="FFFFFF"/>
        </w:rPr>
        <w:t xml:space="preserve"> (</w:t>
      </w:r>
      <w:r w:rsidR="007548D8">
        <w:rPr>
          <w:rFonts w:cstheme="minorHAnsi"/>
          <w:shd w:val="clear" w:color="auto" w:fill="FFFFFF"/>
        </w:rPr>
        <w:t>15</w:t>
      </w:r>
      <w:r w:rsidR="007548D8" w:rsidRPr="00C84E91">
        <w:rPr>
          <w:rFonts w:cstheme="minorHAnsi"/>
          <w:shd w:val="clear" w:color="auto" w:fill="FFFFFF"/>
        </w:rPr>
        <w:t>%)</w:t>
      </w:r>
      <w:r w:rsidR="008775D1">
        <w:rPr>
          <w:rFonts w:cstheme="minorHAnsi"/>
          <w:shd w:val="clear" w:color="auto" w:fill="FFFFFF"/>
        </w:rPr>
        <w:t>, and Italy (6.</w:t>
      </w:r>
      <w:r w:rsidR="00BF645D">
        <w:rPr>
          <w:rFonts w:cstheme="minorHAnsi"/>
          <w:shd w:val="clear" w:color="auto" w:fill="FFFFFF"/>
        </w:rPr>
        <w:t>3</w:t>
      </w:r>
      <w:r w:rsidR="008775D1">
        <w:rPr>
          <w:rFonts w:cstheme="minorHAnsi"/>
          <w:shd w:val="clear" w:color="auto" w:fill="FFFFFF"/>
        </w:rPr>
        <w:t>%)</w:t>
      </w:r>
      <w:r w:rsidR="00BF645D">
        <w:rPr>
          <w:rFonts w:cstheme="minorHAnsi"/>
          <w:shd w:val="clear" w:color="auto" w:fill="FFFFFF"/>
        </w:rPr>
        <w:t xml:space="preserve"> (WWEA, 2017)</w:t>
      </w:r>
      <w:r w:rsidR="007548D8">
        <w:rPr>
          <w:rFonts w:cstheme="minorHAnsi"/>
          <w:shd w:val="clear" w:color="auto" w:fill="FFFFFF"/>
        </w:rPr>
        <w:t xml:space="preserve">. </w:t>
      </w:r>
      <w:r w:rsidR="005F5705" w:rsidRPr="00C84E91">
        <w:rPr>
          <w:rFonts w:cstheme="minorHAnsi"/>
          <w:shd w:val="clear" w:color="auto" w:fill="FFFFFF"/>
        </w:rPr>
        <w:t xml:space="preserve">China </w:t>
      </w:r>
      <w:r w:rsidR="00BF645D">
        <w:rPr>
          <w:rFonts w:cstheme="minorHAnsi"/>
          <w:shd w:val="clear" w:color="auto" w:fill="FFFFFF"/>
        </w:rPr>
        <w:t xml:space="preserve">remains a </w:t>
      </w:r>
      <w:r w:rsidR="005F5705" w:rsidRPr="00C84E91">
        <w:rPr>
          <w:rFonts w:cstheme="minorHAnsi"/>
          <w:shd w:val="clear" w:color="auto" w:fill="FFFFFF"/>
        </w:rPr>
        <w:t>domina</w:t>
      </w:r>
      <w:r w:rsidR="00BF645D">
        <w:rPr>
          <w:rFonts w:cstheme="minorHAnsi"/>
          <w:shd w:val="clear" w:color="auto" w:fill="FFFFFF"/>
        </w:rPr>
        <w:t>n</w:t>
      </w:r>
      <w:r w:rsidR="005F5705" w:rsidRPr="00C84E91">
        <w:rPr>
          <w:rFonts w:cstheme="minorHAnsi"/>
          <w:shd w:val="clear" w:color="auto" w:fill="FFFFFF"/>
        </w:rPr>
        <w:t>t</w:t>
      </w:r>
      <w:r w:rsidR="00BF645D">
        <w:rPr>
          <w:rFonts w:cstheme="minorHAnsi"/>
          <w:shd w:val="clear" w:color="auto" w:fill="FFFFFF"/>
        </w:rPr>
        <w:t xml:space="preserve"> market and it is </w:t>
      </w:r>
      <w:r w:rsidR="005F5705" w:rsidRPr="00C84E91">
        <w:rPr>
          <w:rFonts w:cstheme="minorHAnsi"/>
          <w:shd w:val="clear" w:color="auto" w:fill="FFFFFF"/>
        </w:rPr>
        <w:t xml:space="preserve"> home to </w:t>
      </w:r>
      <w:r w:rsidR="00BF645D">
        <w:rPr>
          <w:rFonts w:cstheme="minorHAnsi"/>
          <w:shd w:val="clear" w:color="auto" w:fill="FFFFFF"/>
        </w:rPr>
        <w:t xml:space="preserve">almost </w:t>
      </w:r>
      <w:r w:rsidR="005F5705" w:rsidRPr="00C84E91">
        <w:rPr>
          <w:rFonts w:cstheme="minorHAnsi"/>
          <w:shd w:val="clear" w:color="auto" w:fill="FFFFFF"/>
        </w:rPr>
        <w:t xml:space="preserve"> half of </w:t>
      </w:r>
      <w:r w:rsidR="000B6726">
        <w:rPr>
          <w:rFonts w:cstheme="minorHAnsi"/>
          <w:shd w:val="clear" w:color="auto" w:fill="FFFFFF"/>
        </w:rPr>
        <w:t xml:space="preserve">the global </w:t>
      </w:r>
      <w:r w:rsidR="005F5705" w:rsidRPr="00C84E91">
        <w:rPr>
          <w:rFonts w:cstheme="minorHAnsi"/>
          <w:shd w:val="clear" w:color="auto" w:fill="FFFFFF"/>
        </w:rPr>
        <w:t>installed MWT capacity</w:t>
      </w:r>
      <w:r w:rsidR="000B6726">
        <w:rPr>
          <w:rFonts w:cstheme="minorHAnsi"/>
          <w:shd w:val="clear" w:color="auto" w:fill="FFFFFF"/>
        </w:rPr>
        <w:t xml:space="preserve"> since 2015 to date</w:t>
      </w:r>
      <w:r w:rsidR="005F5705">
        <w:rPr>
          <w:rFonts w:cstheme="minorHAnsi"/>
          <w:bCs/>
        </w:rPr>
        <w:t xml:space="preserve"> (WWEA, 2015)</w:t>
      </w:r>
      <w:r w:rsidR="006E1CCE">
        <w:rPr>
          <w:rFonts w:cstheme="minorHAnsi"/>
          <w:bCs/>
        </w:rPr>
        <w:t xml:space="preserve"> (Figure 1.5)</w:t>
      </w:r>
      <w:r w:rsidR="005F5705">
        <w:rPr>
          <w:rFonts w:cstheme="minorHAnsi"/>
          <w:bCs/>
        </w:rPr>
        <w:t>.</w:t>
      </w:r>
    </w:p>
    <w:p w14:paraId="3D0ADACD" w14:textId="1038EBC0" w:rsidR="00C32807" w:rsidRPr="00C84E91" w:rsidRDefault="00362CA0" w:rsidP="00775666">
      <w:pPr>
        <w:jc w:val="center"/>
        <w:rPr>
          <w:rFonts w:cstheme="minorHAnsi"/>
          <w:bCs/>
        </w:rPr>
      </w:pPr>
      <w:r w:rsidRPr="00362CA0">
        <w:t xml:space="preserve"> </w:t>
      </w:r>
      <w:r>
        <w:rPr>
          <w:noProof/>
        </w:rPr>
        <w:drawing>
          <wp:inline distT="0" distB="0" distL="0" distR="0" wp14:anchorId="396E6DCA" wp14:editId="67B392F2">
            <wp:extent cx="4109137" cy="174740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1634"/>
                    <a:stretch/>
                  </pic:blipFill>
                  <pic:spPr bwMode="auto">
                    <a:xfrm>
                      <a:off x="0" y="0"/>
                      <a:ext cx="4120997" cy="1752451"/>
                    </a:xfrm>
                    <a:prstGeom prst="rect">
                      <a:avLst/>
                    </a:prstGeom>
                    <a:noFill/>
                    <a:ln>
                      <a:noFill/>
                    </a:ln>
                    <a:extLst>
                      <a:ext uri="{53640926-AAD7-44D8-BBD7-CCE9431645EC}">
                        <a14:shadowObscured xmlns:a14="http://schemas.microsoft.com/office/drawing/2010/main"/>
                      </a:ext>
                    </a:extLst>
                  </pic:spPr>
                </pic:pic>
              </a:graphicData>
            </a:graphic>
          </wp:inline>
        </w:drawing>
      </w:r>
    </w:p>
    <w:p w14:paraId="4F6804A8" w14:textId="46EFBE7E" w:rsidR="00A206E9" w:rsidRPr="006A3B29" w:rsidRDefault="005F5705" w:rsidP="006A3B29">
      <w:pPr>
        <w:jc w:val="center"/>
        <w:rPr>
          <w:i/>
          <w:iCs/>
          <w:color w:val="1F497D" w:themeColor="text2"/>
          <w:sz w:val="18"/>
          <w:szCs w:val="18"/>
        </w:rPr>
      </w:pPr>
      <w:r w:rsidRPr="005F5705">
        <w:rPr>
          <w:i/>
          <w:iCs/>
          <w:color w:val="1F497D" w:themeColor="text2"/>
          <w:sz w:val="18"/>
          <w:szCs w:val="18"/>
        </w:rPr>
        <w:t>Figure 1.</w:t>
      </w:r>
      <w:r w:rsidR="006E1CCE">
        <w:rPr>
          <w:i/>
          <w:iCs/>
          <w:color w:val="1F497D" w:themeColor="text2"/>
          <w:sz w:val="18"/>
          <w:szCs w:val="18"/>
        </w:rPr>
        <w:t>5</w:t>
      </w:r>
      <w:r w:rsidRPr="005F5705">
        <w:rPr>
          <w:i/>
          <w:iCs/>
          <w:color w:val="1F497D" w:themeColor="text2"/>
          <w:sz w:val="18"/>
          <w:szCs w:val="18"/>
        </w:rPr>
        <w:t xml:space="preserve"> Share of total installed capacity of MWTs</w:t>
      </w:r>
      <w:r>
        <w:rPr>
          <w:i/>
          <w:iCs/>
          <w:color w:val="1F497D" w:themeColor="text2"/>
          <w:sz w:val="18"/>
          <w:szCs w:val="18"/>
        </w:rPr>
        <w:t xml:space="preserve"> (</w:t>
      </w:r>
      <w:r w:rsidR="003D50A7">
        <w:rPr>
          <w:i/>
          <w:iCs/>
          <w:color w:val="1F497D" w:themeColor="text2"/>
          <w:sz w:val="18"/>
          <w:szCs w:val="18"/>
        </w:rPr>
        <w:t xml:space="preserve">Source: </w:t>
      </w:r>
      <w:r>
        <w:rPr>
          <w:i/>
          <w:iCs/>
          <w:color w:val="1F497D" w:themeColor="text2"/>
          <w:sz w:val="18"/>
          <w:szCs w:val="18"/>
        </w:rPr>
        <w:t xml:space="preserve">WWEA, </w:t>
      </w:r>
      <w:r w:rsidR="00C32807">
        <w:rPr>
          <w:i/>
          <w:iCs/>
          <w:color w:val="1F497D" w:themeColor="text2"/>
          <w:sz w:val="18"/>
          <w:szCs w:val="18"/>
        </w:rPr>
        <w:t>2017</w:t>
      </w:r>
      <w:r>
        <w:rPr>
          <w:i/>
          <w:iCs/>
          <w:color w:val="1F497D" w:themeColor="text2"/>
          <w:sz w:val="18"/>
          <w:szCs w:val="18"/>
        </w:rPr>
        <w:t>)</w:t>
      </w:r>
    </w:p>
    <w:p w14:paraId="5295CE63" w14:textId="37ABB405" w:rsidR="006E1CCE" w:rsidRPr="00C84E91" w:rsidRDefault="006E1CCE" w:rsidP="006E1CCE">
      <w:pPr>
        <w:rPr>
          <w:rFonts w:cstheme="minorHAnsi"/>
        </w:rPr>
      </w:pPr>
      <w:r w:rsidRPr="00C84E91">
        <w:rPr>
          <w:rFonts w:cstheme="minorHAnsi"/>
        </w:rPr>
        <w:t xml:space="preserve">In the USA, the </w:t>
      </w:r>
      <w:r w:rsidR="000362B8">
        <w:rPr>
          <w:rFonts w:cstheme="minorHAnsi"/>
        </w:rPr>
        <w:t>Department of Energy (</w:t>
      </w:r>
      <w:r w:rsidRPr="00C84E91">
        <w:rPr>
          <w:rFonts w:cstheme="minorHAnsi"/>
        </w:rPr>
        <w:t>D</w:t>
      </w:r>
      <w:r w:rsidR="000362B8">
        <w:rPr>
          <w:rFonts w:cstheme="minorHAnsi"/>
        </w:rPr>
        <w:t>O</w:t>
      </w:r>
      <w:r w:rsidRPr="00C84E91">
        <w:rPr>
          <w:rFonts w:cstheme="minorHAnsi"/>
        </w:rPr>
        <w:t>E</w:t>
      </w:r>
      <w:r w:rsidR="000362B8">
        <w:rPr>
          <w:rFonts w:cstheme="minorHAnsi"/>
        </w:rPr>
        <w:t>)</w:t>
      </w:r>
      <w:r w:rsidRPr="00C84E91">
        <w:rPr>
          <w:rFonts w:cstheme="minorHAnsi"/>
        </w:rPr>
        <w:t xml:space="preserve"> publishes reports with data about MWT installation in the US. The American Wind Energy Association has set itself a target to install 50,000 MW by 2020 based on the number of houses in the United States connected to the grid with an accompanying</w:t>
      </w:r>
      <w:r w:rsidR="00506ECF">
        <w:rPr>
          <w:rFonts w:cstheme="minorHAnsi"/>
        </w:rPr>
        <w:t xml:space="preserve"> 0.5 </w:t>
      </w:r>
      <w:r w:rsidRPr="00C84E91">
        <w:rPr>
          <w:rFonts w:cstheme="minorHAnsi"/>
        </w:rPr>
        <w:t>-1acre or above of land</w:t>
      </w:r>
      <w:r w:rsidR="00506ECF">
        <w:rPr>
          <w:rFonts w:cstheme="minorHAnsi"/>
        </w:rPr>
        <w:t xml:space="preserve"> area</w:t>
      </w:r>
      <w:r w:rsidRPr="00C84E91">
        <w:rPr>
          <w:rFonts w:cstheme="minorHAnsi"/>
        </w:rPr>
        <w:t>, commercial properties and public works that could potentially install MWTs</w:t>
      </w:r>
      <w:r>
        <w:rPr>
          <w:rFonts w:cstheme="minorHAnsi"/>
        </w:rPr>
        <w:t xml:space="preserve"> (NREL, 2002)</w:t>
      </w:r>
      <w:r w:rsidRPr="00C84E91">
        <w:rPr>
          <w:rFonts w:cstheme="minorHAnsi"/>
        </w:rPr>
        <w:t xml:space="preserve">. The MWT installation in 2014 was however only ~ 226 MW according to </w:t>
      </w:r>
      <w:r w:rsidR="000362B8">
        <w:rPr>
          <w:rFonts w:cstheme="minorHAnsi"/>
        </w:rPr>
        <w:t>WWEA</w:t>
      </w:r>
      <w:r w:rsidR="00CB39D6">
        <w:rPr>
          <w:rFonts w:cstheme="minorHAnsi"/>
        </w:rPr>
        <w:t xml:space="preserve"> (2016)</w:t>
      </w:r>
      <w:r w:rsidRPr="00C84E91">
        <w:rPr>
          <w:rFonts w:cstheme="minorHAnsi"/>
        </w:rPr>
        <w:t>. The current state of unreliability of technology as well as the still open questions about siting therefore make it unlikely that such an ambitious target will be met.</w:t>
      </w:r>
    </w:p>
    <w:p w14:paraId="581B8FEB" w14:textId="1242621A" w:rsidR="006E1CCE" w:rsidRPr="00C84E91" w:rsidRDefault="006E1CCE" w:rsidP="006E1CCE">
      <w:pPr>
        <w:rPr>
          <w:rFonts w:cstheme="minorHAnsi"/>
        </w:rPr>
      </w:pPr>
      <w:r w:rsidRPr="00C84E91">
        <w:rPr>
          <w:rFonts w:cstheme="minorHAnsi"/>
        </w:rPr>
        <w:t xml:space="preserve">In China, which currently leads </w:t>
      </w:r>
      <w:r w:rsidR="00F0355F">
        <w:rPr>
          <w:rFonts w:cstheme="minorHAnsi"/>
        </w:rPr>
        <w:t xml:space="preserve">in </w:t>
      </w:r>
      <w:r w:rsidRPr="00C84E91">
        <w:rPr>
          <w:rFonts w:cstheme="minorHAnsi"/>
        </w:rPr>
        <w:t xml:space="preserve">the deployment of MWTs, most MWTs are currently installed by farmers, herdsmen and fishermen who live in areas without electricity according to Zhang and Qi (2011). They see the potential markets for MWTs in the 11.47 million population, at least 40% of which can be electrified using MWTs that still live in areas without electricity. However, it is unclear at the present moment when breakthroughs in the cost of MWTs will occur in order for this technology to be accessible by </w:t>
      </w:r>
      <w:r w:rsidR="00682809">
        <w:rPr>
          <w:rFonts w:cstheme="minorHAnsi"/>
        </w:rPr>
        <w:t xml:space="preserve"> these</w:t>
      </w:r>
      <w:r w:rsidRPr="00C84E91">
        <w:rPr>
          <w:rFonts w:cstheme="minorHAnsi"/>
        </w:rPr>
        <w:t xml:space="preserve"> market</w:t>
      </w:r>
      <w:r w:rsidR="00682809">
        <w:rPr>
          <w:rFonts w:cstheme="minorHAnsi"/>
        </w:rPr>
        <w:t>s</w:t>
      </w:r>
      <w:r w:rsidRPr="00C84E91">
        <w:rPr>
          <w:rFonts w:cstheme="minorHAnsi"/>
        </w:rPr>
        <w:t>.</w:t>
      </w:r>
    </w:p>
    <w:p w14:paraId="346D100D" w14:textId="512603F3" w:rsidR="006E1CCE" w:rsidRPr="00C84E91" w:rsidRDefault="006E1CCE" w:rsidP="006E1CCE">
      <w:pPr>
        <w:rPr>
          <w:rFonts w:cstheme="minorHAnsi"/>
        </w:rPr>
      </w:pPr>
      <w:r w:rsidRPr="00C84E91">
        <w:rPr>
          <w:rFonts w:cstheme="minorHAnsi"/>
        </w:rPr>
        <w:t>In the UK</w:t>
      </w:r>
      <w:r w:rsidR="00682809">
        <w:rPr>
          <w:rFonts w:cstheme="minorHAnsi"/>
        </w:rPr>
        <w:t>, the third largest</w:t>
      </w:r>
      <w:r w:rsidRPr="00C84E91">
        <w:rPr>
          <w:rFonts w:cstheme="minorHAnsi"/>
        </w:rPr>
        <w:t xml:space="preserve"> MWT market, the last few years </w:t>
      </w:r>
      <w:r w:rsidR="00682809">
        <w:rPr>
          <w:rFonts w:cstheme="minorHAnsi"/>
        </w:rPr>
        <w:t xml:space="preserve"> has </w:t>
      </w:r>
      <w:r w:rsidRPr="00C84E91">
        <w:rPr>
          <w:rFonts w:cstheme="minorHAnsi"/>
        </w:rPr>
        <w:t>seen a significant growth in the annual deployment of MWTs in the 1.5-15</w:t>
      </w:r>
      <w:r w:rsidR="003D50A7">
        <w:rPr>
          <w:rFonts w:cstheme="minorHAnsi"/>
        </w:rPr>
        <w:t xml:space="preserve"> </w:t>
      </w:r>
      <w:r w:rsidRPr="00C84E91">
        <w:rPr>
          <w:rFonts w:cstheme="minorHAnsi"/>
        </w:rPr>
        <w:t>kW and the 15-100 kW market segments, and it is expected that the 1.5-15 kW segment will grow once a General Permitted Development Order is introduced for turbines on non-domestic premises</w:t>
      </w:r>
      <w:r>
        <w:rPr>
          <w:rFonts w:cstheme="minorHAnsi"/>
        </w:rPr>
        <w:t xml:space="preserve"> (Renewable</w:t>
      </w:r>
      <w:r w:rsidR="00682809">
        <w:rPr>
          <w:rFonts w:cstheme="minorHAnsi"/>
        </w:rPr>
        <w:t xml:space="preserve">s </w:t>
      </w:r>
      <w:r>
        <w:rPr>
          <w:rFonts w:cstheme="minorHAnsi"/>
        </w:rPr>
        <w:t>UK, 2012)</w:t>
      </w:r>
      <w:r w:rsidRPr="00C84E91">
        <w:rPr>
          <w:rFonts w:cstheme="minorHAnsi"/>
        </w:rPr>
        <w:t>. However, the uncertainty around such a policy makes it difficult to project the adoption of MWTs in the time frame considered by Project Drawdown.</w:t>
      </w:r>
    </w:p>
    <w:p w14:paraId="2DE714B4" w14:textId="30312719" w:rsidR="00112479" w:rsidRPr="006E1CCE" w:rsidRDefault="006E1CCE" w:rsidP="006E1CCE">
      <w:pPr>
        <w:rPr>
          <w:rFonts w:cstheme="minorHAnsi"/>
        </w:rPr>
      </w:pPr>
      <w:r w:rsidRPr="00C84E91">
        <w:rPr>
          <w:rFonts w:cstheme="minorHAnsi"/>
        </w:rPr>
        <w:t xml:space="preserve">Based on </w:t>
      </w:r>
      <w:r w:rsidRPr="00CB39D6">
        <w:rPr>
          <w:rFonts w:cstheme="minorHAnsi"/>
        </w:rPr>
        <w:t>the 2016 Small Wind World Reports (</w:t>
      </w:r>
      <w:r w:rsidR="00CB39D6" w:rsidRPr="00CB39D6">
        <w:rPr>
          <w:rFonts w:cstheme="minorHAnsi"/>
        </w:rPr>
        <w:t>WWEA</w:t>
      </w:r>
      <w:r w:rsidRPr="00CB39D6">
        <w:rPr>
          <w:rFonts w:cstheme="minorHAnsi"/>
        </w:rPr>
        <w:t xml:space="preserve">, 2016), The Chair of the World Wind Energy Association (WWEA) </w:t>
      </w:r>
      <w:r w:rsidR="00CB39D6" w:rsidRPr="00CB39D6">
        <w:rPr>
          <w:rFonts w:cstheme="minorHAnsi"/>
        </w:rPr>
        <w:t xml:space="preserve">notes </w:t>
      </w:r>
      <w:r w:rsidRPr="00CB39D6">
        <w:rPr>
          <w:rFonts w:cstheme="minorHAnsi"/>
        </w:rPr>
        <w:t>that after</w:t>
      </w:r>
      <w:r w:rsidRPr="00C84E91">
        <w:rPr>
          <w:rFonts w:cstheme="minorHAnsi"/>
        </w:rPr>
        <w:t xml:space="preserve"> 2013, the world wind energy market stabilized with the growth of MWTs in the US at a 1% p.a, while the growth in China was ~10%.  He notes that in the UK, however, the growth in MWTs was 19%, after only 2% growth after 2013. He states that a minimum of 11% growth globally is expected to be seen </w:t>
      </w:r>
      <w:r w:rsidR="00FD2F7A">
        <w:rPr>
          <w:rFonts w:cstheme="minorHAnsi"/>
        </w:rPr>
        <w:t>un</w:t>
      </w:r>
      <w:r w:rsidRPr="00C84E91">
        <w:rPr>
          <w:rFonts w:cstheme="minorHAnsi"/>
        </w:rPr>
        <w:t>t</w:t>
      </w:r>
      <w:r w:rsidR="00FD2F7A">
        <w:rPr>
          <w:rFonts w:cstheme="minorHAnsi"/>
        </w:rPr>
        <w:t>il</w:t>
      </w:r>
      <w:r w:rsidRPr="00C84E91">
        <w:rPr>
          <w:rFonts w:cstheme="minorHAnsi"/>
        </w:rPr>
        <w:t xml:space="preserve"> 2016, after which he predicts a global growth of 20% till 2020.</w:t>
      </w:r>
    </w:p>
    <w:p w14:paraId="4B6E5C96" w14:textId="7A27793C" w:rsidR="00D1508C" w:rsidRDefault="00507E76" w:rsidP="005D49A8">
      <w:pPr>
        <w:pStyle w:val="Heading3"/>
      </w:pPr>
      <w:bookmarkStart w:id="12" w:name="_Toc23613442"/>
      <w:r>
        <w:t xml:space="preserve">1.2.2 </w:t>
      </w:r>
      <w:r w:rsidR="551A77D0" w:rsidRPr="00E069AC">
        <w:t>Trends</w:t>
      </w:r>
      <w:r w:rsidR="000C3205" w:rsidRPr="00E069AC">
        <w:t xml:space="preserve"> </w:t>
      </w:r>
      <w:r w:rsidR="00A53CDF" w:rsidRPr="00E069AC">
        <w:t>to Accelerate Adoption</w:t>
      </w:r>
      <w:bookmarkEnd w:id="12"/>
    </w:p>
    <w:p w14:paraId="50F9C064" w14:textId="50607C98" w:rsidR="005F5705" w:rsidRDefault="005F5705" w:rsidP="003D50A7">
      <w:pPr>
        <w:rPr>
          <w:rFonts w:cstheme="minorHAnsi"/>
          <w:bCs/>
        </w:rPr>
      </w:pPr>
      <w:r w:rsidRPr="00C84E91">
        <w:rPr>
          <w:rFonts w:cstheme="minorHAnsi"/>
          <w:shd w:val="clear" w:color="auto" w:fill="FFFFFF"/>
        </w:rPr>
        <w:t>Looking at this technology from a policy perspective indicates that the successful global adoption of MWTs will greatly benefit from stable support schemes: feed-in-tariffs, tax credits, capital subsidies, net metering. However, economic subsidies may not work well, compared to production subsidies, as the former tend to incentivize the sale of hardware, thereby missing the energy savings benefits</w:t>
      </w:r>
      <w:r w:rsidR="00BB7662">
        <w:rPr>
          <w:rFonts w:cstheme="minorHAnsi"/>
          <w:shd w:val="clear" w:color="auto" w:fill="FFFFFF"/>
        </w:rPr>
        <w:t xml:space="preserve"> (Windustry, ND)</w:t>
      </w:r>
      <w:r w:rsidRPr="00C84E91">
        <w:rPr>
          <w:rFonts w:cstheme="minorHAnsi"/>
          <w:shd w:val="clear" w:color="auto" w:fill="FFFFFF"/>
        </w:rPr>
        <w:t xml:space="preserve">. It is to be noted however, that although price support is crucial, it is never a sufficient condition on its own, the Global Wind Policy </w:t>
      </w:r>
      <w:r w:rsidRPr="005F5705">
        <w:rPr>
          <w:rFonts w:cstheme="minorHAnsi"/>
          <w:shd w:val="clear" w:color="auto" w:fill="FFFFFF"/>
        </w:rPr>
        <w:t>Review</w:t>
      </w:r>
      <w:r w:rsidRPr="005F5705">
        <w:rPr>
          <w:rStyle w:val="apple-converted-space"/>
          <w:rFonts w:cstheme="minorHAnsi"/>
          <w:shd w:val="clear" w:color="auto" w:fill="FFFFFF"/>
        </w:rPr>
        <w:t> </w:t>
      </w:r>
      <w:r w:rsidRPr="005F5705">
        <w:rPr>
          <w:rStyle w:val="Hyperlink"/>
          <w:rFonts w:cstheme="minorHAnsi"/>
          <w:color w:val="auto"/>
          <w:u w:val="none"/>
          <w:bdr w:val="none" w:sz="0" w:space="0" w:color="auto" w:frame="1"/>
          <w:shd w:val="clear" w:color="auto" w:fill="FFFFFF"/>
        </w:rPr>
        <w:t>identified (</w:t>
      </w:r>
      <w:r>
        <w:rPr>
          <w:rStyle w:val="Hyperlink"/>
          <w:rFonts w:cstheme="minorHAnsi"/>
          <w:color w:val="auto"/>
          <w:u w:val="none"/>
          <w:bdr w:val="none" w:sz="0" w:space="0" w:color="auto" w:frame="1"/>
          <w:shd w:val="clear" w:color="auto" w:fill="FFFFFF"/>
        </w:rPr>
        <w:t>IRENA, 2012)</w:t>
      </w:r>
      <w:r w:rsidRPr="005F5705">
        <w:rPr>
          <w:rFonts w:cstheme="minorHAnsi"/>
          <w:shd w:val="clear" w:color="auto" w:fill="FFFFFF"/>
        </w:rPr>
        <w:t> seven</w:t>
      </w:r>
      <w:r w:rsidRPr="00C84E91">
        <w:rPr>
          <w:rFonts w:cstheme="minorHAnsi"/>
          <w:shd w:val="clear" w:color="auto" w:fill="FFFFFF"/>
        </w:rPr>
        <w:t xml:space="preserve"> criteria as critical for the development of wind energy in addition to economic incentives, such as: expression of political commitment from government, effective rule of law and transparency and an effective administrative and permitting process, a functioning finance sector and clear and effective pricing structures, grid access</w:t>
      </w:r>
      <w:r w:rsidR="00BB7662">
        <w:rPr>
          <w:rFonts w:cstheme="minorHAnsi"/>
          <w:shd w:val="clear" w:color="auto" w:fill="FFFFFF"/>
        </w:rPr>
        <w:t>,</w:t>
      </w:r>
      <w:r w:rsidRPr="00C84E91">
        <w:rPr>
          <w:rFonts w:cstheme="minorHAnsi"/>
          <w:shd w:val="clear" w:color="auto" w:fill="FFFFFF"/>
        </w:rPr>
        <w:t xml:space="preserve"> </w:t>
      </w:r>
      <w:r w:rsidR="00BB7662" w:rsidRPr="00C84E91">
        <w:rPr>
          <w:rFonts w:cstheme="minorHAnsi"/>
          <w:shd w:val="clear" w:color="auto" w:fill="FFFFFF"/>
        </w:rPr>
        <w:t>etc</w:t>
      </w:r>
      <w:r w:rsidR="00BB7662">
        <w:rPr>
          <w:rFonts w:cstheme="minorHAnsi"/>
          <w:bCs/>
        </w:rPr>
        <w:t>. (WWEA, 2014).</w:t>
      </w:r>
    </w:p>
    <w:p w14:paraId="67B8198D" w14:textId="13EB3E72" w:rsidR="00F524CE" w:rsidRPr="006E1CCE" w:rsidRDefault="00E34264" w:rsidP="003D50A7">
      <w:pPr>
        <w:rPr>
          <w:rFonts w:cstheme="minorHAnsi"/>
          <w:bCs/>
        </w:rPr>
      </w:pPr>
      <w:r>
        <w:rPr>
          <w:rFonts w:cstheme="minorHAnsi"/>
          <w:bCs/>
        </w:rPr>
        <w:t>Owing to</w:t>
      </w:r>
      <w:r w:rsidR="00F524CE">
        <w:rPr>
          <w:rFonts w:cstheme="minorHAnsi"/>
          <w:bCs/>
        </w:rPr>
        <w:t xml:space="preserve"> </w:t>
      </w:r>
      <w:r w:rsidR="00A53529">
        <w:rPr>
          <w:rFonts w:cstheme="minorHAnsi"/>
          <w:bCs/>
        </w:rPr>
        <w:t>the</w:t>
      </w:r>
      <w:r w:rsidR="00F524CE">
        <w:rPr>
          <w:rFonts w:cstheme="minorHAnsi"/>
          <w:bCs/>
        </w:rPr>
        <w:t xml:space="preserve"> </w:t>
      </w:r>
      <w:r w:rsidR="007A6EF0">
        <w:rPr>
          <w:rFonts w:cstheme="minorHAnsi"/>
          <w:bCs/>
        </w:rPr>
        <w:t>suitability of</w:t>
      </w:r>
      <w:r w:rsidR="00F524CE">
        <w:rPr>
          <w:rFonts w:cstheme="minorHAnsi"/>
          <w:bCs/>
        </w:rPr>
        <w:t xml:space="preserve"> </w:t>
      </w:r>
      <w:r w:rsidR="007A6EF0">
        <w:rPr>
          <w:rFonts w:cstheme="minorHAnsi"/>
          <w:bCs/>
        </w:rPr>
        <w:t>micro vertical axis wind turbines (mVAWT)</w:t>
      </w:r>
      <w:r w:rsidR="00F524CE">
        <w:rPr>
          <w:rFonts w:cstheme="minorHAnsi"/>
          <w:bCs/>
        </w:rPr>
        <w:t xml:space="preserve"> </w:t>
      </w:r>
      <w:r w:rsidR="00770E00">
        <w:rPr>
          <w:rFonts w:cstheme="minorHAnsi"/>
          <w:bCs/>
        </w:rPr>
        <w:t>for urban environments (</w:t>
      </w:r>
      <w:r>
        <w:t xml:space="preserve">Lombardi </w:t>
      </w:r>
      <w:r w:rsidRPr="003D50A7">
        <w:rPr>
          <w:i/>
        </w:rPr>
        <w:t>et al</w:t>
      </w:r>
      <w:r>
        <w:t>., 2018</w:t>
      </w:r>
      <w:r w:rsidR="00770E00">
        <w:rPr>
          <w:rFonts w:cstheme="minorHAnsi"/>
          <w:bCs/>
        </w:rPr>
        <w:t>)</w:t>
      </w:r>
      <w:r w:rsidR="00F524CE">
        <w:rPr>
          <w:rFonts w:cstheme="minorHAnsi"/>
          <w:bCs/>
        </w:rPr>
        <w:t xml:space="preserve">, Mega City policies that support power generation from </w:t>
      </w:r>
      <w:r w:rsidR="009F7B3A">
        <w:rPr>
          <w:rFonts w:cstheme="minorHAnsi"/>
          <w:bCs/>
        </w:rPr>
        <w:t>MWTs</w:t>
      </w:r>
      <w:r w:rsidR="00F524CE">
        <w:rPr>
          <w:rFonts w:cstheme="minorHAnsi"/>
          <w:bCs/>
        </w:rPr>
        <w:t xml:space="preserve"> will help drive adoption.</w:t>
      </w:r>
      <w:r w:rsidR="00776515">
        <w:rPr>
          <w:rFonts w:cstheme="minorHAnsi"/>
          <w:bCs/>
        </w:rPr>
        <w:t xml:space="preserve"> </w:t>
      </w:r>
      <w:r w:rsidR="007A6EF0">
        <w:rPr>
          <w:rFonts w:cstheme="minorHAnsi"/>
          <w:bCs/>
        </w:rPr>
        <w:t xml:space="preserve">In addition, other drivers </w:t>
      </w:r>
      <w:r w:rsidR="009F7B3A">
        <w:rPr>
          <w:rFonts w:cstheme="minorHAnsi"/>
          <w:bCs/>
        </w:rPr>
        <w:t xml:space="preserve">may </w:t>
      </w:r>
      <w:r w:rsidR="007A6EF0">
        <w:rPr>
          <w:rFonts w:cstheme="minorHAnsi"/>
          <w:bCs/>
        </w:rPr>
        <w:t>include c</w:t>
      </w:r>
      <w:r w:rsidR="00776515">
        <w:rPr>
          <w:rFonts w:cstheme="minorHAnsi"/>
          <w:bCs/>
        </w:rPr>
        <w:t>orporate sourcing of renewables generated from</w:t>
      </w:r>
      <w:r w:rsidR="009F7B3A">
        <w:rPr>
          <w:rFonts w:cstheme="minorHAnsi"/>
          <w:bCs/>
        </w:rPr>
        <w:t xml:space="preserve"> MWTs</w:t>
      </w:r>
      <w:r w:rsidR="007A6EF0">
        <w:rPr>
          <w:rFonts w:cstheme="minorHAnsi"/>
          <w:bCs/>
        </w:rPr>
        <w:t>.</w:t>
      </w:r>
    </w:p>
    <w:p w14:paraId="0B8C3EFB" w14:textId="6C21C6BE" w:rsidR="00D1508C" w:rsidRDefault="00507E76" w:rsidP="005D49A8">
      <w:pPr>
        <w:pStyle w:val="Heading3"/>
      </w:pPr>
      <w:bookmarkStart w:id="13" w:name="_Toc23613443"/>
      <w:r>
        <w:t xml:space="preserve">1.2.3 </w:t>
      </w:r>
      <w:r w:rsidR="551A77D0" w:rsidRPr="00E069AC">
        <w:t>Barriers to Adoption</w:t>
      </w:r>
      <w:bookmarkEnd w:id="13"/>
    </w:p>
    <w:p w14:paraId="55416FF0" w14:textId="21CFCE04" w:rsidR="005F5705" w:rsidRPr="006E1CCE" w:rsidRDefault="005F5705" w:rsidP="006E1CCE">
      <w:pPr>
        <w:spacing w:after="0"/>
        <w:rPr>
          <w:rFonts w:cs="Times New Roman"/>
        </w:rPr>
      </w:pPr>
      <w:r w:rsidRPr="005F5705">
        <w:rPr>
          <w:rFonts w:cs="Times New Roman"/>
        </w:rPr>
        <w:t xml:space="preserve">The </w:t>
      </w:r>
      <w:r w:rsidR="00180BAC">
        <w:rPr>
          <w:rFonts w:cs="Times New Roman"/>
        </w:rPr>
        <w:t>key</w:t>
      </w:r>
      <w:r w:rsidR="00180BAC" w:rsidRPr="005F5705">
        <w:rPr>
          <w:rFonts w:cs="Times New Roman"/>
        </w:rPr>
        <w:t xml:space="preserve"> </w:t>
      </w:r>
      <w:r w:rsidRPr="005F5705">
        <w:rPr>
          <w:rFonts w:cs="Times New Roman"/>
        </w:rPr>
        <w:t>driver</w:t>
      </w:r>
      <w:r w:rsidR="00180BAC">
        <w:rPr>
          <w:rFonts w:cs="Times New Roman"/>
        </w:rPr>
        <w:t>s</w:t>
      </w:r>
      <w:r w:rsidRPr="005F5705">
        <w:rPr>
          <w:rFonts w:cs="Times New Roman"/>
        </w:rPr>
        <w:t xml:space="preserve"> or limitation</w:t>
      </w:r>
      <w:r w:rsidR="00180BAC">
        <w:rPr>
          <w:rFonts w:cs="Times New Roman"/>
        </w:rPr>
        <w:t>s</w:t>
      </w:r>
      <w:r w:rsidRPr="005F5705">
        <w:rPr>
          <w:rFonts w:cs="Times New Roman"/>
        </w:rPr>
        <w:t xml:space="preserve"> for widespread adoption of MWTs is cost</w:t>
      </w:r>
      <w:r w:rsidR="00180BAC">
        <w:rPr>
          <w:rFonts w:cs="Times New Roman"/>
        </w:rPr>
        <w:t>, and support mechanisms in place</w:t>
      </w:r>
      <w:r w:rsidRPr="005F5705">
        <w:rPr>
          <w:rFonts w:cs="Times New Roman"/>
        </w:rPr>
        <w:t>. MWTs have a much higher cost per kW, compared to utility scale wind turbines. This is primarily because of volume: wind farms are comprised of hundreds of turbines, whereas MWTs are installed individually, usually only one per site.  These high capital costs are prohibitive to many consumers who may otherwise be eager to install MWTs on their property. In the US turbines less than 2.5 kW cost on average USD 8</w:t>
      </w:r>
      <w:r>
        <w:rPr>
          <w:rFonts w:cs="Times New Roman"/>
        </w:rPr>
        <w:t>,</w:t>
      </w:r>
      <w:r w:rsidRPr="005F5705">
        <w:rPr>
          <w:rFonts w:cs="Times New Roman"/>
        </w:rPr>
        <w:t xml:space="preserve">200/kW, turbines between  </w:t>
      </w:r>
      <w:r w:rsidR="00180BAC">
        <w:rPr>
          <w:rFonts w:cs="Times New Roman"/>
        </w:rPr>
        <w:t xml:space="preserve">2.5 – </w:t>
      </w:r>
      <w:r w:rsidRPr="005F5705">
        <w:rPr>
          <w:rFonts w:cs="Times New Roman"/>
        </w:rPr>
        <w:t>10 kW cost USD 7</w:t>
      </w:r>
      <w:r>
        <w:rPr>
          <w:rFonts w:cs="Times New Roman"/>
        </w:rPr>
        <w:t>,</w:t>
      </w:r>
      <w:r w:rsidRPr="005F5705">
        <w:rPr>
          <w:rFonts w:cs="Times New Roman"/>
        </w:rPr>
        <w:t xml:space="preserve">200/kW, while projects between  </w:t>
      </w:r>
      <w:r w:rsidR="00180BAC">
        <w:rPr>
          <w:rFonts w:cs="Times New Roman"/>
        </w:rPr>
        <w:t xml:space="preserve">11 – </w:t>
      </w:r>
      <w:r w:rsidRPr="005F5705">
        <w:rPr>
          <w:rFonts w:cs="Times New Roman"/>
        </w:rPr>
        <w:t>100 kW cost USD 6</w:t>
      </w:r>
      <w:r>
        <w:rPr>
          <w:rFonts w:cs="Times New Roman"/>
        </w:rPr>
        <w:t>,</w:t>
      </w:r>
      <w:r w:rsidRPr="005F5705">
        <w:rPr>
          <w:rFonts w:cs="Times New Roman"/>
        </w:rPr>
        <w:t>000/kW. To compare this, a commercial wind turbine of size 2 MW, costs roughly between USD 3-4 million, which is -</w:t>
      </w:r>
      <w:r w:rsidR="00180BAC">
        <w:rPr>
          <w:rFonts w:cs="Times New Roman"/>
        </w:rPr>
        <w:t xml:space="preserve"> USD 1,500 – </w:t>
      </w:r>
      <w:r w:rsidRPr="005F5705">
        <w:rPr>
          <w:rFonts w:cs="Times New Roman"/>
        </w:rPr>
        <w:t>2</w:t>
      </w:r>
      <w:r>
        <w:rPr>
          <w:rFonts w:cs="Times New Roman"/>
        </w:rPr>
        <w:t>,</w:t>
      </w:r>
      <w:r w:rsidRPr="005F5705">
        <w:rPr>
          <w:rFonts w:cs="Times New Roman"/>
        </w:rPr>
        <w:t>000/kW</w:t>
      </w:r>
      <w:r>
        <w:rPr>
          <w:rFonts w:cs="Times New Roman"/>
        </w:rPr>
        <w:t xml:space="preserve"> (Orre</w:t>
      </w:r>
      <w:r w:rsidR="000362B8">
        <w:rPr>
          <w:rFonts w:cs="Times New Roman"/>
        </w:rPr>
        <w:t>l</w:t>
      </w:r>
      <w:r>
        <w:rPr>
          <w:rFonts w:cs="Times New Roman"/>
        </w:rPr>
        <w:t>l et al., 2014)</w:t>
      </w:r>
      <w:r w:rsidRPr="005F5705">
        <w:rPr>
          <w:rFonts w:cs="Times New Roman"/>
        </w:rPr>
        <w:t>. These high capital costs are prohibitive to many consumers who may otherwise be eager to install MWTs.</w:t>
      </w:r>
    </w:p>
    <w:p w14:paraId="32E4A230" w14:textId="4243DB25" w:rsidR="00BC0B5C" w:rsidRDefault="00507E76" w:rsidP="00BC0B5C">
      <w:pPr>
        <w:pStyle w:val="Heading3"/>
      </w:pPr>
      <w:bookmarkStart w:id="14" w:name="_Toc23613444"/>
      <w:r>
        <w:t xml:space="preserve">1.2.4 </w:t>
      </w:r>
      <w:r w:rsidR="551A77D0" w:rsidRPr="00E069AC">
        <w:t>Adoption</w:t>
      </w:r>
      <w:r w:rsidR="006E6C65" w:rsidRPr="00E069AC">
        <w:t xml:space="preserve"> </w:t>
      </w:r>
      <w:r w:rsidR="551A77D0" w:rsidRPr="00E069AC">
        <w:t>Potential</w:t>
      </w:r>
      <w:bookmarkEnd w:id="14"/>
    </w:p>
    <w:p w14:paraId="704C70EE" w14:textId="6C1A5B65" w:rsidR="00BB7662" w:rsidRDefault="00BB7662" w:rsidP="00BB7662">
      <w:pPr>
        <w:rPr>
          <w:rFonts w:cstheme="minorHAnsi"/>
          <w:bCs/>
        </w:rPr>
      </w:pPr>
      <w:r w:rsidRPr="00C84E91">
        <w:rPr>
          <w:rFonts w:cstheme="minorHAnsi"/>
          <w:bCs/>
        </w:rPr>
        <w:t>As the demand for renewable energy in general increases</w:t>
      </w:r>
      <w:r w:rsidR="00180BAC">
        <w:rPr>
          <w:rFonts w:cstheme="minorHAnsi"/>
          <w:bCs/>
        </w:rPr>
        <w:t xml:space="preserve"> with total addressable market (TAM)</w:t>
      </w:r>
      <w:r w:rsidRPr="00C84E91">
        <w:rPr>
          <w:rFonts w:cstheme="minorHAnsi"/>
          <w:bCs/>
        </w:rPr>
        <w:t>, so too will the demand for MWTs. The desire to electrify more areas of the planet will help spur development of MWTs. Some forecasts show that there will be a 19-35% annual increase in MWT installed capacity. Additionally, a compound growth rate of 20% is possible per year between 2015-2020. By 2020, some experts estimate that new installations could top 240 MW per year, resulting in a cumulative installation of 1.75 GW</w:t>
      </w:r>
      <w:r>
        <w:rPr>
          <w:rFonts w:cstheme="minorHAnsi"/>
          <w:bCs/>
        </w:rPr>
        <w:t xml:space="preserve"> (WWEA, 2014).</w:t>
      </w:r>
    </w:p>
    <w:p w14:paraId="13A306E6" w14:textId="4BD51993" w:rsidR="00BB7662" w:rsidRPr="002B53DF" w:rsidRDefault="00BB7662" w:rsidP="00BB7662">
      <w:pPr>
        <w:rPr>
          <w:rFonts w:cstheme="minorHAnsi"/>
          <w:shd w:val="clear" w:color="auto" w:fill="FFFFFF"/>
        </w:rPr>
      </w:pPr>
      <w:r w:rsidRPr="00C84E91">
        <w:rPr>
          <w:rFonts w:cstheme="minorHAnsi"/>
          <w:shd w:val="clear" w:color="auto" w:fill="FFFFFF"/>
        </w:rPr>
        <w:t>Currently market trends are reported to lean towards on-grid MWT systems with larger capacity, however off-grid systems continue to play an important role in developing countries. In China, off-grid MWTs comprised of 97% of the market in 2009, in the US, off-grid small wind turbines comprise of most MWTS deployed in distributed wind applications. In the UK, results from a survey indicate that there are cumulatively more off-grid MWTs than on-grid. This is because of the use of MWTs on yachts. As a result, all off-grid installations in 2013 and 2014 were sub 20</w:t>
      </w:r>
      <w:r w:rsidR="003D50A7">
        <w:rPr>
          <w:rFonts w:cstheme="minorHAnsi"/>
          <w:shd w:val="clear" w:color="auto" w:fill="FFFFFF"/>
        </w:rPr>
        <w:t xml:space="preserve"> </w:t>
      </w:r>
      <w:r w:rsidRPr="00C84E91">
        <w:rPr>
          <w:rFonts w:cstheme="minorHAnsi"/>
          <w:shd w:val="clear" w:color="auto" w:fill="FFFFFF"/>
        </w:rPr>
        <w:t>kW. Any turbine larger than this was connected to the grid. </w:t>
      </w:r>
      <w:r w:rsidR="00DF01C4">
        <w:rPr>
          <w:rFonts w:cstheme="minorHAnsi"/>
          <w:shd w:val="clear" w:color="auto" w:fill="FFFFFF"/>
        </w:rPr>
        <w:t>T</w:t>
      </w:r>
      <w:r w:rsidRPr="00C84E91">
        <w:rPr>
          <w:rFonts w:cstheme="minorHAnsi"/>
          <w:shd w:val="clear" w:color="auto" w:fill="FFFFFF"/>
        </w:rPr>
        <w:t xml:space="preserve">he balance has consistently remained at 60% off-grid, 40% on-grid since 2012. </w:t>
      </w:r>
      <w:r w:rsidR="00CD5039">
        <w:rPr>
          <w:rFonts w:cstheme="minorHAnsi"/>
          <w:shd w:val="clear" w:color="auto" w:fill="FFFFFF"/>
        </w:rPr>
        <w:t>In developing countries there is the potential of</w:t>
      </w:r>
      <w:r w:rsidRPr="00C84E91">
        <w:rPr>
          <w:rFonts w:cstheme="minorHAnsi"/>
          <w:shd w:val="clear" w:color="auto" w:fill="FFFFFF"/>
        </w:rPr>
        <w:t xml:space="preserve"> growth in medium wind off-grid applications due to the increasing difficulty of mains grid connection</w:t>
      </w:r>
      <w:r w:rsidR="00CD5039">
        <w:rPr>
          <w:rFonts w:cstheme="minorHAnsi"/>
          <w:shd w:val="clear" w:color="auto" w:fill="FFFFFF"/>
        </w:rPr>
        <w:t xml:space="preserve">. Additionally, the increasing uptake of </w:t>
      </w:r>
      <w:r w:rsidRPr="00C84E91">
        <w:rPr>
          <w:rFonts w:cstheme="minorHAnsi"/>
          <w:shd w:val="clear" w:color="auto" w:fill="FFFFFF"/>
        </w:rPr>
        <w:t xml:space="preserve">storage mechanisms </w:t>
      </w:r>
      <w:r w:rsidR="00CD5039">
        <w:rPr>
          <w:rFonts w:cstheme="minorHAnsi"/>
          <w:shd w:val="clear" w:color="auto" w:fill="FFFFFF"/>
        </w:rPr>
        <w:t>can</w:t>
      </w:r>
      <w:r w:rsidRPr="00C84E91">
        <w:rPr>
          <w:rFonts w:cstheme="minorHAnsi"/>
          <w:shd w:val="clear" w:color="auto" w:fill="FFFFFF"/>
        </w:rPr>
        <w:t xml:space="preserve"> provide a viable option for larger-scale off-grid applications </w:t>
      </w:r>
      <w:r w:rsidR="00CD5039">
        <w:rPr>
          <w:rFonts w:cstheme="minorHAnsi"/>
          <w:shd w:val="clear" w:color="auto" w:fill="FFFFFF"/>
        </w:rPr>
        <w:t>(RenewableUK, 2015).</w:t>
      </w:r>
    </w:p>
    <w:p w14:paraId="12A2F24A" w14:textId="14EA3A56" w:rsidR="001C49CB" w:rsidRPr="00E069AC" w:rsidRDefault="00966190" w:rsidP="00507E76">
      <w:pPr>
        <w:pStyle w:val="Heading2"/>
        <w:numPr>
          <w:ilvl w:val="1"/>
          <w:numId w:val="50"/>
        </w:numPr>
      </w:pPr>
      <w:r>
        <w:t xml:space="preserve"> </w:t>
      </w:r>
      <w:bookmarkStart w:id="15" w:name="_Toc23613445"/>
      <w:r w:rsidR="0078336E">
        <w:t xml:space="preserve">Advantages </w:t>
      </w:r>
      <w:r w:rsidR="551A77D0" w:rsidRPr="00E069AC">
        <w:t xml:space="preserve">and disadvantages of </w:t>
      </w:r>
      <w:r w:rsidR="006E1CCE">
        <w:t>Micro Wind Turbines</w:t>
      </w:r>
      <w:bookmarkEnd w:id="15"/>
    </w:p>
    <w:p w14:paraId="473285D3" w14:textId="36135029" w:rsidR="00202788" w:rsidRPr="00E069AC" w:rsidRDefault="00507E76" w:rsidP="005D49A8">
      <w:pPr>
        <w:pStyle w:val="Heading3"/>
      </w:pPr>
      <w:bookmarkStart w:id="16" w:name="_Toc23613446"/>
      <w:r>
        <w:t xml:space="preserve">1.3.1 </w:t>
      </w:r>
      <w:r w:rsidR="551A77D0" w:rsidRPr="00E069AC">
        <w:t>Similar Solutions</w:t>
      </w:r>
      <w:bookmarkEnd w:id="16"/>
    </w:p>
    <w:p w14:paraId="1F3571DC" w14:textId="5296CA1A" w:rsidR="00C652C4" w:rsidRPr="002B53DF" w:rsidRDefault="00202788" w:rsidP="00C652C4">
      <w:pPr>
        <w:rPr>
          <w:rFonts w:cs="Times New Roman"/>
        </w:rPr>
      </w:pPr>
      <w:r w:rsidRPr="00E069AC">
        <w:rPr>
          <w:rFonts w:cs="Times New Roman"/>
        </w:rPr>
        <w:t>There are several solutions in the electricity generation sector that replace conventional electricity-</w:t>
      </w:r>
      <w:r w:rsidRPr="002B53DF">
        <w:rPr>
          <w:rFonts w:cs="Times New Roman"/>
        </w:rPr>
        <w:t xml:space="preserve">generating technologies such as coal, oil, and natural gas power plants, and that could be considered similar solutions. Herein, it </w:t>
      </w:r>
      <w:r w:rsidR="0078336E" w:rsidRPr="002B53DF">
        <w:rPr>
          <w:rFonts w:cs="Times New Roman"/>
        </w:rPr>
        <w:t>is</w:t>
      </w:r>
      <w:r w:rsidRPr="002B53DF">
        <w:rPr>
          <w:rFonts w:cs="Times New Roman"/>
        </w:rPr>
        <w:t xml:space="preserve"> considered similar solutions </w:t>
      </w:r>
      <w:r w:rsidR="00F4258D" w:rsidRPr="002B53DF">
        <w:rPr>
          <w:rFonts w:cs="Times New Roman"/>
        </w:rPr>
        <w:t xml:space="preserve">to </w:t>
      </w:r>
      <w:r w:rsidR="002B53DF" w:rsidRPr="002B53DF">
        <w:rPr>
          <w:rFonts w:cs="Times New Roman"/>
        </w:rPr>
        <w:t>micro wind turbines</w:t>
      </w:r>
      <w:r w:rsidR="00F4258D" w:rsidRPr="002B53DF">
        <w:rPr>
          <w:rFonts w:cs="Times New Roman"/>
        </w:rPr>
        <w:t xml:space="preserve"> </w:t>
      </w:r>
      <w:r w:rsidRPr="002B53DF">
        <w:rPr>
          <w:rFonts w:cs="Times New Roman"/>
        </w:rPr>
        <w:t>the ones that use the same resource</w:t>
      </w:r>
      <w:r w:rsidR="004207FA">
        <w:rPr>
          <w:rFonts w:cs="Times New Roman"/>
        </w:rPr>
        <w:t xml:space="preserve"> (wind energy)</w:t>
      </w:r>
      <w:r w:rsidRPr="002B53DF">
        <w:rPr>
          <w:rFonts w:cs="Times New Roman"/>
        </w:rPr>
        <w:t xml:space="preserve"> for electricity generation</w:t>
      </w:r>
      <w:r w:rsidR="002B53DF" w:rsidRPr="002B53DF">
        <w:rPr>
          <w:rFonts w:cs="Times New Roman"/>
        </w:rPr>
        <w:t xml:space="preserve"> or that could be used at a similar agen</w:t>
      </w:r>
      <w:r w:rsidR="00952C5B">
        <w:rPr>
          <w:rFonts w:cs="Times New Roman"/>
        </w:rPr>
        <w:t>cy</w:t>
      </w:r>
      <w:r w:rsidR="002B53DF" w:rsidRPr="002B53DF">
        <w:rPr>
          <w:rFonts w:cs="Times New Roman"/>
        </w:rPr>
        <w:t xml:space="preserve"> level</w:t>
      </w:r>
      <w:r w:rsidR="004207FA">
        <w:rPr>
          <w:rFonts w:cs="Times New Roman"/>
        </w:rPr>
        <w:t xml:space="preserve"> such as in off-grid or standalone mode</w:t>
      </w:r>
      <w:r w:rsidR="00770E00">
        <w:rPr>
          <w:rFonts w:cs="Times New Roman"/>
        </w:rPr>
        <w:t>s</w:t>
      </w:r>
      <w:r w:rsidR="002B53DF" w:rsidRPr="002B53DF">
        <w:rPr>
          <w:rFonts w:cs="Times New Roman"/>
        </w:rPr>
        <w:t>:</w:t>
      </w:r>
      <w:r w:rsidRPr="002B53DF">
        <w:rPr>
          <w:rFonts w:cs="Times New Roman"/>
        </w:rPr>
        <w:t xml:space="preserve"> </w:t>
      </w:r>
    </w:p>
    <w:p w14:paraId="6291EDC0" w14:textId="6A9ACBF1" w:rsidR="002B53DF" w:rsidRPr="002B53DF" w:rsidRDefault="002B53DF" w:rsidP="002B53DF">
      <w:pPr>
        <w:pStyle w:val="NormalWeb"/>
        <w:numPr>
          <w:ilvl w:val="0"/>
          <w:numId w:val="35"/>
        </w:numPr>
        <w:rPr>
          <w:rFonts w:eastAsiaTheme="minorEastAsia"/>
          <w:sz w:val="22"/>
          <w:szCs w:val="22"/>
          <w:lang w:eastAsia="ja-JP"/>
        </w:rPr>
      </w:pPr>
      <w:r w:rsidRPr="002B53DF">
        <w:rPr>
          <w:rFonts w:eastAsiaTheme="minorEastAsia"/>
          <w:b/>
          <w:sz w:val="22"/>
          <w:szCs w:val="22"/>
          <w:u w:val="single"/>
          <w:lang w:eastAsia="ja-JP"/>
        </w:rPr>
        <w:t>Wind Onshore:</w:t>
      </w:r>
      <w:r w:rsidRPr="00DF01C4">
        <w:rPr>
          <w:rFonts w:eastAsiaTheme="minorEastAsia"/>
          <w:sz w:val="22"/>
          <w:szCs w:val="22"/>
          <w:lang w:eastAsia="ja-JP"/>
        </w:rPr>
        <w:t xml:space="preserve"> </w:t>
      </w:r>
      <w:r w:rsidRPr="002B53DF">
        <w:rPr>
          <w:sz w:val="22"/>
          <w:szCs w:val="22"/>
          <w:lang w:eastAsia="en-US"/>
        </w:rPr>
        <w:t>onshore utility-scale wind power technologies are located within the land boundary of a region, and widely spaced about 4 rotor diameters apart to minimize reduction of power output arising from downwind turbines operating in the wake of upwind turbines. Utility-scale onshore wind provides electricity at the same level of agency as the offshore wind power, relatively easier to build and maintain, but with potentially high visual issues which makes planning permissions and public acceptance more challenging.</w:t>
      </w:r>
    </w:p>
    <w:p w14:paraId="331FD32C" w14:textId="77777777" w:rsidR="002B53DF" w:rsidRPr="00B90893" w:rsidRDefault="002B53DF" w:rsidP="002B53DF">
      <w:pPr>
        <w:pStyle w:val="NormalWeb"/>
        <w:numPr>
          <w:ilvl w:val="0"/>
          <w:numId w:val="35"/>
        </w:numPr>
        <w:rPr>
          <w:rFonts w:eastAsiaTheme="minorEastAsia"/>
          <w:sz w:val="22"/>
          <w:szCs w:val="22"/>
          <w:lang w:eastAsia="ja-JP"/>
        </w:rPr>
      </w:pPr>
      <w:r w:rsidRPr="001A1A8F">
        <w:rPr>
          <w:rFonts w:eastAsiaTheme="minorEastAsia"/>
          <w:b/>
          <w:sz w:val="22"/>
          <w:szCs w:val="22"/>
          <w:u w:val="single"/>
          <w:lang w:eastAsia="ja-JP"/>
        </w:rPr>
        <w:t>Wind Offshore:</w:t>
      </w:r>
      <w:r w:rsidRPr="00DF01C4">
        <w:rPr>
          <w:rFonts w:eastAsiaTheme="minorEastAsia"/>
          <w:sz w:val="22"/>
          <w:szCs w:val="22"/>
          <w:lang w:eastAsia="ja-JP"/>
        </w:rPr>
        <w:t xml:space="preserve"> </w:t>
      </w:r>
      <w:r w:rsidRPr="00B90893">
        <w:rPr>
          <w:sz w:val="22"/>
          <w:szCs w:val="22"/>
          <w:lang w:eastAsia="en-US"/>
        </w:rPr>
        <w:t>offshore utility-scale wind power technologies either installed in the bottom of the sea or floating devices.</w:t>
      </w:r>
    </w:p>
    <w:p w14:paraId="4F8EC4C7" w14:textId="4E9B4471" w:rsidR="002B53DF" w:rsidRPr="00775666" w:rsidRDefault="002B53DF" w:rsidP="002B53DF">
      <w:pPr>
        <w:pStyle w:val="ListParagraph"/>
        <w:numPr>
          <w:ilvl w:val="0"/>
          <w:numId w:val="35"/>
        </w:numPr>
        <w:rPr>
          <w:rFonts w:cs="Times New Roman"/>
          <w:b/>
          <w:bCs/>
          <w:u w:val="single"/>
        </w:rPr>
      </w:pPr>
      <w:r w:rsidRPr="00582B86">
        <w:rPr>
          <w:rFonts w:cs="Times New Roman"/>
          <w:b/>
          <w:bCs/>
          <w:u w:val="single"/>
        </w:rPr>
        <w:t xml:space="preserve">Rooftop Solar </w:t>
      </w:r>
      <w:r w:rsidRPr="00C95DF0">
        <w:rPr>
          <w:rFonts w:cs="Times New Roman"/>
          <w:b/>
          <w:bCs/>
          <w:u w:val="single"/>
        </w:rPr>
        <w:t>Photovoltaic</w:t>
      </w:r>
      <w:r>
        <w:rPr>
          <w:rFonts w:cs="Times New Roman"/>
          <w:b/>
          <w:bCs/>
          <w:u w:val="single"/>
        </w:rPr>
        <w:t xml:space="preserve"> </w:t>
      </w:r>
      <w:r w:rsidRPr="00582B86">
        <w:rPr>
          <w:rFonts w:cs="Times New Roman"/>
          <w:b/>
          <w:bCs/>
          <w:u w:val="single"/>
        </w:rPr>
        <w:t>System</w:t>
      </w:r>
      <w:r w:rsidR="000D1BE8">
        <w:rPr>
          <w:rFonts w:cs="Times New Roman"/>
          <w:b/>
          <w:bCs/>
          <w:u w:val="single"/>
        </w:rPr>
        <w:t xml:space="preserve"> (SPV)</w:t>
      </w:r>
      <w:r w:rsidRPr="00582B86">
        <w:rPr>
          <w:rFonts w:cs="Times New Roman"/>
          <w:b/>
          <w:bCs/>
          <w:u w:val="single"/>
        </w:rPr>
        <w:t>:</w:t>
      </w:r>
      <w:r w:rsidRPr="002B53DF">
        <w:rPr>
          <w:rFonts w:cs="Times New Roman"/>
          <w:b/>
          <w:bCs/>
        </w:rPr>
        <w:t xml:space="preserve"> </w:t>
      </w:r>
      <w:r w:rsidRPr="002B53DF">
        <w:rPr>
          <w:rFonts w:cs="Times New Roman"/>
          <w:bCs/>
        </w:rPr>
        <w:t>In</w:t>
      </w:r>
      <w:r w:rsidRPr="00582B86">
        <w:rPr>
          <w:rFonts w:cs="Times New Roman"/>
          <w:bCs/>
        </w:rPr>
        <w:t xml:space="preserve"> fact, the SPV programs started with small scale household and community-based systems and later on grew in scale to utility systems. The underlying technology is the same – the difference being in the scale and the implementing agency (i.e. household or utility). Rooftop and small community SPV programs still account for a roughly estimated 40% of all global investments in SPV</w:t>
      </w:r>
      <w:r>
        <w:rPr>
          <w:rFonts w:cs="Times New Roman"/>
          <w:bCs/>
        </w:rPr>
        <w:t xml:space="preserve"> and are the favored solution for providing decentralized and off-grid power to remote habitations and households.</w:t>
      </w:r>
    </w:p>
    <w:p w14:paraId="70A08322" w14:textId="55273465" w:rsidR="00DD139F" w:rsidRPr="00775666" w:rsidRDefault="00BF308C" w:rsidP="00E52F48">
      <w:pPr>
        <w:pStyle w:val="ListParagraph"/>
        <w:numPr>
          <w:ilvl w:val="0"/>
          <w:numId w:val="35"/>
        </w:numPr>
      </w:pPr>
      <w:r>
        <w:rPr>
          <w:rFonts w:cs="Times New Roman"/>
          <w:b/>
          <w:bCs/>
          <w:u w:val="single"/>
        </w:rPr>
        <w:t>Micro</w:t>
      </w:r>
      <w:r w:rsidR="00952C5B">
        <w:rPr>
          <w:rFonts w:cs="Times New Roman"/>
          <w:b/>
          <w:bCs/>
          <w:u w:val="single"/>
        </w:rPr>
        <w:t xml:space="preserve"> hydro</w:t>
      </w:r>
      <w:r>
        <w:rPr>
          <w:rFonts w:cs="Times New Roman"/>
          <w:b/>
          <w:bCs/>
          <w:u w:val="single"/>
        </w:rPr>
        <w:t>power</w:t>
      </w:r>
      <w:r w:rsidR="00D51332">
        <w:rPr>
          <w:rFonts w:cs="Times New Roman"/>
          <w:b/>
          <w:bCs/>
          <w:u w:val="single"/>
        </w:rPr>
        <w:t xml:space="preserve"> (</w:t>
      </w:r>
      <w:r>
        <w:rPr>
          <w:rFonts w:cs="Times New Roman"/>
          <w:b/>
          <w:bCs/>
          <w:u w:val="single"/>
        </w:rPr>
        <w:t>M</w:t>
      </w:r>
      <w:r w:rsidR="00D51332">
        <w:rPr>
          <w:rFonts w:cs="Times New Roman"/>
          <w:b/>
          <w:bCs/>
          <w:u w:val="single"/>
        </w:rPr>
        <w:t>HP)</w:t>
      </w:r>
      <w:r w:rsidR="00952C5B">
        <w:rPr>
          <w:rFonts w:cs="Times New Roman"/>
          <w:b/>
          <w:bCs/>
          <w:u w:val="single"/>
        </w:rPr>
        <w:t>:</w:t>
      </w:r>
      <w:r w:rsidR="00D51332">
        <w:rPr>
          <w:rFonts w:cs="Times New Roman"/>
          <w:b/>
          <w:bCs/>
          <w:u w:val="single"/>
        </w:rPr>
        <w:t xml:space="preserve"> </w:t>
      </w:r>
      <w:r w:rsidRPr="00775666">
        <w:t>Usually,</w:t>
      </w:r>
      <w:r w:rsidR="00E52F48" w:rsidRPr="00775666">
        <w:t xml:space="preserve"> </w:t>
      </w:r>
      <w:r w:rsidR="00E52F48">
        <w:t xml:space="preserve">MHP is </w:t>
      </w:r>
      <w:r w:rsidR="00E52F48" w:rsidRPr="00775666">
        <w:t xml:space="preserve">a type of small hydropower with capacity up to 100 kW </w:t>
      </w:r>
      <w:r w:rsidR="00E52F48">
        <w:t>(Jawahar &amp; Michael, 2017)</w:t>
      </w:r>
      <w:r w:rsidR="00E52F48" w:rsidRPr="00775666">
        <w:t xml:space="preserve">. Installations below 5 kW are known as the </w:t>
      </w:r>
      <w:r w:rsidR="00E52F48" w:rsidRPr="00E52F48">
        <w:t>Pico</w:t>
      </w:r>
      <w:r w:rsidR="00E52F48" w:rsidRPr="00775666">
        <w:t xml:space="preserve"> hydropower, and they</w:t>
      </w:r>
      <w:r w:rsidRPr="00775666">
        <w:t xml:space="preserve"> offer on-site power generation solution</w:t>
      </w:r>
      <w:r w:rsidR="00E52F48" w:rsidRPr="00775666">
        <w:t>s in a way similar to Micro Wind turbines.</w:t>
      </w:r>
    </w:p>
    <w:p w14:paraId="545F2C04" w14:textId="184EE198" w:rsidR="00952C5B" w:rsidRPr="00775666" w:rsidRDefault="00952C5B" w:rsidP="002B53DF">
      <w:pPr>
        <w:pStyle w:val="ListParagraph"/>
        <w:numPr>
          <w:ilvl w:val="0"/>
          <w:numId w:val="35"/>
        </w:numPr>
      </w:pPr>
      <w:r>
        <w:rPr>
          <w:rFonts w:cs="Times New Roman"/>
          <w:b/>
          <w:bCs/>
          <w:u w:val="single"/>
        </w:rPr>
        <w:t>Household biogas power plant:</w:t>
      </w:r>
      <w:r w:rsidR="00257824" w:rsidRPr="00FD2F7A">
        <w:rPr>
          <w:rFonts w:cs="Times New Roman"/>
          <w:b/>
          <w:bCs/>
        </w:rPr>
        <w:t xml:space="preserve"> </w:t>
      </w:r>
      <w:r w:rsidR="00BF308C" w:rsidRPr="00775666">
        <w:t xml:space="preserve">Family-sized biogas-powered systems could be a competitive solution relative to Micro Wind. </w:t>
      </w:r>
      <w:r w:rsidR="00E52F48">
        <w:t xml:space="preserve">While most household biogas plants are used to meet heating and cooking needs, some are complimented with </w:t>
      </w:r>
      <w:r w:rsidR="00691E69">
        <w:t xml:space="preserve">small </w:t>
      </w:r>
      <w:r w:rsidR="00E52F48">
        <w:t xml:space="preserve">biogas-powered electricity generators to convert the biogas into electricity </w:t>
      </w:r>
      <w:r w:rsidR="00691E69">
        <w:t xml:space="preserve">with an estimated </w:t>
      </w:r>
      <w:r w:rsidR="000A6439">
        <w:t xml:space="preserve">ratio of 0.65 </w:t>
      </w:r>
      <w:r w:rsidR="00691E69">
        <w:t xml:space="preserve">cubic meter to </w:t>
      </w:r>
      <w:r w:rsidR="00E52F48">
        <w:t>1 kW</w:t>
      </w:r>
      <w:r w:rsidR="00691E69">
        <w:t xml:space="preserve"> (Yasar et al., 2017)</w:t>
      </w:r>
      <w:r w:rsidR="00E52F48">
        <w:t>.</w:t>
      </w:r>
    </w:p>
    <w:p w14:paraId="7DC35ED7" w14:textId="2CE21043" w:rsidR="00F06830" w:rsidRDefault="001842BE" w:rsidP="002B53DF">
      <w:pPr>
        <w:pStyle w:val="ListParagraph"/>
        <w:numPr>
          <w:ilvl w:val="0"/>
          <w:numId w:val="35"/>
        </w:numPr>
      </w:pPr>
      <w:r>
        <w:rPr>
          <w:rFonts w:cs="Times New Roman"/>
          <w:b/>
          <w:bCs/>
          <w:u w:val="single"/>
        </w:rPr>
        <w:t xml:space="preserve">Micro </w:t>
      </w:r>
      <w:r w:rsidR="00952C5B">
        <w:rPr>
          <w:rFonts w:cs="Times New Roman"/>
          <w:b/>
          <w:bCs/>
          <w:u w:val="single"/>
        </w:rPr>
        <w:t>CHP:</w:t>
      </w:r>
      <w:r w:rsidR="00E52F48" w:rsidRPr="00FD2F7A">
        <w:rPr>
          <w:rFonts w:cs="Times New Roman"/>
          <w:b/>
          <w:bCs/>
        </w:rPr>
        <w:t xml:space="preserve"> </w:t>
      </w:r>
      <w:r w:rsidR="004B0F11">
        <w:t>Just like the cogeneration power plants, micro CHP</w:t>
      </w:r>
      <w:r w:rsidR="00F06830">
        <w:t xml:space="preserve"> (mCHP)</w:t>
      </w:r>
      <w:r w:rsidR="004B0F11">
        <w:t xml:space="preserve"> generates </w:t>
      </w:r>
      <w:r w:rsidR="00E95FF8">
        <w:t xml:space="preserve">both </w:t>
      </w:r>
      <w:r w:rsidR="004B0F11">
        <w:t xml:space="preserve">electricity and heat </w:t>
      </w:r>
      <w:r w:rsidR="00E95FF8">
        <w:t>from the same source such as biogas. The output of a micro CHP is usually 6:1, that is 6-part heat and 1-part electricity (EST, 2019). Micro CHP could be free standing or h</w:t>
      </w:r>
      <w:r w:rsidR="00FD2F7A">
        <w:t>ung</w:t>
      </w:r>
      <w:r w:rsidR="00E95FF8">
        <w:t xml:space="preserve"> on the wall like domestic boilers. However, it is distinguishable from boilers because of its simultaneous generation of heat and electricity. Micro CHP </w:t>
      </w:r>
      <w:r w:rsidR="00FD2F7A">
        <w:t>considers three posisbilities</w:t>
      </w:r>
      <w:r w:rsidR="00F06830">
        <w:t xml:space="preserve"> (EST, 2019)</w:t>
      </w:r>
      <w:r w:rsidR="00E95FF8">
        <w:t xml:space="preserve">: </w:t>
      </w:r>
    </w:p>
    <w:p w14:paraId="3238C3A2" w14:textId="6E047089" w:rsidR="00F06830" w:rsidRDefault="00F06830" w:rsidP="00F06830">
      <w:pPr>
        <w:pStyle w:val="ListParagraph"/>
        <w:numPr>
          <w:ilvl w:val="1"/>
          <w:numId w:val="35"/>
        </w:numPr>
      </w:pPr>
      <w:r w:rsidRPr="00775666">
        <w:rPr>
          <w:rFonts w:cs="Times New Roman"/>
          <w:bCs/>
        </w:rPr>
        <w:t>A</w:t>
      </w:r>
      <w:r w:rsidRPr="00775666">
        <w:t xml:space="preserve"> relatively</w:t>
      </w:r>
      <w:r>
        <w:t xml:space="preserve"> new </w:t>
      </w:r>
      <w:r w:rsidR="00E95FF8" w:rsidRPr="00775666">
        <w:rPr>
          <w:i/>
        </w:rPr>
        <w:t>Stirling engine mCHP</w:t>
      </w:r>
      <w:r w:rsidR="00E95FF8">
        <w:t xml:space="preserve">, </w:t>
      </w:r>
      <w:r>
        <w:t>with heat to electricity output ration of 6:1.</w:t>
      </w:r>
    </w:p>
    <w:p w14:paraId="0A40012A" w14:textId="77777777" w:rsidR="00A9470E" w:rsidRPr="00775666" w:rsidRDefault="00F06830" w:rsidP="00A9470E">
      <w:pPr>
        <w:pStyle w:val="ListParagraph"/>
        <w:numPr>
          <w:ilvl w:val="1"/>
          <w:numId w:val="35"/>
        </w:numPr>
      </w:pPr>
      <w:r w:rsidRPr="00775666">
        <w:rPr>
          <w:rFonts w:cs="Times New Roman"/>
          <w:bCs/>
        </w:rPr>
        <w:t xml:space="preserve">The newest and less common </w:t>
      </w:r>
      <w:r w:rsidRPr="00775666">
        <w:rPr>
          <w:rFonts w:cs="Times New Roman"/>
          <w:bCs/>
          <w:i/>
        </w:rPr>
        <w:t>fuel cell CHP</w:t>
      </w:r>
      <w:r w:rsidRPr="00775666">
        <w:rPr>
          <w:rFonts w:cs="Times New Roman"/>
          <w:bCs/>
        </w:rPr>
        <w:t>, that operates by chemically taking energy from fuels without the need for combustion.</w:t>
      </w:r>
      <w:r w:rsidR="00A9470E" w:rsidRPr="00775666">
        <w:rPr>
          <w:rFonts w:cs="Times New Roman"/>
          <w:bCs/>
        </w:rPr>
        <w:t xml:space="preserve"> </w:t>
      </w:r>
    </w:p>
    <w:p w14:paraId="4639C61A" w14:textId="2BDBBCD7" w:rsidR="002B53DF" w:rsidRPr="00775666" w:rsidRDefault="00C06D82" w:rsidP="00775666">
      <w:pPr>
        <w:pStyle w:val="ListParagraph"/>
        <w:numPr>
          <w:ilvl w:val="1"/>
          <w:numId w:val="35"/>
        </w:numPr>
      </w:pPr>
      <w:r>
        <w:t xml:space="preserve">A more matured and common </w:t>
      </w:r>
      <w:r w:rsidR="00E95FF8" w:rsidRPr="00775666">
        <w:rPr>
          <w:i/>
        </w:rPr>
        <w:t>interna</w:t>
      </w:r>
      <w:r w:rsidR="0074235D">
        <w:rPr>
          <w:i/>
        </w:rPr>
        <w:t>l</w:t>
      </w:r>
      <w:r w:rsidR="00E95FF8" w:rsidRPr="00775666">
        <w:rPr>
          <w:i/>
        </w:rPr>
        <w:t xml:space="preserve"> combustion engine CHP</w:t>
      </w:r>
      <w:r w:rsidR="00E95FF8">
        <w:t xml:space="preserve">, </w:t>
      </w:r>
      <w:r>
        <w:t>which is essentially a modified diesel-powered truck engine which runs on lighter fuels such as biogas or natural gas. Heat output is taken from the cooling water coming from the engine, and exhaust system, while electricity is generated by connecting the IC CHP directly to an electrical generator.</w:t>
      </w:r>
    </w:p>
    <w:p w14:paraId="66FEF337" w14:textId="05C66EF6" w:rsidR="000330C6" w:rsidRDefault="00507E76" w:rsidP="005D49A8">
      <w:pPr>
        <w:pStyle w:val="Heading3"/>
      </w:pPr>
      <w:bookmarkStart w:id="17" w:name="_Toc23613447"/>
      <w:r>
        <w:t xml:space="preserve">1.3.2 </w:t>
      </w:r>
      <w:r w:rsidR="551A77D0" w:rsidRPr="00E069AC">
        <w:t>Arguments for Adoption</w:t>
      </w:r>
      <w:bookmarkEnd w:id="17"/>
    </w:p>
    <w:p w14:paraId="6A7DAC5A" w14:textId="313B4C40" w:rsidR="00CC5263" w:rsidRPr="00CC5263" w:rsidRDefault="00CC5263" w:rsidP="00CC5263">
      <w:pPr>
        <w:autoSpaceDE w:val="0"/>
        <w:rPr>
          <w:rFonts w:cstheme="minorHAnsi"/>
        </w:rPr>
      </w:pPr>
      <w:r w:rsidRPr="00CC5263">
        <w:rPr>
          <w:rFonts w:cstheme="minorHAnsi"/>
        </w:rPr>
        <w:t>Looking thirty years ahead, it</w:t>
      </w:r>
      <w:r>
        <w:rPr>
          <w:rFonts w:cstheme="minorHAnsi"/>
        </w:rPr>
        <w:t xml:space="preserve"> i</w:t>
      </w:r>
      <w:r w:rsidRPr="00CC5263">
        <w:rPr>
          <w:rFonts w:cstheme="minorHAnsi"/>
        </w:rPr>
        <w:t>s undeniable that more parts of the planet will become electrified, mostly in the developing world</w:t>
      </w:r>
      <w:r>
        <w:rPr>
          <w:rFonts w:cstheme="minorHAnsi"/>
        </w:rPr>
        <w:t xml:space="preserve"> (Ranaboldo e</w:t>
      </w:r>
      <w:r w:rsidRPr="008944B4">
        <w:rPr>
          <w:rFonts w:cstheme="minorHAnsi"/>
          <w:i/>
        </w:rPr>
        <w:t>t al</w:t>
      </w:r>
      <w:r>
        <w:rPr>
          <w:rFonts w:cstheme="minorHAnsi"/>
        </w:rPr>
        <w:t>., 2014; Li, 2015)</w:t>
      </w:r>
      <w:r>
        <w:t>.</w:t>
      </w:r>
      <w:r w:rsidRPr="00CC5263">
        <w:rPr>
          <w:rFonts w:cstheme="minorHAnsi"/>
        </w:rPr>
        <w:t xml:space="preserve"> Microgrid technology, including MWTs, offers a quick, easy and relatively inexpensive method of electrifying these regions. Compared to the upfront capital investments of natural gas power plants and a network of transmission lines, MWTs, with robust storage capabilities, are much cheaper, and most of all, cleaner. </w:t>
      </w:r>
    </w:p>
    <w:p w14:paraId="7249E869" w14:textId="7D902EC7" w:rsidR="00CC5263" w:rsidRPr="00CC5263" w:rsidRDefault="00CC5263" w:rsidP="00CC5263">
      <w:pPr>
        <w:autoSpaceDE w:val="0"/>
        <w:rPr>
          <w:rFonts w:cstheme="minorHAnsi"/>
        </w:rPr>
      </w:pPr>
      <w:r w:rsidRPr="00CC5263">
        <w:rPr>
          <w:rFonts w:cstheme="minorHAnsi"/>
        </w:rPr>
        <w:t>In the developed world, MWTs can be seen as a “bonus.” The vast majority of citizens in developed countries will continue to be connected to the electrical grid</w:t>
      </w:r>
      <w:r>
        <w:rPr>
          <w:rFonts w:cstheme="minorHAnsi"/>
        </w:rPr>
        <w:t xml:space="preserve"> (Nandi </w:t>
      </w:r>
      <w:r w:rsidRPr="008944B4">
        <w:rPr>
          <w:rFonts w:cstheme="minorHAnsi"/>
          <w:i/>
        </w:rPr>
        <w:t>et al</w:t>
      </w:r>
      <w:r>
        <w:rPr>
          <w:rFonts w:cstheme="minorHAnsi"/>
        </w:rPr>
        <w:t>., 2010)</w:t>
      </w:r>
      <w:r w:rsidRPr="00CC5263">
        <w:rPr>
          <w:rFonts w:cstheme="minorHAnsi"/>
        </w:rPr>
        <w:t>. The trends of utility scale renewable energy will continue upwards, driving down the use of carbon-rich sources of electricity. MWTs and other microgrid solutions will enable these citizens to generate spare electricity on site and, depending on their situations, either store it or send it back into the grid via net metering.</w:t>
      </w:r>
    </w:p>
    <w:p w14:paraId="7D4606B1" w14:textId="0AD8721B" w:rsidR="002B53DF" w:rsidRDefault="00CC5263" w:rsidP="00CC5263">
      <w:r w:rsidRPr="00CC5263">
        <w:rPr>
          <w:rFonts w:cstheme="minorHAnsi"/>
        </w:rPr>
        <w:t>Relevant to the current water shortages plaguing many parts of the world, MWTs require no water to generate electricity. The only water required is in the manufacturing process. While reducing GHGs is noble and should remain a top priority, water conservation should nevertheless not be neglected. Indeed an under-touted advantage of MWTs, and wind energy in general, is its minimal use of water.</w:t>
      </w:r>
      <w:r>
        <w:rPr>
          <w:rFonts w:cstheme="minorHAnsi"/>
        </w:rPr>
        <w:t xml:space="preserve"> (DOE, 2008)</w:t>
      </w:r>
      <w:r>
        <w:t>.</w:t>
      </w:r>
    </w:p>
    <w:p w14:paraId="5E910B17" w14:textId="3500DC2E" w:rsidR="00966190" w:rsidRPr="00CC5263" w:rsidRDefault="00966190" w:rsidP="00CC5263">
      <w:pPr>
        <w:rPr>
          <w:rFonts w:cstheme="minorHAnsi"/>
        </w:rPr>
      </w:pPr>
      <w:r>
        <w:rPr>
          <w:rFonts w:cstheme="minorHAnsi"/>
        </w:rPr>
        <w:t>While many developed countries are adopting utility-scale onshore and offshore wind power to meet their clean energy targets, there are concerns that meeting 10 – 15% of global energy demand with utility-scale wind power plants could lead to land surface temperature rise of 1</w:t>
      </w:r>
      <w:r>
        <w:rPr>
          <w:rFonts w:ascii="Ebrima" w:hAnsi="Ebrima" w:cstheme="minorHAnsi"/>
        </w:rPr>
        <w:t>°</w:t>
      </w:r>
      <w:r>
        <w:rPr>
          <w:rFonts w:cstheme="minorHAnsi"/>
        </w:rPr>
        <w:t>C (</w:t>
      </w:r>
      <w:r>
        <w:t xml:space="preserve">Tummala </w:t>
      </w:r>
      <w:r w:rsidRPr="00562C0F">
        <w:rPr>
          <w:i/>
        </w:rPr>
        <w:t>et al</w:t>
      </w:r>
      <w:r>
        <w:t>., 2016</w:t>
      </w:r>
      <w:r>
        <w:rPr>
          <w:rFonts w:cstheme="minorHAnsi"/>
        </w:rPr>
        <w:t>).</w:t>
      </w:r>
    </w:p>
    <w:p w14:paraId="631C1215" w14:textId="4CC2A6D4" w:rsidR="006D6012" w:rsidRPr="00E069AC" w:rsidRDefault="00507E76" w:rsidP="005D49A8">
      <w:pPr>
        <w:pStyle w:val="Heading3"/>
      </w:pPr>
      <w:bookmarkStart w:id="18" w:name="_Toc23613448"/>
      <w:r>
        <w:t xml:space="preserve">1.3.3 </w:t>
      </w:r>
      <w:r w:rsidR="551A77D0" w:rsidRPr="00E069AC">
        <w:t>Additional Benefits and Burdens</w:t>
      </w:r>
      <w:bookmarkEnd w:id="18"/>
    </w:p>
    <w:p w14:paraId="07755A65" w14:textId="352C9B79" w:rsidR="00BB7662" w:rsidRDefault="00BB7662" w:rsidP="00CC5263">
      <w:pPr>
        <w:rPr>
          <w:rFonts w:cstheme="minorHAnsi"/>
        </w:rPr>
      </w:pPr>
      <w:r>
        <w:rPr>
          <w:rFonts w:cstheme="minorHAnsi"/>
          <w:shd w:val="clear" w:color="auto" w:fill="FFFFFF"/>
        </w:rPr>
        <w:t>Siting is a</w:t>
      </w:r>
      <w:r w:rsidRPr="00C84E91">
        <w:rPr>
          <w:rFonts w:cstheme="minorHAnsi"/>
          <w:shd w:val="clear" w:color="auto" w:fill="FFFFFF"/>
        </w:rPr>
        <w:t xml:space="preserve">nother factor that affects the adoption of MWTs. MWTs are very susceptible to siting conditions. </w:t>
      </w:r>
      <w:r w:rsidRPr="00C84E91">
        <w:rPr>
          <w:rFonts w:cstheme="minorHAnsi"/>
        </w:rPr>
        <w:t>Wind turbines operate best when the wind reaching the turbine blades is not affected by obstacles</w:t>
      </w:r>
      <w:r w:rsidR="00CD5039">
        <w:rPr>
          <w:rFonts w:cstheme="minorHAnsi"/>
        </w:rPr>
        <w:t>, since</w:t>
      </w:r>
      <w:r w:rsidRPr="00C84E91">
        <w:rPr>
          <w:rFonts w:cstheme="minorHAnsi"/>
        </w:rPr>
        <w:t xml:space="preserve"> </w:t>
      </w:r>
      <w:r w:rsidR="00CD5039">
        <w:rPr>
          <w:rFonts w:cstheme="minorHAnsi"/>
        </w:rPr>
        <w:t xml:space="preserve">they </w:t>
      </w:r>
      <w:r w:rsidRPr="00C84E91">
        <w:rPr>
          <w:rFonts w:cstheme="minorHAnsi"/>
        </w:rPr>
        <w:t xml:space="preserve"> slow the wind down and increase turbulence- both of which reduce the performance of the wind turbine. Because of their size and generating capacity, MWTs are much more susceptible to siting conditions and typically have low capacity factors. Unfortunately, because this aspect of the MWT industry is still very much in its infancy, there has been little advancement in this area.</w:t>
      </w:r>
    </w:p>
    <w:p w14:paraId="56F9130C" w14:textId="67244D14" w:rsidR="00BB7662" w:rsidRPr="00C84E91" w:rsidRDefault="00BB7662" w:rsidP="00CC5263">
      <w:pPr>
        <w:rPr>
          <w:rFonts w:cstheme="minorHAnsi"/>
        </w:rPr>
      </w:pPr>
      <w:r w:rsidRPr="00C84E91">
        <w:rPr>
          <w:rFonts w:cstheme="minorHAnsi"/>
        </w:rPr>
        <w:t>Software suites exist for utility scale siting, but such solutions are inappropriate for the scale of MWTs, as these companies have little incentive to invest in residential scale siting solutions. Acquiring such data and developing techniques to improve siting is cost prohibitive</w:t>
      </w:r>
      <w:r w:rsidR="00B9748D">
        <w:rPr>
          <w:rFonts w:cstheme="minorHAnsi"/>
        </w:rPr>
        <w:t xml:space="preserve"> </w:t>
      </w:r>
      <w:r w:rsidRPr="00C84E91">
        <w:rPr>
          <w:rFonts w:cstheme="minorHAnsi"/>
        </w:rPr>
        <w:t>—</w:t>
      </w:r>
      <w:r w:rsidR="00B9748D">
        <w:rPr>
          <w:rFonts w:cstheme="minorHAnsi"/>
        </w:rPr>
        <w:t xml:space="preserve"> </w:t>
      </w:r>
      <w:r w:rsidRPr="00C84E91">
        <w:rPr>
          <w:rFonts w:cstheme="minorHAnsi"/>
        </w:rPr>
        <w:t xml:space="preserve">better to stick to crude anemometers and simple data acquisition software. </w:t>
      </w:r>
      <w:r w:rsidRPr="00C84E91">
        <w:rPr>
          <w:rFonts w:cstheme="minorHAnsi"/>
          <w:bCs/>
        </w:rPr>
        <w:t>Siting constraints thus provide a bottom-up constrain</w:t>
      </w:r>
      <w:r w:rsidR="00FD2F7A">
        <w:rPr>
          <w:rFonts w:cstheme="minorHAnsi"/>
          <w:bCs/>
        </w:rPr>
        <w:t>t</w:t>
      </w:r>
      <w:r w:rsidRPr="00C84E91">
        <w:rPr>
          <w:rFonts w:cstheme="minorHAnsi"/>
          <w:bCs/>
        </w:rPr>
        <w:t xml:space="preserve"> on the adoption of MWTs. However, as mentioned above understanding these constraints is very much in its infancy. </w:t>
      </w:r>
      <w:r w:rsidRPr="00C84E91">
        <w:rPr>
          <w:rFonts w:cstheme="minorHAnsi"/>
        </w:rPr>
        <w:t xml:space="preserve"> NREL</w:t>
      </w:r>
      <w:r>
        <w:rPr>
          <w:rFonts w:cstheme="minorHAnsi"/>
        </w:rPr>
        <w:t xml:space="preserve"> (2007)</w:t>
      </w:r>
      <w:r w:rsidRPr="00C84E91">
        <w:rPr>
          <w:rFonts w:cstheme="minorHAnsi"/>
        </w:rPr>
        <w:t xml:space="preserve"> has </w:t>
      </w:r>
      <w:r w:rsidRPr="00BB7662">
        <w:rPr>
          <w:rStyle w:val="Hyperlink"/>
          <w:rFonts w:cstheme="minorHAnsi"/>
          <w:color w:val="auto"/>
          <w:u w:val="none"/>
          <w:bdr w:val="none" w:sz="0" w:space="0" w:color="auto" w:frame="1"/>
        </w:rPr>
        <w:t>issued</w:t>
      </w:r>
      <w:r w:rsidRPr="00BB7662">
        <w:rPr>
          <w:rStyle w:val="apple-converted-space"/>
          <w:rFonts w:cstheme="minorHAnsi"/>
        </w:rPr>
        <w:t> </w:t>
      </w:r>
      <w:r w:rsidRPr="00BB7662">
        <w:rPr>
          <w:rFonts w:cstheme="minorHAnsi"/>
        </w:rPr>
        <w:t>a</w:t>
      </w:r>
      <w:r w:rsidRPr="00C84E91">
        <w:rPr>
          <w:rFonts w:cstheme="minorHAnsi"/>
        </w:rPr>
        <w:t xml:space="preserve"> ‘Small Wind Electric Systems: A U</w:t>
      </w:r>
      <w:r w:rsidR="00CC5263">
        <w:rPr>
          <w:rFonts w:cstheme="minorHAnsi"/>
        </w:rPr>
        <w:t>.</w:t>
      </w:r>
      <w:r w:rsidRPr="00C84E91">
        <w:rPr>
          <w:rFonts w:cstheme="minorHAnsi"/>
        </w:rPr>
        <w:t>S</w:t>
      </w:r>
      <w:r w:rsidR="00CC5263">
        <w:rPr>
          <w:rFonts w:cstheme="minorHAnsi"/>
        </w:rPr>
        <w:t xml:space="preserve">. </w:t>
      </w:r>
      <w:r w:rsidRPr="00C84E91">
        <w:rPr>
          <w:rFonts w:cstheme="minorHAnsi"/>
        </w:rPr>
        <w:t>Consumer Guide that details the following broad guidelines for a small wind energy system to be a practical investment for citizens in the United States at the current time</w:t>
      </w:r>
      <w:r w:rsidR="00562C0F">
        <w:rPr>
          <w:rFonts w:cstheme="minorHAnsi"/>
        </w:rPr>
        <w:t>:</w:t>
      </w:r>
    </w:p>
    <w:p w14:paraId="2C5C8A47" w14:textId="48A91A8F" w:rsidR="00BB7662" w:rsidRPr="00C84E91" w:rsidRDefault="00562C0F" w:rsidP="00CC5263">
      <w:pPr>
        <w:numPr>
          <w:ilvl w:val="0"/>
          <w:numId w:val="34"/>
        </w:numPr>
        <w:ind w:left="360"/>
        <w:jc w:val="left"/>
        <w:textAlignment w:val="baseline"/>
        <w:rPr>
          <w:rFonts w:cstheme="minorHAnsi"/>
        </w:rPr>
      </w:pPr>
      <w:r>
        <w:rPr>
          <w:rFonts w:cstheme="minorHAnsi"/>
        </w:rPr>
        <w:t>P</w:t>
      </w:r>
      <w:r w:rsidR="00BB7662" w:rsidRPr="00C84E91">
        <w:rPr>
          <w:rFonts w:cstheme="minorHAnsi"/>
        </w:rPr>
        <w:t>roperty has a good wind resource</w:t>
      </w:r>
      <w:r w:rsidR="00CD5039">
        <w:rPr>
          <w:rFonts w:cstheme="minorHAnsi"/>
        </w:rPr>
        <w:t xml:space="preserve"> and </w:t>
      </w:r>
      <w:r w:rsidR="00CD5039" w:rsidRPr="008944B4">
        <w:rPr>
          <w:rFonts w:cstheme="minorHAnsi"/>
        </w:rPr>
        <w:t>is in a remote location without easy access to utility lines.</w:t>
      </w:r>
    </w:p>
    <w:p w14:paraId="7531943D" w14:textId="423C7878" w:rsidR="00BB7662" w:rsidRPr="00C84E91" w:rsidRDefault="00562C0F" w:rsidP="00CC5263">
      <w:pPr>
        <w:numPr>
          <w:ilvl w:val="0"/>
          <w:numId w:val="34"/>
        </w:numPr>
        <w:ind w:left="360"/>
        <w:jc w:val="left"/>
        <w:textAlignment w:val="baseline"/>
        <w:rPr>
          <w:rFonts w:cstheme="minorHAnsi"/>
        </w:rPr>
      </w:pPr>
      <w:r>
        <w:rPr>
          <w:rFonts w:cstheme="minorHAnsi"/>
        </w:rPr>
        <w:t>H</w:t>
      </w:r>
      <w:r w:rsidR="00BB7662" w:rsidRPr="00C84E91">
        <w:rPr>
          <w:rFonts w:cstheme="minorHAnsi"/>
        </w:rPr>
        <w:t>ome or business is located on at least one acre of land in a rural area</w:t>
      </w:r>
      <w:r w:rsidR="003D50A7">
        <w:rPr>
          <w:rFonts w:cstheme="minorHAnsi"/>
        </w:rPr>
        <w:t>.</w:t>
      </w:r>
    </w:p>
    <w:p w14:paraId="46B49DD7" w14:textId="725394B4" w:rsidR="00BB7662" w:rsidRPr="00CD5039" w:rsidRDefault="00562C0F" w:rsidP="00CD5039">
      <w:pPr>
        <w:numPr>
          <w:ilvl w:val="0"/>
          <w:numId w:val="34"/>
        </w:numPr>
        <w:ind w:left="360"/>
        <w:jc w:val="left"/>
        <w:textAlignment w:val="baseline"/>
        <w:rPr>
          <w:rFonts w:cstheme="minorHAnsi"/>
        </w:rPr>
      </w:pPr>
      <w:r>
        <w:rPr>
          <w:rFonts w:cstheme="minorHAnsi"/>
        </w:rPr>
        <w:t>A</w:t>
      </w:r>
      <w:r w:rsidR="00BB7662" w:rsidRPr="00C84E91">
        <w:rPr>
          <w:rFonts w:cstheme="minorHAnsi"/>
        </w:rPr>
        <w:t xml:space="preserve">verage electricity bills are </w:t>
      </w:r>
      <w:r w:rsidR="00CD5039">
        <w:rPr>
          <w:rFonts w:cstheme="minorHAnsi"/>
        </w:rPr>
        <w:t xml:space="preserve">over </w:t>
      </w:r>
      <w:r w:rsidR="00BB7662" w:rsidRPr="00C84E91">
        <w:rPr>
          <w:rFonts w:cstheme="minorHAnsi"/>
        </w:rPr>
        <w:t>$150 per month</w:t>
      </w:r>
      <w:r w:rsidR="00CD5039">
        <w:rPr>
          <w:rFonts w:cstheme="minorHAnsi"/>
        </w:rPr>
        <w:t>.</w:t>
      </w:r>
      <w:r w:rsidR="00BB7662" w:rsidRPr="00CD5039">
        <w:rPr>
          <w:rFonts w:cstheme="minorHAnsi"/>
        </w:rPr>
        <w:t xml:space="preserve"> </w:t>
      </w:r>
    </w:p>
    <w:p w14:paraId="1A180AB0" w14:textId="4F7AC6C6" w:rsidR="00BB7662" w:rsidRPr="00C84E91" w:rsidRDefault="00562C0F" w:rsidP="00CC5263">
      <w:pPr>
        <w:numPr>
          <w:ilvl w:val="0"/>
          <w:numId w:val="34"/>
        </w:numPr>
        <w:ind w:left="360"/>
        <w:jc w:val="left"/>
        <w:textAlignment w:val="baseline"/>
        <w:rPr>
          <w:rFonts w:cstheme="minorHAnsi"/>
        </w:rPr>
      </w:pPr>
      <w:r>
        <w:rPr>
          <w:rFonts w:cstheme="minorHAnsi"/>
        </w:rPr>
        <w:t>The investor is</w:t>
      </w:r>
      <w:r w:rsidR="00BB7662" w:rsidRPr="00C84E91">
        <w:rPr>
          <w:rFonts w:cstheme="minorHAnsi"/>
        </w:rPr>
        <w:t xml:space="preserve"> comfortable with long term investments</w:t>
      </w:r>
      <w:r w:rsidR="003D50A7">
        <w:rPr>
          <w:rFonts w:cstheme="minorHAnsi"/>
        </w:rPr>
        <w:t>.</w:t>
      </w:r>
    </w:p>
    <w:p w14:paraId="79849C9B" w14:textId="0B7CA039" w:rsidR="00BB7662" w:rsidRPr="00C84E91" w:rsidRDefault="00BB7662" w:rsidP="00CC5263">
      <w:pPr>
        <w:rPr>
          <w:rFonts w:cstheme="minorHAnsi"/>
          <w:bCs/>
        </w:rPr>
      </w:pPr>
      <w:r w:rsidRPr="00C84E91">
        <w:rPr>
          <w:rFonts w:cstheme="minorHAnsi"/>
          <w:bCs/>
        </w:rPr>
        <w:t xml:space="preserve">The criteria that electricity bills &gt; $150/month means that at the moment very few households around the world meet </w:t>
      </w:r>
      <w:r w:rsidR="00B9748D" w:rsidRPr="00C84E91">
        <w:rPr>
          <w:rFonts w:cstheme="minorHAnsi"/>
          <w:bCs/>
        </w:rPr>
        <w:t>this criterion</w:t>
      </w:r>
      <w:r w:rsidRPr="00C84E91">
        <w:rPr>
          <w:rFonts w:cstheme="minorHAnsi"/>
          <w:bCs/>
        </w:rPr>
        <w:t>, even in rich countries. However, in the future, with the falling costs of MWTs, MWTs can become a financially feasible investment for more households.</w:t>
      </w:r>
    </w:p>
    <w:p w14:paraId="1EA1382D" w14:textId="11E68B5B" w:rsidR="00BB7662" w:rsidRPr="00C84E91" w:rsidRDefault="00BB7662" w:rsidP="00BB7662">
      <w:pPr>
        <w:rPr>
          <w:rFonts w:cstheme="minorHAnsi"/>
          <w:bCs/>
        </w:rPr>
      </w:pPr>
      <w:r w:rsidRPr="00C84E91">
        <w:rPr>
          <w:rFonts w:cstheme="minorHAnsi"/>
          <w:bCs/>
        </w:rPr>
        <w:t>Continued popularity of distributed generation/microgrids will only further benefit the MWT industry. Skyscrapers and other large complexes behave like mini cities. It</w:t>
      </w:r>
      <w:r>
        <w:rPr>
          <w:rFonts w:cstheme="minorHAnsi"/>
          <w:bCs/>
        </w:rPr>
        <w:t xml:space="preserve"> i</w:t>
      </w:r>
      <w:r w:rsidRPr="00C84E91">
        <w:rPr>
          <w:rFonts w:cstheme="minorHAnsi"/>
          <w:bCs/>
        </w:rPr>
        <w:t>s a natural fit, then, to incorporate MWTs into these systems. Relatedly, skyscrapers have the added benefit of easy access to high wind regimes. A characteristic of the atmosphere is that wind speeds increase with height. Hence the push by utility scale wind developers for higher wind turbines. In fact, it</w:t>
      </w:r>
      <w:r>
        <w:rPr>
          <w:rFonts w:cstheme="minorHAnsi"/>
          <w:bCs/>
        </w:rPr>
        <w:t xml:space="preserve"> i</w:t>
      </w:r>
      <w:r w:rsidRPr="00C84E91">
        <w:rPr>
          <w:rFonts w:cstheme="minorHAnsi"/>
          <w:bCs/>
        </w:rPr>
        <w:t>s been quipped that wind power is viable anywhere on the planet, so long as the turbine is high enough. Installing MWTs atop skyscrapers places them directly in high wind regimes, without the burden and cost of cumbersome towers</w:t>
      </w:r>
      <w:r>
        <w:rPr>
          <w:rFonts w:cstheme="minorHAnsi"/>
          <w:bCs/>
        </w:rPr>
        <w:t xml:space="preserve"> (Lazard, 2014)</w:t>
      </w:r>
      <w:r w:rsidRPr="00C84E91">
        <w:rPr>
          <w:rFonts w:cstheme="minorHAnsi"/>
          <w:bCs/>
        </w:rPr>
        <w:t>.</w:t>
      </w:r>
    </w:p>
    <w:p w14:paraId="0E6878D3" w14:textId="04752C51" w:rsidR="005D49A8" w:rsidRDefault="00BB7662" w:rsidP="002B53DF">
      <w:pPr>
        <w:spacing w:after="0"/>
        <w:rPr>
          <w:rFonts w:cs="Times New Roman"/>
          <w:color w:val="000000" w:themeColor="text1"/>
        </w:rPr>
      </w:pPr>
      <w:r w:rsidRPr="00C84E91">
        <w:rPr>
          <w:rFonts w:cstheme="minorHAnsi"/>
          <w:bCs/>
        </w:rPr>
        <w:t>But where MWTs have the biggest potential to shine is incorporation with other energy sources. Because of the variability of the wind, MWTs cannot generate electricity at all times. To solve this problem, MWTs are typically installed in conjunction with diesel generators</w:t>
      </w:r>
      <w:r>
        <w:rPr>
          <w:rFonts w:cstheme="minorHAnsi"/>
          <w:bCs/>
        </w:rPr>
        <w:t xml:space="preserve"> (Alliance for Rural Electrification, 2012)</w:t>
      </w:r>
      <w:r w:rsidRPr="00C84E91">
        <w:rPr>
          <w:rFonts w:cstheme="minorHAnsi"/>
          <w:bCs/>
        </w:rPr>
        <w:t>. According to some in the industry, this is one aspect ripe for improvement</w:t>
      </w:r>
      <w:r>
        <w:rPr>
          <w:rFonts w:cstheme="minorHAnsi"/>
          <w:bCs/>
        </w:rPr>
        <w:t xml:space="preserve"> (IRE</w:t>
      </w:r>
      <w:r w:rsidR="002B53DF">
        <w:rPr>
          <w:rFonts w:cstheme="minorHAnsi"/>
          <w:bCs/>
        </w:rPr>
        <w:t>NA, 2012)</w:t>
      </w:r>
      <w:r w:rsidRPr="00C84E91">
        <w:rPr>
          <w:rFonts w:cstheme="minorHAnsi"/>
          <w:bCs/>
        </w:rPr>
        <w:t>. Balancing low carbon emitting wind turbines with high carbon diesel acts to “cancel out” the environmental benefits of MWTs. One solution is to pair solar PV systems with MWTs and there are already some systems on the market that marry these two technologies</w:t>
      </w:r>
      <w:r w:rsidR="00CC5263">
        <w:rPr>
          <w:rFonts w:cstheme="minorHAnsi"/>
          <w:bCs/>
        </w:rPr>
        <w:t xml:space="preserve"> (Attaianese </w:t>
      </w:r>
      <w:r w:rsidR="00CC5263" w:rsidRPr="003D50A7">
        <w:rPr>
          <w:rFonts w:cstheme="minorHAnsi"/>
          <w:bCs/>
          <w:i/>
        </w:rPr>
        <w:t>et al</w:t>
      </w:r>
      <w:r w:rsidR="003D50A7" w:rsidRPr="003D50A7">
        <w:rPr>
          <w:rFonts w:cstheme="minorHAnsi"/>
          <w:bCs/>
          <w:i/>
        </w:rPr>
        <w:t>.</w:t>
      </w:r>
      <w:r w:rsidR="00CC5263">
        <w:rPr>
          <w:rFonts w:cstheme="minorHAnsi"/>
          <w:bCs/>
        </w:rPr>
        <w:t>, 2014)</w:t>
      </w:r>
      <w:r w:rsidRPr="00C84E91">
        <w:rPr>
          <w:rFonts w:cstheme="minorHAnsi"/>
          <w:bCs/>
        </w:rPr>
        <w:t>. Another solution would be replacement of the diesel generators altogether. In the next 18 months, Tesla will be introducing a residential battery storage unit. Paring such devices with MWTs would enable storage of unused electricity. This has the potential to be a “game changer” not just for the MWT market, but for all small scale renewable systems plagued by variability of the resource.</w:t>
      </w:r>
      <w:r w:rsidR="002B53DF">
        <w:rPr>
          <w:rFonts w:cstheme="minorHAnsi"/>
          <w:bCs/>
        </w:rPr>
        <w:t xml:space="preserve"> </w:t>
      </w:r>
      <w:r w:rsidR="00695682" w:rsidRPr="00260FD7">
        <w:rPr>
          <w:rFonts w:eastAsia="Times New Roman" w:cs="Times New Roman"/>
          <w:color w:val="000000"/>
        </w:rPr>
        <w:t>Table 1.</w:t>
      </w:r>
      <w:r w:rsidR="009C373D">
        <w:rPr>
          <w:rFonts w:eastAsia="Times New Roman" w:cs="Times New Roman"/>
          <w:color w:val="000000"/>
        </w:rPr>
        <w:t>1</w:t>
      </w:r>
      <w:r w:rsidR="00695682" w:rsidRPr="00260FD7">
        <w:rPr>
          <w:rFonts w:eastAsia="Times New Roman" w:cs="Times New Roman"/>
          <w:color w:val="000000"/>
        </w:rPr>
        <w:t xml:space="preserve"> present</w:t>
      </w:r>
      <w:r w:rsidR="00CC5263">
        <w:rPr>
          <w:rFonts w:eastAsia="Times New Roman" w:cs="Times New Roman"/>
          <w:color w:val="000000"/>
        </w:rPr>
        <w:t>s</w:t>
      </w:r>
      <w:r w:rsidR="00695682" w:rsidRPr="00260FD7">
        <w:rPr>
          <w:rFonts w:eastAsia="Times New Roman" w:cs="Times New Roman"/>
          <w:color w:val="000000"/>
        </w:rPr>
        <w:t xml:space="preserve"> </w:t>
      </w:r>
      <w:r w:rsidR="00695682" w:rsidRPr="00260FD7">
        <w:rPr>
          <w:rFonts w:cs="Times New Roman"/>
          <w:color w:val="000000" w:themeColor="text1"/>
        </w:rPr>
        <w:t>a comparison of</w:t>
      </w:r>
      <w:r w:rsidR="000B3EE3" w:rsidRPr="00260FD7">
        <w:rPr>
          <w:rFonts w:cs="Times New Roman"/>
          <w:color w:val="000000" w:themeColor="text1"/>
        </w:rPr>
        <w:t xml:space="preserve"> selected</w:t>
      </w:r>
      <w:r w:rsidR="00695682" w:rsidRPr="00260FD7">
        <w:rPr>
          <w:rFonts w:cs="Times New Roman"/>
          <w:color w:val="000000" w:themeColor="text1"/>
        </w:rPr>
        <w:t xml:space="preserve"> pros and cons of the solution with others </w:t>
      </w:r>
      <w:r w:rsidR="008D107D">
        <w:rPr>
          <w:rFonts w:cs="Times New Roman"/>
          <w:color w:val="000000" w:themeColor="text1"/>
        </w:rPr>
        <w:t xml:space="preserve">either </w:t>
      </w:r>
      <w:r w:rsidR="00695682" w:rsidRPr="00260FD7">
        <w:rPr>
          <w:rFonts w:cs="Times New Roman"/>
          <w:color w:val="000000" w:themeColor="text1"/>
        </w:rPr>
        <w:t>in the same sector</w:t>
      </w:r>
      <w:r w:rsidR="008D107D">
        <w:rPr>
          <w:rFonts w:cs="Times New Roman"/>
          <w:color w:val="000000" w:themeColor="text1"/>
        </w:rPr>
        <w:t xml:space="preserve">, same level of agency and/or </w:t>
      </w:r>
      <w:r w:rsidR="00695682" w:rsidRPr="00260FD7">
        <w:rPr>
          <w:rFonts w:cs="Times New Roman"/>
          <w:color w:val="000000" w:themeColor="text1"/>
        </w:rPr>
        <w:t>with the same energy source.</w:t>
      </w:r>
      <w:bookmarkStart w:id="19" w:name="_Toc524993438"/>
    </w:p>
    <w:p w14:paraId="53820DF4" w14:textId="77777777" w:rsidR="008D107D" w:rsidRPr="002B53DF" w:rsidRDefault="008D107D" w:rsidP="002B53DF">
      <w:pPr>
        <w:spacing w:after="0"/>
        <w:rPr>
          <w:rFonts w:cstheme="minorHAnsi"/>
          <w:bCs/>
        </w:rPr>
      </w:pPr>
    </w:p>
    <w:p w14:paraId="25A8B292" w14:textId="4E9463D7" w:rsidR="006A3B29" w:rsidRPr="008D107D" w:rsidRDefault="008D107D" w:rsidP="008D107D">
      <w:pPr>
        <w:pStyle w:val="Caption"/>
        <w:jc w:val="center"/>
        <w:rPr>
          <w:rFonts w:eastAsia="Times New Roman" w:cs="Times New Roman"/>
          <w:b/>
          <w:bCs/>
          <w:color w:val="000000" w:themeColor="text1"/>
        </w:rPr>
      </w:pPr>
      <w:bookmarkStart w:id="20" w:name="_Toc23613082"/>
      <w:r w:rsidRPr="00E069AC">
        <w:t xml:space="preserve">Table </w:t>
      </w:r>
      <w:fldSimple w:instr=" STYLEREF 1 \s ">
        <w:r w:rsidRPr="00E069AC">
          <w:t>1</w:t>
        </w:r>
      </w:fldSimple>
      <w:r w:rsidRPr="00E069AC">
        <w:t>.</w:t>
      </w:r>
      <w:r w:rsidRPr="00E069AC">
        <w:rPr>
          <w:noProof/>
        </w:rPr>
        <w:fldChar w:fldCharType="begin"/>
      </w:r>
      <w:r w:rsidRPr="00E069AC">
        <w:rPr>
          <w:noProof/>
        </w:rPr>
        <w:instrText xml:space="preserve"> SEQ Table \* ARABIC \s 1 </w:instrText>
      </w:r>
      <w:r w:rsidRPr="00E069AC">
        <w:rPr>
          <w:noProof/>
        </w:rPr>
        <w:fldChar w:fldCharType="separate"/>
      </w:r>
      <w:r w:rsidRPr="00E069AC">
        <w:rPr>
          <w:noProof/>
        </w:rPr>
        <w:t>1</w:t>
      </w:r>
      <w:r w:rsidRPr="00E069AC">
        <w:rPr>
          <w:noProof/>
        </w:rPr>
        <w:fldChar w:fldCharType="end"/>
      </w:r>
      <w:r w:rsidRPr="00E069AC">
        <w:t xml:space="preserve"> </w:t>
      </w:r>
      <w:r>
        <w:t xml:space="preserve">Micro wind solution compared to other similar alternatives sand </w:t>
      </w:r>
      <w:r w:rsidRPr="00E069AC">
        <w:t>to conventional electricity generation technologies</w:t>
      </w:r>
      <w:bookmarkEnd w:id="20"/>
    </w:p>
    <w:tbl>
      <w:tblPr>
        <w:tblStyle w:val="ListTable6Colorful"/>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71"/>
        <w:gridCol w:w="1534"/>
        <w:gridCol w:w="980"/>
        <w:gridCol w:w="1002"/>
        <w:gridCol w:w="1073"/>
        <w:gridCol w:w="1142"/>
        <w:gridCol w:w="787"/>
        <w:gridCol w:w="1061"/>
      </w:tblGrid>
      <w:tr w:rsidR="008D107D" w:rsidRPr="00572B42" w14:paraId="1887E77E" w14:textId="77777777" w:rsidTr="008D107D">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shd w:val="clear" w:color="auto" w:fill="4F81BD" w:themeFill="accent1"/>
            <w:vAlign w:val="center"/>
            <w:hideMark/>
          </w:tcPr>
          <w:p w14:paraId="3E01FD33" w14:textId="77777777" w:rsidR="006A3B29" w:rsidRPr="00572B42" w:rsidRDefault="006A3B29" w:rsidP="006A3B29">
            <w:pPr>
              <w:spacing w:line="276" w:lineRule="auto"/>
              <w:jc w:val="center"/>
              <w:rPr>
                <w:rFonts w:cs="Times New Roman"/>
                <w:color w:val="FFFFFF" w:themeColor="background1"/>
                <w:sz w:val="20"/>
                <w:szCs w:val="20"/>
                <w:lang w:eastAsia="zh-CN"/>
              </w:rPr>
            </w:pPr>
            <w:r w:rsidRPr="00572B42">
              <w:rPr>
                <w:rFonts w:cs="Times New Roman"/>
                <w:color w:val="FFFFFF" w:themeColor="background1"/>
                <w:sz w:val="20"/>
                <w:szCs w:val="20"/>
                <w:lang w:eastAsia="zh-CN"/>
              </w:rPr>
              <w:t>Parameter</w:t>
            </w:r>
          </w:p>
        </w:tc>
        <w:tc>
          <w:tcPr>
            <w:tcW w:w="0" w:type="auto"/>
            <w:shd w:val="clear" w:color="auto" w:fill="4F81BD" w:themeFill="accent1"/>
            <w:vAlign w:val="center"/>
            <w:hideMark/>
          </w:tcPr>
          <w:p w14:paraId="6D5B6FAE" w14:textId="77777777"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0"/>
                <w:szCs w:val="20"/>
                <w:lang w:eastAsia="zh-CN"/>
              </w:rPr>
            </w:pPr>
            <w:r w:rsidRPr="00572B42">
              <w:rPr>
                <w:rFonts w:cs="Times New Roman"/>
                <w:color w:val="FFFFFF" w:themeColor="background1"/>
                <w:sz w:val="20"/>
                <w:szCs w:val="20"/>
                <w:lang w:eastAsia="zh-CN"/>
              </w:rPr>
              <w:t>Conventional electricity Generation technologies</w:t>
            </w:r>
          </w:p>
        </w:tc>
        <w:tc>
          <w:tcPr>
            <w:tcW w:w="0" w:type="auto"/>
            <w:shd w:val="clear" w:color="auto" w:fill="4F81BD" w:themeFill="accent1"/>
            <w:vAlign w:val="center"/>
            <w:hideMark/>
          </w:tcPr>
          <w:p w14:paraId="67D86477" w14:textId="77777777"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0"/>
                <w:szCs w:val="20"/>
                <w:lang w:eastAsia="zh-CN"/>
              </w:rPr>
            </w:pPr>
            <w:r w:rsidRPr="00572B42">
              <w:rPr>
                <w:rFonts w:cs="Times New Roman"/>
                <w:color w:val="FFFFFF" w:themeColor="background1"/>
                <w:sz w:val="20"/>
                <w:szCs w:val="20"/>
                <w:lang w:eastAsia="zh-CN"/>
              </w:rPr>
              <w:t>Wind Onshore</w:t>
            </w:r>
          </w:p>
        </w:tc>
        <w:tc>
          <w:tcPr>
            <w:tcW w:w="0" w:type="auto"/>
            <w:shd w:val="clear" w:color="auto" w:fill="4F81BD" w:themeFill="accent1"/>
            <w:vAlign w:val="center"/>
            <w:hideMark/>
          </w:tcPr>
          <w:p w14:paraId="7393059D" w14:textId="77777777"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0"/>
                <w:szCs w:val="20"/>
                <w:lang w:eastAsia="zh-CN"/>
              </w:rPr>
            </w:pPr>
            <w:r w:rsidRPr="00572B42">
              <w:rPr>
                <w:rFonts w:cs="Times New Roman"/>
                <w:color w:val="FFFFFF" w:themeColor="background1"/>
                <w:sz w:val="20"/>
                <w:szCs w:val="20"/>
                <w:lang w:eastAsia="zh-CN"/>
              </w:rPr>
              <w:t>Wind Offshore</w:t>
            </w:r>
          </w:p>
        </w:tc>
        <w:tc>
          <w:tcPr>
            <w:tcW w:w="0" w:type="auto"/>
            <w:shd w:val="clear" w:color="auto" w:fill="4F81BD" w:themeFill="accent1"/>
            <w:vAlign w:val="center"/>
            <w:hideMark/>
          </w:tcPr>
          <w:p w14:paraId="6A4B56D0" w14:textId="77777777"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0"/>
                <w:szCs w:val="20"/>
                <w:lang w:eastAsia="zh-CN"/>
              </w:rPr>
            </w:pPr>
            <w:r w:rsidRPr="00572B42">
              <w:rPr>
                <w:rFonts w:cs="Times New Roman"/>
                <w:color w:val="FFFFFF" w:themeColor="background1"/>
                <w:sz w:val="20"/>
                <w:szCs w:val="20"/>
                <w:lang w:eastAsia="zh-CN"/>
              </w:rPr>
              <w:t>Micro Wind</w:t>
            </w:r>
          </w:p>
        </w:tc>
        <w:tc>
          <w:tcPr>
            <w:tcW w:w="0" w:type="auto"/>
            <w:shd w:val="clear" w:color="auto" w:fill="4F81BD" w:themeFill="accent1"/>
          </w:tcPr>
          <w:p w14:paraId="674E504A" w14:textId="77777777"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0"/>
                <w:szCs w:val="20"/>
                <w:lang w:eastAsia="zh-CN"/>
              </w:rPr>
            </w:pPr>
            <w:r w:rsidRPr="00572B42">
              <w:rPr>
                <w:rFonts w:cs="Times New Roman"/>
                <w:color w:val="FFFFFF" w:themeColor="background1"/>
                <w:sz w:val="20"/>
                <w:szCs w:val="20"/>
                <w:lang w:eastAsia="zh-CN"/>
              </w:rPr>
              <w:t>Solar PV Rooftop Systems</w:t>
            </w:r>
          </w:p>
        </w:tc>
        <w:tc>
          <w:tcPr>
            <w:tcW w:w="0" w:type="auto"/>
            <w:shd w:val="clear" w:color="auto" w:fill="4F81BD" w:themeFill="accent1"/>
          </w:tcPr>
          <w:p w14:paraId="7BCAAD4A" w14:textId="77777777"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FFFFFF" w:themeColor="background1"/>
                <w:sz w:val="20"/>
                <w:szCs w:val="20"/>
                <w:lang w:eastAsia="zh-CN"/>
              </w:rPr>
            </w:pPr>
            <w:r w:rsidRPr="00572B42">
              <w:rPr>
                <w:rFonts w:cs="Times New Roman"/>
                <w:color w:val="FFFFFF" w:themeColor="background1"/>
                <w:sz w:val="20"/>
                <w:szCs w:val="20"/>
                <w:lang w:eastAsia="zh-CN"/>
              </w:rPr>
              <w:t>Micro</w:t>
            </w:r>
          </w:p>
          <w:p w14:paraId="426B01D9" w14:textId="0BCF15BC"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0"/>
                <w:szCs w:val="20"/>
                <w:lang w:eastAsia="zh-CN"/>
              </w:rPr>
            </w:pPr>
            <w:r w:rsidRPr="00572B42">
              <w:rPr>
                <w:rFonts w:cs="Times New Roman"/>
                <w:color w:val="FFFFFF" w:themeColor="background1"/>
                <w:sz w:val="20"/>
                <w:szCs w:val="20"/>
                <w:lang w:eastAsia="zh-CN"/>
              </w:rPr>
              <w:t>Hydro</w:t>
            </w:r>
          </w:p>
        </w:tc>
        <w:tc>
          <w:tcPr>
            <w:tcW w:w="0" w:type="auto"/>
            <w:shd w:val="clear" w:color="auto" w:fill="4F81BD" w:themeFill="accent1"/>
          </w:tcPr>
          <w:p w14:paraId="363F1297" w14:textId="77777777"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FFFFFF" w:themeColor="background1"/>
                <w:sz w:val="20"/>
                <w:szCs w:val="20"/>
                <w:lang w:eastAsia="zh-CN"/>
              </w:rPr>
            </w:pPr>
            <w:r w:rsidRPr="00572B42">
              <w:rPr>
                <w:rFonts w:cs="Times New Roman"/>
                <w:color w:val="FFFFFF" w:themeColor="background1"/>
                <w:sz w:val="20"/>
                <w:szCs w:val="20"/>
                <w:lang w:eastAsia="zh-CN"/>
              </w:rPr>
              <w:t xml:space="preserve">Micro </w:t>
            </w:r>
          </w:p>
          <w:p w14:paraId="1E32A8F1" w14:textId="5EDF7812" w:rsidR="006A3B29" w:rsidRPr="00572B42" w:rsidRDefault="006A3B29" w:rsidP="006A3B2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0"/>
                <w:szCs w:val="20"/>
                <w:lang w:eastAsia="zh-CN"/>
              </w:rPr>
            </w:pPr>
            <w:r w:rsidRPr="00572B42">
              <w:rPr>
                <w:rFonts w:cs="Times New Roman"/>
                <w:color w:val="FFFFFF" w:themeColor="background1"/>
                <w:sz w:val="20"/>
                <w:szCs w:val="20"/>
                <w:lang w:eastAsia="zh-CN"/>
              </w:rPr>
              <w:t>CHP</w:t>
            </w:r>
          </w:p>
        </w:tc>
      </w:tr>
      <w:tr w:rsidR="008D107D" w:rsidRPr="00572B42" w14:paraId="01919CDB" w14:textId="77777777" w:rsidTr="008D107D">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0C87A42" w14:textId="77777777" w:rsidR="006A3B29" w:rsidRPr="00572B42" w:rsidRDefault="006A3B29" w:rsidP="006A3B29">
            <w:pPr>
              <w:spacing w:after="0" w:line="276" w:lineRule="auto"/>
              <w:rPr>
                <w:rFonts w:eastAsia="Times New Roman" w:cs="Times New Roman"/>
                <w:b w:val="0"/>
                <w:i/>
                <w:sz w:val="20"/>
                <w:szCs w:val="20"/>
                <w:lang w:eastAsia="en-US"/>
              </w:rPr>
            </w:pPr>
            <w:r w:rsidRPr="00572B42">
              <w:rPr>
                <w:rFonts w:eastAsia="Times New Roman" w:cs="Times New Roman"/>
                <w:b w:val="0"/>
                <w:i/>
                <w:sz w:val="20"/>
                <w:szCs w:val="20"/>
                <w:lang w:eastAsia="en-US"/>
              </w:rPr>
              <w:t xml:space="preserve">Land Area Requirement </w:t>
            </w:r>
          </w:p>
        </w:tc>
        <w:tc>
          <w:tcPr>
            <w:tcW w:w="0" w:type="auto"/>
            <w:shd w:val="clear" w:color="auto" w:fill="FFFFFF" w:themeFill="background1"/>
            <w:hideMark/>
          </w:tcPr>
          <w:p w14:paraId="1606F345" w14:textId="18D49B67" w:rsidR="006A3B29" w:rsidRPr="00572B42" w:rsidRDefault="00572B42"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0" w:type="auto"/>
            <w:shd w:val="clear" w:color="auto" w:fill="FFFFFF" w:themeFill="background1"/>
            <w:hideMark/>
          </w:tcPr>
          <w:p w14:paraId="23AF67DF" w14:textId="2F5A6AEE" w:rsidR="006A3B29" w:rsidRPr="00572B42" w:rsidRDefault="00572B42"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0" w:type="auto"/>
            <w:shd w:val="clear" w:color="auto" w:fill="FFFFFF" w:themeFill="background1"/>
            <w:hideMark/>
          </w:tcPr>
          <w:p w14:paraId="1B30ACA2"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hideMark/>
          </w:tcPr>
          <w:p w14:paraId="355B756E" w14:textId="238931FB" w:rsidR="006A3B29" w:rsidRPr="00572B42" w:rsidRDefault="00572B42"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6A3B29" w:rsidRPr="00572B42">
              <w:rPr>
                <w:rFonts w:eastAsia="Times New Roman" w:cs="Times New Roman"/>
                <w:color w:val="000000"/>
                <w:sz w:val="20"/>
                <w:szCs w:val="20"/>
                <w:lang w:eastAsia="en-US"/>
              </w:rPr>
              <w:t>Low</w:t>
            </w:r>
          </w:p>
        </w:tc>
        <w:tc>
          <w:tcPr>
            <w:tcW w:w="0" w:type="auto"/>
            <w:shd w:val="clear" w:color="auto" w:fill="FFFFFF" w:themeFill="background1"/>
          </w:tcPr>
          <w:p w14:paraId="10B4C7BE"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Negligible</w:t>
            </w:r>
          </w:p>
        </w:tc>
        <w:tc>
          <w:tcPr>
            <w:tcW w:w="0" w:type="auto"/>
            <w:shd w:val="clear" w:color="auto" w:fill="FFFFFF" w:themeFill="background1"/>
          </w:tcPr>
          <w:p w14:paraId="025F8225" w14:textId="20E280B2" w:rsidR="006A3B29" w:rsidRPr="00572B42" w:rsidRDefault="00572B42"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251068CF" w14:textId="1087C935" w:rsidR="006A3B29" w:rsidRPr="00572B42" w:rsidRDefault="00572B42" w:rsidP="00572B42">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Negligible</w:t>
            </w:r>
          </w:p>
        </w:tc>
      </w:tr>
      <w:tr w:rsidR="008D107D" w:rsidRPr="00572B42" w14:paraId="56629F78" w14:textId="77777777" w:rsidTr="008D107D">
        <w:trPr>
          <w:trHeight w:val="23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A3B24E5" w14:textId="77777777" w:rsidR="006A3B29" w:rsidRPr="00572B42" w:rsidRDefault="006A3B29" w:rsidP="006A3B29">
            <w:pPr>
              <w:spacing w:after="0" w:line="276" w:lineRule="auto"/>
              <w:rPr>
                <w:rFonts w:eastAsia="Times New Roman" w:cs="Times New Roman"/>
                <w:b w:val="0"/>
                <w:i/>
                <w:sz w:val="20"/>
                <w:szCs w:val="20"/>
                <w:lang w:eastAsia="en-US"/>
              </w:rPr>
            </w:pPr>
            <w:r w:rsidRPr="00572B42">
              <w:rPr>
                <w:rFonts w:eastAsia="Times New Roman" w:cs="Times New Roman"/>
                <w:b w:val="0"/>
                <w:i/>
                <w:sz w:val="20"/>
                <w:szCs w:val="20"/>
                <w:lang w:eastAsia="en-US"/>
              </w:rPr>
              <w:t>Water Requirement</w:t>
            </w:r>
          </w:p>
        </w:tc>
        <w:tc>
          <w:tcPr>
            <w:tcW w:w="0" w:type="auto"/>
            <w:shd w:val="clear" w:color="auto" w:fill="FFFFFF" w:themeFill="background1"/>
          </w:tcPr>
          <w:p w14:paraId="5A034CE4"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High</w:t>
            </w:r>
          </w:p>
        </w:tc>
        <w:tc>
          <w:tcPr>
            <w:tcW w:w="0" w:type="auto"/>
            <w:shd w:val="clear" w:color="auto" w:fill="FFFFFF" w:themeFill="background1"/>
          </w:tcPr>
          <w:p w14:paraId="4BA9BB1E"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497C4424"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Low</w:t>
            </w:r>
          </w:p>
        </w:tc>
        <w:tc>
          <w:tcPr>
            <w:tcW w:w="0" w:type="auto"/>
            <w:shd w:val="clear" w:color="auto" w:fill="FFFFFF" w:themeFill="background1"/>
          </w:tcPr>
          <w:p w14:paraId="3F4EF58A"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Negligible</w:t>
            </w:r>
          </w:p>
        </w:tc>
        <w:tc>
          <w:tcPr>
            <w:tcW w:w="0" w:type="auto"/>
            <w:shd w:val="clear" w:color="auto" w:fill="FFFFFF" w:themeFill="background1"/>
          </w:tcPr>
          <w:p w14:paraId="532E8E84" w14:textId="656AE599" w:rsidR="006A3B29" w:rsidRPr="00572B42" w:rsidRDefault="00DC11CB"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Negligible</w:t>
            </w:r>
          </w:p>
        </w:tc>
        <w:tc>
          <w:tcPr>
            <w:tcW w:w="0" w:type="auto"/>
            <w:shd w:val="clear" w:color="auto" w:fill="FFFFFF" w:themeFill="background1"/>
          </w:tcPr>
          <w:p w14:paraId="3C1E408F" w14:textId="233CDBDE" w:rsidR="006A3B29" w:rsidRPr="00572B42" w:rsidRDefault="00DC11CB"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0" w:type="auto"/>
            <w:shd w:val="clear" w:color="auto" w:fill="FFFFFF" w:themeFill="background1"/>
          </w:tcPr>
          <w:p w14:paraId="6F9F8949" w14:textId="37F0C03C" w:rsidR="006A3B29" w:rsidRPr="00572B42" w:rsidRDefault="00DC11CB"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r>
      <w:tr w:rsidR="008D107D" w:rsidRPr="00572B42" w14:paraId="59A37A68" w14:textId="77777777" w:rsidTr="008D107D">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08C9271" w14:textId="77777777" w:rsidR="006A3B29" w:rsidRPr="00572B42" w:rsidDel="000C0082" w:rsidRDefault="006A3B29" w:rsidP="006A3B29">
            <w:pPr>
              <w:spacing w:after="0" w:line="276" w:lineRule="auto"/>
              <w:rPr>
                <w:rFonts w:eastAsia="Times New Roman" w:cs="Times New Roman"/>
                <w:b w:val="0"/>
                <w:i/>
                <w:sz w:val="20"/>
                <w:szCs w:val="20"/>
                <w:lang w:eastAsia="en-US"/>
              </w:rPr>
            </w:pPr>
            <w:r w:rsidRPr="00572B42">
              <w:rPr>
                <w:rFonts w:eastAsia="Times New Roman" w:cs="Times New Roman"/>
                <w:b w:val="0"/>
                <w:i/>
                <w:sz w:val="20"/>
                <w:szCs w:val="20"/>
                <w:lang w:eastAsia="en-US"/>
              </w:rPr>
              <w:t>Visual Disamenity</w:t>
            </w:r>
          </w:p>
        </w:tc>
        <w:tc>
          <w:tcPr>
            <w:tcW w:w="0" w:type="auto"/>
            <w:shd w:val="clear" w:color="auto" w:fill="FFFFFF" w:themeFill="background1"/>
          </w:tcPr>
          <w:p w14:paraId="4BDAB657"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High</w:t>
            </w:r>
          </w:p>
        </w:tc>
        <w:tc>
          <w:tcPr>
            <w:tcW w:w="0" w:type="auto"/>
            <w:shd w:val="clear" w:color="auto" w:fill="FFFFFF" w:themeFill="background1"/>
          </w:tcPr>
          <w:p w14:paraId="209217C6"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High</w:t>
            </w:r>
          </w:p>
        </w:tc>
        <w:tc>
          <w:tcPr>
            <w:tcW w:w="0" w:type="auto"/>
            <w:shd w:val="clear" w:color="auto" w:fill="FFFFFF" w:themeFill="background1"/>
          </w:tcPr>
          <w:p w14:paraId="1FA6DD8D"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Low</w:t>
            </w:r>
          </w:p>
        </w:tc>
        <w:tc>
          <w:tcPr>
            <w:tcW w:w="0" w:type="auto"/>
            <w:shd w:val="clear" w:color="auto" w:fill="FFFFFF" w:themeFill="background1"/>
          </w:tcPr>
          <w:p w14:paraId="5F8E1CCC"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69F3AF40" w14:textId="5A111C9F" w:rsidR="006A3B29" w:rsidRPr="00572B42" w:rsidRDefault="00DC11CB"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6A3B29" w:rsidRPr="00572B42">
              <w:rPr>
                <w:rFonts w:eastAsia="Times New Roman" w:cs="Times New Roman"/>
                <w:color w:val="000000"/>
                <w:sz w:val="20"/>
                <w:szCs w:val="20"/>
                <w:lang w:eastAsia="en-US"/>
              </w:rPr>
              <w:t>Low</w:t>
            </w:r>
          </w:p>
        </w:tc>
        <w:tc>
          <w:tcPr>
            <w:tcW w:w="0" w:type="auto"/>
            <w:shd w:val="clear" w:color="auto" w:fill="FFFFFF" w:themeFill="background1"/>
          </w:tcPr>
          <w:p w14:paraId="44970EBB" w14:textId="7203F8AD" w:rsidR="006A3B29" w:rsidRPr="00572B42" w:rsidRDefault="004539B5"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DC11CB">
              <w:rPr>
                <w:rFonts w:eastAsia="Times New Roman" w:cs="Times New Roman"/>
                <w:color w:val="000000"/>
                <w:sz w:val="20"/>
                <w:szCs w:val="20"/>
                <w:lang w:eastAsia="en-US"/>
              </w:rPr>
              <w:t>Low</w:t>
            </w:r>
          </w:p>
        </w:tc>
        <w:tc>
          <w:tcPr>
            <w:tcW w:w="0" w:type="auto"/>
            <w:shd w:val="clear" w:color="auto" w:fill="FFFFFF" w:themeFill="background1"/>
          </w:tcPr>
          <w:p w14:paraId="721CE5A9" w14:textId="4C8698DB" w:rsidR="006A3B29" w:rsidRPr="00572B42" w:rsidRDefault="00DC11CB"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Low</w:t>
            </w:r>
          </w:p>
        </w:tc>
      </w:tr>
      <w:tr w:rsidR="008D107D" w:rsidRPr="00572B42" w14:paraId="4F075F92" w14:textId="77777777" w:rsidTr="008D107D">
        <w:trPr>
          <w:trHeight w:val="23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8DF8982" w14:textId="77777777" w:rsidR="006A3B29" w:rsidRDefault="006A3B29" w:rsidP="006A3B29">
            <w:pPr>
              <w:spacing w:after="0" w:line="276" w:lineRule="auto"/>
              <w:rPr>
                <w:rFonts w:cs="Times New Roman"/>
                <w:bCs w:val="0"/>
                <w:i/>
                <w:sz w:val="20"/>
                <w:szCs w:val="20"/>
              </w:rPr>
            </w:pPr>
            <w:r w:rsidRPr="00572B42">
              <w:rPr>
                <w:rFonts w:cs="Times New Roman"/>
                <w:b w:val="0"/>
                <w:i/>
                <w:sz w:val="20"/>
                <w:szCs w:val="20"/>
              </w:rPr>
              <w:t xml:space="preserve">Greenhouse </w:t>
            </w:r>
          </w:p>
          <w:p w14:paraId="6F9BC4EA" w14:textId="7AFC3739" w:rsidR="006A3B29" w:rsidRPr="00572B42" w:rsidRDefault="006A3B29" w:rsidP="006A3B29">
            <w:pPr>
              <w:spacing w:after="0" w:line="276" w:lineRule="auto"/>
              <w:rPr>
                <w:rFonts w:eastAsia="Times New Roman" w:cs="Times New Roman"/>
                <w:b w:val="0"/>
                <w:i/>
                <w:sz w:val="20"/>
                <w:szCs w:val="20"/>
                <w:lang w:eastAsia="en-US"/>
              </w:rPr>
            </w:pPr>
            <w:r w:rsidRPr="00572B42">
              <w:rPr>
                <w:rFonts w:cs="Times New Roman"/>
                <w:b w:val="0"/>
                <w:i/>
                <w:sz w:val="20"/>
                <w:szCs w:val="20"/>
              </w:rPr>
              <w:t>Gas Emissions</w:t>
            </w:r>
          </w:p>
        </w:tc>
        <w:tc>
          <w:tcPr>
            <w:tcW w:w="0" w:type="auto"/>
            <w:shd w:val="clear" w:color="auto" w:fill="FFFFFF" w:themeFill="background1"/>
            <w:hideMark/>
          </w:tcPr>
          <w:p w14:paraId="45DE3CBE"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High</w:t>
            </w:r>
          </w:p>
        </w:tc>
        <w:tc>
          <w:tcPr>
            <w:tcW w:w="0" w:type="auto"/>
            <w:shd w:val="clear" w:color="auto" w:fill="FFFFFF" w:themeFill="background1"/>
            <w:hideMark/>
          </w:tcPr>
          <w:p w14:paraId="79CD290D"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Low</w:t>
            </w:r>
          </w:p>
        </w:tc>
        <w:tc>
          <w:tcPr>
            <w:tcW w:w="0" w:type="auto"/>
            <w:shd w:val="clear" w:color="auto" w:fill="FFFFFF" w:themeFill="background1"/>
            <w:hideMark/>
          </w:tcPr>
          <w:p w14:paraId="4EACC45E"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hideMark/>
          </w:tcPr>
          <w:p w14:paraId="54F632AC"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 xml:space="preserve">Very Low </w:t>
            </w:r>
          </w:p>
        </w:tc>
        <w:tc>
          <w:tcPr>
            <w:tcW w:w="0" w:type="auto"/>
            <w:shd w:val="clear" w:color="auto" w:fill="FFFFFF" w:themeFill="background1"/>
          </w:tcPr>
          <w:p w14:paraId="0402D93D"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Negligible</w:t>
            </w:r>
          </w:p>
        </w:tc>
        <w:tc>
          <w:tcPr>
            <w:tcW w:w="0" w:type="auto"/>
            <w:shd w:val="clear" w:color="auto" w:fill="FFFFFF" w:themeFill="background1"/>
          </w:tcPr>
          <w:p w14:paraId="7C54AA16" w14:textId="3AFFEFE8" w:rsidR="006A3B29" w:rsidRPr="00572B42" w:rsidRDefault="00DC11CB"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570DFF48" w14:textId="254401AF" w:rsidR="006A3B29" w:rsidRPr="00572B42" w:rsidRDefault="00EC34E4"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Low</w:t>
            </w:r>
          </w:p>
        </w:tc>
      </w:tr>
      <w:tr w:rsidR="008D107D" w:rsidRPr="00572B42" w14:paraId="1BA66320" w14:textId="77777777" w:rsidTr="008D107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68EA4BE3" w14:textId="77777777" w:rsidR="006A3B29" w:rsidRPr="00572B42" w:rsidRDefault="006A3B29" w:rsidP="006A3B29">
            <w:pPr>
              <w:spacing w:after="0" w:line="276" w:lineRule="auto"/>
              <w:jc w:val="left"/>
              <w:rPr>
                <w:rFonts w:eastAsia="Times New Roman" w:cs="Times New Roman"/>
                <w:b w:val="0"/>
                <w:i/>
                <w:sz w:val="20"/>
                <w:szCs w:val="20"/>
                <w:lang w:eastAsia="en-US"/>
              </w:rPr>
            </w:pPr>
            <w:r w:rsidRPr="00572B42">
              <w:rPr>
                <w:rFonts w:eastAsia="Times New Roman" w:cs="Times New Roman"/>
                <w:b w:val="0"/>
                <w:i/>
                <w:sz w:val="20"/>
                <w:szCs w:val="20"/>
                <w:lang w:eastAsia="en-US"/>
              </w:rPr>
              <w:t>Electricity Generation Flexibility</w:t>
            </w:r>
          </w:p>
        </w:tc>
        <w:tc>
          <w:tcPr>
            <w:tcW w:w="0" w:type="auto"/>
            <w:shd w:val="clear" w:color="auto" w:fill="FFFFFF" w:themeFill="background1"/>
            <w:hideMark/>
          </w:tcPr>
          <w:p w14:paraId="7F6E3A39" w14:textId="55BA114B" w:rsidR="006A3B29" w:rsidRPr="00572B42" w:rsidRDefault="00EC34E4"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6A3B29" w:rsidRPr="00572B42">
              <w:rPr>
                <w:rFonts w:eastAsia="Times New Roman" w:cs="Times New Roman"/>
                <w:color w:val="000000"/>
                <w:sz w:val="20"/>
                <w:szCs w:val="20"/>
                <w:lang w:eastAsia="en-US"/>
              </w:rPr>
              <w:t>High</w:t>
            </w:r>
          </w:p>
        </w:tc>
        <w:tc>
          <w:tcPr>
            <w:tcW w:w="0" w:type="auto"/>
            <w:shd w:val="clear" w:color="auto" w:fill="FFFFFF" w:themeFill="background1"/>
            <w:hideMark/>
          </w:tcPr>
          <w:p w14:paraId="42BC9917"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hideMark/>
          </w:tcPr>
          <w:p w14:paraId="5849CEE9"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hideMark/>
          </w:tcPr>
          <w:p w14:paraId="2293AC65"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Low</w:t>
            </w:r>
          </w:p>
        </w:tc>
        <w:tc>
          <w:tcPr>
            <w:tcW w:w="0" w:type="auto"/>
            <w:shd w:val="clear" w:color="auto" w:fill="FFFFFF" w:themeFill="background1"/>
          </w:tcPr>
          <w:p w14:paraId="164959D0"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1707401B" w14:textId="030991D0" w:rsidR="006A3B29" w:rsidRPr="00572B42" w:rsidRDefault="00EC34E4"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0" w:type="auto"/>
            <w:shd w:val="clear" w:color="auto" w:fill="FFFFFF" w:themeFill="background1"/>
          </w:tcPr>
          <w:p w14:paraId="0C33007D" w14:textId="7790F0B7" w:rsidR="006A3B29" w:rsidRPr="00572B42" w:rsidRDefault="00EC34E4"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r>
      <w:tr w:rsidR="008D107D" w:rsidRPr="00572B42" w14:paraId="43D41DC8" w14:textId="77777777" w:rsidTr="008D107D">
        <w:trPr>
          <w:trHeight w:val="38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9358071" w14:textId="77777777" w:rsidR="006A3B29" w:rsidRPr="00572B42" w:rsidRDefault="006A3B29" w:rsidP="006A3B29">
            <w:pPr>
              <w:spacing w:after="0" w:line="276" w:lineRule="auto"/>
              <w:jc w:val="left"/>
              <w:rPr>
                <w:rFonts w:eastAsia="Times New Roman" w:cs="Times New Roman"/>
                <w:b w:val="0"/>
                <w:i/>
                <w:sz w:val="20"/>
                <w:szCs w:val="20"/>
                <w:lang w:eastAsia="en-US"/>
              </w:rPr>
            </w:pPr>
            <w:r w:rsidRPr="00572B42">
              <w:rPr>
                <w:rFonts w:eastAsia="Times New Roman" w:cs="Times New Roman"/>
                <w:b w:val="0"/>
                <w:i/>
                <w:sz w:val="20"/>
                <w:szCs w:val="20"/>
                <w:lang w:eastAsia="en-US"/>
              </w:rPr>
              <w:t>Handling Constraints</w:t>
            </w:r>
          </w:p>
        </w:tc>
        <w:tc>
          <w:tcPr>
            <w:tcW w:w="0" w:type="auto"/>
            <w:shd w:val="clear" w:color="auto" w:fill="FFFFFF" w:themeFill="background1"/>
          </w:tcPr>
          <w:p w14:paraId="748D4344"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High</w:t>
            </w:r>
          </w:p>
        </w:tc>
        <w:tc>
          <w:tcPr>
            <w:tcW w:w="0" w:type="auto"/>
            <w:shd w:val="clear" w:color="auto" w:fill="FFFFFF" w:themeFill="background1"/>
          </w:tcPr>
          <w:p w14:paraId="6A5A8E32"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High</w:t>
            </w:r>
          </w:p>
        </w:tc>
        <w:tc>
          <w:tcPr>
            <w:tcW w:w="0" w:type="auto"/>
            <w:shd w:val="clear" w:color="auto" w:fill="FFFFFF" w:themeFill="background1"/>
          </w:tcPr>
          <w:p w14:paraId="2F0E162A"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High</w:t>
            </w:r>
          </w:p>
        </w:tc>
        <w:tc>
          <w:tcPr>
            <w:tcW w:w="0" w:type="auto"/>
            <w:shd w:val="clear" w:color="auto" w:fill="FFFFFF" w:themeFill="background1"/>
          </w:tcPr>
          <w:p w14:paraId="4A7528B7"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0BA7DE0F" w14:textId="4C90E0FC" w:rsidR="006A3B29" w:rsidRPr="00572B42" w:rsidRDefault="00EC34E4"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6A3B29" w:rsidRPr="00572B42">
              <w:rPr>
                <w:rFonts w:eastAsia="Times New Roman" w:cs="Times New Roman"/>
                <w:color w:val="000000"/>
                <w:sz w:val="20"/>
                <w:szCs w:val="20"/>
                <w:lang w:eastAsia="en-US"/>
              </w:rPr>
              <w:t>Low</w:t>
            </w:r>
          </w:p>
        </w:tc>
        <w:tc>
          <w:tcPr>
            <w:tcW w:w="0" w:type="auto"/>
            <w:shd w:val="clear" w:color="auto" w:fill="FFFFFF" w:themeFill="background1"/>
          </w:tcPr>
          <w:p w14:paraId="41FE964D" w14:textId="51BB7348" w:rsidR="006A3B29" w:rsidRPr="00572B42" w:rsidRDefault="00EC34E4"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5ED8F24B" w14:textId="7E6D2BF8" w:rsidR="006A3B29" w:rsidRPr="00572B42" w:rsidRDefault="00EC34E4"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Low</w:t>
            </w:r>
          </w:p>
        </w:tc>
      </w:tr>
      <w:tr w:rsidR="008D107D" w:rsidRPr="00572B42" w14:paraId="07239099" w14:textId="77777777" w:rsidTr="008D107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B876922" w14:textId="77777777" w:rsidR="006A3B29" w:rsidRPr="006A3B29" w:rsidRDefault="006A3B29" w:rsidP="006A3B29">
            <w:pPr>
              <w:spacing w:after="0" w:line="276" w:lineRule="auto"/>
              <w:jc w:val="left"/>
              <w:rPr>
                <w:rFonts w:eastAsia="Times New Roman" w:cs="Times New Roman"/>
                <w:b w:val="0"/>
                <w:i/>
                <w:sz w:val="20"/>
                <w:szCs w:val="20"/>
                <w:lang w:eastAsia="en-US"/>
              </w:rPr>
            </w:pPr>
            <w:r w:rsidRPr="006A3B29">
              <w:rPr>
                <w:rFonts w:eastAsia="Times New Roman" w:cs="Times New Roman"/>
                <w:b w:val="0"/>
                <w:i/>
                <w:sz w:val="20"/>
                <w:szCs w:val="20"/>
                <w:lang w:eastAsia="en-US"/>
              </w:rPr>
              <w:t>Labor Requirement</w:t>
            </w:r>
          </w:p>
        </w:tc>
        <w:tc>
          <w:tcPr>
            <w:tcW w:w="0" w:type="auto"/>
            <w:shd w:val="clear" w:color="auto" w:fill="FFFFFF" w:themeFill="background1"/>
          </w:tcPr>
          <w:p w14:paraId="54D91145" w14:textId="77777777" w:rsidR="006A3B29" w:rsidRPr="006A3B29"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Very High</w:t>
            </w:r>
          </w:p>
        </w:tc>
        <w:tc>
          <w:tcPr>
            <w:tcW w:w="0" w:type="auto"/>
            <w:shd w:val="clear" w:color="auto" w:fill="FFFFFF" w:themeFill="background1"/>
          </w:tcPr>
          <w:p w14:paraId="26786EB1" w14:textId="77777777" w:rsidR="006A3B29" w:rsidRPr="006A3B29"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High</w:t>
            </w:r>
          </w:p>
        </w:tc>
        <w:tc>
          <w:tcPr>
            <w:tcW w:w="0" w:type="auto"/>
            <w:shd w:val="clear" w:color="auto" w:fill="FFFFFF" w:themeFill="background1"/>
          </w:tcPr>
          <w:p w14:paraId="753B41FB"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High</w:t>
            </w:r>
          </w:p>
        </w:tc>
        <w:tc>
          <w:tcPr>
            <w:tcW w:w="0" w:type="auto"/>
            <w:shd w:val="clear" w:color="auto" w:fill="FFFFFF" w:themeFill="background1"/>
          </w:tcPr>
          <w:p w14:paraId="7D5F3789"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48E27EA0" w14:textId="4171629A"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3420A3B5" w14:textId="0BA9122E" w:rsidR="006A3B29" w:rsidRPr="00572B42" w:rsidRDefault="00EC34E4"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63351997" w14:textId="025387A4" w:rsidR="006A3B29" w:rsidRPr="00572B42" w:rsidRDefault="00EC34E4"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Low</w:t>
            </w:r>
          </w:p>
        </w:tc>
      </w:tr>
      <w:tr w:rsidR="008D107D" w:rsidRPr="00572B42" w14:paraId="3CC709D7" w14:textId="77777777" w:rsidTr="008D107D">
        <w:trPr>
          <w:trHeight w:val="38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A6EEFC8" w14:textId="77777777" w:rsidR="006A3B29" w:rsidRPr="006A3B29" w:rsidRDefault="006A3B29" w:rsidP="006A3B29">
            <w:pPr>
              <w:spacing w:after="0" w:line="276" w:lineRule="auto"/>
              <w:jc w:val="left"/>
              <w:rPr>
                <w:rFonts w:eastAsia="Times New Roman" w:cs="Times New Roman"/>
                <w:b w:val="0"/>
                <w:i/>
                <w:sz w:val="20"/>
                <w:szCs w:val="20"/>
                <w:lang w:eastAsia="en-US"/>
              </w:rPr>
            </w:pPr>
            <w:r w:rsidRPr="006A3B29">
              <w:rPr>
                <w:rFonts w:eastAsia="Times New Roman" w:cs="Times New Roman"/>
                <w:b w:val="0"/>
                <w:i/>
                <w:sz w:val="20"/>
                <w:szCs w:val="20"/>
                <w:lang w:eastAsia="en-US"/>
              </w:rPr>
              <w:t>Grid Balancing Requirement</w:t>
            </w:r>
          </w:p>
        </w:tc>
        <w:tc>
          <w:tcPr>
            <w:tcW w:w="0" w:type="auto"/>
            <w:shd w:val="clear" w:color="auto" w:fill="FFFFFF" w:themeFill="background1"/>
          </w:tcPr>
          <w:p w14:paraId="0CF1C053" w14:textId="3A2B81D3" w:rsidR="006A3B29" w:rsidRPr="006A3B29" w:rsidRDefault="00EC34E4"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6A3B29" w:rsidRPr="006A3B29">
              <w:rPr>
                <w:rFonts w:eastAsia="Times New Roman" w:cs="Times New Roman"/>
                <w:color w:val="000000"/>
                <w:sz w:val="20"/>
                <w:szCs w:val="20"/>
                <w:lang w:eastAsia="en-US"/>
              </w:rPr>
              <w:t>Low</w:t>
            </w:r>
          </w:p>
        </w:tc>
        <w:tc>
          <w:tcPr>
            <w:tcW w:w="0" w:type="auto"/>
            <w:shd w:val="clear" w:color="auto" w:fill="FFFFFF" w:themeFill="background1"/>
          </w:tcPr>
          <w:p w14:paraId="316BDC96" w14:textId="77777777" w:rsidR="006A3B29" w:rsidRPr="006A3B29"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High</w:t>
            </w:r>
          </w:p>
        </w:tc>
        <w:tc>
          <w:tcPr>
            <w:tcW w:w="0" w:type="auto"/>
            <w:shd w:val="clear" w:color="auto" w:fill="FFFFFF" w:themeFill="background1"/>
          </w:tcPr>
          <w:p w14:paraId="11FA3552"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High</w:t>
            </w:r>
          </w:p>
        </w:tc>
        <w:tc>
          <w:tcPr>
            <w:tcW w:w="0" w:type="auto"/>
            <w:shd w:val="clear" w:color="auto" w:fill="FFFFFF" w:themeFill="background1"/>
          </w:tcPr>
          <w:p w14:paraId="0ACC02B0" w14:textId="352E84E9" w:rsidR="006A3B29" w:rsidRPr="00572B42" w:rsidRDefault="00EB7398" w:rsidP="00EC34E4">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EC34E4">
              <w:rPr>
                <w:rFonts w:eastAsia="Times New Roman" w:cs="Times New Roman"/>
                <w:color w:val="000000"/>
                <w:sz w:val="20"/>
                <w:szCs w:val="20"/>
                <w:lang w:eastAsia="en-US"/>
              </w:rPr>
              <w:t>High</w:t>
            </w:r>
          </w:p>
        </w:tc>
        <w:tc>
          <w:tcPr>
            <w:tcW w:w="0" w:type="auto"/>
            <w:shd w:val="clear" w:color="auto" w:fill="FFFFFF" w:themeFill="background1"/>
          </w:tcPr>
          <w:p w14:paraId="4F8FD774" w14:textId="7ABB9600" w:rsidR="006A3B29" w:rsidRPr="00572B42" w:rsidRDefault="00EB7398"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High</w:t>
            </w:r>
          </w:p>
        </w:tc>
        <w:tc>
          <w:tcPr>
            <w:tcW w:w="0" w:type="auto"/>
            <w:shd w:val="clear" w:color="auto" w:fill="FFFFFF" w:themeFill="background1"/>
          </w:tcPr>
          <w:p w14:paraId="5C495BD9" w14:textId="64DBE6CE" w:rsidR="006A3B29" w:rsidRPr="00572B42" w:rsidRDefault="00EB7398"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05558474" w14:textId="4D933FF9" w:rsidR="006A3B29" w:rsidRPr="00572B42" w:rsidRDefault="00EB7398"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r>
      <w:tr w:rsidR="008D107D" w:rsidRPr="00572B42" w14:paraId="42E13C40" w14:textId="77777777" w:rsidTr="008D107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AD163AF" w14:textId="77777777" w:rsidR="006A3B29" w:rsidRPr="006A3B29" w:rsidRDefault="006A3B29" w:rsidP="006A3B29">
            <w:pPr>
              <w:spacing w:after="0" w:line="276" w:lineRule="auto"/>
              <w:jc w:val="left"/>
              <w:rPr>
                <w:rFonts w:eastAsia="Times New Roman" w:cs="Times New Roman"/>
                <w:b w:val="0"/>
                <w:i/>
                <w:sz w:val="20"/>
                <w:szCs w:val="20"/>
                <w:lang w:eastAsia="en-US"/>
              </w:rPr>
            </w:pPr>
            <w:r w:rsidRPr="006A3B29">
              <w:rPr>
                <w:rFonts w:eastAsia="Times New Roman" w:cs="Times New Roman"/>
                <w:b w:val="0"/>
                <w:i/>
                <w:sz w:val="20"/>
                <w:szCs w:val="20"/>
                <w:lang w:eastAsia="en-US"/>
              </w:rPr>
              <w:t>Decommissioning Constraints</w:t>
            </w:r>
          </w:p>
        </w:tc>
        <w:tc>
          <w:tcPr>
            <w:tcW w:w="0" w:type="auto"/>
            <w:shd w:val="clear" w:color="auto" w:fill="FFFFFF" w:themeFill="background1"/>
          </w:tcPr>
          <w:p w14:paraId="0DE9FD9B" w14:textId="77777777" w:rsidR="006A3B29" w:rsidRPr="006A3B29"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Very High</w:t>
            </w:r>
          </w:p>
        </w:tc>
        <w:tc>
          <w:tcPr>
            <w:tcW w:w="0" w:type="auto"/>
            <w:shd w:val="clear" w:color="auto" w:fill="FFFFFF" w:themeFill="background1"/>
          </w:tcPr>
          <w:p w14:paraId="64B2CC4B" w14:textId="77777777" w:rsidR="006A3B29" w:rsidRPr="006A3B29"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High</w:t>
            </w:r>
          </w:p>
        </w:tc>
        <w:tc>
          <w:tcPr>
            <w:tcW w:w="0" w:type="auto"/>
            <w:shd w:val="clear" w:color="auto" w:fill="FFFFFF" w:themeFill="background1"/>
          </w:tcPr>
          <w:p w14:paraId="3A5440CC"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High</w:t>
            </w:r>
          </w:p>
        </w:tc>
        <w:tc>
          <w:tcPr>
            <w:tcW w:w="0" w:type="auto"/>
            <w:shd w:val="clear" w:color="auto" w:fill="FFFFFF" w:themeFill="background1"/>
          </w:tcPr>
          <w:p w14:paraId="4D46ACFF"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Low</w:t>
            </w:r>
          </w:p>
        </w:tc>
        <w:tc>
          <w:tcPr>
            <w:tcW w:w="0" w:type="auto"/>
            <w:shd w:val="clear" w:color="auto" w:fill="FFFFFF" w:themeFill="background1"/>
          </w:tcPr>
          <w:p w14:paraId="2B679924" w14:textId="3AC56A2B" w:rsidR="006A3B29" w:rsidRPr="00572B42" w:rsidRDefault="00EB7398"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406AC023" w14:textId="500B609D" w:rsidR="006A3B29" w:rsidRPr="00572B42" w:rsidRDefault="00EB7398"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5A59D22F" w14:textId="1E2CD7C8" w:rsidR="006A3B29" w:rsidRPr="00572B42" w:rsidRDefault="00EB7398"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Low</w:t>
            </w:r>
          </w:p>
        </w:tc>
      </w:tr>
      <w:tr w:rsidR="008D107D" w:rsidRPr="00572B42" w14:paraId="4CF030ED" w14:textId="77777777" w:rsidTr="008D107D">
        <w:trPr>
          <w:trHeight w:val="34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55D141A9" w14:textId="77777777" w:rsidR="006A3B29" w:rsidRPr="006A3B29" w:rsidRDefault="006A3B29" w:rsidP="006A3B29">
            <w:pPr>
              <w:spacing w:after="0" w:line="276" w:lineRule="auto"/>
              <w:jc w:val="left"/>
              <w:rPr>
                <w:rFonts w:eastAsia="Times New Roman" w:cs="Times New Roman"/>
                <w:b w:val="0"/>
                <w:i/>
                <w:sz w:val="20"/>
                <w:szCs w:val="20"/>
                <w:lang w:eastAsia="en-US"/>
              </w:rPr>
            </w:pPr>
            <w:r w:rsidRPr="006A3B29">
              <w:rPr>
                <w:rFonts w:eastAsia="Times New Roman" w:cs="Times New Roman"/>
                <w:b w:val="0"/>
                <w:i/>
                <w:sz w:val="20"/>
                <w:szCs w:val="20"/>
                <w:lang w:eastAsia="en-US"/>
              </w:rPr>
              <w:t>Operation and Maintenance and Fuel Costs</w:t>
            </w:r>
          </w:p>
        </w:tc>
        <w:tc>
          <w:tcPr>
            <w:tcW w:w="0" w:type="auto"/>
            <w:shd w:val="clear" w:color="auto" w:fill="FFFFFF" w:themeFill="background1"/>
            <w:hideMark/>
          </w:tcPr>
          <w:p w14:paraId="57D0C523" w14:textId="77777777" w:rsidR="006A3B29" w:rsidRPr="006A3B29"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High</w:t>
            </w:r>
          </w:p>
        </w:tc>
        <w:tc>
          <w:tcPr>
            <w:tcW w:w="0" w:type="auto"/>
            <w:shd w:val="clear" w:color="auto" w:fill="FFFFFF" w:themeFill="background1"/>
            <w:hideMark/>
          </w:tcPr>
          <w:p w14:paraId="7F27BA42" w14:textId="77777777" w:rsidR="006A3B29" w:rsidRPr="006A3B29"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Low</w:t>
            </w:r>
          </w:p>
        </w:tc>
        <w:tc>
          <w:tcPr>
            <w:tcW w:w="0" w:type="auto"/>
            <w:shd w:val="clear" w:color="auto" w:fill="FFFFFF" w:themeFill="background1"/>
            <w:hideMark/>
          </w:tcPr>
          <w:p w14:paraId="3221816B"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Medium</w:t>
            </w:r>
          </w:p>
        </w:tc>
        <w:tc>
          <w:tcPr>
            <w:tcW w:w="0" w:type="auto"/>
            <w:shd w:val="clear" w:color="auto" w:fill="FFFFFF" w:themeFill="background1"/>
            <w:hideMark/>
          </w:tcPr>
          <w:p w14:paraId="4A6EC10F"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Low</w:t>
            </w:r>
          </w:p>
        </w:tc>
        <w:tc>
          <w:tcPr>
            <w:tcW w:w="0" w:type="auto"/>
            <w:shd w:val="clear" w:color="auto" w:fill="FFFFFF" w:themeFill="background1"/>
          </w:tcPr>
          <w:p w14:paraId="15F13877"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Very Low</w:t>
            </w:r>
          </w:p>
        </w:tc>
        <w:tc>
          <w:tcPr>
            <w:tcW w:w="0" w:type="auto"/>
            <w:shd w:val="clear" w:color="auto" w:fill="FFFFFF" w:themeFill="background1"/>
          </w:tcPr>
          <w:p w14:paraId="620FE2CD" w14:textId="5354A097" w:rsidR="006A3B29" w:rsidRPr="00572B42" w:rsidRDefault="00EB7398"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Low</w:t>
            </w:r>
          </w:p>
        </w:tc>
        <w:tc>
          <w:tcPr>
            <w:tcW w:w="0" w:type="auto"/>
            <w:shd w:val="clear" w:color="auto" w:fill="FFFFFF" w:themeFill="background1"/>
          </w:tcPr>
          <w:p w14:paraId="167CCDCF" w14:textId="6FEB0428" w:rsidR="006A3B29" w:rsidRPr="00572B42" w:rsidRDefault="00EB7398"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Negligible</w:t>
            </w:r>
          </w:p>
        </w:tc>
      </w:tr>
      <w:tr w:rsidR="008D107D" w:rsidRPr="00572B42" w14:paraId="5F7E5165" w14:textId="77777777" w:rsidTr="008D107D">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591CCD0" w14:textId="77777777" w:rsidR="006A3B29" w:rsidRPr="006A3B29" w:rsidRDefault="006A3B29" w:rsidP="006A3B29">
            <w:pPr>
              <w:spacing w:after="0" w:line="276" w:lineRule="auto"/>
              <w:rPr>
                <w:rFonts w:eastAsia="Times New Roman" w:cs="Times New Roman"/>
                <w:b w:val="0"/>
                <w:i/>
                <w:sz w:val="20"/>
                <w:szCs w:val="20"/>
                <w:lang w:eastAsia="en-US"/>
              </w:rPr>
            </w:pPr>
            <w:r w:rsidRPr="006A3B29">
              <w:rPr>
                <w:rFonts w:eastAsia="Times New Roman" w:cs="Times New Roman"/>
                <w:b w:val="0"/>
                <w:i/>
                <w:sz w:val="20"/>
                <w:szCs w:val="20"/>
                <w:lang w:eastAsia="en-US"/>
              </w:rPr>
              <w:t>System integration cost</w:t>
            </w:r>
          </w:p>
        </w:tc>
        <w:tc>
          <w:tcPr>
            <w:tcW w:w="0" w:type="auto"/>
            <w:shd w:val="clear" w:color="auto" w:fill="FFFFFF" w:themeFill="background1"/>
            <w:hideMark/>
          </w:tcPr>
          <w:p w14:paraId="356B23CD" w14:textId="77777777" w:rsidR="006A3B29" w:rsidRPr="006A3B29"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Medium</w:t>
            </w:r>
          </w:p>
        </w:tc>
        <w:tc>
          <w:tcPr>
            <w:tcW w:w="0" w:type="auto"/>
            <w:shd w:val="clear" w:color="auto" w:fill="FFFFFF" w:themeFill="background1"/>
            <w:hideMark/>
          </w:tcPr>
          <w:p w14:paraId="6A4939F3" w14:textId="77777777" w:rsidR="006A3B29" w:rsidRPr="006A3B29"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Medium</w:t>
            </w:r>
          </w:p>
        </w:tc>
        <w:tc>
          <w:tcPr>
            <w:tcW w:w="0" w:type="auto"/>
            <w:shd w:val="clear" w:color="auto" w:fill="FFFFFF" w:themeFill="background1"/>
            <w:hideMark/>
          </w:tcPr>
          <w:p w14:paraId="16410E40"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High</w:t>
            </w:r>
          </w:p>
        </w:tc>
        <w:tc>
          <w:tcPr>
            <w:tcW w:w="0" w:type="auto"/>
            <w:shd w:val="clear" w:color="auto" w:fill="FFFFFF" w:themeFill="background1"/>
            <w:hideMark/>
          </w:tcPr>
          <w:p w14:paraId="58CC6119"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33B5F099" w14:textId="77777777" w:rsidR="006A3B29" w:rsidRPr="00572B42" w:rsidRDefault="006A3B29"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65DBE25D" w14:textId="139E06B1" w:rsidR="006A3B29" w:rsidRPr="00572B42" w:rsidRDefault="00EB7398"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Low</w:t>
            </w:r>
          </w:p>
        </w:tc>
        <w:tc>
          <w:tcPr>
            <w:tcW w:w="0" w:type="auto"/>
            <w:shd w:val="clear" w:color="auto" w:fill="FFFFFF" w:themeFill="background1"/>
          </w:tcPr>
          <w:p w14:paraId="3F88003F" w14:textId="09658EFB" w:rsidR="006A3B29" w:rsidRPr="00572B42" w:rsidRDefault="00EB7398" w:rsidP="006A3B29">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r>
      <w:tr w:rsidR="008D107D" w:rsidRPr="00572B42" w14:paraId="6E1237AD" w14:textId="77777777" w:rsidTr="008D107D">
        <w:trPr>
          <w:trHeight w:val="23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0C0567BC" w14:textId="77777777" w:rsidR="006A3B29" w:rsidRPr="006A3B29" w:rsidRDefault="006A3B29" w:rsidP="006A3B29">
            <w:pPr>
              <w:spacing w:after="0" w:line="276" w:lineRule="auto"/>
              <w:rPr>
                <w:rFonts w:eastAsia="Times New Roman" w:cs="Times New Roman"/>
                <w:b w:val="0"/>
                <w:i/>
                <w:sz w:val="20"/>
                <w:szCs w:val="20"/>
                <w:lang w:eastAsia="en-US"/>
              </w:rPr>
            </w:pPr>
            <w:r w:rsidRPr="006A3B29">
              <w:rPr>
                <w:rFonts w:eastAsia="Times New Roman" w:cs="Times New Roman"/>
                <w:b w:val="0"/>
                <w:i/>
                <w:sz w:val="20"/>
                <w:szCs w:val="20"/>
                <w:lang w:eastAsia="en-US"/>
              </w:rPr>
              <w:t>Foundation cost</w:t>
            </w:r>
          </w:p>
        </w:tc>
        <w:tc>
          <w:tcPr>
            <w:tcW w:w="0" w:type="auto"/>
            <w:shd w:val="clear" w:color="auto" w:fill="FFFFFF" w:themeFill="background1"/>
            <w:hideMark/>
          </w:tcPr>
          <w:p w14:paraId="46695B2F" w14:textId="77777777" w:rsidR="006A3B29" w:rsidRPr="006A3B29"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Medium</w:t>
            </w:r>
          </w:p>
        </w:tc>
        <w:tc>
          <w:tcPr>
            <w:tcW w:w="0" w:type="auto"/>
            <w:shd w:val="clear" w:color="auto" w:fill="FFFFFF" w:themeFill="background1"/>
            <w:hideMark/>
          </w:tcPr>
          <w:p w14:paraId="52DBE347" w14:textId="77777777" w:rsidR="006A3B29" w:rsidRPr="006A3B29"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A3B29">
              <w:rPr>
                <w:rFonts w:eastAsia="Times New Roman" w:cs="Times New Roman"/>
                <w:color w:val="000000"/>
                <w:sz w:val="20"/>
                <w:szCs w:val="20"/>
                <w:lang w:eastAsia="en-US"/>
              </w:rPr>
              <w:t>Medium</w:t>
            </w:r>
          </w:p>
        </w:tc>
        <w:tc>
          <w:tcPr>
            <w:tcW w:w="0" w:type="auto"/>
            <w:shd w:val="clear" w:color="auto" w:fill="FFFFFF" w:themeFill="background1"/>
            <w:hideMark/>
          </w:tcPr>
          <w:p w14:paraId="58AB0664"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High</w:t>
            </w:r>
          </w:p>
        </w:tc>
        <w:tc>
          <w:tcPr>
            <w:tcW w:w="0" w:type="auto"/>
            <w:shd w:val="clear" w:color="auto" w:fill="FFFFFF" w:themeFill="background1"/>
            <w:hideMark/>
          </w:tcPr>
          <w:p w14:paraId="3420FDE0"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Low</w:t>
            </w:r>
          </w:p>
        </w:tc>
        <w:tc>
          <w:tcPr>
            <w:tcW w:w="0" w:type="auto"/>
            <w:shd w:val="clear" w:color="auto" w:fill="FFFFFF" w:themeFill="background1"/>
          </w:tcPr>
          <w:p w14:paraId="70B84227" w14:textId="77777777" w:rsidR="006A3B29" w:rsidRPr="00572B42" w:rsidRDefault="006A3B29"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572B42">
              <w:rPr>
                <w:rFonts w:eastAsia="Times New Roman" w:cs="Times New Roman"/>
                <w:color w:val="000000"/>
                <w:sz w:val="20"/>
                <w:szCs w:val="20"/>
                <w:lang w:eastAsia="en-US"/>
              </w:rPr>
              <w:t>Nil</w:t>
            </w:r>
          </w:p>
        </w:tc>
        <w:tc>
          <w:tcPr>
            <w:tcW w:w="0" w:type="auto"/>
            <w:shd w:val="clear" w:color="auto" w:fill="FFFFFF" w:themeFill="background1"/>
          </w:tcPr>
          <w:p w14:paraId="67CED2D1" w14:textId="6E0DD923" w:rsidR="006A3B29" w:rsidRPr="00572B42" w:rsidRDefault="00EB7398"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0" w:type="auto"/>
            <w:shd w:val="clear" w:color="auto" w:fill="FFFFFF" w:themeFill="background1"/>
          </w:tcPr>
          <w:p w14:paraId="047A977D" w14:textId="2E1C02BB" w:rsidR="006A3B29" w:rsidRPr="00572B42" w:rsidRDefault="00EB7398" w:rsidP="006A3B29">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Nil</w:t>
            </w:r>
          </w:p>
        </w:tc>
      </w:tr>
      <w:bookmarkEnd w:id="19"/>
    </w:tbl>
    <w:p w14:paraId="58D827DE" w14:textId="6F4F3F92" w:rsidR="00CC5263" w:rsidRPr="00E069AC" w:rsidRDefault="00CC5263" w:rsidP="00EB247F">
      <w:pPr>
        <w:autoSpaceDE w:val="0"/>
        <w:spacing w:after="0"/>
        <w:rPr>
          <w:rFonts w:asciiTheme="majorHAnsi" w:eastAsiaTheme="majorEastAsia" w:hAnsiTheme="majorHAnsi" w:cstheme="majorBidi"/>
          <w:b/>
          <w:bCs/>
          <w:smallCaps/>
          <w:color w:val="000000" w:themeColor="text1"/>
          <w:sz w:val="36"/>
          <w:szCs w:val="36"/>
        </w:rPr>
        <w:sectPr w:rsidR="00CC5263" w:rsidRPr="00E069AC">
          <w:pgSz w:w="12240" w:h="15840"/>
          <w:pgMar w:top="1440" w:right="1440" w:bottom="1440" w:left="1440" w:header="720" w:footer="720" w:gutter="0"/>
          <w:cols w:space="720"/>
        </w:sectPr>
      </w:pPr>
    </w:p>
    <w:p w14:paraId="756DEC01" w14:textId="26F63DC9" w:rsidR="00966563" w:rsidRPr="00E069AC" w:rsidRDefault="551A77D0" w:rsidP="000E4DBE">
      <w:pPr>
        <w:pStyle w:val="Heading1"/>
        <w:numPr>
          <w:ilvl w:val="0"/>
          <w:numId w:val="24"/>
        </w:numPr>
      </w:pPr>
      <w:bookmarkStart w:id="21" w:name="_Toc23613449"/>
      <w:r w:rsidRPr="00E069AC">
        <w:t>Methodology</w:t>
      </w:r>
      <w:bookmarkEnd w:id="21"/>
    </w:p>
    <w:p w14:paraId="567926D6" w14:textId="26695118" w:rsidR="00BD136D" w:rsidRPr="00E069AC" w:rsidRDefault="000E4DBE" w:rsidP="000E4DBE">
      <w:pPr>
        <w:pStyle w:val="Heading2"/>
      </w:pPr>
      <w:bookmarkStart w:id="22" w:name="_Toc23613450"/>
      <w:r>
        <w:t xml:space="preserve">2.1 </w:t>
      </w:r>
      <w:r w:rsidR="551A77D0" w:rsidRPr="00E069AC">
        <w:t>I</w:t>
      </w:r>
      <w:r w:rsidR="00E069AC">
        <w:t>ntroduction</w:t>
      </w:r>
      <w:bookmarkEnd w:id="22"/>
    </w:p>
    <w:p w14:paraId="7837546F" w14:textId="470EC3FF" w:rsidR="00202788" w:rsidRPr="008912D4" w:rsidRDefault="00202788" w:rsidP="008912D4">
      <w:pPr>
        <w:rPr>
          <w:rFonts w:cs="Times New Roman"/>
        </w:rPr>
      </w:pPr>
      <w:r w:rsidRPr="008912D4">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8912D4">
        <w:rPr>
          <w:rFonts w:cs="Times New Roman"/>
        </w:rPr>
        <w:t>placement of conventional</w:t>
      </w:r>
      <w:r w:rsidRPr="008912D4">
        <w:rPr>
          <w:rFonts w:cs="Times New Roman"/>
        </w:rPr>
        <w:t xml:space="preserve"> </w:t>
      </w:r>
      <w:r w:rsidR="000C3F49" w:rsidRPr="008912D4">
        <w:rPr>
          <w:rFonts w:cs="Times New Roman"/>
        </w:rPr>
        <w:t>electricity generation technologies (i.e. coal, oil, natural gas)</w:t>
      </w:r>
      <w:r w:rsidRPr="008912D4">
        <w:rPr>
          <w:rFonts w:cs="Times New Roman"/>
        </w:rPr>
        <w:t xml:space="preserve"> </w:t>
      </w:r>
      <w:r w:rsidR="000C3F49" w:rsidRPr="008912D4">
        <w:rPr>
          <w:rFonts w:cs="Times New Roman"/>
        </w:rPr>
        <w:t>and related emissions</w:t>
      </w:r>
      <w:r w:rsidRPr="008912D4">
        <w:rPr>
          <w:rFonts w:cs="Times New Roman"/>
        </w:rPr>
        <w:t xml:space="preserve"> for a</w:t>
      </w:r>
      <w:r w:rsidR="000C3F49" w:rsidRPr="008912D4">
        <w:rPr>
          <w:rFonts w:cs="Times New Roman"/>
        </w:rPr>
        <w:t>n</w:t>
      </w:r>
      <w:r w:rsidRPr="008912D4">
        <w:rPr>
          <w:rFonts w:cs="Times New Roman"/>
        </w:rPr>
        <w:t xml:space="preserve"> </w:t>
      </w:r>
      <w:r w:rsidR="000C3F49" w:rsidRPr="008912D4">
        <w:rPr>
          <w:rFonts w:cs="Times New Roman"/>
        </w:rPr>
        <w:t xml:space="preserve">alternative </w:t>
      </w:r>
      <w:r w:rsidRPr="008912D4">
        <w:rPr>
          <w:rFonts w:cs="Times New Roman"/>
        </w:rPr>
        <w:t>solution</w:t>
      </w:r>
      <w:r w:rsidR="005B7A11" w:rsidRPr="008912D4">
        <w:rPr>
          <w:rFonts w:cs="Times New Roman"/>
        </w:rPr>
        <w:t xml:space="preserve"> (</w:t>
      </w:r>
      <w:r w:rsidR="00AE749D" w:rsidRPr="008912D4">
        <w:rPr>
          <w:rFonts w:cs="Times New Roman"/>
        </w:rPr>
        <w:t>see the</w:t>
      </w:r>
      <w:r w:rsidR="00395868" w:rsidRPr="008912D4">
        <w:rPr>
          <w:rFonts w:cs="Times New Roman"/>
        </w:rPr>
        <w:t xml:space="preserve"> </w:t>
      </w:r>
      <w:r w:rsidR="00AE749D" w:rsidRPr="008912D4">
        <w:rPr>
          <w:rFonts w:cs="Times New Roman"/>
        </w:rPr>
        <w:t>Drawdown RRS Model Framework and Guide for more details</w:t>
      </w:r>
      <w:r w:rsidR="005B7A11" w:rsidRPr="008912D4">
        <w:rPr>
          <w:rFonts w:cs="Times New Roman"/>
        </w:rPr>
        <w:t>)</w:t>
      </w:r>
      <w:r w:rsidR="000C3F49" w:rsidRPr="008912D4">
        <w:rPr>
          <w:rFonts w:cs="Times New Roman"/>
        </w:rPr>
        <w:t>.</w:t>
      </w:r>
      <w:r w:rsidRPr="008912D4">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8912D4">
        <w:rPr>
          <w:rFonts w:cs="Times New Roman"/>
        </w:rPr>
        <w:t xml:space="preserve"> (TWh)</w:t>
      </w:r>
      <w:r w:rsidRPr="008912D4">
        <w:rPr>
          <w:rFonts w:cs="Times New Roman"/>
        </w:rPr>
        <w:t>, and for investment costing, adoptions are also converted to implementation units</w:t>
      </w:r>
      <w:r w:rsidR="000C3F49" w:rsidRPr="008912D4">
        <w:rPr>
          <w:rFonts w:cs="Times New Roman"/>
        </w:rPr>
        <w:t xml:space="preserve"> (TW)</w:t>
      </w:r>
      <w:r w:rsidRPr="008912D4">
        <w:rPr>
          <w:rFonts w:cs="Times New Roman"/>
        </w:rPr>
        <w:t>. The adoptions of both conventional and solution were projected for each of several scenarios from 2015 to 2050 and the comparison of these scenarios (for the 2020-2050 segment</w:t>
      </w:r>
      <w:r w:rsidR="000C3F49" w:rsidRPr="008912D4">
        <w:rPr>
          <w:rFonts w:cs="Times New Roman"/>
        </w:rPr>
        <w:t>) is what constitutes</w:t>
      </w:r>
      <w:r w:rsidRPr="008912D4">
        <w:rPr>
          <w:rFonts w:cs="Times New Roman"/>
        </w:rPr>
        <w:t xml:space="preserve"> the results. </w:t>
      </w:r>
    </w:p>
    <w:p w14:paraId="3F01DEC2" w14:textId="6EB75C7C" w:rsidR="002D4B9E" w:rsidRPr="002C20C8" w:rsidRDefault="00202788" w:rsidP="00394AE0">
      <w:pPr>
        <w:rPr>
          <w:rFonts w:cs="Times New Roman"/>
        </w:rPr>
      </w:pPr>
      <w:r w:rsidRPr="008912D4">
        <w:rPr>
          <w:rFonts w:cs="Times New Roman"/>
        </w:rPr>
        <w:t xml:space="preserve">For this solution, the approach was to analyze </w:t>
      </w:r>
      <w:r w:rsidR="000C3F49" w:rsidRPr="008912D4">
        <w:rPr>
          <w:rFonts w:cs="Times New Roman"/>
        </w:rPr>
        <w:t>the</w:t>
      </w:r>
      <w:r w:rsidR="00E011A1">
        <w:rPr>
          <w:rFonts w:cs="Times New Roman"/>
        </w:rPr>
        <w:t xml:space="preserve"> </w:t>
      </w:r>
      <w:r w:rsidR="00B864DD">
        <w:rPr>
          <w:rFonts w:cs="Times New Roman"/>
        </w:rPr>
        <w:t>emissions reduction</w:t>
      </w:r>
      <w:r w:rsidR="00E011A1">
        <w:rPr>
          <w:rFonts w:cs="Times New Roman"/>
        </w:rPr>
        <w:t xml:space="preserve"> and financial</w:t>
      </w:r>
      <w:r w:rsidR="000C3F49" w:rsidRPr="008912D4">
        <w:rPr>
          <w:rFonts w:cs="Times New Roman"/>
        </w:rPr>
        <w:t xml:space="preserve"> impacts of increased </w:t>
      </w:r>
      <w:r w:rsidRPr="008912D4">
        <w:rPr>
          <w:rFonts w:cs="Times New Roman"/>
        </w:rPr>
        <w:t xml:space="preserve">adoption of </w:t>
      </w:r>
      <w:r w:rsidR="008912D4" w:rsidRPr="008912D4">
        <w:rPr>
          <w:rFonts w:cs="Times New Roman"/>
        </w:rPr>
        <w:t>micro wind turbines (MWT)</w:t>
      </w:r>
      <w:r w:rsidR="000C3F49" w:rsidRPr="008912D4">
        <w:rPr>
          <w:rFonts w:cs="Times New Roman"/>
        </w:rPr>
        <w:t xml:space="preserve">. </w:t>
      </w:r>
      <w:r w:rsidR="00683100" w:rsidRPr="008912D4">
        <w:rPr>
          <w:rFonts w:cs="Times New Roman"/>
        </w:rPr>
        <w:t>The</w:t>
      </w:r>
      <w:r w:rsidR="002D4B9E" w:rsidRPr="008912D4">
        <w:rPr>
          <w:rFonts w:cs="Times New Roman"/>
        </w:rPr>
        <w:t xml:space="preserve"> model used for this analysis constructs both </w:t>
      </w:r>
      <w:r w:rsidR="00683100" w:rsidRPr="008912D4">
        <w:rPr>
          <w:rFonts w:cs="Times New Roman"/>
        </w:rPr>
        <w:t xml:space="preserve">alternative </w:t>
      </w:r>
      <w:r w:rsidR="00C652C4" w:rsidRPr="008912D4">
        <w:rPr>
          <w:rFonts w:cs="Times New Roman"/>
        </w:rPr>
        <w:t>ambitious adoption</w:t>
      </w:r>
      <w:r w:rsidR="00683100" w:rsidRPr="008912D4">
        <w:rPr>
          <w:rFonts w:cs="Times New Roman"/>
        </w:rPr>
        <w:t xml:space="preserve"> pathways </w:t>
      </w:r>
      <w:r w:rsidR="00AE749D" w:rsidRPr="008912D4">
        <w:rPr>
          <w:rFonts w:cs="Times New Roman"/>
        </w:rPr>
        <w:t>(PD</w:t>
      </w:r>
      <w:r w:rsidR="00A2204D" w:rsidRPr="008912D4">
        <w:rPr>
          <w:rFonts w:cs="Times New Roman"/>
        </w:rPr>
        <w:t xml:space="preserve"> </w:t>
      </w:r>
      <w:r w:rsidR="00A2204D" w:rsidRPr="002C20C8">
        <w:rPr>
          <w:rFonts w:cs="Times New Roman"/>
        </w:rPr>
        <w:t>scenarios)</w:t>
      </w:r>
      <w:r w:rsidR="002D4B9E" w:rsidRPr="002C20C8">
        <w:rPr>
          <w:rFonts w:cs="Times New Roman"/>
        </w:rPr>
        <w:t xml:space="preserve"> and a Reference scenario (REF) for </w:t>
      </w:r>
      <w:r w:rsidR="008912D4" w:rsidRPr="002C20C8">
        <w:rPr>
          <w:rFonts w:cs="Times New Roman"/>
        </w:rPr>
        <w:t>MWT</w:t>
      </w:r>
      <w:r w:rsidR="002D4B9E" w:rsidRPr="002C20C8">
        <w:rPr>
          <w:rFonts w:cs="Times New Roman"/>
        </w:rPr>
        <w:t xml:space="preserve">. </w:t>
      </w:r>
      <w:r w:rsidR="00683100" w:rsidRPr="002C20C8">
        <w:rPr>
          <w:rFonts w:cs="Times New Roman"/>
        </w:rPr>
        <w:t>Following project Drawdown methodological assumption</w:t>
      </w:r>
      <w:r w:rsidR="00395868" w:rsidRPr="002C20C8">
        <w:rPr>
          <w:rFonts w:cs="Times New Roman"/>
        </w:rPr>
        <w:t xml:space="preserve"> (</w:t>
      </w:r>
      <w:r w:rsidR="00AE749D" w:rsidRPr="002C20C8">
        <w:rPr>
          <w:rFonts w:cs="Times New Roman"/>
        </w:rPr>
        <w:t xml:space="preserve">further description available on the Drawdown RRS Model Framework and Guide), </w:t>
      </w:r>
      <w:r w:rsidR="00683100" w:rsidRPr="002C20C8">
        <w:rPr>
          <w:rFonts w:cs="Times New Roman"/>
        </w:rPr>
        <w:t xml:space="preserve">in order to grasp the total impact of an increased adoption of the solution during the assessed time frame; the REF scenario assumes future adoption of </w:t>
      </w:r>
      <w:r w:rsidR="008912D4" w:rsidRPr="002C20C8">
        <w:rPr>
          <w:rFonts w:cs="Times New Roman"/>
        </w:rPr>
        <w:t>MWT</w:t>
      </w:r>
      <w:r w:rsidR="00683100" w:rsidRPr="002C20C8">
        <w:rPr>
          <w:rFonts w:cs="Times New Roman"/>
        </w:rPr>
        <w:t xml:space="preserve"> remains fixed at the current base-year (i.e. 2014) percentage of T</w:t>
      </w:r>
      <w:r w:rsidR="00A2204D" w:rsidRPr="002C20C8">
        <w:rPr>
          <w:rFonts w:cs="Times New Roman"/>
        </w:rPr>
        <w:t>otal Addressable Market (T</w:t>
      </w:r>
      <w:r w:rsidR="00683100" w:rsidRPr="002C20C8">
        <w:rPr>
          <w:rFonts w:cs="Times New Roman"/>
        </w:rPr>
        <w:t>AM</w:t>
      </w:r>
      <w:r w:rsidR="00A2204D" w:rsidRPr="002C20C8">
        <w:rPr>
          <w:rFonts w:cs="Times New Roman"/>
        </w:rPr>
        <w:t>)</w:t>
      </w:r>
      <w:r w:rsidR="00683100" w:rsidRPr="002C20C8">
        <w:rPr>
          <w:rFonts w:cs="Times New Roman"/>
        </w:rPr>
        <w:t xml:space="preserve">, estimated </w:t>
      </w:r>
      <w:r w:rsidR="008912D4" w:rsidRPr="002C20C8">
        <w:rPr>
          <w:rFonts w:cs="Times New Roman"/>
        </w:rPr>
        <w:t>from installed capacity figures at 0.00</w:t>
      </w:r>
      <w:r w:rsidR="002C20C8" w:rsidRPr="002C20C8">
        <w:rPr>
          <w:rFonts w:cs="Times New Roman"/>
        </w:rPr>
        <w:t>10</w:t>
      </w:r>
      <w:r w:rsidR="008912D4" w:rsidRPr="002C20C8">
        <w:rPr>
          <w:rFonts w:cs="Times New Roman"/>
        </w:rPr>
        <w:t xml:space="preserve"> percent (</w:t>
      </w:r>
      <w:r w:rsidR="002C20C8" w:rsidRPr="002C20C8">
        <w:rPr>
          <w:rFonts w:cs="Times New Roman"/>
        </w:rPr>
        <w:t>2.18</w:t>
      </w:r>
      <w:r w:rsidR="008912D4" w:rsidRPr="002C20C8">
        <w:rPr>
          <w:rFonts w:cs="Times New Roman"/>
        </w:rPr>
        <w:t xml:space="preserve"> terawatt-hours) of global generation. </w:t>
      </w:r>
      <w:r w:rsidR="00992B8D" w:rsidRPr="002C20C8">
        <w:rPr>
          <w:rFonts w:cs="Times New Roman"/>
        </w:rPr>
        <w:t xml:space="preserve">The TAM for this </w:t>
      </w:r>
      <w:r w:rsidR="00C652C4" w:rsidRPr="002C20C8">
        <w:rPr>
          <w:rFonts w:cs="Times New Roman"/>
        </w:rPr>
        <w:t>solution is</w:t>
      </w:r>
      <w:r w:rsidR="00992B8D" w:rsidRPr="002C20C8">
        <w:rPr>
          <w:rFonts w:cs="Times New Roman"/>
        </w:rPr>
        <w:t xml:space="preserve"> based on the common project Drawdown projected global electricity generation in terawatt-hours till 2050</w:t>
      </w:r>
      <w:r w:rsidR="00AE749D" w:rsidRPr="002C20C8">
        <w:rPr>
          <w:rFonts w:cs="Times New Roman"/>
        </w:rPr>
        <w:t xml:space="preserve"> (Section 2.3</w:t>
      </w:r>
      <w:r w:rsidR="00992B8D" w:rsidRPr="002C20C8">
        <w:rPr>
          <w:rFonts w:cs="Times New Roman"/>
        </w:rPr>
        <w:t xml:space="preserve">). </w:t>
      </w:r>
    </w:p>
    <w:p w14:paraId="0B63F75D" w14:textId="254554EC" w:rsidR="002C20C8" w:rsidRPr="00394AE0" w:rsidRDefault="002C20C8" w:rsidP="00394AE0">
      <w:pPr>
        <w:rPr>
          <w:rFonts w:cs="Times New Roman"/>
        </w:rPr>
      </w:pPr>
      <w:r w:rsidRPr="002C20C8">
        <w:rPr>
          <w:rFonts w:cs="Times New Roman"/>
        </w:rPr>
        <w:t>The RRS model contains both financial and climate analyses in order to model the global and regional impacts of adoption in the PDS scenarios compared to the REF scenario. What the model thus prognosticates is the total financial costs and benefits of adoption cases for MWT, as well as the contribution this adoption can make to annual and cumulative emissions reduction.</w:t>
      </w:r>
    </w:p>
    <w:p w14:paraId="298F46AB" w14:textId="3F7D9A84" w:rsidR="00F52595" w:rsidRPr="00E069AC" w:rsidRDefault="00E069AC" w:rsidP="000E4DBE">
      <w:pPr>
        <w:pStyle w:val="Heading2"/>
        <w:numPr>
          <w:ilvl w:val="1"/>
          <w:numId w:val="40"/>
        </w:numPr>
      </w:pPr>
      <w:bookmarkStart w:id="23" w:name="_Toc23613451"/>
      <w:r>
        <w:t>Data Sources</w:t>
      </w:r>
      <w:bookmarkEnd w:id="23"/>
    </w:p>
    <w:p w14:paraId="7E1F86C7" w14:textId="067D1A1A" w:rsidR="00933FD7" w:rsidRDefault="00F66D25" w:rsidP="00EB247F">
      <w:pPr>
        <w:rPr>
          <w:rFonts w:cs="Times New Roman"/>
        </w:rPr>
      </w:pPr>
      <w:r w:rsidRPr="002F6AD9">
        <w:rPr>
          <w:rFonts w:cs="Times New Roman"/>
          <w:color w:val="000000" w:themeColor="text1"/>
        </w:rPr>
        <w:t>This section presents key data sources utilized in the mode</w:t>
      </w:r>
      <w:r w:rsidR="0056442A" w:rsidRPr="002F6AD9">
        <w:rPr>
          <w:rFonts w:cs="Times New Roman"/>
          <w:color w:val="000000" w:themeColor="text1"/>
        </w:rPr>
        <w:t>l</w:t>
      </w:r>
      <w:r w:rsidR="00D2050B" w:rsidRPr="002F6AD9">
        <w:rPr>
          <w:rFonts w:cs="Times New Roman"/>
          <w:color w:val="000000" w:themeColor="text1"/>
        </w:rPr>
        <w:t xml:space="preserve"> to evaluate t</w:t>
      </w:r>
      <w:r w:rsidR="00F4258D" w:rsidRPr="002F6AD9">
        <w:rPr>
          <w:rFonts w:cs="Times New Roman"/>
          <w:color w:val="000000" w:themeColor="text1"/>
        </w:rPr>
        <w:t xml:space="preserve">he adoption of </w:t>
      </w:r>
      <w:r w:rsidR="0056442A" w:rsidRPr="002F6AD9">
        <w:rPr>
          <w:rFonts w:cs="Times New Roman"/>
          <w:color w:val="000000" w:themeColor="text1"/>
        </w:rPr>
        <w:t>micro wind turbines</w:t>
      </w:r>
      <w:r w:rsidR="0056442A">
        <w:rPr>
          <w:rFonts w:cs="Times New Roman"/>
        </w:rPr>
        <w:t>.</w:t>
      </w:r>
      <w:r w:rsidR="002D5C14" w:rsidRPr="00E069AC">
        <w:rPr>
          <w:rFonts w:cs="Times New Roman"/>
        </w:rPr>
        <w:t xml:space="preserve"> </w:t>
      </w:r>
      <w:r w:rsidR="00933FD7" w:rsidRPr="00E069AC">
        <w:rPr>
          <w:rFonts w:cs="Times New Roman"/>
        </w:rPr>
        <w:t>Data inputs for the model come from a variety of sources, primarily from peer-reviewed publications and from in</w:t>
      </w:r>
      <w:r w:rsidR="00DA44EB" w:rsidRPr="00E069AC">
        <w:rPr>
          <w:rFonts w:cs="Times New Roman"/>
        </w:rPr>
        <w:t xml:space="preserve">stitutional reports. For all variable </w:t>
      </w:r>
      <w:r w:rsidR="00DA44EB" w:rsidRPr="0056442A">
        <w:rPr>
          <w:rFonts w:cs="Times New Roman"/>
        </w:rPr>
        <w:t>inputs, it was</w:t>
      </w:r>
      <w:r w:rsidR="00933FD7" w:rsidRPr="0056442A">
        <w:rPr>
          <w:rFonts w:cs="Times New Roman"/>
        </w:rPr>
        <w:t xml:space="preserve"> </w:t>
      </w:r>
      <w:r w:rsidR="00DA44EB" w:rsidRPr="0056442A">
        <w:rPr>
          <w:rFonts w:cs="Times New Roman"/>
        </w:rPr>
        <w:t xml:space="preserve">done </w:t>
      </w:r>
      <w:r w:rsidR="00933FD7" w:rsidRPr="0056442A">
        <w:rPr>
          <w:rFonts w:cs="Times New Roman"/>
        </w:rPr>
        <w:t xml:space="preserve">a variable meta-analysis of existing literature to create low, high, and mean estimates. For each </w:t>
      </w:r>
      <w:r w:rsidRPr="0056442A">
        <w:rPr>
          <w:rFonts w:cs="Times New Roman"/>
        </w:rPr>
        <w:t>solution variable, it is</w:t>
      </w:r>
      <w:r w:rsidR="00933FD7" w:rsidRPr="0056442A">
        <w:rPr>
          <w:rFonts w:cs="Times New Roman"/>
        </w:rPr>
        <w:t xml:space="preserve"> conduct</w:t>
      </w:r>
      <w:r w:rsidRPr="0056442A">
        <w:rPr>
          <w:rFonts w:cs="Times New Roman"/>
        </w:rPr>
        <w:t>ed</w:t>
      </w:r>
      <w:r w:rsidR="00933FD7" w:rsidRPr="0056442A">
        <w:rPr>
          <w:rFonts w:cs="Times New Roman"/>
        </w:rPr>
        <w:t xml:space="preserve"> a sensitivity analysis of, on average,</w:t>
      </w:r>
      <w:r w:rsidR="0056442A" w:rsidRPr="0056442A">
        <w:rPr>
          <w:rFonts w:cs="Times New Roman"/>
        </w:rPr>
        <w:t xml:space="preserve"> eight</w:t>
      </w:r>
      <w:r w:rsidR="00933FD7" w:rsidRPr="0056442A">
        <w:rPr>
          <w:rFonts w:cs="Times New Roman"/>
        </w:rPr>
        <w:t xml:space="preserve"> data points reported in the literature</w:t>
      </w:r>
      <w:r w:rsidRPr="0056442A">
        <w:rPr>
          <w:rFonts w:cs="Times New Roman"/>
        </w:rPr>
        <w:t xml:space="preserve"> and in some cases as many as </w:t>
      </w:r>
      <w:r w:rsidR="0056442A" w:rsidRPr="0056442A">
        <w:rPr>
          <w:rFonts w:cs="Times New Roman"/>
        </w:rPr>
        <w:t>18</w:t>
      </w:r>
      <w:r w:rsidR="00933FD7" w:rsidRPr="0056442A">
        <w:rPr>
          <w:rFonts w:cs="Times New Roman"/>
        </w:rPr>
        <w:t xml:space="preserve">. </w:t>
      </w:r>
      <w:r w:rsidR="00DA44EB" w:rsidRPr="0056442A">
        <w:rPr>
          <w:rFonts w:cs="Times New Roman"/>
        </w:rPr>
        <w:t xml:space="preserve">This allows </w:t>
      </w:r>
      <w:r w:rsidR="00933FD7" w:rsidRPr="0056442A">
        <w:rPr>
          <w:rFonts w:cs="Times New Roman"/>
        </w:rPr>
        <w:t>to calculate rob</w:t>
      </w:r>
      <w:r w:rsidR="00DA44EB" w:rsidRPr="0056442A">
        <w:rPr>
          <w:rFonts w:cs="Times New Roman"/>
        </w:rPr>
        <w:t xml:space="preserve">ust and reliable inputs for the </w:t>
      </w:r>
      <w:r w:rsidR="00933FD7" w:rsidRPr="0056442A">
        <w:rPr>
          <w:rFonts w:cs="Times New Roman"/>
        </w:rPr>
        <w:t>financial</w:t>
      </w:r>
      <w:r w:rsidRPr="0056442A">
        <w:rPr>
          <w:rFonts w:cs="Times New Roman"/>
        </w:rPr>
        <w:t>, technological</w:t>
      </w:r>
      <w:r w:rsidR="00933FD7" w:rsidRPr="0056442A">
        <w:rPr>
          <w:rFonts w:cs="Times New Roman"/>
        </w:rPr>
        <w:t xml:space="preserve"> and climate analyses that represent both optimistic and conservative estimates for the future costs and benefits of adopting this solution.</w:t>
      </w:r>
    </w:p>
    <w:p w14:paraId="085F03A8" w14:textId="0CEA3CC8" w:rsidR="002C20C8" w:rsidRPr="002C20C8" w:rsidRDefault="002C20C8" w:rsidP="00EB247F">
      <w:pPr>
        <w:rPr>
          <w:rFonts w:cs="Times New Roman"/>
          <w:color w:val="000000" w:themeColor="text1"/>
        </w:rPr>
      </w:pPr>
      <w:r w:rsidRPr="002C20C8">
        <w:rPr>
          <w:rFonts w:cs="Times New Roman"/>
          <w:color w:val="000000" w:themeColor="text1"/>
        </w:rPr>
        <w:t xml:space="preserve">In terms of adoption, 2017 RRS model version included 15 scenarios from sources including WWEA (2016), IEA ETP (2016), Greenpeace (2015), AMPERE (2014). Updasted 2019 adoptions were indirectly calculated from several scenarios of onshore wind adoption in various sources including IEA WEO (2018b), IEA ETP (2017), Grantham (2017), IEEJ (2019), Equinor (2018), and Ram et al. (2017). </w:t>
      </w:r>
    </w:p>
    <w:p w14:paraId="273B8077" w14:textId="1E31DC0C" w:rsidR="0002147A" w:rsidRDefault="0056442A" w:rsidP="0056442A">
      <w:pPr>
        <w:rPr>
          <w:rFonts w:cs="Times New Roman"/>
        </w:rPr>
      </w:pPr>
      <w:r>
        <w:rPr>
          <w:rFonts w:cs="Times New Roman"/>
        </w:rPr>
        <w:t xml:space="preserve">On </w:t>
      </w:r>
      <w:r w:rsidR="00190C4C">
        <w:rPr>
          <w:rFonts w:cs="Times New Roman"/>
        </w:rPr>
        <w:t xml:space="preserve">the </w:t>
      </w:r>
      <w:r>
        <w:rPr>
          <w:rFonts w:cs="Times New Roman"/>
        </w:rPr>
        <w:t>capital</w:t>
      </w:r>
      <w:r w:rsidR="00190C4C">
        <w:rPr>
          <w:rFonts w:cs="Times New Roman"/>
        </w:rPr>
        <w:t xml:space="preserve"> or first</w:t>
      </w:r>
      <w:r>
        <w:rPr>
          <w:rFonts w:cs="Times New Roman"/>
        </w:rPr>
        <w:t xml:space="preserve"> costs, </w:t>
      </w:r>
      <w:r w:rsidR="00F03D2D">
        <w:rPr>
          <w:rFonts w:cs="Times New Roman"/>
        </w:rPr>
        <w:t xml:space="preserve">IRENA (2016) presents </w:t>
      </w:r>
      <w:r w:rsidR="00D12915">
        <w:rPr>
          <w:rFonts w:cs="Times New Roman"/>
        </w:rPr>
        <w:t>a</w:t>
      </w:r>
      <w:r w:rsidR="00F03D2D">
        <w:rPr>
          <w:rFonts w:cs="Times New Roman"/>
        </w:rPr>
        <w:t xml:space="preserve"> global average </w:t>
      </w:r>
      <w:r w:rsidR="00BA22BA">
        <w:rPr>
          <w:rFonts w:cs="Times New Roman"/>
        </w:rPr>
        <w:t>low and high ranges of below 100 kW MWT as 6,000 – 8,670 $</w:t>
      </w:r>
      <w:r w:rsidR="0002147A">
        <w:rPr>
          <w:rFonts w:cs="Times New Roman"/>
        </w:rPr>
        <w:t>2014</w:t>
      </w:r>
      <w:r w:rsidR="00BA22BA">
        <w:rPr>
          <w:rFonts w:cs="Times New Roman"/>
        </w:rPr>
        <w:t>/kW; US DOE (2017) presents 9,771</w:t>
      </w:r>
      <w:r w:rsidR="0002147A">
        <w:rPr>
          <w:rFonts w:cs="Times New Roman"/>
        </w:rPr>
        <w:t xml:space="preserve"> </w:t>
      </w:r>
      <w:r w:rsidR="00BA22BA">
        <w:rPr>
          <w:rFonts w:cs="Times New Roman"/>
        </w:rPr>
        <w:t>$</w:t>
      </w:r>
      <w:r w:rsidR="0002147A">
        <w:rPr>
          <w:rFonts w:cs="Times New Roman"/>
        </w:rPr>
        <w:t>2014</w:t>
      </w:r>
      <w:r w:rsidR="00BA22BA">
        <w:rPr>
          <w:rFonts w:cs="Times New Roman"/>
        </w:rPr>
        <w:t xml:space="preserve">/kW for 10 – 20 kW MWT installed in 2017; and Grieser </w:t>
      </w:r>
      <w:r w:rsidR="00BA22BA" w:rsidRPr="003D50A7">
        <w:rPr>
          <w:rFonts w:cs="Times New Roman"/>
          <w:i/>
        </w:rPr>
        <w:t>et al</w:t>
      </w:r>
      <w:r w:rsidR="003D50A7" w:rsidRPr="003D50A7">
        <w:rPr>
          <w:rFonts w:cs="Times New Roman"/>
          <w:i/>
        </w:rPr>
        <w:t>.</w:t>
      </w:r>
      <w:r w:rsidR="00BA22BA">
        <w:rPr>
          <w:rFonts w:cs="Times New Roman"/>
        </w:rPr>
        <w:t xml:space="preserve"> (2015) presents</w:t>
      </w:r>
      <w:r w:rsidR="0002147A">
        <w:rPr>
          <w:rFonts w:cs="Times New Roman"/>
        </w:rPr>
        <w:t xml:space="preserve"> in $2014:</w:t>
      </w:r>
      <w:r w:rsidR="00BA22BA">
        <w:rPr>
          <w:rFonts w:cs="Times New Roman"/>
        </w:rPr>
        <w:t xml:space="preserve"> </w:t>
      </w:r>
    </w:p>
    <w:p w14:paraId="1E2E5A67" w14:textId="12EBC3B3" w:rsidR="0002147A" w:rsidRDefault="0002147A" w:rsidP="0002147A">
      <w:pPr>
        <w:pStyle w:val="ListParagraph"/>
        <w:numPr>
          <w:ilvl w:val="0"/>
          <w:numId w:val="53"/>
        </w:numPr>
        <w:rPr>
          <w:rFonts w:cs="Times New Roman"/>
        </w:rPr>
      </w:pPr>
      <w:r>
        <w:rPr>
          <w:rFonts w:cs="Times New Roman"/>
        </w:rPr>
        <w:t>$</w:t>
      </w:r>
      <w:r w:rsidR="00BA22BA" w:rsidRPr="0002147A">
        <w:rPr>
          <w:rFonts w:cs="Times New Roman"/>
        </w:rPr>
        <w:t>5,543</w:t>
      </w:r>
      <w:r w:rsidRPr="0002147A">
        <w:rPr>
          <w:rFonts w:cs="Times New Roman"/>
        </w:rPr>
        <w:t>/kW for 2.4 kW HAWT Skystr system (3 – 10</w:t>
      </w:r>
      <w:r>
        <w:rPr>
          <w:rFonts w:cs="Times New Roman"/>
        </w:rPr>
        <w:t xml:space="preserve"> </w:t>
      </w:r>
      <w:r w:rsidRPr="0002147A">
        <w:rPr>
          <w:rFonts w:cs="Times New Roman"/>
        </w:rPr>
        <w:t xml:space="preserve">m/s), </w:t>
      </w:r>
    </w:p>
    <w:p w14:paraId="0C45574C" w14:textId="08E049B8" w:rsidR="00F03D2D" w:rsidRDefault="0002147A" w:rsidP="0002147A">
      <w:pPr>
        <w:pStyle w:val="ListParagraph"/>
        <w:numPr>
          <w:ilvl w:val="0"/>
          <w:numId w:val="53"/>
        </w:numPr>
        <w:rPr>
          <w:rFonts w:cs="Times New Roman"/>
        </w:rPr>
      </w:pPr>
      <w:r>
        <w:rPr>
          <w:rFonts w:cs="Times New Roman"/>
        </w:rPr>
        <w:t>$</w:t>
      </w:r>
      <w:r w:rsidRPr="0002147A">
        <w:rPr>
          <w:rFonts w:cs="Times New Roman"/>
        </w:rPr>
        <w:t>15,863/kW for 6.5</w:t>
      </w:r>
      <w:r>
        <w:rPr>
          <w:rFonts w:cs="Times New Roman"/>
        </w:rPr>
        <w:t xml:space="preserve"> </w:t>
      </w:r>
      <w:r w:rsidRPr="0002147A">
        <w:rPr>
          <w:rFonts w:cs="Times New Roman"/>
        </w:rPr>
        <w:t>kW HAWT Aventa system</w:t>
      </w:r>
      <w:r>
        <w:rPr>
          <w:rFonts w:cs="Times New Roman"/>
        </w:rPr>
        <w:t xml:space="preserve"> (2 – 6 m/s), and </w:t>
      </w:r>
    </w:p>
    <w:p w14:paraId="36217165" w14:textId="44935873" w:rsidR="0002147A" w:rsidRPr="0002147A" w:rsidRDefault="0002147A" w:rsidP="008D107D">
      <w:pPr>
        <w:pStyle w:val="ListParagraph"/>
        <w:numPr>
          <w:ilvl w:val="0"/>
          <w:numId w:val="53"/>
        </w:numPr>
        <w:rPr>
          <w:rFonts w:cs="Times New Roman"/>
        </w:rPr>
      </w:pPr>
      <w:r>
        <w:rPr>
          <w:rFonts w:cs="Times New Roman"/>
        </w:rPr>
        <w:t>$7,206/kW for 3 kW VAWT Envento system (3 – 14 m/s)</w:t>
      </w:r>
    </w:p>
    <w:p w14:paraId="3B46E89B" w14:textId="7576B7CC" w:rsidR="00EE173A" w:rsidRDefault="00EE173A" w:rsidP="0056442A">
      <w:pPr>
        <w:rPr>
          <w:rFonts w:cs="Times New Roman"/>
        </w:rPr>
      </w:pPr>
      <w:r>
        <w:rPr>
          <w:rFonts w:cs="Times New Roman"/>
        </w:rPr>
        <w:t>In China, the capital cost is cheaper than the global average at $1,995/kW in 2014 USD. These trends show that the installed cost of MWT depends</w:t>
      </w:r>
      <w:r w:rsidR="004D394F">
        <w:rPr>
          <w:rFonts w:cs="Times New Roman"/>
        </w:rPr>
        <w:t xml:space="preserve"> on</w:t>
      </w:r>
      <w:r>
        <w:rPr>
          <w:rFonts w:cs="Times New Roman"/>
        </w:rPr>
        <w:t xml:space="preserve"> regions, turbine make, range of operational wind speed,</w:t>
      </w:r>
      <w:r w:rsidR="004D394F">
        <w:rPr>
          <w:rFonts w:cs="Times New Roman"/>
        </w:rPr>
        <w:t xml:space="preserve"> turbine capacity, and the</w:t>
      </w:r>
      <w:r>
        <w:rPr>
          <w:rFonts w:cs="Times New Roman"/>
        </w:rPr>
        <w:t xml:space="preserve"> axis of rotation.</w:t>
      </w:r>
      <w:r w:rsidR="004D394F">
        <w:rPr>
          <w:rFonts w:cs="Times New Roman"/>
        </w:rPr>
        <w:t xml:space="preserve"> A VAWT system is slightly more expensive than the same size of horizontal axis counterpart.</w:t>
      </w:r>
    </w:p>
    <w:p w14:paraId="15AB7547" w14:textId="31CEC462" w:rsidR="005A6986" w:rsidRPr="00284915" w:rsidRDefault="005A6986" w:rsidP="00EB247F">
      <w:pPr>
        <w:rPr>
          <w:rFonts w:cs="Times New Roman"/>
        </w:rPr>
      </w:pPr>
      <w:r w:rsidRPr="00284915">
        <w:rPr>
          <w:rFonts w:cs="Times New Roman"/>
        </w:rPr>
        <w:t xml:space="preserve">Cost estimates for fixed operation and maintenance (OM) of </w:t>
      </w:r>
      <w:r w:rsidR="00284915" w:rsidRPr="00284915">
        <w:rPr>
          <w:rFonts w:cs="Times New Roman"/>
        </w:rPr>
        <w:t>micro wind</w:t>
      </w:r>
      <w:r w:rsidR="00DA44EB" w:rsidRPr="00284915">
        <w:rPr>
          <w:rFonts w:cs="Times New Roman"/>
        </w:rPr>
        <w:t xml:space="preserve"> </w:t>
      </w:r>
      <w:r w:rsidR="00C16CC1" w:rsidRPr="00284915">
        <w:rPr>
          <w:rFonts w:cs="Times New Roman"/>
        </w:rPr>
        <w:t>systems</w:t>
      </w:r>
      <w:r w:rsidR="00284915" w:rsidRPr="00284915">
        <w:rPr>
          <w:rFonts w:cs="Times New Roman"/>
        </w:rPr>
        <w:t xml:space="preserve"> are limited and </w:t>
      </w:r>
      <w:r w:rsidR="00DA44EB" w:rsidRPr="00284915">
        <w:rPr>
          <w:rFonts w:cs="Times New Roman"/>
        </w:rPr>
        <w:t xml:space="preserve">were collected from </w:t>
      </w:r>
      <w:r w:rsidR="00DA44EB" w:rsidRPr="003D50A7">
        <w:rPr>
          <w:rFonts w:cs="Times New Roman"/>
          <w:i/>
        </w:rPr>
        <w:t xml:space="preserve">e.g. </w:t>
      </w:r>
      <w:r w:rsidR="00284915" w:rsidRPr="00284915">
        <w:rPr>
          <w:rFonts w:cs="Times New Roman"/>
        </w:rPr>
        <w:t xml:space="preserve">Orrell </w:t>
      </w:r>
      <w:r w:rsidR="00284915" w:rsidRPr="003D50A7">
        <w:rPr>
          <w:rFonts w:cs="Times New Roman"/>
          <w:i/>
        </w:rPr>
        <w:t>at al.</w:t>
      </w:r>
      <w:r w:rsidRPr="00284915">
        <w:rPr>
          <w:rFonts w:cs="Times New Roman"/>
        </w:rPr>
        <w:t xml:space="preserve"> </w:t>
      </w:r>
      <w:r w:rsidR="00767F96" w:rsidRPr="00284915">
        <w:rPr>
          <w:rFonts w:cs="Times New Roman"/>
        </w:rPr>
        <w:t>(</w:t>
      </w:r>
      <w:r w:rsidRPr="00284915">
        <w:rPr>
          <w:rFonts w:cs="Times New Roman"/>
        </w:rPr>
        <w:t>201</w:t>
      </w:r>
      <w:r w:rsidR="00284915" w:rsidRPr="00284915">
        <w:rPr>
          <w:rFonts w:cs="Times New Roman"/>
        </w:rPr>
        <w:t>3</w:t>
      </w:r>
      <w:r w:rsidR="00767F96" w:rsidRPr="00284915">
        <w:rPr>
          <w:rFonts w:cs="Times New Roman"/>
        </w:rPr>
        <w:t xml:space="preserve">); </w:t>
      </w:r>
      <w:r w:rsidR="00284915" w:rsidRPr="00284915">
        <w:rPr>
          <w:rFonts w:cs="Times New Roman"/>
        </w:rPr>
        <w:t>Global CCS Institute (ND</w:t>
      </w:r>
      <w:r w:rsidR="00767F96" w:rsidRPr="00284915">
        <w:rPr>
          <w:rFonts w:cs="Times New Roman"/>
        </w:rPr>
        <w:t>)</w:t>
      </w:r>
      <w:r w:rsidR="00284915">
        <w:rPr>
          <w:rFonts w:cs="Times New Roman"/>
        </w:rPr>
        <w:t>. T</w:t>
      </w:r>
      <w:r w:rsidRPr="00284915">
        <w:rPr>
          <w:rFonts w:cs="Times New Roman"/>
        </w:rPr>
        <w:t xml:space="preserve">hese estimates were used to calculate total operating costs of </w:t>
      </w:r>
      <w:r w:rsidR="00284915" w:rsidRPr="00284915">
        <w:rPr>
          <w:rFonts w:cs="Times New Roman"/>
        </w:rPr>
        <w:t>micro wind</w:t>
      </w:r>
      <w:r w:rsidRPr="00284915">
        <w:rPr>
          <w:rFonts w:cs="Times New Roman"/>
        </w:rPr>
        <w:t xml:space="preserve"> </w:t>
      </w:r>
      <w:r w:rsidR="00C16CC1" w:rsidRPr="00284915">
        <w:rPr>
          <w:rFonts w:cs="Times New Roman"/>
        </w:rPr>
        <w:t xml:space="preserve">technologies </w:t>
      </w:r>
      <w:r w:rsidRPr="00284915">
        <w:rPr>
          <w:rFonts w:cs="Times New Roman"/>
        </w:rPr>
        <w:t xml:space="preserve">adoption, which, combined with capital costs for installation, represent the total financial costs of adopting </w:t>
      </w:r>
      <w:r w:rsidR="00C16CC1" w:rsidRPr="00284915">
        <w:rPr>
          <w:rFonts w:cs="Times New Roman"/>
        </w:rPr>
        <w:t>this solution</w:t>
      </w:r>
      <w:r w:rsidRPr="00284915">
        <w:rPr>
          <w:rFonts w:cs="Times New Roman"/>
        </w:rPr>
        <w:t xml:space="preserve"> in the </w:t>
      </w:r>
      <w:r w:rsidR="00DA44EB" w:rsidRPr="00284915">
        <w:rPr>
          <w:rFonts w:cs="Times New Roman"/>
        </w:rPr>
        <w:t>PDS</w:t>
      </w:r>
      <w:r w:rsidRPr="00284915">
        <w:rPr>
          <w:rFonts w:cs="Times New Roman"/>
        </w:rPr>
        <w:t xml:space="preserve"> scenario. Fixed operation and maintenance costs for both renewable and conventional generation technologies can include expenses such as day-to-day preventative and corrective maintenance, labor costs, asset and site management, and maintaining health and safety, among others (Lo, 2014). </w:t>
      </w:r>
      <w:r w:rsidR="006B267A" w:rsidRPr="00284915">
        <w:rPr>
          <w:rFonts w:cs="Times New Roman"/>
        </w:rPr>
        <w:t>Average fuel price</w:t>
      </w:r>
      <w:r w:rsidR="00936B09" w:rsidRPr="00284915">
        <w:rPr>
          <w:rFonts w:cs="Times New Roman"/>
        </w:rPr>
        <w:t xml:space="preserve"> was calculated considering average prices for both coal, oil and natural gas from 2005-</w:t>
      </w:r>
      <w:r w:rsidR="007546C9" w:rsidRPr="00284915">
        <w:rPr>
          <w:rFonts w:cs="Times New Roman"/>
        </w:rPr>
        <w:t>2014 usi</w:t>
      </w:r>
      <w:r w:rsidR="00936B09" w:rsidRPr="00284915">
        <w:rPr>
          <w:rFonts w:cs="Times New Roman"/>
        </w:rPr>
        <w:t>ng IEA</w:t>
      </w:r>
      <w:r w:rsidR="00395868" w:rsidRPr="00284915">
        <w:rPr>
          <w:rFonts w:cs="Times New Roman"/>
        </w:rPr>
        <w:t xml:space="preserve"> data</w:t>
      </w:r>
      <w:r w:rsidR="00AE749D" w:rsidRPr="00284915">
        <w:rPr>
          <w:rFonts w:cs="Times New Roman"/>
        </w:rPr>
        <w:t xml:space="preserve"> (IEA, 2016a)</w:t>
      </w:r>
      <w:r w:rsidR="00395868" w:rsidRPr="00284915">
        <w:rPr>
          <w:rFonts w:cs="Times New Roman"/>
        </w:rPr>
        <w:t>.</w:t>
      </w:r>
    </w:p>
    <w:p w14:paraId="51473506" w14:textId="3FDFC45E" w:rsidR="005A6986" w:rsidRPr="00C16CC1" w:rsidRDefault="005A6986" w:rsidP="00EB247F">
      <w:pPr>
        <w:rPr>
          <w:rFonts w:cs="Times New Roman"/>
        </w:rPr>
      </w:pPr>
      <w:r w:rsidRPr="00C16CC1">
        <w:rPr>
          <w:rFonts w:cs="Times New Roman"/>
        </w:rPr>
        <w:t xml:space="preserve">In order to compare capital and OM costs of </w:t>
      </w:r>
      <w:r w:rsidR="00284915">
        <w:rPr>
          <w:rFonts w:cs="Times New Roman"/>
        </w:rPr>
        <w:t>micro wind</w:t>
      </w:r>
      <w:r w:rsidRPr="00C16CC1">
        <w:rPr>
          <w:rFonts w:cs="Times New Roman"/>
        </w:rPr>
        <w:t xml:space="preserve"> installation in the </w:t>
      </w:r>
      <w:r w:rsidR="00767F96" w:rsidRPr="00C16CC1">
        <w:rPr>
          <w:rFonts w:cs="Times New Roman"/>
        </w:rPr>
        <w:t>PDS</w:t>
      </w:r>
      <w:r w:rsidRPr="00C16CC1">
        <w:rPr>
          <w:rFonts w:cs="Times New Roman"/>
        </w:rPr>
        <w:t xml:space="preserve"> scenario</w:t>
      </w:r>
      <w:r w:rsidR="00767F96" w:rsidRPr="00C16CC1">
        <w:rPr>
          <w:rFonts w:cs="Times New Roman"/>
        </w:rPr>
        <w:t>s</w:t>
      </w:r>
      <w:r w:rsidRPr="00C16CC1">
        <w:rPr>
          <w:rFonts w:cs="Times New Roman"/>
        </w:rPr>
        <w:t xml:space="preserve"> to that of conventional generation technologies, </w:t>
      </w:r>
      <w:r w:rsidR="00DE33AF" w:rsidRPr="00C16CC1">
        <w:rPr>
          <w:rFonts w:cs="Times New Roman"/>
        </w:rPr>
        <w:t>it was</w:t>
      </w:r>
      <w:r w:rsidRPr="00C16CC1">
        <w:rPr>
          <w:rFonts w:cs="Times New Roman"/>
        </w:rPr>
        <w:t xml:space="preserve"> obtained cost data for fossil fuel-based electricity generating sources from the IPCC 5</w:t>
      </w:r>
      <w:r w:rsidRPr="00C16CC1">
        <w:rPr>
          <w:rFonts w:cs="Times New Roman"/>
          <w:vertAlign w:val="superscript"/>
        </w:rPr>
        <w:t>th</w:t>
      </w:r>
      <w:r w:rsidRPr="00C16CC1">
        <w:rPr>
          <w:rFonts w:cs="Times New Roman"/>
        </w:rPr>
        <w:t xml:space="preserve"> Assessment Report </w:t>
      </w:r>
      <w:r w:rsidRPr="00C16CC1">
        <w:rPr>
          <w:rFonts w:cs="Times New Roman"/>
        </w:rPr>
        <w:fldChar w:fldCharType="begin"/>
      </w:r>
      <w:r w:rsidRPr="00C16CC1">
        <w:rPr>
          <w:rFonts w:cs="Times New Roman"/>
        </w:rPr>
        <w:instrText xml:space="preserve"> ADDIN ZOTERO_ITEM CSL_CITATION {"citationID":"110snmc2fa","properties":{"formattedCitation":"(IPCC, 2014)","plainCitation":"(IPCC, 2014)"},"citationItems":[{"id":483,"uris":["http://zotero.org/groups/277937/items/CRJBFNR9"],"uri":["http://zotero.org/groups/277937/items/CRJBFNR9"],"itemData":{"id":483,"type":"report","title":"Mitigation of Climate Change: Technology - specific cost and performance parameters","URL":"report.mitigation2014.org/report/ipcc_wg3_ar5_annex-iii.pdf","author":[{"family":"IPCC","given":""}],"issued":{"date-parts":[["2014"]]}}}],"schema":"https://github.com/citation-style-language/schema/raw/master/csl-citation.json"} </w:instrText>
      </w:r>
      <w:r w:rsidRPr="00C16CC1">
        <w:rPr>
          <w:rFonts w:cs="Times New Roman"/>
        </w:rPr>
        <w:fldChar w:fldCharType="separate"/>
      </w:r>
      <w:r w:rsidRPr="00C16CC1">
        <w:rPr>
          <w:rFonts w:cs="Times New Roman"/>
        </w:rPr>
        <w:t>(IPCC, 2014)</w:t>
      </w:r>
      <w:r w:rsidRPr="00C16CC1">
        <w:rPr>
          <w:rFonts w:cs="Times New Roman"/>
        </w:rPr>
        <w:fldChar w:fldCharType="end"/>
      </w:r>
      <w:r w:rsidR="00767F96" w:rsidRPr="00C16CC1">
        <w:rPr>
          <w:rFonts w:cs="Times New Roman"/>
        </w:rPr>
        <w:t xml:space="preserve"> which conducted its own sensitivity analysis of a number of sources from the literature</w:t>
      </w:r>
      <w:r w:rsidR="00767F96" w:rsidRPr="00C16CC1">
        <w:rPr>
          <w:rStyle w:val="FootnoteReference"/>
          <w:rFonts w:cs="Times New Roman"/>
          <w:bCs/>
        </w:rPr>
        <w:footnoteReference w:id="2"/>
      </w:r>
      <w:r w:rsidR="00767F96" w:rsidRPr="00C16CC1">
        <w:rPr>
          <w:rFonts w:cs="Times New Roman"/>
        </w:rPr>
        <w:t>, and other sources such as OECD (2015), Lazard (2016).</w:t>
      </w:r>
      <w:r w:rsidRPr="00C16CC1">
        <w:rPr>
          <w:rFonts w:cs="Times New Roman"/>
        </w:rPr>
        <w:t xml:space="preserve"> </w:t>
      </w:r>
      <w:r w:rsidR="00767F96" w:rsidRPr="00C16CC1">
        <w:rPr>
          <w:rFonts w:cs="Times New Roman"/>
        </w:rPr>
        <w:t xml:space="preserve">In all </w:t>
      </w:r>
      <w:r w:rsidRPr="00C16CC1">
        <w:rPr>
          <w:rFonts w:cs="Times New Roman"/>
        </w:rPr>
        <w:t>variables for conventi</w:t>
      </w:r>
      <w:r w:rsidR="00767F96" w:rsidRPr="00C16CC1">
        <w:rPr>
          <w:rFonts w:cs="Times New Roman"/>
        </w:rPr>
        <w:t>onal electricity generation sources, data for</w:t>
      </w:r>
      <w:r w:rsidRPr="00C16CC1">
        <w:rPr>
          <w:rFonts w:cs="Times New Roman"/>
        </w:rPr>
        <w:t xml:space="preserve"> coal</w:t>
      </w:r>
      <w:r w:rsidR="00767F96" w:rsidRPr="00C16CC1">
        <w:rPr>
          <w:rFonts w:cs="Times New Roman"/>
        </w:rPr>
        <w:t>, oil</w:t>
      </w:r>
      <w:r w:rsidRPr="00C16CC1">
        <w:rPr>
          <w:rFonts w:cs="Times New Roman"/>
        </w:rPr>
        <w:t xml:space="preserve"> and natural gas (primarily pulverized coal and combined cycle gas turbine technologies) </w:t>
      </w:r>
      <w:r w:rsidR="006B267A" w:rsidRPr="00C16CC1">
        <w:rPr>
          <w:rFonts w:cs="Times New Roman"/>
        </w:rPr>
        <w:t xml:space="preserve">were included and </w:t>
      </w:r>
      <w:r w:rsidRPr="00C16CC1">
        <w:rPr>
          <w:rFonts w:cs="Times New Roman"/>
        </w:rPr>
        <w:t>a</w:t>
      </w:r>
      <w:r w:rsidR="006B267A" w:rsidRPr="00C16CC1">
        <w:rPr>
          <w:rFonts w:cs="Times New Roman"/>
        </w:rPr>
        <w:t xml:space="preserve"> weighted average. </w:t>
      </w:r>
      <w:r w:rsidRPr="00C16CC1">
        <w:rPr>
          <w:rFonts w:cs="Times New Roman"/>
        </w:rPr>
        <w:t xml:space="preserve">The weights are based on the percentage, for each </w:t>
      </w:r>
      <w:r w:rsidR="006B267A" w:rsidRPr="00C16CC1">
        <w:rPr>
          <w:rFonts w:cs="Times New Roman"/>
        </w:rPr>
        <w:t>fuel on the</w:t>
      </w:r>
      <w:r w:rsidRPr="00C16CC1">
        <w:rPr>
          <w:rFonts w:cs="Times New Roman"/>
        </w:rPr>
        <w:t xml:space="preserve"> total global </w:t>
      </w:r>
      <w:r w:rsidR="006B267A" w:rsidRPr="00C16CC1">
        <w:rPr>
          <w:rFonts w:cs="Times New Roman"/>
        </w:rPr>
        <w:t xml:space="preserve">electricity </w:t>
      </w:r>
      <w:r w:rsidRPr="00C16CC1">
        <w:rPr>
          <w:rFonts w:cs="Times New Roman"/>
        </w:rPr>
        <w:t xml:space="preserve">generation </w:t>
      </w:r>
      <w:r w:rsidR="006B267A" w:rsidRPr="00C16CC1">
        <w:rPr>
          <w:rFonts w:cs="Times New Roman"/>
        </w:rPr>
        <w:t>for 201</w:t>
      </w:r>
      <w:r w:rsidR="002C20C8">
        <w:rPr>
          <w:rFonts w:cs="Times New Roman"/>
        </w:rPr>
        <w:t>8.</w:t>
      </w:r>
    </w:p>
    <w:p w14:paraId="6B7E417B" w14:textId="01DE46B7" w:rsidR="005A6986" w:rsidRPr="00CC5263" w:rsidRDefault="005A6986" w:rsidP="00EB247F">
      <w:pPr>
        <w:rPr>
          <w:rFonts w:cs="Times New Roman"/>
          <w:highlight w:val="yellow"/>
        </w:rPr>
      </w:pPr>
      <w:r w:rsidRPr="00C16CC1">
        <w:rPr>
          <w:rFonts w:cs="Times New Roman"/>
        </w:rPr>
        <w:t xml:space="preserve">In order to calculate the total </w:t>
      </w:r>
      <w:r w:rsidR="00936B09" w:rsidRPr="00C16CC1">
        <w:rPr>
          <w:rFonts w:cs="Times New Roman"/>
        </w:rPr>
        <w:t>impacts and</w:t>
      </w:r>
      <w:r w:rsidRPr="00C16CC1">
        <w:rPr>
          <w:rFonts w:cs="Times New Roman"/>
        </w:rPr>
        <w:t xml:space="preserve"> benefits of </w:t>
      </w:r>
      <w:r w:rsidR="006B267A" w:rsidRPr="00C16CC1">
        <w:rPr>
          <w:rFonts w:cs="Times New Roman"/>
        </w:rPr>
        <w:t xml:space="preserve">increased solution </w:t>
      </w:r>
      <w:r w:rsidRPr="00C16CC1">
        <w:rPr>
          <w:rFonts w:cs="Times New Roman"/>
        </w:rPr>
        <w:t>adoption</w:t>
      </w:r>
      <w:r w:rsidR="006B267A" w:rsidRPr="00C16CC1">
        <w:rPr>
          <w:rFonts w:cs="Times New Roman"/>
        </w:rPr>
        <w:t xml:space="preserve"> (on PDS scenarios)</w:t>
      </w:r>
      <w:r w:rsidRPr="00C16CC1">
        <w:rPr>
          <w:rFonts w:cs="Times New Roman"/>
        </w:rPr>
        <w:t xml:space="preserve">, </w:t>
      </w:r>
      <w:r w:rsidR="006B267A" w:rsidRPr="00C16CC1">
        <w:rPr>
          <w:rFonts w:cs="Times New Roman"/>
        </w:rPr>
        <w:t xml:space="preserve">technical </w:t>
      </w:r>
      <w:r w:rsidRPr="00C16CC1">
        <w:rPr>
          <w:rFonts w:cs="Times New Roman"/>
        </w:rPr>
        <w:t xml:space="preserve">data </w:t>
      </w:r>
      <w:r w:rsidR="006B267A" w:rsidRPr="00C16CC1">
        <w:rPr>
          <w:rFonts w:cs="Times New Roman"/>
        </w:rPr>
        <w:t xml:space="preserve">was also </w:t>
      </w:r>
      <w:r w:rsidR="006B267A" w:rsidRPr="00284915">
        <w:rPr>
          <w:rFonts w:cs="Times New Roman"/>
        </w:rPr>
        <w:t>integrated</w:t>
      </w:r>
      <w:r w:rsidRPr="00284915">
        <w:rPr>
          <w:rFonts w:cs="Times New Roman"/>
        </w:rPr>
        <w:t xml:space="preserve">, including average annual use, </w:t>
      </w:r>
      <w:r w:rsidR="00936B09" w:rsidRPr="00284915">
        <w:rPr>
          <w:rFonts w:cs="Times New Roman"/>
        </w:rPr>
        <w:t xml:space="preserve">plants lifetime, </w:t>
      </w:r>
      <w:r w:rsidRPr="00284915">
        <w:rPr>
          <w:rFonts w:cs="Times New Roman"/>
        </w:rPr>
        <w:t xml:space="preserve">and average </w:t>
      </w:r>
      <w:r w:rsidR="00936B09" w:rsidRPr="00284915">
        <w:rPr>
          <w:rFonts w:cs="Times New Roman"/>
        </w:rPr>
        <w:t>efficiencies</w:t>
      </w:r>
      <w:r w:rsidRPr="00284915">
        <w:rPr>
          <w:rFonts w:cs="Times New Roman"/>
        </w:rPr>
        <w:t xml:space="preserve">. All three of these are key to determining the variable OM costs and the total fuel costs for conventional generation sources, as these costs are determined by the average number of hours the power plant is generating electricity, as well as the average price of fuel inputs and the average efficiency. </w:t>
      </w:r>
      <w:r w:rsidR="00936B09" w:rsidRPr="00284915">
        <w:rPr>
          <w:rFonts w:cs="Times New Roman"/>
        </w:rPr>
        <w:t>Average plants efficiency is calculated from several global sources (IPCC, 2014; IEA, 2010), as well as from the U.S. EIA (2015).</w:t>
      </w:r>
    </w:p>
    <w:p w14:paraId="157FA299" w14:textId="57622556" w:rsidR="00284915" w:rsidRDefault="00284915" w:rsidP="00284915">
      <w:pPr>
        <w:rPr>
          <w:rFonts w:cstheme="minorHAnsi"/>
          <w:shd w:val="clear" w:color="auto" w:fill="FFFFFF"/>
        </w:rPr>
      </w:pPr>
      <w:r w:rsidRPr="00284915">
        <w:rPr>
          <w:rFonts w:cstheme="minorHAnsi"/>
          <w:shd w:val="clear" w:color="auto" w:fill="FFFFFF"/>
        </w:rPr>
        <w:t>The Low Carbon trust</w:t>
      </w:r>
      <w:r>
        <w:rPr>
          <w:rFonts w:cstheme="minorHAnsi"/>
          <w:shd w:val="clear" w:color="auto" w:fill="FFFFFF"/>
        </w:rPr>
        <w:t xml:space="preserve"> (2008)</w:t>
      </w:r>
      <w:r w:rsidRPr="00284915">
        <w:rPr>
          <w:rStyle w:val="apple-converted-space"/>
          <w:rFonts w:cstheme="minorHAnsi"/>
          <w:shd w:val="clear" w:color="auto" w:fill="FFFFFF"/>
        </w:rPr>
        <w:t> </w:t>
      </w:r>
      <w:r w:rsidRPr="00284915">
        <w:rPr>
          <w:rFonts w:cstheme="minorHAnsi"/>
          <w:shd w:val="clear" w:color="auto" w:fill="FFFFFF"/>
        </w:rPr>
        <w:t xml:space="preserve">states that anecdotal evidence suggests that the capacity factors of small wind turbines ranges </w:t>
      </w:r>
      <w:r w:rsidRPr="00896B2E">
        <w:rPr>
          <w:rFonts w:cstheme="minorHAnsi"/>
          <w:shd w:val="clear" w:color="auto" w:fill="FFFFFF"/>
        </w:rPr>
        <w:t>from 15-20%. The UK- Small Wind</w:t>
      </w:r>
      <w:r w:rsidRPr="00896B2E">
        <w:rPr>
          <w:rStyle w:val="apple-converted-space"/>
          <w:rFonts w:cstheme="minorHAnsi"/>
          <w:shd w:val="clear" w:color="auto" w:fill="FFFFFF"/>
        </w:rPr>
        <w:t> </w:t>
      </w:r>
      <w:r w:rsidRPr="00896B2E">
        <w:rPr>
          <w:rStyle w:val="Hyperlink"/>
          <w:rFonts w:cstheme="minorHAnsi"/>
          <w:color w:val="auto"/>
          <w:u w:val="none"/>
          <w:bdr w:val="none" w:sz="0" w:space="0" w:color="auto" w:frame="1"/>
          <w:shd w:val="clear" w:color="auto" w:fill="FFFFFF"/>
        </w:rPr>
        <w:t>Survey-2008</w:t>
      </w:r>
      <w:r w:rsidR="00896B2E" w:rsidRPr="00896B2E">
        <w:rPr>
          <w:rStyle w:val="Hyperlink"/>
          <w:rFonts w:cstheme="minorHAnsi"/>
          <w:color w:val="auto"/>
          <w:u w:val="none"/>
          <w:bdr w:val="none" w:sz="0" w:space="0" w:color="auto" w:frame="1"/>
          <w:shd w:val="clear" w:color="auto" w:fill="FFFFFF"/>
        </w:rPr>
        <w:t xml:space="preserve"> (AEA, 2009)</w:t>
      </w:r>
      <w:r w:rsidRPr="00896B2E">
        <w:rPr>
          <w:rFonts w:cstheme="minorHAnsi"/>
          <w:shd w:val="clear" w:color="auto" w:fill="FFFFFF"/>
        </w:rPr>
        <w:t> indicates that capacity factors range from 0.1 for turbines  of the size 0 to 1.5kW, to 0.17 for turbines from 1.5 kW to 50 kW.</w:t>
      </w:r>
      <w:r w:rsidR="00587538" w:rsidRPr="00896B2E">
        <w:rPr>
          <w:rFonts w:cstheme="minorHAnsi"/>
          <w:shd w:val="clear" w:color="auto" w:fill="FFFFFF"/>
        </w:rPr>
        <w:t xml:space="preserve"> </w:t>
      </w:r>
      <w:r w:rsidRPr="00896B2E">
        <w:rPr>
          <w:rFonts w:cstheme="minorHAnsi"/>
        </w:rPr>
        <w:t>The 2015 Distributed Wind Market report</w:t>
      </w:r>
      <w:r w:rsidR="000362B8" w:rsidRPr="00896B2E">
        <w:rPr>
          <w:rFonts w:cstheme="minorHAnsi"/>
        </w:rPr>
        <w:t xml:space="preserve"> </w:t>
      </w:r>
      <w:r w:rsidRPr="00896B2E">
        <w:rPr>
          <w:rFonts w:cstheme="minorHAnsi"/>
        </w:rPr>
        <w:t>shows the capacity factors of wind turbines as a function of turbine rating in the US for 2013 and 2014. Capacity factors range from &lt; 10% for turbines &lt; 10 kW to &gt;40% for larger turbines. Datasheets from manufacturers provided in the report indicate that commercial MWTs have capacity factors ranging between 0.15-0.20. Caveat: The estimates below are not representative of all the micro turbines on the market. In addition, the wind turbines represented below have power ratings &lt;11 kW, while the section of micro wind turbines we are looking at span 1-100kW.</w:t>
      </w:r>
      <w:r w:rsidRPr="00896B2E">
        <w:rPr>
          <w:rFonts w:cstheme="minorHAnsi"/>
          <w:bCs/>
        </w:rPr>
        <w:t xml:space="preserve">MWTs last between 20-30 years. </w:t>
      </w:r>
      <w:r w:rsidRPr="00896B2E">
        <w:rPr>
          <w:rFonts w:cstheme="minorHAnsi"/>
          <w:shd w:val="clear" w:color="auto" w:fill="FFFFFF"/>
        </w:rPr>
        <w:t xml:space="preserve">Most manufacturers </w:t>
      </w:r>
      <w:r w:rsidR="00896B2E">
        <w:rPr>
          <w:rFonts w:cstheme="minorHAnsi"/>
          <w:shd w:val="clear" w:color="auto" w:fill="FFFFFF"/>
        </w:rPr>
        <w:t xml:space="preserve">(EWEA, 2016) </w:t>
      </w:r>
      <w:r w:rsidRPr="00896B2E">
        <w:rPr>
          <w:rFonts w:cstheme="minorHAnsi"/>
          <w:shd w:val="clear" w:color="auto" w:fill="FFFFFF"/>
        </w:rPr>
        <w:t>have</w:t>
      </w:r>
      <w:r w:rsidRPr="00896B2E">
        <w:rPr>
          <w:rStyle w:val="apple-converted-space"/>
          <w:rFonts w:cstheme="minorHAnsi"/>
          <w:shd w:val="clear" w:color="auto" w:fill="FFFFFF"/>
        </w:rPr>
        <w:t> </w:t>
      </w:r>
      <w:r w:rsidRPr="00896B2E">
        <w:rPr>
          <w:rStyle w:val="Hyperlink"/>
          <w:rFonts w:cstheme="minorHAnsi"/>
          <w:color w:val="auto"/>
          <w:u w:val="none"/>
          <w:bdr w:val="none" w:sz="0" w:space="0" w:color="auto" w:frame="1"/>
          <w:shd w:val="clear" w:color="auto" w:fill="FFFFFF"/>
        </w:rPr>
        <w:t>stated</w:t>
      </w:r>
      <w:r w:rsidRPr="00896B2E">
        <w:rPr>
          <w:rFonts w:cstheme="minorHAnsi"/>
        </w:rPr>
        <w:t xml:space="preserve"> </w:t>
      </w:r>
      <w:r w:rsidRPr="00896B2E">
        <w:rPr>
          <w:rFonts w:cstheme="minorHAnsi"/>
          <w:shd w:val="clear" w:color="auto" w:fill="FFFFFF"/>
        </w:rPr>
        <w:t>that the design life time is 20 years</w:t>
      </w:r>
      <w:r w:rsidR="003D50A7">
        <w:rPr>
          <w:rFonts w:cstheme="minorHAnsi"/>
          <w:shd w:val="clear" w:color="auto" w:fill="FFFFFF"/>
        </w:rPr>
        <w:t xml:space="preserve">. </w:t>
      </w:r>
      <w:r w:rsidRPr="00896B2E">
        <w:rPr>
          <w:rFonts w:cstheme="minorHAnsi"/>
          <w:shd w:val="clear" w:color="auto" w:fill="FFFFFF"/>
        </w:rPr>
        <w:t xml:space="preserve">Lenzen </w:t>
      </w:r>
      <w:r w:rsidRPr="003D50A7">
        <w:rPr>
          <w:rFonts w:cstheme="minorHAnsi"/>
          <w:i/>
          <w:shd w:val="clear" w:color="auto" w:fill="FFFFFF"/>
        </w:rPr>
        <w:t>et al.</w:t>
      </w:r>
      <w:r w:rsidRPr="00896B2E">
        <w:rPr>
          <w:rFonts w:cstheme="minorHAnsi"/>
          <w:shd w:val="clear" w:color="auto" w:fill="FFFFFF"/>
        </w:rPr>
        <w:t xml:space="preserve"> (2012) provides a table containing the lifetimes of different commercially manufactured MWTs in different parts of the world ranging from 20-30 years</w:t>
      </w:r>
      <w:r w:rsidR="00896B2E">
        <w:rPr>
          <w:rFonts w:cstheme="minorHAnsi"/>
          <w:shd w:val="clear" w:color="auto" w:fill="FFFFFF"/>
        </w:rPr>
        <w:t>.</w:t>
      </w:r>
    </w:p>
    <w:p w14:paraId="048ADB38" w14:textId="0F913193" w:rsidR="00463CE2" w:rsidRPr="002F6AD9" w:rsidRDefault="002D5C14" w:rsidP="002F6AD9">
      <w:pPr>
        <w:rPr>
          <w:rFonts w:cs="Times New Roman"/>
          <w:highlight w:val="yellow"/>
        </w:rPr>
      </w:pPr>
      <w:r w:rsidRPr="00587538">
        <w:rPr>
          <w:rFonts w:cs="Times New Roman"/>
        </w:rPr>
        <w:t xml:space="preserve">The model’s analysis of the climate impacts of adoption are primarily derived from the direct emissions factor associated with the replacement of conventional generating technologies with </w:t>
      </w:r>
      <w:r w:rsidR="00587538" w:rsidRPr="00587538">
        <w:rPr>
          <w:rFonts w:cs="Times New Roman"/>
        </w:rPr>
        <w:t>micro wind</w:t>
      </w:r>
      <w:r w:rsidRPr="00587538">
        <w:rPr>
          <w:rFonts w:cs="Times New Roman"/>
        </w:rPr>
        <w:t xml:space="preserve">. This methodology is explained in greater detail </w:t>
      </w:r>
      <w:r w:rsidR="00936B09" w:rsidRPr="00587538">
        <w:rPr>
          <w:rFonts w:cs="Times New Roman"/>
        </w:rPr>
        <w:t>in</w:t>
      </w:r>
      <w:r w:rsidR="004B4939" w:rsidRPr="00587538">
        <w:rPr>
          <w:rFonts w:cs="Times New Roman"/>
        </w:rPr>
        <w:t xml:space="preserve"> Drawdown RRS model framework and guidelines. </w:t>
      </w:r>
      <w:r w:rsidRPr="00587538">
        <w:rPr>
          <w:rFonts w:cs="Times New Roman"/>
        </w:rPr>
        <w:t xml:space="preserve">In order to account for indirect emissions from </w:t>
      </w:r>
      <w:r w:rsidR="007546C9" w:rsidRPr="00587538">
        <w:rPr>
          <w:rFonts w:cs="Times New Roman"/>
        </w:rPr>
        <w:t>conventional</w:t>
      </w:r>
      <w:r w:rsidR="00592C39" w:rsidRPr="00587538">
        <w:rPr>
          <w:rFonts w:cs="Times New Roman"/>
        </w:rPr>
        <w:t xml:space="preserve"> </w:t>
      </w:r>
      <w:r w:rsidR="007546C9" w:rsidRPr="00587538">
        <w:rPr>
          <w:rFonts w:cs="Times New Roman"/>
        </w:rPr>
        <w:t>technologies</w:t>
      </w:r>
      <w:r w:rsidR="00592C39" w:rsidRPr="00587538">
        <w:rPr>
          <w:rFonts w:cs="Times New Roman"/>
        </w:rPr>
        <w:t xml:space="preserve"> and </w:t>
      </w:r>
      <w:r w:rsidR="00587538" w:rsidRPr="00587538">
        <w:rPr>
          <w:rFonts w:cs="Times New Roman"/>
        </w:rPr>
        <w:t>MWT</w:t>
      </w:r>
      <w:r w:rsidR="00C16CC1" w:rsidRPr="00587538">
        <w:rPr>
          <w:rFonts w:cs="Times New Roman"/>
        </w:rPr>
        <w:t xml:space="preserve"> systems</w:t>
      </w:r>
      <w:r w:rsidRPr="00587538">
        <w:rPr>
          <w:rFonts w:cs="Times New Roman"/>
        </w:rPr>
        <w:t>—primarily those lifecycle emissions associated with manufacturing, transporting, installing and other non-generation activities—</w:t>
      </w:r>
      <w:r w:rsidR="00592C39" w:rsidRPr="00587538">
        <w:rPr>
          <w:rFonts w:cs="Times New Roman"/>
        </w:rPr>
        <w:t xml:space="preserve">it were </w:t>
      </w:r>
      <w:r w:rsidRPr="00587538">
        <w:rPr>
          <w:rFonts w:cs="Times New Roman"/>
        </w:rPr>
        <w:t xml:space="preserve">analyzed a range of peer-reviewed lifecycle analysis (LCA) studies for different types of </w:t>
      </w:r>
      <w:r w:rsidR="00587538" w:rsidRPr="00587538">
        <w:rPr>
          <w:rFonts w:cs="Times New Roman"/>
        </w:rPr>
        <w:t>MWT</w:t>
      </w:r>
      <w:r w:rsidRPr="00587538">
        <w:rPr>
          <w:rFonts w:cs="Times New Roman"/>
        </w:rPr>
        <w:t xml:space="preserve"> technologies available in the market. The analysis draws from </w:t>
      </w:r>
      <w:r w:rsidR="00587538" w:rsidRPr="00587538">
        <w:rPr>
          <w:rFonts w:cs="Times New Roman"/>
        </w:rPr>
        <w:t xml:space="preserve">information reported in e.g. NTEL (2013), Masanet </w:t>
      </w:r>
      <w:r w:rsidR="00587538" w:rsidRPr="003D50A7">
        <w:rPr>
          <w:rFonts w:cs="Times New Roman"/>
          <w:i/>
        </w:rPr>
        <w:t>et al.</w:t>
      </w:r>
      <w:r w:rsidR="00587538" w:rsidRPr="00587538">
        <w:rPr>
          <w:rFonts w:cs="Times New Roman"/>
        </w:rPr>
        <w:t xml:space="preserve"> (2013); Nugent and Sova</w:t>
      </w:r>
      <w:r w:rsidR="00587538">
        <w:rPr>
          <w:rFonts w:cs="Times New Roman"/>
        </w:rPr>
        <w:t>coo</w:t>
      </w:r>
      <w:r w:rsidR="00587538" w:rsidRPr="00587538">
        <w:rPr>
          <w:rFonts w:cs="Times New Roman"/>
        </w:rPr>
        <w:t xml:space="preserve">l (2014) and Gusano (2016). For example, </w:t>
      </w:r>
      <w:r w:rsidR="00587538" w:rsidRPr="00587538">
        <w:rPr>
          <w:rFonts w:cstheme="minorHAnsi"/>
          <w:bCs/>
        </w:rPr>
        <w:t>Nugent and Sovaccol (2014) state that MWT carbon emissions range from 17.8 g C</w:t>
      </w:r>
      <w:r w:rsidR="002C20C8">
        <w:rPr>
          <w:rFonts w:cstheme="minorHAnsi"/>
          <w:bCs/>
        </w:rPr>
        <w:t>O</w:t>
      </w:r>
      <w:r w:rsidR="00587538" w:rsidRPr="00587538">
        <w:rPr>
          <w:rFonts w:cstheme="minorHAnsi"/>
          <w:bCs/>
          <w:vertAlign w:val="subscript"/>
        </w:rPr>
        <w:t>2</w:t>
      </w:r>
      <w:r w:rsidR="00587538" w:rsidRPr="00587538">
        <w:rPr>
          <w:rFonts w:cstheme="minorHAnsi"/>
          <w:bCs/>
        </w:rPr>
        <w:t>eq/k</w:t>
      </w:r>
      <w:r w:rsidR="002C20C8">
        <w:rPr>
          <w:rFonts w:cstheme="minorHAnsi"/>
          <w:bCs/>
        </w:rPr>
        <w:t>Wh</w:t>
      </w:r>
      <w:r w:rsidR="00587538" w:rsidRPr="00587538">
        <w:rPr>
          <w:rFonts w:cstheme="minorHAnsi"/>
          <w:bCs/>
        </w:rPr>
        <w:t xml:space="preserve"> to 364 g CO</w:t>
      </w:r>
      <w:r w:rsidR="00587538" w:rsidRPr="00587538">
        <w:rPr>
          <w:rFonts w:cstheme="minorHAnsi"/>
          <w:bCs/>
          <w:vertAlign w:val="subscript"/>
        </w:rPr>
        <w:t>2</w:t>
      </w:r>
      <w:r w:rsidR="00587538" w:rsidRPr="00587538">
        <w:rPr>
          <w:rFonts w:cstheme="minorHAnsi"/>
          <w:bCs/>
        </w:rPr>
        <w:t>eq/kW</w:t>
      </w:r>
      <w:r w:rsidR="002C20C8">
        <w:rPr>
          <w:rFonts w:cstheme="minorHAnsi"/>
          <w:bCs/>
        </w:rPr>
        <w:t>h</w:t>
      </w:r>
      <w:r w:rsidR="00587538" w:rsidRPr="00587538">
        <w:rPr>
          <w:rFonts w:cstheme="minorHAnsi"/>
          <w:bCs/>
        </w:rPr>
        <w:t xml:space="preserve"> (depending on the type of system installed). </w:t>
      </w:r>
      <w:r w:rsidR="00587538" w:rsidRPr="002F6AD9">
        <w:rPr>
          <w:rFonts w:cstheme="minorHAnsi"/>
          <w:bCs/>
        </w:rPr>
        <w:t>Because the technology is so young and with low maturity levels, MWT improvements are difficult to accurately assess</w:t>
      </w:r>
      <w:r w:rsidR="002C20C8">
        <w:rPr>
          <w:rFonts w:cstheme="minorHAnsi"/>
          <w:bCs/>
        </w:rPr>
        <w:t>, so l</w:t>
      </w:r>
      <w:r w:rsidR="00587538" w:rsidRPr="002F6AD9">
        <w:rPr>
          <w:rFonts w:cstheme="minorHAnsi"/>
          <w:bCs/>
        </w:rPr>
        <w:t xml:space="preserve">earning rate data sources followed the ones used in the wind onshore solution (e.g. Rubin </w:t>
      </w:r>
      <w:r w:rsidR="00587538" w:rsidRPr="003D50A7">
        <w:rPr>
          <w:rFonts w:cstheme="minorHAnsi"/>
          <w:bCs/>
          <w:i/>
        </w:rPr>
        <w:t>et al.</w:t>
      </w:r>
      <w:r w:rsidR="00562C0F">
        <w:rPr>
          <w:rFonts w:cstheme="minorHAnsi"/>
          <w:bCs/>
        </w:rPr>
        <w:t xml:space="preserve">, </w:t>
      </w:r>
      <w:r w:rsidR="00587538" w:rsidRPr="002F6AD9">
        <w:rPr>
          <w:rFonts w:cstheme="minorHAnsi"/>
          <w:bCs/>
        </w:rPr>
        <w:t>2015</w:t>
      </w:r>
      <w:r w:rsidR="00562C0F">
        <w:rPr>
          <w:rFonts w:cstheme="minorHAnsi"/>
          <w:bCs/>
        </w:rPr>
        <w:t>;</w:t>
      </w:r>
      <w:r w:rsidR="002C20C8">
        <w:rPr>
          <w:rFonts w:cstheme="minorHAnsi"/>
          <w:bCs/>
        </w:rPr>
        <w:t xml:space="preserve"> </w:t>
      </w:r>
      <w:r w:rsidR="00587538" w:rsidRPr="002F6AD9">
        <w:rPr>
          <w:rFonts w:cstheme="minorHAnsi"/>
          <w:bCs/>
        </w:rPr>
        <w:t>Hayward and Graham</w:t>
      </w:r>
      <w:r w:rsidR="002C20C8">
        <w:rPr>
          <w:rFonts w:cstheme="minorHAnsi"/>
          <w:bCs/>
        </w:rPr>
        <w:t xml:space="preserve">; </w:t>
      </w:r>
      <w:r w:rsidR="00587538" w:rsidRPr="002F6AD9">
        <w:rPr>
          <w:rFonts w:cstheme="minorHAnsi"/>
          <w:bCs/>
        </w:rPr>
        <w:t>2013</w:t>
      </w:r>
      <w:r w:rsidR="002C20C8">
        <w:rPr>
          <w:rFonts w:cstheme="minorHAnsi"/>
          <w:bCs/>
        </w:rPr>
        <w:t xml:space="preserve">, </w:t>
      </w:r>
      <w:r w:rsidR="002C20C8" w:rsidRPr="002C20C8">
        <w:rPr>
          <w:rFonts w:cstheme="minorHAnsi"/>
          <w:bCs/>
        </w:rPr>
        <w:t>Wiser</w:t>
      </w:r>
      <w:r w:rsidR="002C20C8">
        <w:rPr>
          <w:rFonts w:cstheme="minorHAnsi"/>
          <w:bCs/>
        </w:rPr>
        <w:t xml:space="preserve">; </w:t>
      </w:r>
      <w:r w:rsidR="002C20C8" w:rsidRPr="002C20C8">
        <w:rPr>
          <w:rFonts w:cstheme="minorHAnsi"/>
          <w:bCs/>
        </w:rPr>
        <w:t>2016</w:t>
      </w:r>
      <w:r w:rsidR="002C20C8">
        <w:rPr>
          <w:rFonts w:cstheme="minorHAnsi"/>
          <w:bCs/>
        </w:rPr>
        <w:t xml:space="preserve">, </w:t>
      </w:r>
      <w:r w:rsidR="002C20C8" w:rsidRPr="002C20C8">
        <w:rPr>
          <w:rFonts w:cstheme="minorHAnsi"/>
          <w:bCs/>
        </w:rPr>
        <w:t xml:space="preserve">Tsiropoulos </w:t>
      </w:r>
      <w:r w:rsidR="002C20C8" w:rsidRPr="00562C0F">
        <w:rPr>
          <w:rFonts w:cstheme="minorHAnsi"/>
          <w:bCs/>
          <w:i/>
        </w:rPr>
        <w:t>et al</w:t>
      </w:r>
      <w:r w:rsidR="002C20C8" w:rsidRPr="002C20C8">
        <w:rPr>
          <w:rFonts w:cstheme="minorHAnsi"/>
          <w:bCs/>
        </w:rPr>
        <w:t>.</w:t>
      </w:r>
      <w:r w:rsidR="002C20C8">
        <w:rPr>
          <w:rFonts w:cstheme="minorHAnsi"/>
          <w:bCs/>
        </w:rPr>
        <w:t xml:space="preserve">; </w:t>
      </w:r>
      <w:r w:rsidR="002C20C8" w:rsidRPr="002C20C8">
        <w:rPr>
          <w:rFonts w:cstheme="minorHAnsi"/>
          <w:bCs/>
        </w:rPr>
        <w:t>2018</w:t>
      </w:r>
      <w:r w:rsidR="003D50A7">
        <w:rPr>
          <w:rFonts w:cstheme="minorHAnsi"/>
          <w:bCs/>
        </w:rPr>
        <w:t>)</w:t>
      </w:r>
      <w:r w:rsidR="00587538" w:rsidRPr="002F6AD9">
        <w:rPr>
          <w:rFonts w:cstheme="minorHAnsi"/>
          <w:bCs/>
        </w:rPr>
        <w:t>.</w:t>
      </w:r>
    </w:p>
    <w:p w14:paraId="3F6B79A0" w14:textId="3618F511" w:rsidR="00DF4904" w:rsidRPr="00E069AC" w:rsidRDefault="00E069AC" w:rsidP="000E4DBE">
      <w:pPr>
        <w:pStyle w:val="Heading2"/>
        <w:numPr>
          <w:ilvl w:val="1"/>
          <w:numId w:val="24"/>
        </w:numPr>
      </w:pPr>
      <w:bookmarkStart w:id="24" w:name="_Toc23613452"/>
      <w:r>
        <w:t>Total Addressable Market</w:t>
      </w:r>
      <w:bookmarkEnd w:id="24"/>
    </w:p>
    <w:p w14:paraId="080C9971" w14:textId="77777777" w:rsidR="0065586D" w:rsidRPr="0065586D" w:rsidRDefault="0065586D" w:rsidP="0065586D">
      <w:pPr>
        <w:rPr>
          <w:rFonts w:cs="Times New Roman"/>
        </w:rPr>
      </w:pPr>
      <w:r w:rsidRPr="0065586D">
        <w:rPr>
          <w:rFonts w:cs="Times New Roman"/>
        </w:rPr>
        <w:t>Solutions assessed in the Electricity Generation Sector share a common market for future adoption defined by the total terawatt-hours (TWh) of generation demanded from 2015-2060. This shared total addressable market (TAM) is used to bound this sector technologies rollout over time. The TAM is determined based on the assessment of  estimations of current and future electricity generation from a combination of models and scenarios from different sources, including 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the methodology used to develop the electricity TAM. The updated 2019 study follows the same methodological approach with the inclusion of newer sources.</w:t>
      </w:r>
    </w:p>
    <w:p w14:paraId="66673C78" w14:textId="77777777" w:rsidR="0065586D" w:rsidRPr="0065586D" w:rsidRDefault="0065586D" w:rsidP="0065586D">
      <w:pPr>
        <w:rPr>
          <w:rFonts w:cs="Times New Roman"/>
        </w:rPr>
      </w:pPr>
      <w:r w:rsidRPr="0065586D">
        <w:rPr>
          <w:rFonts w:cs="Times New Roman"/>
        </w:rPr>
        <w:t xml:space="preserve">Four prognostications of the TAM for this assessment were derived by using comparable scenarios from each of the above-mentioned sources which were categorized by expected climate mitigation scenarios (i.e. Ambitious, Conservative, and Baseline) and the scale of deployment of renewable energy sources (RES) (i.e. 100% RES scenarios). The sources used mostly provide results at a decadal level, which were interpolated to provide annual values for Project Drawdown calculations. </w:t>
      </w:r>
    </w:p>
    <w:p w14:paraId="2187BF2E" w14:textId="77777777" w:rsidR="0065586D" w:rsidRPr="0065586D" w:rsidRDefault="0065586D" w:rsidP="0065586D">
      <w:pPr>
        <w:rPr>
          <w:rFonts w:cs="Times New Roman"/>
        </w:rPr>
      </w:pPr>
      <w:r w:rsidRPr="0065586D">
        <w:rPr>
          <w:rFonts w:cs="Times New Roman"/>
        </w:rPr>
        <w:t xml:space="preserve">The </w:t>
      </w:r>
      <w:r w:rsidRPr="0065586D">
        <w:rPr>
          <w:rFonts w:cs="Times New Roman"/>
          <w:u w:val="single"/>
        </w:rPr>
        <w:t>Ambitious Project Drawdown TAM Scenario</w:t>
      </w:r>
      <w:r w:rsidRPr="0065586D">
        <w:rPr>
          <w:rFonts w:cs="Times New Roman"/>
        </w:rPr>
        <w:t xml:space="preserve"> is constructed from the average of yearly values of four scenarios: the IEA (2017) 2D Scenario, the IEA (2017) B2D scenario, Renewal Scenario from Equinor (2018), and IEA (2018) WEO SD scenario. The </w:t>
      </w:r>
      <w:r w:rsidRPr="0065586D">
        <w:rPr>
          <w:rFonts w:cs="Times New Roman"/>
          <w:u w:val="single"/>
        </w:rPr>
        <w:t>Conservative Project Drawdown TAM Scenario</w:t>
      </w:r>
      <w:r w:rsidRPr="0065586D">
        <w:rPr>
          <w:rFonts w:cs="Times New Roman"/>
        </w:rPr>
        <w:t xml:space="preserve"> follows the average yearly values of the IEA (2018) WEO New Policy scenario (NPS); Reform Scenario from Equinor. (2018), IEEJ Outlook (2018) Advanced Tech scenario, and IRENA (2019b) Roadmap 2050 REmap case. The </w:t>
      </w:r>
      <w:r w:rsidRPr="0065586D">
        <w:rPr>
          <w:rFonts w:cs="Times New Roman"/>
          <w:u w:val="single"/>
        </w:rPr>
        <w:t xml:space="preserve">Baseline Project Drawdown TAM Scenario </w:t>
      </w:r>
      <w:r w:rsidRPr="0065586D">
        <w:rPr>
          <w:rFonts w:cs="Times New Roman"/>
        </w:rPr>
        <w:t xml:space="preserve">is built by the average of the Equinor (2018) Rivalry Scenario, IEEJ Outlook (2018) Reference Scenario, IEA (2017) Reference Case and IEA (2018) WEO Current polices Scenario (CPS). These three </w:t>
      </w:r>
      <w:r w:rsidRPr="0065586D">
        <w:rPr>
          <w:rFonts w:cs="Times New Roman"/>
          <w:u w:val="single"/>
        </w:rPr>
        <w:t xml:space="preserve">Project Drawdown </w:t>
      </w:r>
      <w:r w:rsidRPr="0065586D">
        <w:rPr>
          <w:rFonts w:cs="Times New Roman"/>
        </w:rPr>
        <w:t>TAM scenarios show an estimated range of electricity generation from 45,286TWh to 49,706TWh by 2050. Baseline TAM is used for PD Plausible scenario assessment.</w:t>
      </w:r>
    </w:p>
    <w:p w14:paraId="2F6FC2E6" w14:textId="6D2D1D59" w:rsidR="0065586D" w:rsidRPr="0065586D" w:rsidRDefault="0065586D" w:rsidP="0065586D">
      <w:pPr>
        <w:rPr>
          <w:rFonts w:cs="Times New Roman"/>
        </w:rPr>
      </w:pPr>
      <w:r w:rsidRPr="0065586D">
        <w:rPr>
          <w:rFonts w:cs="Times New Roman"/>
        </w:rPr>
        <w:t>An ambitious TAM scenario for a 100% RES by 2050, which is aligned to project Drawdown Optimum and Drawdown scenarios, utilizes the Greenpeace (2015) Advanced [R]evolution Scenario, Ram et al (2019) analysis and Ecofys (2018) 1.5ºC degree scenario were considered. The estimated electricity generation for this TAM reaches 70,942 TWh by 2050.</w:t>
      </w:r>
    </w:p>
    <w:p w14:paraId="4303D5C0" w14:textId="1A5E2535" w:rsidR="00B144E5" w:rsidRPr="00E069AC" w:rsidRDefault="00E069AC" w:rsidP="000E4DBE">
      <w:pPr>
        <w:pStyle w:val="Heading2"/>
        <w:numPr>
          <w:ilvl w:val="1"/>
          <w:numId w:val="24"/>
        </w:numPr>
      </w:pPr>
      <w:bookmarkStart w:id="25" w:name="_Toc23613453"/>
      <w:r>
        <w:t>Adoption Scenarios</w:t>
      </w:r>
      <w:bookmarkEnd w:id="25"/>
    </w:p>
    <w:p w14:paraId="0EA56B74" w14:textId="4219B166" w:rsidR="002C20C8" w:rsidRPr="002C20C8" w:rsidRDefault="000875B5" w:rsidP="00587538">
      <w:pPr>
        <w:rPr>
          <w:rFonts w:cs="Times New Roman"/>
        </w:rPr>
      </w:pPr>
      <w:r w:rsidRPr="00587538">
        <w:rPr>
          <w:rFonts w:cs="Times New Roman"/>
        </w:rPr>
        <w:t>Because</w:t>
      </w:r>
      <w:r w:rsidR="00B4272B">
        <w:rPr>
          <w:rFonts w:cs="Times New Roman"/>
        </w:rPr>
        <w:t xml:space="preserve"> MWT</w:t>
      </w:r>
      <w:r w:rsidR="00587538" w:rsidRPr="00587538">
        <w:rPr>
          <w:rFonts w:cs="Times New Roman"/>
        </w:rPr>
        <w:t xml:space="preserve"> </w:t>
      </w:r>
      <w:r w:rsidR="00B4272B" w:rsidRPr="002C20C8">
        <w:rPr>
          <w:rFonts w:cs="Times New Roman"/>
        </w:rPr>
        <w:t xml:space="preserve">solution </w:t>
      </w:r>
      <w:r w:rsidR="00587538" w:rsidRPr="002C20C8">
        <w:rPr>
          <w:rFonts w:cs="Times New Roman"/>
        </w:rPr>
        <w:t xml:space="preserve">has low levels of electricity generation worldwide, future projections over the next 30 years might encompass </w:t>
      </w:r>
      <w:r w:rsidRPr="002C20C8">
        <w:rPr>
          <w:rFonts w:cs="Times New Roman"/>
        </w:rPr>
        <w:t xml:space="preserve">significant </w:t>
      </w:r>
      <w:r w:rsidR="00587538" w:rsidRPr="002C20C8">
        <w:rPr>
          <w:rFonts w:cs="Times New Roman"/>
        </w:rPr>
        <w:t xml:space="preserve">challenges and assumptions. </w:t>
      </w:r>
      <w:bookmarkStart w:id="26" w:name="_Hlk525033174"/>
      <w:r w:rsidR="00B4272B" w:rsidRPr="002C20C8">
        <w:rPr>
          <w:rFonts w:cs="Times New Roman"/>
        </w:rPr>
        <w:t xml:space="preserve">Also, limited availability of adoption data means high degree of uncertainties in future adoption trajectories. </w:t>
      </w:r>
      <w:r w:rsidR="002C20C8" w:rsidRPr="002C20C8">
        <w:rPr>
          <w:rFonts w:cs="Times New Roman"/>
        </w:rPr>
        <w:t xml:space="preserve">Alternative adoption scenarios included in the RRS model are based on two approaches: (i) the future projections of utility scale onshore wind applying the current share of micro wind to model several alternative adoptions; (ii) future adoption trajectories that follow the cumulative annual growth rate (CAGR) for low, medium, and high scenarios determined from the historical adoptions of MWT. </w:t>
      </w:r>
    </w:p>
    <w:p w14:paraId="04C20E8D" w14:textId="2C3BD69F" w:rsidR="000875B5" w:rsidRPr="00587538" w:rsidRDefault="00D2050B" w:rsidP="00587538">
      <w:pPr>
        <w:rPr>
          <w:rFonts w:cs="Times New Roman"/>
          <w:bCs/>
        </w:rPr>
      </w:pPr>
      <w:r w:rsidRPr="002C20C8">
        <w:rPr>
          <w:rFonts w:cs="Times New Roman"/>
        </w:rPr>
        <w:t>Two different types of adoption scenarios were developed: a Reference (REF) Case which was considered the baseline, where not much changes in the world, and a set of Project Drawdown Scenarios (PDS) with varying levels of ambitious adoption of</w:t>
      </w:r>
      <w:r w:rsidRPr="00E069AC">
        <w:rPr>
          <w:rFonts w:cs="Times New Roman"/>
        </w:rPr>
        <w:t xml:space="preserve"> the solution. Published results show the comparison of one PDS to the REF, and therefore focus on the change to the world relative to a baseline.</w:t>
      </w:r>
      <w:bookmarkEnd w:id="26"/>
    </w:p>
    <w:p w14:paraId="5BB095A5" w14:textId="427468CA" w:rsidR="000875B5" w:rsidRPr="00E069AC" w:rsidRDefault="000875B5" w:rsidP="006F6CC3">
      <w:pPr>
        <w:pStyle w:val="Heading3"/>
        <w:numPr>
          <w:ilvl w:val="2"/>
          <w:numId w:val="45"/>
        </w:numPr>
      </w:pPr>
      <w:bookmarkStart w:id="27" w:name="_Toc23613454"/>
      <w:r w:rsidRPr="00E069AC">
        <w:t>Reference Case / Current Adoption</w:t>
      </w:r>
      <w:bookmarkEnd w:id="27"/>
    </w:p>
    <w:p w14:paraId="2069C724" w14:textId="7F971AAB" w:rsidR="000875B5" w:rsidRPr="00E069AC" w:rsidRDefault="008E6B1D" w:rsidP="00EB247F">
      <w:pPr>
        <w:rPr>
          <w:rFonts w:cs="Times New Roman"/>
        </w:rPr>
      </w:pPr>
      <w:r w:rsidRPr="00E069AC">
        <w:rPr>
          <w:rFonts w:cs="Times New Roman"/>
        </w:rPr>
        <w:t xml:space="preserve">For the </w:t>
      </w:r>
      <w:r w:rsidRPr="00E069AC">
        <w:rPr>
          <w:rFonts w:cs="Times New Roman"/>
          <w:bCs/>
        </w:rPr>
        <w:t xml:space="preserve">Reference (REF), </w:t>
      </w:r>
      <w:r w:rsidRPr="00E069AC">
        <w:rPr>
          <w:rFonts w:cs="Times New Roman"/>
        </w:rPr>
        <w:t>adoption is fixed at the current adoption</w:t>
      </w:r>
      <w:r w:rsidRPr="00E069AC">
        <w:rPr>
          <w:rStyle w:val="FootnoteReference"/>
          <w:rFonts w:cs="Times New Roman"/>
        </w:rPr>
        <w:footnoteReference w:id="3"/>
      </w:r>
      <w:r w:rsidRPr="00E069AC">
        <w:rPr>
          <w:rFonts w:cs="Times New Roman"/>
        </w:rPr>
        <w:t xml:space="preserve"> (in percent) of the market. That is, the current percent</w:t>
      </w:r>
      <w:r w:rsidR="00F4258D">
        <w:rPr>
          <w:rFonts w:cs="Times New Roman"/>
        </w:rPr>
        <w:t>age</w:t>
      </w:r>
      <w:r w:rsidRPr="00E069AC">
        <w:rPr>
          <w:rFonts w:cs="Times New Roman"/>
        </w:rPr>
        <w:t xml:space="preserve"> of total electricity generation (TWh) </w:t>
      </w:r>
      <w:r w:rsidR="00BE1F3F">
        <w:rPr>
          <w:rFonts w:cs="Times New Roman"/>
        </w:rPr>
        <w:t>estimated to result from</w:t>
      </w:r>
      <w:r w:rsidRPr="00E069AC">
        <w:rPr>
          <w:rFonts w:cs="Times New Roman"/>
        </w:rPr>
        <w:t xml:space="preserve"> </w:t>
      </w:r>
      <w:r w:rsidR="00BE1F3F">
        <w:rPr>
          <w:rFonts w:cs="Times New Roman"/>
        </w:rPr>
        <w:t>micro wind turbines</w:t>
      </w:r>
      <w:r w:rsidRPr="00E069AC">
        <w:rPr>
          <w:rFonts w:cs="Times New Roman"/>
        </w:rPr>
        <w:t xml:space="preserve"> constant throughout the study period to 2050. As the market grows, the total number of </w:t>
      </w:r>
      <w:r w:rsidR="00BE1F3F">
        <w:rPr>
          <w:rFonts w:cs="Times New Roman"/>
        </w:rPr>
        <w:t>micro wind</w:t>
      </w:r>
      <w:r w:rsidR="00C652C4">
        <w:rPr>
          <w:rFonts w:cs="Times New Roman"/>
        </w:rPr>
        <w:t xml:space="preserve"> systems </w:t>
      </w:r>
      <w:r w:rsidRPr="00E069AC">
        <w:rPr>
          <w:rFonts w:cs="Times New Roman"/>
        </w:rPr>
        <w:t xml:space="preserve"> adopted grows equally to maintain the percent adoption at its </w:t>
      </w:r>
      <w:r w:rsidR="00BE1F3F">
        <w:rPr>
          <w:rFonts w:cs="Times New Roman"/>
        </w:rPr>
        <w:t xml:space="preserve"> current</w:t>
      </w:r>
      <w:r w:rsidR="00BE1F3F" w:rsidRPr="00E069AC">
        <w:rPr>
          <w:rFonts w:cs="Times New Roman"/>
        </w:rPr>
        <w:t xml:space="preserve"> value</w:t>
      </w:r>
      <w:r w:rsidRPr="00E069AC">
        <w:rPr>
          <w:rFonts w:cs="Times New Roman"/>
        </w:rPr>
        <w:t xml:space="preserve"> in 201</w:t>
      </w:r>
      <w:r w:rsidR="00BE1F3F">
        <w:rPr>
          <w:rFonts w:cs="Times New Roman"/>
        </w:rPr>
        <w:t>8</w:t>
      </w:r>
      <w:r w:rsidRPr="00E069AC">
        <w:rPr>
          <w:rFonts w:cs="Times New Roman"/>
        </w:rPr>
        <w:t>. It is acknowledged that this, in reality, may not be a “business as usual” considering changes taking place worldwide, but it allows measurement of the impact of recent and even more aggressive policies on greenhouse gas emissions.</w:t>
      </w:r>
    </w:p>
    <w:p w14:paraId="2FE0BC9D" w14:textId="0C93F1B7" w:rsidR="000875B5" w:rsidRPr="00E069AC" w:rsidRDefault="00D2050B" w:rsidP="006F6CC3">
      <w:pPr>
        <w:pStyle w:val="Heading3"/>
        <w:numPr>
          <w:ilvl w:val="2"/>
          <w:numId w:val="45"/>
        </w:numPr>
      </w:pPr>
      <w:bookmarkStart w:id="28" w:name="_Toc23613455"/>
      <w:r w:rsidRPr="00E069AC">
        <w:t>Project Drawdown</w:t>
      </w:r>
      <w:r w:rsidR="000875B5" w:rsidRPr="00E069AC">
        <w:t xml:space="preserve"> Scenarios</w:t>
      </w:r>
      <w:bookmarkEnd w:id="28"/>
    </w:p>
    <w:p w14:paraId="006DA369" w14:textId="218DD299"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were developed for each solution, to compare the impact of an increase</w:t>
      </w:r>
      <w:r w:rsidR="00AC493E" w:rsidRPr="00E069AC">
        <w:rPr>
          <w:rFonts w:cs="Times New Roman"/>
        </w:rPr>
        <w:t>d</w:t>
      </w:r>
      <w:r w:rsidR="005A6986" w:rsidRPr="00E069AC">
        <w:rPr>
          <w:rFonts w:cs="Times New Roman"/>
        </w:rPr>
        <w:t xml:space="preserve"> adoption of the solution to a reference case scenario</w:t>
      </w:r>
      <w:r w:rsidR="008E6B1D" w:rsidRPr="00E069AC">
        <w:rPr>
          <w:rFonts w:cs="Times New Roman"/>
        </w:rPr>
        <w:t>, being:</w:t>
      </w:r>
    </w:p>
    <w:p w14:paraId="7481C662" w14:textId="77777777" w:rsidR="00AC493E" w:rsidRPr="00E069AC" w:rsidRDefault="00AC493E" w:rsidP="004B4939">
      <w:pPr>
        <w:pStyle w:val="Heading4"/>
      </w:pPr>
      <w:bookmarkStart w:id="29" w:name="_Toc507486009"/>
      <w:r w:rsidRPr="00E069AC">
        <w:t>Plausible Scenario</w:t>
      </w:r>
      <w:bookmarkEnd w:id="29"/>
    </w:p>
    <w:p w14:paraId="5321F1EC" w14:textId="31FC397C" w:rsidR="005251A9" w:rsidRPr="007053AD" w:rsidRDefault="007053AD" w:rsidP="007053AD">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t xml:space="preserve">micro wind turbines, </w:t>
      </w:r>
      <w:r w:rsidRPr="00A142FC">
        <w:t xml:space="preserve">this scenario is based on the evaluation of yearly averages of </w:t>
      </w:r>
      <w:r>
        <w:t>four</w:t>
      </w:r>
      <w:r w:rsidRPr="00A142FC">
        <w:t xml:space="preserve"> </w:t>
      </w:r>
      <w:r w:rsidR="00240C0E">
        <w:t>ambitious</w:t>
      </w:r>
      <w:r w:rsidRPr="00A142FC">
        <w:t xml:space="preserve"> scenarios: IEA (2017) Energy Technology Perspectives 2DS and B2DS scenarios; IEA (2018) World Energy Outlook SDS;</w:t>
      </w:r>
      <w:r>
        <w:t xml:space="preserve"> and Grantham Institute and Carbon Tracker (2017) Strong climate mitigation policies with Lower costs for solar PV and EV scenario</w:t>
      </w:r>
      <w:r w:rsidRPr="00A142FC">
        <w:t xml:space="preserve"> using a </w:t>
      </w:r>
      <w:r>
        <w:t>medium</w:t>
      </w:r>
      <w:r w:rsidRPr="00A142FC">
        <w:t xml:space="preserve"> growth trajectory.</w:t>
      </w:r>
      <w:r w:rsidR="00B87C21">
        <w:t xml:space="preserve"> </w:t>
      </w:r>
      <w:r w:rsidR="00B87C21" w:rsidRPr="005972FB">
        <w:rPr>
          <w:rFonts w:asciiTheme="minorHAnsi" w:hAnsiTheme="minorHAnsi" w:cstheme="minorHAnsi"/>
          <w:i/>
        </w:rPr>
        <w:t>M</w:t>
      </w:r>
      <w:r w:rsidR="00B87C21" w:rsidRPr="005972FB">
        <w:rPr>
          <w:rFonts w:asciiTheme="minorHAnsi" w:hAnsiTheme="minorHAnsi" w:cstheme="minorHAnsi"/>
          <w:bCs/>
          <w:i/>
        </w:rPr>
        <w:t>icro wind’s</w:t>
      </w:r>
      <w:r w:rsidR="00B87C21" w:rsidRPr="005972FB">
        <w:rPr>
          <w:rFonts w:asciiTheme="minorHAnsi" w:hAnsiTheme="minorHAnsi" w:cstheme="minorHAnsi"/>
          <w:bCs/>
        </w:rPr>
        <w:t xml:space="preserve"> current share (0.22 percent) of total onshore wind is assumed to grow in parallel, capturing 0.04 percent of the market share in 2050.</w:t>
      </w:r>
    </w:p>
    <w:p w14:paraId="0A63923E" w14:textId="77777777" w:rsidR="00AC493E" w:rsidRPr="00E069AC" w:rsidRDefault="00AC493E" w:rsidP="004B4939">
      <w:pPr>
        <w:pStyle w:val="Heading4"/>
      </w:pPr>
      <w:bookmarkStart w:id="30" w:name="_Toc507486010"/>
      <w:r w:rsidRPr="00E069AC">
        <w:t>Drawdown Scenario</w:t>
      </w:r>
      <w:bookmarkEnd w:id="30"/>
    </w:p>
    <w:p w14:paraId="7E898044" w14:textId="2F5D023A" w:rsidR="007546C9" w:rsidRPr="007053AD" w:rsidRDefault="007053AD" w:rsidP="00EB247F">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t>micro wind turbines,</w:t>
      </w:r>
      <w:r w:rsidRPr="00A142FC">
        <w:t xml:space="preserve"> this scenario is based </w:t>
      </w:r>
      <w:r>
        <w:t>on the same adoption scenarios as the Plausible scenario, with an</w:t>
      </w:r>
      <w:r w:rsidRPr="00A142FC">
        <w:t xml:space="preserve"> evaluation of yearly averages of </w:t>
      </w:r>
      <w:r>
        <w:t>four</w:t>
      </w:r>
      <w:r w:rsidRPr="00A142FC">
        <w:t xml:space="preserve"> optimistic scenarios: IEA (2017) Energy Technology Perspectives 2DS and B2DS scenarios; IEA (2018) World Energy Outlook SDS;</w:t>
      </w:r>
      <w:r>
        <w:t xml:space="preserve"> and Grantham Institute and Carbon Tracker (2017) Strong. climate mitigation policies with Lower costs for solar PV and EV scenario</w:t>
      </w:r>
      <w:r w:rsidRPr="00A142FC">
        <w:t xml:space="preserve"> using a </w:t>
      </w:r>
      <w:r>
        <w:t>high</w:t>
      </w:r>
      <w:r w:rsidRPr="00A142FC">
        <w:t xml:space="preserve"> growth trajectory.</w:t>
      </w:r>
    </w:p>
    <w:p w14:paraId="7A77F5DD" w14:textId="7A220592" w:rsidR="00AC493E" w:rsidRDefault="00AC493E" w:rsidP="004B4939">
      <w:pPr>
        <w:pStyle w:val="Heading4"/>
      </w:pPr>
      <w:bookmarkStart w:id="31" w:name="_Toc507486011"/>
      <w:r w:rsidRPr="005427B3">
        <w:t>Optimum Scenario</w:t>
      </w:r>
      <w:bookmarkEnd w:id="31"/>
    </w:p>
    <w:p w14:paraId="6274FB7E" w14:textId="10AC8682" w:rsidR="007053AD" w:rsidRPr="007053AD" w:rsidRDefault="007053AD" w:rsidP="007053AD">
      <w:r w:rsidRPr="00280BF9">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w:t>
      </w:r>
      <w:r w:rsidR="00BE1F3F">
        <w:t>T</w:t>
      </w:r>
      <w:r w:rsidRPr="00280BF9">
        <w:t xml:space="preserve">his scenario for </w:t>
      </w:r>
      <w:r>
        <w:t>micro wind turbines</w:t>
      </w:r>
      <w:r w:rsidRPr="00280BF9">
        <w:t xml:space="preserve"> is based on </w:t>
      </w:r>
      <w:r>
        <w:rPr>
          <w:rFonts w:cs="Times New Roman"/>
        </w:rPr>
        <w:t xml:space="preserve">the </w:t>
      </w:r>
      <w:r w:rsidRPr="00280BF9">
        <w:rPr>
          <w:rFonts w:cs="Times New Roman"/>
        </w:rPr>
        <w:t>100% RES scenarios of electricity generation by 2050</w:t>
      </w:r>
      <w:r>
        <w:rPr>
          <w:rFonts w:cs="Times New Roman"/>
        </w:rPr>
        <w:t xml:space="preserve"> of </w:t>
      </w:r>
      <w:r w:rsidRPr="00280BF9">
        <w:rPr>
          <w:rFonts w:cs="Times New Roman"/>
        </w:rPr>
        <w:t>Ram et al. (2019)</w:t>
      </w:r>
      <w:r>
        <w:rPr>
          <w:rFonts w:cs="Times New Roman"/>
        </w:rPr>
        <w:t>.</w:t>
      </w:r>
    </w:p>
    <w:p w14:paraId="57D56942" w14:textId="7B835CE1" w:rsidR="006F6CC3" w:rsidRPr="005427B3" w:rsidRDefault="006F6CC3" w:rsidP="006F6CC3">
      <w:pPr>
        <w:pStyle w:val="Heading2"/>
        <w:numPr>
          <w:ilvl w:val="1"/>
          <w:numId w:val="45"/>
        </w:numPr>
      </w:pPr>
      <w:bookmarkStart w:id="32" w:name="_Toc23613456"/>
      <w:r>
        <w:t>Inputs</w:t>
      </w:r>
      <w:bookmarkEnd w:id="32"/>
    </w:p>
    <w:p w14:paraId="3EBCEF57" w14:textId="3A8F7F44" w:rsidR="00FB3AB3" w:rsidRPr="005427B3" w:rsidRDefault="006F6CC3" w:rsidP="006F6CC3">
      <w:pPr>
        <w:pStyle w:val="Heading3"/>
        <w:ind w:left="360"/>
      </w:pPr>
      <w:bookmarkStart w:id="33" w:name="_Toc23613457"/>
      <w:r>
        <w:t xml:space="preserve">2.5.1 </w:t>
      </w:r>
      <w:r w:rsidR="00E069AC" w:rsidRPr="005427B3">
        <w:t>Climate Inputs</w:t>
      </w:r>
      <w:bookmarkEnd w:id="33"/>
    </w:p>
    <w:p w14:paraId="722886CD" w14:textId="39D6065D" w:rsidR="00FB3AB3" w:rsidRPr="005427B3" w:rsidRDefault="00FB3AB3" w:rsidP="00EB247F">
      <w:pPr>
        <w:rPr>
          <w:rFonts w:cs="Times New Roman"/>
        </w:rPr>
      </w:pPr>
      <w:r w:rsidRPr="005427B3">
        <w:rPr>
          <w:rFonts w:cs="Times New Roman"/>
        </w:rPr>
        <w:t>In order to calc</w:t>
      </w:r>
      <w:r w:rsidR="00AC493E" w:rsidRPr="005427B3">
        <w:rPr>
          <w:rFonts w:cs="Times New Roman"/>
        </w:rPr>
        <w:t>ulate the climate impacts of the project Drawdown</w:t>
      </w:r>
      <w:r w:rsidRPr="005427B3">
        <w:rPr>
          <w:rFonts w:cs="Times New Roman"/>
        </w:rPr>
        <w:t xml:space="preserve"> scenario</w:t>
      </w:r>
      <w:r w:rsidR="008E6B1D" w:rsidRPr="005427B3">
        <w:rPr>
          <w:rFonts w:cs="Times New Roman"/>
        </w:rPr>
        <w:t>s</w:t>
      </w:r>
      <w:r w:rsidRPr="005427B3">
        <w:rPr>
          <w:rFonts w:cs="Times New Roman"/>
        </w:rPr>
        <w:t>, in terms of maximum annual emissions reduction, total emissions re</w:t>
      </w:r>
      <w:r w:rsidR="00AC493E" w:rsidRPr="005427B3">
        <w:rPr>
          <w:rFonts w:cs="Times New Roman"/>
        </w:rPr>
        <w:t xml:space="preserve">duction, and PPM equivalent, it was </w:t>
      </w:r>
      <w:r w:rsidRPr="005427B3">
        <w:rPr>
          <w:rFonts w:cs="Times New Roman"/>
        </w:rPr>
        <w:t>estimate</w:t>
      </w:r>
      <w:r w:rsidR="00AC493E" w:rsidRPr="005427B3">
        <w:rPr>
          <w:rFonts w:cs="Times New Roman"/>
        </w:rPr>
        <w:t>d</w:t>
      </w:r>
      <w:r w:rsidRPr="005427B3">
        <w:rPr>
          <w:rFonts w:cs="Times New Roman"/>
        </w:rPr>
        <w:t xml:space="preserve"> </w:t>
      </w:r>
      <w:r w:rsidR="005427B3" w:rsidRPr="005427B3">
        <w:rPr>
          <w:rFonts w:cs="Times New Roman"/>
        </w:rPr>
        <w:t>micro wind turbines</w:t>
      </w:r>
      <w:r w:rsidRPr="005427B3">
        <w:rPr>
          <w:rFonts w:cs="Times New Roman"/>
        </w:rPr>
        <w:t xml:space="preserve"> generation globally and regionally from 2020-2050 and then calculate</w:t>
      </w:r>
      <w:r w:rsidR="00AC493E" w:rsidRPr="005427B3">
        <w:rPr>
          <w:rFonts w:cs="Times New Roman"/>
        </w:rPr>
        <w:t>d</w:t>
      </w:r>
      <w:r w:rsidRPr="005427B3">
        <w:rPr>
          <w:rFonts w:cs="Times New Roman"/>
        </w:rPr>
        <w:t xml:space="preserve"> the emissions reductions due to the replacement of conventional electricity generation sources with </w:t>
      </w:r>
      <w:r w:rsidR="008E6B1D" w:rsidRPr="005427B3">
        <w:rPr>
          <w:rFonts w:cs="Times New Roman"/>
        </w:rPr>
        <w:t>the solution. The detailed methodology of these calculations is available at</w:t>
      </w:r>
      <w:r w:rsidR="00AC493E" w:rsidRPr="005427B3">
        <w:rPr>
          <w:rFonts w:cs="Times New Roman"/>
        </w:rPr>
        <w:t xml:space="preserve"> the </w:t>
      </w:r>
      <w:r w:rsidR="004B4939" w:rsidRPr="005427B3">
        <w:rPr>
          <w:rFonts w:cs="Times New Roman"/>
        </w:rPr>
        <w:t xml:space="preserve">Project Drawdown </w:t>
      </w:r>
      <w:r w:rsidR="00AC493E" w:rsidRPr="005427B3">
        <w:rPr>
          <w:rFonts w:cs="Times New Roman"/>
        </w:rPr>
        <w:t xml:space="preserve">Integration </w:t>
      </w:r>
      <w:r w:rsidR="004B4939" w:rsidRPr="005427B3">
        <w:rPr>
          <w:rFonts w:cs="Times New Roman"/>
        </w:rPr>
        <w:t xml:space="preserve">Methodology </w:t>
      </w:r>
      <w:r w:rsidR="00AC493E" w:rsidRPr="005427B3">
        <w:rPr>
          <w:rFonts w:cs="Times New Roman"/>
        </w:rPr>
        <w:t>report.</w:t>
      </w:r>
      <w:r w:rsidR="008E6B1D" w:rsidRPr="005427B3">
        <w:rPr>
          <w:rFonts w:cs="Times New Roman"/>
        </w:rPr>
        <w:t xml:space="preserve"> </w:t>
      </w:r>
    </w:p>
    <w:p w14:paraId="4CD33458" w14:textId="2C3AF7E9" w:rsidR="00582A44" w:rsidRPr="005427B3" w:rsidRDefault="00216B08" w:rsidP="00DA012E">
      <w:pPr>
        <w:rPr>
          <w:rFonts w:cs="Times New Roman"/>
        </w:rPr>
      </w:pPr>
      <w:r w:rsidRPr="005427B3">
        <w:rPr>
          <w:rFonts w:cs="Times New Roman"/>
        </w:rPr>
        <w:t>While being a renewable energy</w:t>
      </w:r>
      <w:r w:rsidR="00951B63" w:rsidRPr="005427B3">
        <w:rPr>
          <w:rFonts w:cs="Times New Roman"/>
        </w:rPr>
        <w:t xml:space="preserve"> technology, </w:t>
      </w:r>
      <w:r w:rsidR="005427B3" w:rsidRPr="005427B3">
        <w:rPr>
          <w:rFonts w:cs="Times New Roman"/>
        </w:rPr>
        <w:t>micro wind turbines</w:t>
      </w:r>
      <w:r w:rsidR="00C652C4" w:rsidRPr="005427B3">
        <w:rPr>
          <w:rFonts w:cs="Times New Roman"/>
        </w:rPr>
        <w:t xml:space="preserve"> systems</w:t>
      </w:r>
      <w:r w:rsidR="00951B63" w:rsidRPr="005427B3">
        <w:rPr>
          <w:rFonts w:cs="Times New Roman"/>
        </w:rPr>
        <w:t xml:space="preserve"> do not have </w:t>
      </w:r>
      <w:r w:rsidR="00FB3AB3" w:rsidRPr="005427B3">
        <w:rPr>
          <w:rFonts w:cs="Times New Roman"/>
        </w:rPr>
        <w:t>direct emissions</w:t>
      </w:r>
      <w:r w:rsidR="00951B63" w:rsidRPr="005427B3">
        <w:rPr>
          <w:rFonts w:cs="Times New Roman"/>
        </w:rPr>
        <w:t xml:space="preserve"> related to combustion of fuels</w:t>
      </w:r>
      <w:r w:rsidR="00FB3AB3" w:rsidRPr="005427B3">
        <w:rPr>
          <w:rFonts w:cs="Times New Roman"/>
        </w:rPr>
        <w:t>.</w:t>
      </w:r>
      <w:r w:rsidRPr="005427B3">
        <w:rPr>
          <w:rFonts w:cs="Times New Roman"/>
        </w:rPr>
        <w:t xml:space="preserve"> </w:t>
      </w:r>
      <w:r w:rsidR="00951B63" w:rsidRPr="005427B3">
        <w:rPr>
          <w:rFonts w:cs="Times New Roman"/>
        </w:rPr>
        <w:t>Project Drawdown modeling considers the analysis of indirect emissions</w:t>
      </w:r>
      <w:r w:rsidRPr="005427B3">
        <w:rPr>
          <w:rFonts w:cs="Times New Roman"/>
        </w:rPr>
        <w:t xml:space="preserve"> related to the</w:t>
      </w:r>
      <w:r w:rsidR="00951B63" w:rsidRPr="005427B3">
        <w:rPr>
          <w:rFonts w:cs="Times New Roman"/>
        </w:rPr>
        <w:t xml:space="preserve"> </w:t>
      </w:r>
      <w:r w:rsidR="00FB3AB3" w:rsidRPr="005427B3">
        <w:rPr>
          <w:rFonts w:cs="Times New Roman"/>
        </w:rPr>
        <w:t xml:space="preserve">different factors that contribute to </w:t>
      </w:r>
      <w:r w:rsidR="00C652C4" w:rsidRPr="005427B3">
        <w:rPr>
          <w:rFonts w:cs="Times New Roman"/>
        </w:rPr>
        <w:t>an</w:t>
      </w:r>
      <w:r w:rsidR="00FB3AB3" w:rsidRPr="005427B3">
        <w:rPr>
          <w:rFonts w:cs="Times New Roman"/>
        </w:rPr>
        <w:t xml:space="preserve"> LCA for </w:t>
      </w:r>
      <w:r w:rsidR="005427B3" w:rsidRPr="005427B3">
        <w:rPr>
          <w:rFonts w:cs="Times New Roman"/>
        </w:rPr>
        <w:t xml:space="preserve">micro wind </w:t>
      </w:r>
      <w:r w:rsidR="00C652C4" w:rsidRPr="005427B3">
        <w:rPr>
          <w:rFonts w:cs="Times New Roman"/>
        </w:rPr>
        <w:t>systems</w:t>
      </w:r>
      <w:r w:rsidR="00FB3AB3" w:rsidRPr="005427B3">
        <w:rPr>
          <w:rFonts w:cs="Times New Roman"/>
        </w:rPr>
        <w:t xml:space="preserve">. In modeling the lifecycle emissions of </w:t>
      </w:r>
      <w:r w:rsidR="005427B3" w:rsidRPr="005427B3">
        <w:rPr>
          <w:rFonts w:cs="Times New Roman"/>
        </w:rPr>
        <w:t>MWT</w:t>
      </w:r>
      <w:r w:rsidR="00FB3AB3" w:rsidRPr="005427B3">
        <w:rPr>
          <w:rFonts w:cs="Times New Roman"/>
        </w:rPr>
        <w:t xml:space="preserve"> in </w:t>
      </w:r>
      <w:r w:rsidRPr="005427B3">
        <w:rPr>
          <w:rFonts w:cs="Times New Roman"/>
        </w:rPr>
        <w:t>the</w:t>
      </w:r>
      <w:r w:rsidR="00FB3AB3" w:rsidRPr="005427B3">
        <w:rPr>
          <w:rFonts w:cs="Times New Roman"/>
        </w:rPr>
        <w:t xml:space="preserve"> scenario</w:t>
      </w:r>
      <w:r w:rsidRPr="005427B3">
        <w:rPr>
          <w:rFonts w:cs="Times New Roman"/>
        </w:rPr>
        <w:t>s, it is used</w:t>
      </w:r>
      <w:r w:rsidR="00FB3AB3" w:rsidRPr="005427B3">
        <w:rPr>
          <w:rFonts w:cs="Times New Roman"/>
        </w:rPr>
        <w:t xml:space="preserve"> a fixed value (t CO</w:t>
      </w:r>
      <w:r w:rsidR="00FB3AB3" w:rsidRPr="005427B3">
        <w:rPr>
          <w:rFonts w:cs="Times New Roman"/>
          <w:vertAlign w:val="subscript"/>
        </w:rPr>
        <w:t>2</w:t>
      </w:r>
      <w:r w:rsidR="00FB3AB3" w:rsidRPr="005427B3">
        <w:rPr>
          <w:rFonts w:cs="Times New Roman"/>
        </w:rPr>
        <w:t xml:space="preserve">-eq per TWh) </w:t>
      </w:r>
      <w:r w:rsidR="002054FC" w:rsidRPr="005427B3">
        <w:rPr>
          <w:rFonts w:cs="Times New Roman"/>
        </w:rPr>
        <w:t>considering</w:t>
      </w:r>
      <w:r w:rsidR="0045676A" w:rsidRPr="005427B3">
        <w:rPr>
          <w:rFonts w:cs="Times New Roman"/>
        </w:rPr>
        <w:t xml:space="preserve"> information from several</w:t>
      </w:r>
      <w:r w:rsidR="005427B3" w:rsidRPr="005427B3">
        <w:rPr>
          <w:rFonts w:cs="Times New Roman"/>
        </w:rPr>
        <w:t xml:space="preserve"> onshore wind</w:t>
      </w:r>
      <w:r w:rsidR="0045676A" w:rsidRPr="005427B3">
        <w:rPr>
          <w:rFonts w:cs="Times New Roman"/>
        </w:rPr>
        <w:t xml:space="preserve"> technologies </w:t>
      </w:r>
      <w:r w:rsidR="00FB3AB3" w:rsidRPr="005427B3">
        <w:rPr>
          <w:rFonts w:cs="Times New Roman"/>
        </w:rPr>
        <w:t xml:space="preserve">rather than a decreasing one due to the difficulty of projecting future grid-tied emissions on a regional basis. </w:t>
      </w:r>
      <w:r w:rsidR="00DE33AF" w:rsidRPr="005427B3">
        <w:rPr>
          <w:rFonts w:cs="Times New Roman"/>
        </w:rPr>
        <w:t>The</w:t>
      </w:r>
      <w:r w:rsidR="00FB3AB3" w:rsidRPr="005427B3">
        <w:rPr>
          <w:rFonts w:cs="Times New Roman"/>
        </w:rPr>
        <w:t xml:space="preserve"> climate results will thus be more conservative than would be the case if </w:t>
      </w:r>
      <w:r w:rsidR="00DE33AF" w:rsidRPr="005427B3">
        <w:rPr>
          <w:rFonts w:cs="Times New Roman"/>
        </w:rPr>
        <w:t>it was</w:t>
      </w:r>
      <w:r w:rsidR="00FB3AB3" w:rsidRPr="005427B3">
        <w:rPr>
          <w:rFonts w:cs="Times New Roman"/>
        </w:rPr>
        <w:t xml:space="preserve"> assumed a decreasing average lifecycle emissions value for </w:t>
      </w:r>
      <w:r w:rsidR="005427B3" w:rsidRPr="005427B3">
        <w:rPr>
          <w:rFonts w:cs="Times New Roman"/>
        </w:rPr>
        <w:t>MWT</w:t>
      </w:r>
      <w:r w:rsidR="00BB3767" w:rsidRPr="005427B3">
        <w:rPr>
          <w:rFonts w:cs="Times New Roman"/>
        </w:rPr>
        <w:t xml:space="preserve"> systems</w:t>
      </w:r>
      <w:r w:rsidR="002054FC" w:rsidRPr="005427B3">
        <w:rPr>
          <w:rFonts w:cs="Times New Roman"/>
        </w:rPr>
        <w:t>.</w:t>
      </w:r>
      <w:r w:rsidR="0045676A" w:rsidRPr="005427B3">
        <w:rPr>
          <w:rFonts w:cs="Times New Roman"/>
        </w:rPr>
        <w:t xml:space="preserve"> </w:t>
      </w:r>
      <w:r w:rsidR="002054FC" w:rsidRPr="005427B3">
        <w:rPr>
          <w:rFonts w:cs="Times New Roman"/>
        </w:rPr>
        <w:t xml:space="preserve">Table 2.1 presents the boundaries of the data </w:t>
      </w:r>
      <w:r w:rsidR="009C0F77" w:rsidRPr="005427B3">
        <w:rPr>
          <w:rFonts w:cs="Times New Roman"/>
        </w:rPr>
        <w:t>boundaries</w:t>
      </w:r>
      <w:r w:rsidR="002054FC" w:rsidRPr="005427B3">
        <w:rPr>
          <w:rFonts w:cs="Times New Roman"/>
        </w:rPr>
        <w:t xml:space="preserve"> on the model </w:t>
      </w:r>
      <w:r w:rsidR="009C0F77" w:rsidRPr="005427B3">
        <w:rPr>
          <w:rFonts w:cs="Times New Roman"/>
        </w:rPr>
        <w:t xml:space="preserve">and </w:t>
      </w:r>
      <w:r w:rsidR="00DA012E" w:rsidRPr="005427B3">
        <w:rPr>
          <w:rFonts w:cs="Times New Roman"/>
        </w:rPr>
        <w:t>the selected model input.</w:t>
      </w:r>
    </w:p>
    <w:p w14:paraId="67ED68E5" w14:textId="3DA92EFD" w:rsidR="0021082B" w:rsidRPr="00E069AC" w:rsidRDefault="004F5425" w:rsidP="00EB247F">
      <w:pPr>
        <w:pStyle w:val="Caption"/>
        <w:jc w:val="center"/>
        <w:rPr>
          <w:b/>
          <w:bCs/>
          <w:color w:val="000000" w:themeColor="text1"/>
          <w:sz w:val="20"/>
          <w:szCs w:val="20"/>
          <w:lang w:eastAsia="zh-CN"/>
        </w:rPr>
      </w:pPr>
      <w:bookmarkStart w:id="34" w:name="_Toc23613083"/>
      <w:r w:rsidRPr="00E069AC">
        <w:t xml:space="preserve">Table </w:t>
      </w:r>
      <w:fldSimple w:instr=" STYLEREF 1 \s ">
        <w:r w:rsidR="00492F5E" w:rsidRPr="00E069AC">
          <w:t>2</w:t>
        </w:r>
      </w:fldSimple>
      <w:r w:rsidR="00492F5E" w:rsidRPr="00E069AC">
        <w:t>.</w:t>
      </w:r>
      <w:fldSimple w:instr=" SEQ Table \* ARABIC \s 1 ">
        <w:r w:rsidR="00492F5E" w:rsidRPr="00E069AC">
          <w:t>1</w:t>
        </w:r>
      </w:fldSimple>
      <w:r w:rsidRPr="00E069AC">
        <w:t xml:space="preserve"> Climate Inputs</w:t>
      </w:r>
      <w:bookmarkEnd w:id="34"/>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E069AC" w14:paraId="077EA588" w14:textId="77777777" w:rsidTr="00D25FC7">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B4272B" w:rsidRPr="00E069AC" w14:paraId="3E16EBBC" w14:textId="77777777" w:rsidTr="003922A1">
        <w:trPr>
          <w:trHeight w:val="508"/>
        </w:trPr>
        <w:tc>
          <w:tcPr>
            <w:tcW w:w="2076" w:type="dxa"/>
            <w:vAlign w:val="center"/>
          </w:tcPr>
          <w:p w14:paraId="45C515CA" w14:textId="651DD555" w:rsidR="00B4272B" w:rsidRPr="00E069AC" w:rsidRDefault="00B4272B" w:rsidP="00B4272B">
            <w:pPr>
              <w:spacing w:after="180"/>
              <w:jc w:val="center"/>
              <w:rPr>
                <w:color w:val="000000" w:themeColor="text1"/>
                <w:sz w:val="20"/>
                <w:szCs w:val="20"/>
              </w:rPr>
            </w:pPr>
            <w:r w:rsidRPr="00E069AC">
              <w:rPr>
                <w:color w:val="000000" w:themeColor="text1"/>
                <w:sz w:val="20"/>
                <w:szCs w:val="20"/>
              </w:rPr>
              <w:t>Indirect CO</w:t>
            </w:r>
            <w:r w:rsidRPr="00E069AC">
              <w:rPr>
                <w:color w:val="000000" w:themeColor="text1"/>
                <w:sz w:val="20"/>
                <w:szCs w:val="20"/>
                <w:vertAlign w:val="subscript"/>
              </w:rPr>
              <w:t xml:space="preserve">2 </w:t>
            </w:r>
            <w:r w:rsidRPr="00E069AC">
              <w:rPr>
                <w:color w:val="000000" w:themeColor="text1"/>
                <w:sz w:val="20"/>
                <w:szCs w:val="20"/>
              </w:rPr>
              <w:t>Emissions (Solution)</w:t>
            </w:r>
          </w:p>
        </w:tc>
        <w:tc>
          <w:tcPr>
            <w:tcW w:w="1427" w:type="dxa"/>
            <w:shd w:val="clear" w:color="auto" w:fill="auto"/>
            <w:vAlign w:val="center"/>
          </w:tcPr>
          <w:p w14:paraId="34E1BC40" w14:textId="448E07FA" w:rsidR="00B4272B" w:rsidRPr="002C20C8" w:rsidRDefault="00B4272B" w:rsidP="00B4272B">
            <w:pPr>
              <w:spacing w:after="180"/>
              <w:jc w:val="center"/>
              <w:rPr>
                <w:i/>
                <w:sz w:val="20"/>
                <w:szCs w:val="20"/>
              </w:rPr>
            </w:pPr>
            <w:r w:rsidRPr="002C20C8">
              <w:rPr>
                <w:i/>
                <w:sz w:val="20"/>
                <w:szCs w:val="20"/>
              </w:rPr>
              <w:t>t CO</w:t>
            </w:r>
            <w:r w:rsidRPr="002C20C8">
              <w:rPr>
                <w:i/>
                <w:sz w:val="20"/>
                <w:szCs w:val="20"/>
                <w:vertAlign w:val="subscript"/>
              </w:rPr>
              <w:t>2</w:t>
            </w:r>
            <w:r w:rsidRPr="002C20C8">
              <w:rPr>
                <w:i/>
                <w:sz w:val="20"/>
                <w:szCs w:val="20"/>
              </w:rPr>
              <w:t>-eq/TWh</w:t>
            </w:r>
          </w:p>
        </w:tc>
        <w:tc>
          <w:tcPr>
            <w:tcW w:w="1486" w:type="dxa"/>
            <w:vAlign w:val="center"/>
          </w:tcPr>
          <w:p w14:paraId="52FFC33B" w14:textId="13F3517F" w:rsidR="00B4272B" w:rsidRPr="002C20C8" w:rsidRDefault="009A13BA" w:rsidP="00B4272B">
            <w:pPr>
              <w:spacing w:after="180"/>
              <w:jc w:val="center"/>
              <w:rPr>
                <w:rFonts w:eastAsia="Helvetica,Times New Roman" w:cstheme="minorHAnsi"/>
                <w:color w:val="000000" w:themeColor="text1"/>
                <w:sz w:val="20"/>
                <w:szCs w:val="20"/>
              </w:rPr>
            </w:pPr>
            <w:r w:rsidRPr="002C20C8">
              <w:rPr>
                <w:rFonts w:eastAsia="Helvetica,Times New Roman" w:cstheme="minorHAnsi"/>
                <w:color w:val="000000" w:themeColor="text1"/>
                <w:sz w:val="20"/>
                <w:szCs w:val="20"/>
              </w:rPr>
              <w:t>40</w:t>
            </w:r>
            <w:r w:rsidR="00582A44" w:rsidRPr="002C20C8">
              <w:rPr>
                <w:rFonts w:eastAsia="Helvetica,Times New Roman" w:cstheme="minorHAnsi"/>
                <w:color w:val="000000" w:themeColor="text1"/>
                <w:sz w:val="20"/>
                <w:szCs w:val="20"/>
              </w:rPr>
              <w:t>0 – 172,090</w:t>
            </w:r>
          </w:p>
        </w:tc>
        <w:tc>
          <w:tcPr>
            <w:tcW w:w="1467" w:type="dxa"/>
            <w:vAlign w:val="center"/>
          </w:tcPr>
          <w:p w14:paraId="38F1A26C" w14:textId="7AC99DB5" w:rsidR="00B4272B" w:rsidRPr="002C20C8" w:rsidRDefault="00582A44" w:rsidP="00B4272B">
            <w:pPr>
              <w:spacing w:after="180"/>
              <w:jc w:val="center"/>
              <w:rPr>
                <w:rFonts w:eastAsia="Helvetica,Times New Roman" w:cstheme="minorHAnsi"/>
                <w:color w:val="000000" w:themeColor="text1"/>
                <w:sz w:val="20"/>
                <w:szCs w:val="20"/>
              </w:rPr>
            </w:pPr>
            <w:r w:rsidRPr="002C20C8">
              <w:rPr>
                <w:rFonts w:eastAsia="Helvetica,Times New Roman" w:cstheme="minorHAnsi"/>
                <w:color w:val="000000" w:themeColor="text1"/>
                <w:sz w:val="20"/>
                <w:szCs w:val="20"/>
              </w:rPr>
              <w:t>71,049</w:t>
            </w:r>
          </w:p>
        </w:tc>
        <w:tc>
          <w:tcPr>
            <w:tcW w:w="1366" w:type="dxa"/>
            <w:vAlign w:val="center"/>
          </w:tcPr>
          <w:p w14:paraId="28F0E9F8" w14:textId="1DA8D030" w:rsidR="00B4272B" w:rsidRPr="002C20C8" w:rsidRDefault="00582A44" w:rsidP="00B4272B">
            <w:pPr>
              <w:spacing w:after="180"/>
              <w:jc w:val="center"/>
              <w:rPr>
                <w:rFonts w:eastAsia="Helvetica,Times New Roman" w:cstheme="minorHAnsi"/>
                <w:color w:val="000000" w:themeColor="text1"/>
                <w:sz w:val="20"/>
                <w:szCs w:val="20"/>
              </w:rPr>
            </w:pPr>
            <w:r w:rsidRPr="002C20C8">
              <w:rPr>
                <w:rFonts w:eastAsia="Helvetica,Times New Roman" w:cstheme="minorHAnsi"/>
                <w:color w:val="000000" w:themeColor="text1"/>
                <w:sz w:val="20"/>
                <w:szCs w:val="20"/>
              </w:rPr>
              <w:t>2</w:t>
            </w:r>
            <w:r w:rsidR="002C20C8" w:rsidRPr="002C20C8">
              <w:rPr>
                <w:rFonts w:eastAsia="Helvetica,Times New Roman" w:cstheme="minorHAnsi"/>
                <w:color w:val="000000" w:themeColor="text1"/>
                <w:sz w:val="20"/>
                <w:szCs w:val="20"/>
              </w:rPr>
              <w:t>1</w:t>
            </w:r>
          </w:p>
        </w:tc>
        <w:tc>
          <w:tcPr>
            <w:tcW w:w="1528" w:type="dxa"/>
            <w:vAlign w:val="center"/>
          </w:tcPr>
          <w:p w14:paraId="3D4C95AD" w14:textId="111281C4" w:rsidR="00B4272B" w:rsidRPr="002C20C8" w:rsidRDefault="00582A44" w:rsidP="00B4272B">
            <w:pPr>
              <w:spacing w:after="180"/>
              <w:jc w:val="center"/>
              <w:rPr>
                <w:rFonts w:eastAsia="Helvetica,Times New Roman" w:cstheme="minorHAnsi"/>
                <w:color w:val="000000" w:themeColor="text1"/>
                <w:sz w:val="20"/>
                <w:szCs w:val="20"/>
              </w:rPr>
            </w:pPr>
            <w:r w:rsidRPr="002C20C8">
              <w:rPr>
                <w:rFonts w:eastAsia="Helvetica,Times New Roman" w:cstheme="minorHAnsi"/>
                <w:color w:val="000000" w:themeColor="text1"/>
                <w:sz w:val="20"/>
                <w:szCs w:val="20"/>
              </w:rPr>
              <w:t>9</w:t>
            </w:r>
          </w:p>
        </w:tc>
      </w:tr>
    </w:tbl>
    <w:p w14:paraId="035BBD8F" w14:textId="77777777" w:rsidR="00A04734" w:rsidRPr="009A4D96" w:rsidRDefault="00A04734" w:rsidP="00A04734">
      <w:pPr>
        <w:rPr>
          <w:sz w:val="20"/>
        </w:rPr>
      </w:pPr>
      <w:r w:rsidRPr="009A4D96">
        <w:rPr>
          <w:sz w:val="20"/>
        </w:rPr>
        <w:t>Note: Project Drawdown data set range is defined by the low and high boundaries which are respectively 1 standard deviation below and above the mean of the collected data points</w:t>
      </w:r>
      <w:r w:rsidRPr="009A4D96">
        <w:rPr>
          <w:rStyle w:val="FootnoteReference"/>
          <w:sz w:val="20"/>
        </w:rPr>
        <w:footnoteReference w:id="4"/>
      </w:r>
      <w:r w:rsidRPr="009A4D96">
        <w:rPr>
          <w:sz w:val="20"/>
        </w:rPr>
        <w:t>.</w:t>
      </w:r>
    </w:p>
    <w:p w14:paraId="24C491B8" w14:textId="235400C1" w:rsidR="00F52595" w:rsidRPr="00E069AC" w:rsidRDefault="00E069AC" w:rsidP="006F6CC3">
      <w:pPr>
        <w:pStyle w:val="Heading3"/>
        <w:numPr>
          <w:ilvl w:val="2"/>
          <w:numId w:val="47"/>
        </w:numPr>
      </w:pPr>
      <w:bookmarkStart w:id="35" w:name="_Toc23613458"/>
      <w:r>
        <w:t>Financial Inputs</w:t>
      </w:r>
      <w:bookmarkEnd w:id="35"/>
    </w:p>
    <w:p w14:paraId="127B738F" w14:textId="772CDB3C" w:rsidR="00DA06FE" w:rsidRPr="005427B3" w:rsidRDefault="00DA06FE" w:rsidP="00EB247F">
      <w:r w:rsidRPr="00E069AC">
        <w:t>RRS</w:t>
      </w:r>
      <w:r w:rsidR="00E2663F" w:rsidRPr="00E069AC">
        <w:t xml:space="preserve"> model constructs</w:t>
      </w:r>
      <w:r w:rsidR="00E439FB" w:rsidRPr="00E069AC">
        <w:t xml:space="preserve"> PDS adoption scenario</w:t>
      </w:r>
      <w:r w:rsidR="00E2663F" w:rsidRPr="00E069AC">
        <w:t>s</w:t>
      </w:r>
      <w:r w:rsidR="00E439FB" w:rsidRPr="00E069AC">
        <w:t xml:space="preserve"> for </w:t>
      </w:r>
      <w:r w:rsidR="005427B3">
        <w:t xml:space="preserve">micro wind </w:t>
      </w:r>
      <w:r w:rsidR="002F6AD9">
        <w:t>turbines</w:t>
      </w:r>
      <w:r w:rsidR="00E439FB" w:rsidRPr="00E069AC">
        <w:t xml:space="preserve"> generation globally and regionally for each year until 2050. </w:t>
      </w:r>
      <w:r w:rsidR="00E2663F" w:rsidRPr="00E069AC">
        <w:t xml:space="preserve">It is </w:t>
      </w:r>
      <w:r w:rsidR="00E439FB" w:rsidRPr="00E069AC">
        <w:t>model</w:t>
      </w:r>
      <w:r w:rsidR="00E2663F" w:rsidRPr="00E069AC">
        <w:t>led</w:t>
      </w:r>
      <w:r w:rsidR="00E439FB" w:rsidRPr="00E069AC">
        <w:t xml:space="preserve"> both the capital costs and the fixed and variable OM costs associated </w:t>
      </w:r>
      <w:r w:rsidR="00E439FB" w:rsidRPr="005427B3">
        <w:t xml:space="preserve">with </w:t>
      </w:r>
      <w:r w:rsidRPr="005427B3">
        <w:t xml:space="preserve">the </w:t>
      </w:r>
      <w:r w:rsidR="00E2663F" w:rsidRPr="005427B3">
        <w:t xml:space="preserve">alternative </w:t>
      </w:r>
      <w:r w:rsidR="00E439FB" w:rsidRPr="005427B3">
        <w:t xml:space="preserve">scenarios compared to those of the REF scenario. </w:t>
      </w:r>
      <w:r w:rsidR="00F4258D" w:rsidRPr="005427B3">
        <w:t>A d</w:t>
      </w:r>
      <w:r w:rsidRPr="005427B3">
        <w:t>etailed description of the methodology used is available in</w:t>
      </w:r>
      <w:r w:rsidR="00E2663F" w:rsidRPr="005427B3">
        <w:t xml:space="preserve"> the </w:t>
      </w:r>
      <w:r w:rsidR="00D25FC7" w:rsidRPr="005427B3">
        <w:t>Drawdown RRS Model Framework and Guide.</w:t>
      </w:r>
    </w:p>
    <w:p w14:paraId="18AE1CF0" w14:textId="416EB6D5" w:rsidR="00E439FB" w:rsidRPr="005427B3" w:rsidRDefault="00DA06FE" w:rsidP="005427B3">
      <w:pPr>
        <w:rPr>
          <w:rFonts w:cs="Times New Roman"/>
          <w:bCs/>
        </w:rPr>
      </w:pPr>
      <w:r w:rsidRPr="005427B3">
        <w:rPr>
          <w:bCs/>
        </w:rPr>
        <w:t>The financial calculations exa</w:t>
      </w:r>
      <w:r w:rsidR="002054FC" w:rsidRPr="005427B3">
        <w:rPr>
          <w:bCs/>
        </w:rPr>
        <w:t>mine the first cost in US$ per k</w:t>
      </w:r>
      <w:r w:rsidRPr="005427B3">
        <w:rPr>
          <w:bCs/>
        </w:rPr>
        <w:t xml:space="preserve">W and the operating cost in US$ </w:t>
      </w:r>
      <w:r w:rsidR="002054FC" w:rsidRPr="005427B3">
        <w:rPr>
          <w:bCs/>
        </w:rPr>
        <w:t>per kW (fixed costs) and US$ per kWh (variable costs)</w:t>
      </w:r>
      <w:r w:rsidRPr="005427B3">
        <w:rPr>
          <w:bCs/>
        </w:rPr>
        <w:t>. For this, many inputs estimating annual</w:t>
      </w:r>
      <w:r w:rsidR="002054FC" w:rsidRPr="005427B3">
        <w:rPr>
          <w:bCs/>
        </w:rPr>
        <w:t xml:space="preserve"> output and lifetime output per </w:t>
      </w:r>
      <w:r w:rsidR="005427B3" w:rsidRPr="005427B3">
        <w:rPr>
          <w:bCs/>
        </w:rPr>
        <w:t>MWT</w:t>
      </w:r>
      <w:r w:rsidR="002054FC" w:rsidRPr="005427B3">
        <w:rPr>
          <w:bCs/>
        </w:rPr>
        <w:t xml:space="preserve"> generation</w:t>
      </w:r>
      <w:r w:rsidRPr="005427B3">
        <w:rPr>
          <w:bCs/>
        </w:rPr>
        <w:t>, along with first costs (</w:t>
      </w:r>
      <w:r w:rsidR="002054FC" w:rsidRPr="005427B3">
        <w:rPr>
          <w:bCs/>
        </w:rPr>
        <w:t>per</w:t>
      </w:r>
      <w:r w:rsidRPr="005427B3">
        <w:rPr>
          <w:bCs/>
        </w:rPr>
        <w:t xml:space="preserve"> functional unit), were calculated</w:t>
      </w:r>
      <w:r w:rsidR="002054FC" w:rsidRPr="005427B3">
        <w:rPr>
          <w:bCs/>
        </w:rPr>
        <w:t xml:space="preserve">. </w:t>
      </w:r>
      <w:r w:rsidR="00FE7C98">
        <w:rPr>
          <w:bCs/>
        </w:rPr>
        <w:t xml:space="preserve">A net present value discount rate of 4%, </w:t>
      </w:r>
      <w:r w:rsidR="00FE7C98" w:rsidRPr="00FE7C98">
        <w:rPr>
          <w:bCs/>
        </w:rPr>
        <w:t>appropriate when applied to investment decisions made at a household level.</w:t>
      </w:r>
      <w:r w:rsidR="00FE7C98">
        <w:rPr>
          <w:bCs/>
        </w:rPr>
        <w:t xml:space="preserve"> </w:t>
      </w:r>
      <w:r w:rsidR="00FE7C98" w:rsidRPr="00FE7C98">
        <w:rPr>
          <w:bCs/>
        </w:rPr>
        <w:t>The household level discount rate is directly related to decision-making at a household level and likely varies greatly across different regions of the world. Taking the numbers found in the literature above comprises a conservative case.</w:t>
      </w:r>
    </w:p>
    <w:p w14:paraId="0620A55E" w14:textId="77777777" w:rsidR="00602408" w:rsidRDefault="00290D71" w:rsidP="00BB3767">
      <w:pPr>
        <w:rPr>
          <w:rFonts w:cs="Times New Roman"/>
          <w:bCs/>
        </w:rPr>
      </w:pPr>
      <w:r w:rsidRPr="005427B3">
        <w:rPr>
          <w:rFonts w:cs="Times New Roman"/>
          <w:bCs/>
        </w:rPr>
        <w:t>For the solution (</w:t>
      </w:r>
      <w:r w:rsidR="005427B3" w:rsidRPr="005427B3">
        <w:rPr>
          <w:rFonts w:cs="Times New Roman"/>
          <w:bCs/>
        </w:rPr>
        <w:t>MWT</w:t>
      </w:r>
      <w:r w:rsidRPr="005427B3">
        <w:rPr>
          <w:rFonts w:cs="Times New Roman"/>
          <w:bCs/>
        </w:rPr>
        <w:t>), the conventional current mix of fossil fuel electricity generation technologies (coal, gas</w:t>
      </w:r>
      <w:r w:rsidR="00F4258D" w:rsidRPr="005427B3">
        <w:rPr>
          <w:rFonts w:cs="Times New Roman"/>
          <w:bCs/>
        </w:rPr>
        <w:t>,</w:t>
      </w:r>
      <w:r w:rsidRPr="005427B3">
        <w:rPr>
          <w:rFonts w:cs="Times New Roman"/>
          <w:bCs/>
        </w:rPr>
        <w:t xml:space="preserve"> and oil) replaced were identified. Costs and operation for both generation technologies (solution and conventional) were considered to obtain the differential result</w:t>
      </w:r>
      <w:r w:rsidR="00E978D4" w:rsidRPr="005427B3">
        <w:rPr>
          <w:rFonts w:cs="Times New Roman"/>
          <w:bCs/>
        </w:rPr>
        <w:t>.</w:t>
      </w:r>
      <w:r w:rsidR="003774D2">
        <w:rPr>
          <w:rFonts w:cs="Times New Roman"/>
          <w:bCs/>
        </w:rPr>
        <w:t xml:space="preserve"> </w:t>
      </w:r>
    </w:p>
    <w:p w14:paraId="74AF20B2" w14:textId="2B1A152A" w:rsidR="00602408" w:rsidRPr="00602408" w:rsidRDefault="00602408" w:rsidP="00BB3767">
      <w:r w:rsidRPr="00943699">
        <w:t>Fuel prices for conventional technologies are derived from IEA (2019</w:t>
      </w:r>
      <w:r>
        <w:t>b</w:t>
      </w:r>
      <w:r w:rsidRPr="00943699">
        <w:t>) data, averaging 2007-2018 historical registries for oil, coal and natural gas used for electricity generation and calculated through a weighted average by fuel from the current electricity generation mix.</w:t>
      </w:r>
    </w:p>
    <w:p w14:paraId="21DFB688" w14:textId="0D04E581" w:rsidR="00582A44" w:rsidRPr="002F6AD9" w:rsidRDefault="00910DE0" w:rsidP="00BB3767">
      <w:r w:rsidRPr="00E069AC">
        <w:t xml:space="preserve">Tables </w:t>
      </w:r>
      <w:r w:rsidR="00E978D4" w:rsidRPr="00E069AC">
        <w:t xml:space="preserve">2.2. and </w:t>
      </w:r>
      <w:r w:rsidRPr="00E069AC">
        <w:t>2.3</w:t>
      </w:r>
      <w:r w:rsidR="00FE7C98">
        <w:t xml:space="preserve"> depict the financial inputs used in the RRS model calculations for both conventional technologies and micro wind turbines.</w:t>
      </w:r>
    </w:p>
    <w:p w14:paraId="1521B01D" w14:textId="578375C8" w:rsidR="00D25FC7" w:rsidRPr="00E069AC"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36" w:name="_Toc23613084"/>
      <w:r w:rsidRPr="00E069AC">
        <w:t xml:space="preserve">Table </w:t>
      </w:r>
      <w:fldSimple w:instr=" STYLEREF 1 \s ">
        <w:r w:rsidRPr="00E069AC">
          <w:t>2</w:t>
        </w:r>
      </w:fldSimple>
      <w:r w:rsidRPr="00E069AC">
        <w:t>.</w:t>
      </w:r>
      <w:fldSimple w:instr=" SEQ Table \* ARABIC \s 1 ">
        <w:r w:rsidRPr="00E069AC">
          <w:t>2</w:t>
        </w:r>
      </w:fldSimple>
      <w:r w:rsidRPr="00E069AC">
        <w:t xml:space="preserve"> Financial Inputs </w:t>
      </w:r>
      <w:r w:rsidR="009C0F77" w:rsidRPr="00E069AC">
        <w:t xml:space="preserve">for </w:t>
      </w:r>
      <w:r w:rsidRPr="00E069AC">
        <w:t>Conventional Technologies</w:t>
      </w:r>
      <w:bookmarkEnd w:id="36"/>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E069AC" w14:paraId="5EBC0DC9" w14:textId="77777777" w:rsidTr="00E978D4">
        <w:trPr>
          <w:trHeight w:val="1154"/>
          <w:jc w:val="center"/>
        </w:trPr>
        <w:tc>
          <w:tcPr>
            <w:tcW w:w="1221" w:type="pct"/>
            <w:shd w:val="clear" w:color="auto" w:fill="4F81BD" w:themeFill="accent1"/>
            <w:vAlign w:val="center"/>
          </w:tcPr>
          <w:p w14:paraId="74E672A4"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861" w:type="pct"/>
            <w:shd w:val="clear" w:color="auto" w:fill="4F81BD" w:themeFill="accent1"/>
            <w:vAlign w:val="center"/>
          </w:tcPr>
          <w:p w14:paraId="0418DADA" w14:textId="42CB0C28"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602408" w:rsidRPr="00E069AC" w14:paraId="224D399B" w14:textId="77777777" w:rsidTr="00E978D4">
        <w:trPr>
          <w:trHeight w:val="149"/>
          <w:jc w:val="center"/>
        </w:trPr>
        <w:tc>
          <w:tcPr>
            <w:tcW w:w="1221" w:type="pct"/>
            <w:vAlign w:val="center"/>
          </w:tcPr>
          <w:p w14:paraId="400D3B56" w14:textId="7057F985" w:rsidR="00602408" w:rsidRPr="00E069AC" w:rsidRDefault="00602408" w:rsidP="00602408">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5A2F518D" w:rsidR="00602408" w:rsidRPr="00E069AC" w:rsidRDefault="00602408" w:rsidP="00602408">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314920B5" w:rsidR="00602408" w:rsidRPr="00E069AC" w:rsidRDefault="00602408" w:rsidP="0060240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7356542B" w:rsidR="00602408" w:rsidRPr="00E069AC" w:rsidRDefault="00602408" w:rsidP="0060240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1,786</w:t>
            </w:r>
          </w:p>
        </w:tc>
        <w:tc>
          <w:tcPr>
            <w:tcW w:w="617" w:type="pct"/>
            <w:vAlign w:val="center"/>
          </w:tcPr>
          <w:p w14:paraId="1AA7E7F8" w14:textId="49923FA0"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2C26D44F" w:rsidR="00602408" w:rsidRPr="00E069AC" w:rsidRDefault="00602408" w:rsidP="0060240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602408" w:rsidRPr="00E069AC" w14:paraId="29BBD18C" w14:textId="77777777" w:rsidTr="00E978D4">
        <w:trPr>
          <w:trHeight w:val="583"/>
          <w:jc w:val="center"/>
        </w:trPr>
        <w:tc>
          <w:tcPr>
            <w:tcW w:w="1221" w:type="pct"/>
            <w:vAlign w:val="center"/>
          </w:tcPr>
          <w:p w14:paraId="696E0629" w14:textId="1CBB9502" w:rsidR="00602408" w:rsidRPr="00E069AC" w:rsidRDefault="00602408" w:rsidP="00602408">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15ABE755" w:rsidR="00602408" w:rsidRPr="00E069AC" w:rsidRDefault="00602408" w:rsidP="00602408">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7F92AE34" w:rsidR="00602408" w:rsidRPr="00E069AC" w:rsidRDefault="00602408" w:rsidP="0060240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4C9A9BE6"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70F6EAEB"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37482487"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602408" w:rsidRPr="00E069AC" w14:paraId="789E9F95" w14:textId="77777777" w:rsidTr="00E978D4">
        <w:trPr>
          <w:trHeight w:val="149"/>
          <w:jc w:val="center"/>
        </w:trPr>
        <w:tc>
          <w:tcPr>
            <w:tcW w:w="1221" w:type="pct"/>
            <w:vAlign w:val="center"/>
          </w:tcPr>
          <w:p w14:paraId="564B7DFA" w14:textId="61558675" w:rsidR="00602408" w:rsidRPr="00E069AC" w:rsidRDefault="00602408" w:rsidP="00602408">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062D7ED2" w:rsidR="00602408" w:rsidRPr="00E069AC" w:rsidRDefault="00602408" w:rsidP="00602408">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79056D01"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39BC6CB5"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68B12367"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40D3767B" w:rsidR="00602408" w:rsidRPr="00E069AC" w:rsidRDefault="00602408" w:rsidP="0060240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602408" w:rsidRPr="00E069AC" w14:paraId="4CC8EC27" w14:textId="77777777" w:rsidTr="00E978D4">
        <w:trPr>
          <w:trHeight w:val="149"/>
          <w:jc w:val="center"/>
        </w:trPr>
        <w:tc>
          <w:tcPr>
            <w:tcW w:w="1221" w:type="pct"/>
            <w:vAlign w:val="center"/>
          </w:tcPr>
          <w:p w14:paraId="45834DD9" w14:textId="28E92DA1" w:rsidR="00602408" w:rsidRPr="00E069AC" w:rsidRDefault="00602408" w:rsidP="00602408">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4981F6C3" w:rsidR="00602408" w:rsidRPr="00E069AC" w:rsidRDefault="00602408" w:rsidP="00602408">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602408" w:rsidRPr="00E069AC" w:rsidRDefault="00602408" w:rsidP="00602408">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6AF49E31" w:rsidR="00602408" w:rsidRPr="00E069AC" w:rsidRDefault="00602408" w:rsidP="00602408">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4565B35D" w:rsidR="00602408" w:rsidRPr="00E069AC" w:rsidRDefault="00602408" w:rsidP="00602408">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0CB09C0F"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602408" w:rsidRPr="00E069AC" w14:paraId="3AAC1C5A" w14:textId="77777777" w:rsidTr="00E978D4">
        <w:trPr>
          <w:trHeight w:val="149"/>
          <w:jc w:val="center"/>
        </w:trPr>
        <w:tc>
          <w:tcPr>
            <w:tcW w:w="1221" w:type="pct"/>
            <w:vAlign w:val="center"/>
          </w:tcPr>
          <w:p w14:paraId="3A181F58" w14:textId="668BAE51" w:rsidR="00602408" w:rsidRPr="00E069AC" w:rsidRDefault="00602408" w:rsidP="00602408">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2291D30F"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602408" w:rsidRPr="00E069AC" w:rsidRDefault="00602408" w:rsidP="00602408">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66D1F117"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602408" w:rsidRPr="00E069AC" w:rsidRDefault="00602408" w:rsidP="00602408">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602408" w:rsidRPr="00E069AC" w:rsidRDefault="00602408" w:rsidP="00602408">
            <w:pPr>
              <w:spacing w:after="180" w:line="240" w:lineRule="auto"/>
              <w:jc w:val="center"/>
              <w:rPr>
                <w:rFonts w:eastAsia="Helvetica,Times New Roman" w:cstheme="minorHAnsi"/>
                <w:color w:val="000000" w:themeColor="text1"/>
                <w:sz w:val="20"/>
                <w:szCs w:val="20"/>
              </w:rPr>
            </w:pPr>
          </w:p>
        </w:tc>
      </w:tr>
    </w:tbl>
    <w:p w14:paraId="4EB8DFBC" w14:textId="77777777" w:rsidR="000362B8" w:rsidRDefault="000362B8" w:rsidP="00582A44">
      <w:pPr>
        <w:pStyle w:val="Caption"/>
      </w:pPr>
    </w:p>
    <w:p w14:paraId="2A309D69" w14:textId="4B1DBBC2" w:rsidR="0021082B" w:rsidRPr="00E069AC"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37" w:name="_Toc23613085"/>
      <w:r w:rsidRPr="00E069AC">
        <w:t xml:space="preserve">Table </w:t>
      </w:r>
      <w:fldSimple w:instr=" STYLEREF 1 \s ">
        <w:r w:rsidR="00492F5E" w:rsidRPr="00E069AC">
          <w:t>2</w:t>
        </w:r>
      </w:fldSimple>
      <w:r w:rsidR="00492F5E" w:rsidRPr="00E069AC">
        <w:t>.</w:t>
      </w:r>
      <w:r w:rsidR="00F4258D">
        <w:rPr>
          <w:noProof/>
        </w:rPr>
        <w:fldChar w:fldCharType="begin"/>
      </w:r>
      <w:r w:rsidR="00F4258D">
        <w:rPr>
          <w:noProof/>
        </w:rPr>
        <w:instrText xml:space="preserve"> SEQ Table \* ARABIC \s 1 </w:instrText>
      </w:r>
      <w:r w:rsidR="00F4258D">
        <w:rPr>
          <w:noProof/>
        </w:rPr>
        <w:fldChar w:fldCharType="separate"/>
      </w:r>
      <w:r w:rsidR="00D25FC7" w:rsidRPr="00E069AC">
        <w:rPr>
          <w:noProof/>
        </w:rPr>
        <w:t>3</w:t>
      </w:r>
      <w:r w:rsidR="00F4258D">
        <w:rPr>
          <w:noProof/>
        </w:rPr>
        <w:fldChar w:fldCharType="end"/>
      </w:r>
      <w:r w:rsidRPr="00E069AC">
        <w:t xml:space="preserve"> Financial Inputs</w:t>
      </w:r>
      <w:r w:rsidR="00D25FC7" w:rsidRPr="00E069AC">
        <w:t xml:space="preserve"> </w:t>
      </w:r>
      <w:r w:rsidR="009C0F77" w:rsidRPr="00E069AC">
        <w:t xml:space="preserve">for </w:t>
      </w:r>
      <w:r w:rsidR="00D25FC7" w:rsidRPr="00E069AC">
        <w:t>Solution</w:t>
      </w:r>
      <w:bookmarkEnd w:id="37"/>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E069AC" w14:paraId="7E18B658" w14:textId="77777777" w:rsidTr="005C77F5">
        <w:trPr>
          <w:trHeight w:val="1163"/>
          <w:jc w:val="center"/>
        </w:trPr>
        <w:tc>
          <w:tcPr>
            <w:tcW w:w="1220" w:type="pct"/>
            <w:shd w:val="clear" w:color="auto" w:fill="4F81BD" w:themeFill="accent1"/>
            <w:vAlign w:val="center"/>
          </w:tcPr>
          <w:p w14:paraId="26137DA0"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985" w:type="pct"/>
            <w:shd w:val="clear" w:color="auto" w:fill="4F81BD" w:themeFill="accent1"/>
            <w:vAlign w:val="center"/>
          </w:tcPr>
          <w:p w14:paraId="75A978E1" w14:textId="1BF0E92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582A44" w:rsidRPr="00E069AC" w14:paraId="68FBF919" w14:textId="77777777" w:rsidTr="005C77F5">
        <w:trPr>
          <w:trHeight w:val="392"/>
          <w:jc w:val="center"/>
        </w:trPr>
        <w:tc>
          <w:tcPr>
            <w:tcW w:w="1220" w:type="pct"/>
            <w:vAlign w:val="center"/>
          </w:tcPr>
          <w:p w14:paraId="7A541AEC" w14:textId="67FFE3A3" w:rsidR="00582A44" w:rsidRPr="00E069AC" w:rsidRDefault="00582A44" w:rsidP="00582A44">
            <w:pPr>
              <w:spacing w:after="180" w:line="240" w:lineRule="auto"/>
              <w:jc w:val="center"/>
              <w:rPr>
                <w:color w:val="000000" w:themeColor="text1"/>
                <w:sz w:val="20"/>
                <w:szCs w:val="20"/>
              </w:rPr>
            </w:pPr>
            <w:r w:rsidRPr="00E069AC">
              <w:rPr>
                <w:color w:val="000000" w:themeColor="text1"/>
                <w:sz w:val="20"/>
                <w:szCs w:val="20"/>
              </w:rPr>
              <w:t>First costs (Solution)</w:t>
            </w:r>
          </w:p>
        </w:tc>
        <w:tc>
          <w:tcPr>
            <w:tcW w:w="862" w:type="pct"/>
            <w:vAlign w:val="center"/>
          </w:tcPr>
          <w:p w14:paraId="0799D004" w14:textId="5ECCD79A" w:rsidR="00582A44" w:rsidRPr="00E069AC" w:rsidRDefault="00582A44" w:rsidP="00582A44">
            <w:pPr>
              <w:spacing w:after="180" w:line="240" w:lineRule="auto"/>
              <w:jc w:val="center"/>
              <w:rPr>
                <w:bCs/>
                <w:i/>
                <w:sz w:val="20"/>
                <w:szCs w:val="20"/>
              </w:rPr>
            </w:pPr>
            <w:bookmarkStart w:id="38" w:name="OLE_LINK1"/>
            <w:r w:rsidRPr="00E069AC">
              <w:rPr>
                <w:bCs/>
                <w:i/>
                <w:sz w:val="20"/>
                <w:szCs w:val="20"/>
              </w:rPr>
              <w:t>US$2014/kW</w:t>
            </w:r>
            <w:bookmarkEnd w:id="38"/>
          </w:p>
        </w:tc>
        <w:tc>
          <w:tcPr>
            <w:tcW w:w="985" w:type="pct"/>
            <w:vAlign w:val="center"/>
          </w:tcPr>
          <w:p w14:paraId="32CDDBBB" w14:textId="0A560712" w:rsidR="00582A44" w:rsidRPr="00FE7C98" w:rsidRDefault="009A13BA"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3,</w:t>
            </w:r>
            <w:r w:rsidR="00FE7C98" w:rsidRPr="00FE7C98">
              <w:rPr>
                <w:rFonts w:eastAsia="Helvetica,Times New Roman" w:cstheme="minorHAnsi"/>
                <w:color w:val="000000" w:themeColor="text1"/>
                <w:sz w:val="20"/>
                <w:szCs w:val="20"/>
              </w:rPr>
              <w:t>238</w:t>
            </w:r>
            <w:r w:rsidRPr="00FE7C98">
              <w:rPr>
                <w:rFonts w:eastAsia="Helvetica,Times New Roman" w:cstheme="minorHAnsi"/>
                <w:color w:val="000000" w:themeColor="text1"/>
                <w:sz w:val="20"/>
                <w:szCs w:val="20"/>
              </w:rPr>
              <w:t>– 9,</w:t>
            </w:r>
            <w:r w:rsidR="00FE7C98" w:rsidRPr="00FE7C98">
              <w:rPr>
                <w:rFonts w:eastAsia="Helvetica,Times New Roman" w:cstheme="minorHAnsi"/>
                <w:color w:val="000000" w:themeColor="text1"/>
                <w:sz w:val="20"/>
                <w:szCs w:val="20"/>
              </w:rPr>
              <w:t>722</w:t>
            </w:r>
          </w:p>
        </w:tc>
        <w:tc>
          <w:tcPr>
            <w:tcW w:w="738" w:type="pct"/>
            <w:vAlign w:val="center"/>
          </w:tcPr>
          <w:p w14:paraId="1E736A34" w14:textId="32237454" w:rsidR="00582A44" w:rsidRPr="00FE7C98" w:rsidRDefault="009A13BA"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6,</w:t>
            </w:r>
            <w:r w:rsidR="00FE7C98" w:rsidRPr="00FE7C98">
              <w:rPr>
                <w:rFonts w:eastAsia="Helvetica,Times New Roman" w:cstheme="minorHAnsi"/>
                <w:color w:val="000000" w:themeColor="text1"/>
                <w:sz w:val="20"/>
                <w:szCs w:val="20"/>
              </w:rPr>
              <w:t>480</w:t>
            </w:r>
          </w:p>
        </w:tc>
        <w:tc>
          <w:tcPr>
            <w:tcW w:w="617" w:type="pct"/>
            <w:vAlign w:val="center"/>
          </w:tcPr>
          <w:p w14:paraId="4CBE1B7D" w14:textId="4901A33D" w:rsidR="00582A44" w:rsidRPr="00FE7C98" w:rsidRDefault="00582A44"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24</w:t>
            </w:r>
          </w:p>
        </w:tc>
        <w:tc>
          <w:tcPr>
            <w:tcW w:w="578" w:type="pct"/>
            <w:vAlign w:val="center"/>
          </w:tcPr>
          <w:p w14:paraId="34317901" w14:textId="0DE29CA0" w:rsidR="00582A44" w:rsidRPr="00FE7C98" w:rsidRDefault="009A13BA"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8</w:t>
            </w:r>
          </w:p>
        </w:tc>
      </w:tr>
      <w:tr w:rsidR="00240C0E" w:rsidRPr="00E069AC" w14:paraId="68BCDC51" w14:textId="77777777" w:rsidTr="005C77F5">
        <w:trPr>
          <w:trHeight w:val="906"/>
          <w:jc w:val="center"/>
        </w:trPr>
        <w:tc>
          <w:tcPr>
            <w:tcW w:w="1220" w:type="pct"/>
            <w:vAlign w:val="center"/>
          </w:tcPr>
          <w:p w14:paraId="1DFFB950" w14:textId="1AE2C2AD" w:rsidR="00240C0E" w:rsidRPr="00E069AC" w:rsidRDefault="00240C0E" w:rsidP="00582A44">
            <w:pPr>
              <w:spacing w:after="180" w:line="240" w:lineRule="auto"/>
              <w:jc w:val="center"/>
              <w:rPr>
                <w:color w:val="000000" w:themeColor="text1"/>
                <w:sz w:val="20"/>
                <w:szCs w:val="20"/>
              </w:rPr>
            </w:pPr>
            <w:r>
              <w:rPr>
                <w:color w:val="000000" w:themeColor="text1"/>
                <w:sz w:val="20"/>
                <w:szCs w:val="20"/>
              </w:rPr>
              <w:t>Variable</w:t>
            </w:r>
            <w:r w:rsidRPr="00E069AC">
              <w:rPr>
                <w:color w:val="000000" w:themeColor="text1"/>
                <w:sz w:val="20"/>
                <w:szCs w:val="20"/>
              </w:rPr>
              <w:t xml:space="preserve"> Operation and Maintenance Costs (Solution)</w:t>
            </w:r>
          </w:p>
        </w:tc>
        <w:tc>
          <w:tcPr>
            <w:tcW w:w="862" w:type="pct"/>
            <w:vAlign w:val="center"/>
          </w:tcPr>
          <w:p w14:paraId="7674E2C3" w14:textId="11D87FE9" w:rsidR="00240C0E" w:rsidRPr="00E069AC" w:rsidRDefault="00240C0E" w:rsidP="00582A44">
            <w:pPr>
              <w:spacing w:after="180" w:line="240" w:lineRule="auto"/>
              <w:jc w:val="center"/>
              <w:rPr>
                <w:bCs/>
                <w:i/>
                <w:sz w:val="20"/>
                <w:szCs w:val="20"/>
              </w:rPr>
            </w:pPr>
            <w:r w:rsidRPr="00E069AC">
              <w:rPr>
                <w:bCs/>
                <w:i/>
                <w:sz w:val="20"/>
                <w:szCs w:val="20"/>
              </w:rPr>
              <w:t>US$2014/kW</w:t>
            </w:r>
            <w:r>
              <w:rPr>
                <w:bCs/>
                <w:i/>
                <w:sz w:val="20"/>
                <w:szCs w:val="20"/>
              </w:rPr>
              <w:t>h</w:t>
            </w:r>
          </w:p>
        </w:tc>
        <w:tc>
          <w:tcPr>
            <w:tcW w:w="985" w:type="pct"/>
            <w:vAlign w:val="center"/>
          </w:tcPr>
          <w:p w14:paraId="7D2C5596" w14:textId="789D3671" w:rsidR="00240C0E" w:rsidRPr="00FE7C98" w:rsidRDefault="00240C0E" w:rsidP="00582A44">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0.01-0.05</w:t>
            </w:r>
          </w:p>
        </w:tc>
        <w:tc>
          <w:tcPr>
            <w:tcW w:w="738" w:type="pct"/>
            <w:vAlign w:val="center"/>
          </w:tcPr>
          <w:p w14:paraId="28DC5A59" w14:textId="6AB1F088" w:rsidR="00240C0E" w:rsidRPr="00FE7C98" w:rsidRDefault="00240C0E" w:rsidP="00582A44">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0.03</w:t>
            </w:r>
          </w:p>
        </w:tc>
        <w:tc>
          <w:tcPr>
            <w:tcW w:w="617" w:type="pct"/>
            <w:vAlign w:val="center"/>
          </w:tcPr>
          <w:p w14:paraId="2882CFBE" w14:textId="73CF8CBB" w:rsidR="00240C0E" w:rsidRPr="00FE7C98" w:rsidRDefault="00240C0E" w:rsidP="00582A44">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c>
          <w:tcPr>
            <w:tcW w:w="578" w:type="pct"/>
            <w:vAlign w:val="center"/>
          </w:tcPr>
          <w:p w14:paraId="3D686379" w14:textId="11D8A28C" w:rsidR="00240C0E" w:rsidRPr="00FE7C98" w:rsidRDefault="00240C0E" w:rsidP="00582A44">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582A44" w:rsidRPr="00E069AC" w14:paraId="68E96CF2" w14:textId="77777777" w:rsidTr="005C77F5">
        <w:trPr>
          <w:trHeight w:val="906"/>
          <w:jc w:val="center"/>
        </w:trPr>
        <w:tc>
          <w:tcPr>
            <w:tcW w:w="1220" w:type="pct"/>
            <w:vAlign w:val="center"/>
          </w:tcPr>
          <w:p w14:paraId="52BBE090" w14:textId="4E228F1F" w:rsidR="00582A44" w:rsidRPr="00E069AC" w:rsidRDefault="00582A44" w:rsidP="00582A44">
            <w:pPr>
              <w:spacing w:after="180" w:line="240" w:lineRule="auto"/>
              <w:jc w:val="center"/>
              <w:rPr>
                <w:color w:val="000000" w:themeColor="text1"/>
                <w:sz w:val="20"/>
                <w:szCs w:val="20"/>
              </w:rPr>
            </w:pPr>
            <w:r w:rsidRPr="00E069AC">
              <w:rPr>
                <w:color w:val="000000" w:themeColor="text1"/>
                <w:sz w:val="20"/>
                <w:szCs w:val="20"/>
              </w:rPr>
              <w:t>Fixed Operation and Maintenance Costs (Solution)</w:t>
            </w:r>
          </w:p>
        </w:tc>
        <w:tc>
          <w:tcPr>
            <w:tcW w:w="862" w:type="pct"/>
            <w:vAlign w:val="center"/>
          </w:tcPr>
          <w:p w14:paraId="0CA2D7E5" w14:textId="1ED9788C" w:rsidR="00582A44" w:rsidRPr="00E069AC" w:rsidRDefault="00582A44" w:rsidP="00582A44">
            <w:pPr>
              <w:spacing w:after="180" w:line="240" w:lineRule="auto"/>
              <w:jc w:val="center"/>
              <w:rPr>
                <w:bCs/>
                <w:i/>
                <w:sz w:val="20"/>
                <w:szCs w:val="20"/>
              </w:rPr>
            </w:pPr>
            <w:r w:rsidRPr="00E069AC">
              <w:rPr>
                <w:bCs/>
                <w:i/>
                <w:sz w:val="20"/>
                <w:szCs w:val="20"/>
              </w:rPr>
              <w:t>US$2014/kW</w:t>
            </w:r>
          </w:p>
        </w:tc>
        <w:tc>
          <w:tcPr>
            <w:tcW w:w="985" w:type="pct"/>
            <w:vAlign w:val="center"/>
          </w:tcPr>
          <w:p w14:paraId="5E412F07" w14:textId="7008794B" w:rsidR="00582A44" w:rsidRPr="00FE7C98" w:rsidRDefault="009A13BA"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20 – 2</w:t>
            </w:r>
            <w:r w:rsidR="00FE7C98" w:rsidRPr="00FE7C98">
              <w:rPr>
                <w:rFonts w:eastAsia="Helvetica,Times New Roman" w:cstheme="minorHAnsi"/>
                <w:color w:val="000000" w:themeColor="text1"/>
                <w:sz w:val="20"/>
                <w:szCs w:val="20"/>
              </w:rPr>
              <w:t>50.80</w:t>
            </w:r>
          </w:p>
        </w:tc>
        <w:tc>
          <w:tcPr>
            <w:tcW w:w="738" w:type="pct"/>
            <w:vAlign w:val="center"/>
          </w:tcPr>
          <w:p w14:paraId="05B5FA49" w14:textId="3D50BB30" w:rsidR="00582A44" w:rsidRPr="00FE7C98" w:rsidRDefault="00FE7C98"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127.32</w:t>
            </w:r>
          </w:p>
        </w:tc>
        <w:tc>
          <w:tcPr>
            <w:tcW w:w="617" w:type="pct"/>
            <w:vAlign w:val="center"/>
          </w:tcPr>
          <w:p w14:paraId="314F74B9" w14:textId="2A962D64" w:rsidR="00582A44" w:rsidRPr="00FE7C98" w:rsidRDefault="009A13BA"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9</w:t>
            </w:r>
          </w:p>
        </w:tc>
        <w:tc>
          <w:tcPr>
            <w:tcW w:w="578" w:type="pct"/>
            <w:vAlign w:val="center"/>
          </w:tcPr>
          <w:p w14:paraId="503DAB82" w14:textId="5E580CA0" w:rsidR="00582A44" w:rsidRPr="00FE7C98" w:rsidRDefault="009A13BA"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4</w:t>
            </w:r>
          </w:p>
        </w:tc>
      </w:tr>
      <w:tr w:rsidR="00582A44" w:rsidRPr="00E069AC" w14:paraId="795A7166" w14:textId="77777777" w:rsidTr="003774D2">
        <w:trPr>
          <w:trHeight w:val="634"/>
          <w:jc w:val="center"/>
        </w:trPr>
        <w:tc>
          <w:tcPr>
            <w:tcW w:w="1220" w:type="pct"/>
            <w:vAlign w:val="center"/>
          </w:tcPr>
          <w:p w14:paraId="6A093E66" w14:textId="2A7F2C42" w:rsidR="00582A44" w:rsidRPr="00E069AC" w:rsidRDefault="00582A44" w:rsidP="00582A44">
            <w:pPr>
              <w:spacing w:after="180" w:line="240" w:lineRule="auto"/>
              <w:jc w:val="center"/>
              <w:rPr>
                <w:color w:val="000000" w:themeColor="text1"/>
                <w:sz w:val="20"/>
                <w:szCs w:val="20"/>
              </w:rPr>
            </w:pPr>
            <w:r w:rsidRPr="00E069AC">
              <w:rPr>
                <w:color w:val="000000" w:themeColor="text1"/>
                <w:sz w:val="20"/>
                <w:szCs w:val="20"/>
              </w:rPr>
              <w:t>Learning Rate Factor (Solution)</w:t>
            </w:r>
          </w:p>
        </w:tc>
        <w:tc>
          <w:tcPr>
            <w:tcW w:w="862" w:type="pct"/>
            <w:vAlign w:val="center"/>
          </w:tcPr>
          <w:p w14:paraId="7FABD0C1" w14:textId="6BD1AC07" w:rsidR="00582A44" w:rsidRPr="00E069AC" w:rsidRDefault="00582A44" w:rsidP="00582A44">
            <w:pPr>
              <w:spacing w:after="180" w:line="240" w:lineRule="auto"/>
              <w:jc w:val="center"/>
              <w:rPr>
                <w:rStyle w:val="CommentReference"/>
                <w:sz w:val="20"/>
                <w:szCs w:val="20"/>
              </w:rPr>
            </w:pPr>
            <w:r w:rsidRPr="00E069AC">
              <w:rPr>
                <w:rStyle w:val="CommentReference"/>
                <w:sz w:val="20"/>
                <w:szCs w:val="20"/>
              </w:rPr>
              <w:t>%</w:t>
            </w:r>
          </w:p>
        </w:tc>
        <w:tc>
          <w:tcPr>
            <w:tcW w:w="985" w:type="pct"/>
            <w:shd w:val="clear" w:color="auto" w:fill="FFFFFF" w:themeFill="background1"/>
            <w:vAlign w:val="center"/>
          </w:tcPr>
          <w:p w14:paraId="7D74660F" w14:textId="504BFA8A" w:rsidR="00582A44" w:rsidRPr="00FE7C98" w:rsidRDefault="00FE7C98"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4.2</w:t>
            </w:r>
            <w:r w:rsidR="009A13BA" w:rsidRPr="00FE7C98">
              <w:rPr>
                <w:rFonts w:eastAsia="Helvetica,Times New Roman" w:cstheme="minorHAnsi"/>
                <w:color w:val="000000" w:themeColor="text1"/>
                <w:sz w:val="20"/>
                <w:szCs w:val="20"/>
              </w:rPr>
              <w:t xml:space="preserve"> – 1</w:t>
            </w:r>
            <w:r w:rsidRPr="00FE7C98">
              <w:rPr>
                <w:rFonts w:eastAsia="Helvetica,Times New Roman" w:cstheme="minorHAnsi"/>
                <w:color w:val="000000" w:themeColor="text1"/>
                <w:sz w:val="20"/>
                <w:szCs w:val="20"/>
              </w:rPr>
              <w:t>54.1</w:t>
            </w:r>
            <w:r w:rsidR="009A13BA" w:rsidRPr="00FE7C98">
              <w:rPr>
                <w:rFonts w:eastAsia="Helvetica,Times New Roman" w:cstheme="minorHAnsi"/>
                <w:color w:val="000000" w:themeColor="text1"/>
                <w:sz w:val="20"/>
                <w:szCs w:val="20"/>
              </w:rPr>
              <w:t>%</w:t>
            </w:r>
          </w:p>
        </w:tc>
        <w:tc>
          <w:tcPr>
            <w:tcW w:w="738" w:type="pct"/>
            <w:vAlign w:val="center"/>
          </w:tcPr>
          <w:p w14:paraId="757C47A8" w14:textId="23FCD37A" w:rsidR="00582A44" w:rsidRPr="00FE7C98" w:rsidRDefault="00FE7C98" w:rsidP="00582A44">
            <w:pPr>
              <w:spacing w:line="240" w:lineRule="auto"/>
              <w:jc w:val="center"/>
              <w:rPr>
                <w:bCs/>
                <w:sz w:val="20"/>
                <w:szCs w:val="20"/>
              </w:rPr>
            </w:pPr>
            <w:r w:rsidRPr="00FE7C98">
              <w:rPr>
                <w:bCs/>
                <w:sz w:val="20"/>
                <w:szCs w:val="20"/>
              </w:rPr>
              <w:t>9.</w:t>
            </w:r>
            <w:r w:rsidR="00240C0E">
              <w:rPr>
                <w:bCs/>
                <w:sz w:val="20"/>
                <w:szCs w:val="20"/>
              </w:rPr>
              <w:t>65</w:t>
            </w:r>
            <w:r w:rsidR="009A13BA" w:rsidRPr="00FE7C98">
              <w:rPr>
                <w:bCs/>
                <w:sz w:val="20"/>
                <w:szCs w:val="20"/>
              </w:rPr>
              <w:t>%</w:t>
            </w:r>
          </w:p>
        </w:tc>
        <w:tc>
          <w:tcPr>
            <w:tcW w:w="617" w:type="pct"/>
            <w:vAlign w:val="center"/>
          </w:tcPr>
          <w:p w14:paraId="3BD5DBC3" w14:textId="78D6F493" w:rsidR="00582A44" w:rsidRPr="00FE7C98" w:rsidRDefault="00FE7C98"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20</w:t>
            </w:r>
          </w:p>
        </w:tc>
        <w:tc>
          <w:tcPr>
            <w:tcW w:w="578" w:type="pct"/>
            <w:vAlign w:val="center"/>
          </w:tcPr>
          <w:p w14:paraId="165C98B1" w14:textId="45AC4F44" w:rsidR="00582A44" w:rsidRPr="00FE7C98" w:rsidRDefault="00FE7C98" w:rsidP="00582A44">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8</w:t>
            </w:r>
          </w:p>
        </w:tc>
      </w:tr>
    </w:tbl>
    <w:p w14:paraId="74A72420" w14:textId="77777777" w:rsidR="009A13BA" w:rsidRPr="00E069AC" w:rsidRDefault="009A13BA" w:rsidP="00EB247F"/>
    <w:p w14:paraId="56F5BC32" w14:textId="56237CBD" w:rsidR="001D17E8" w:rsidRDefault="00E069AC" w:rsidP="006F6CC3">
      <w:pPr>
        <w:pStyle w:val="Heading3"/>
        <w:numPr>
          <w:ilvl w:val="2"/>
          <w:numId w:val="47"/>
        </w:numPr>
      </w:pPr>
      <w:bookmarkStart w:id="39" w:name="_Toc23613459"/>
      <w:r>
        <w:t>Technical Inputs</w:t>
      </w:r>
      <w:bookmarkEnd w:id="39"/>
    </w:p>
    <w:p w14:paraId="3CE5966B" w14:textId="03DC195F" w:rsidR="000875B5" w:rsidRPr="00E069AC"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40" w:name="_Toc23613086"/>
      <w:r w:rsidRPr="00E069AC">
        <w:t xml:space="preserve">Table </w:t>
      </w:r>
      <w:fldSimple w:instr=" STYLEREF 1 \s ">
        <w:r w:rsidRPr="00E069AC">
          <w:t>2</w:t>
        </w:r>
      </w:fldSimple>
      <w:r w:rsidRPr="00E069AC">
        <w:t>.</w:t>
      </w:r>
      <w:r w:rsidR="00D158BC" w:rsidRPr="00E069AC">
        <w:rPr>
          <w:noProof/>
        </w:rPr>
        <w:fldChar w:fldCharType="begin"/>
      </w:r>
      <w:r w:rsidR="00D158BC" w:rsidRPr="00E069AC">
        <w:rPr>
          <w:noProof/>
        </w:rPr>
        <w:instrText xml:space="preserve"> SEQ Table \* ARABIC \s 1 </w:instrText>
      </w:r>
      <w:r w:rsidR="00D158BC" w:rsidRPr="00E069AC">
        <w:rPr>
          <w:noProof/>
        </w:rPr>
        <w:fldChar w:fldCharType="separate"/>
      </w:r>
      <w:r w:rsidR="00E978D4" w:rsidRPr="00E069AC">
        <w:rPr>
          <w:noProof/>
        </w:rPr>
        <w:t>4</w:t>
      </w:r>
      <w:r w:rsidR="00D158BC" w:rsidRPr="00E069AC">
        <w:rPr>
          <w:noProof/>
        </w:rPr>
        <w:fldChar w:fldCharType="end"/>
      </w:r>
      <w:r w:rsidRPr="00E069AC">
        <w:t xml:space="preserve"> </w:t>
      </w:r>
      <w:r w:rsidR="00BB3767" w:rsidRPr="00E069AC">
        <w:t>Technical Inputs</w:t>
      </w:r>
      <w:r w:rsidR="00E978D4" w:rsidRPr="00E069AC">
        <w:t xml:space="preserve"> Conventional Technologies</w:t>
      </w:r>
      <w:bookmarkEnd w:id="40"/>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E069AC" w14:paraId="6018AB22" w14:textId="77777777" w:rsidTr="005C77F5">
        <w:trPr>
          <w:trHeight w:val="868"/>
          <w:jc w:val="center"/>
        </w:trPr>
        <w:tc>
          <w:tcPr>
            <w:tcW w:w="1992" w:type="dxa"/>
            <w:shd w:val="clear" w:color="auto" w:fill="4F81BD" w:themeFill="accent1"/>
            <w:vAlign w:val="center"/>
          </w:tcPr>
          <w:p w14:paraId="4EC8594B"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602408" w:rsidRPr="00E069AC" w14:paraId="63867CFF" w14:textId="77777777" w:rsidTr="005C77F5">
        <w:trPr>
          <w:trHeight w:val="642"/>
          <w:jc w:val="center"/>
        </w:trPr>
        <w:tc>
          <w:tcPr>
            <w:tcW w:w="1992" w:type="dxa"/>
            <w:vAlign w:val="center"/>
          </w:tcPr>
          <w:p w14:paraId="5BEA9C34" w14:textId="60539F07" w:rsidR="00602408" w:rsidRPr="00E069AC" w:rsidRDefault="00602408" w:rsidP="00602408">
            <w:pPr>
              <w:spacing w:line="240" w:lineRule="auto"/>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4BC5E26B"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7430CF5A" w:rsidR="00602408" w:rsidRPr="00E069AC" w:rsidRDefault="00602408" w:rsidP="0060240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1672E6CF"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172,079</w:t>
            </w:r>
          </w:p>
        </w:tc>
        <w:tc>
          <w:tcPr>
            <w:tcW w:w="1493" w:type="dxa"/>
            <w:vAlign w:val="center"/>
          </w:tcPr>
          <w:p w14:paraId="69B835DE" w14:textId="06FDF9C5"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80" w:type="dxa"/>
            <w:vAlign w:val="center"/>
          </w:tcPr>
          <w:p w14:paraId="5AF77D15" w14:textId="05773262"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602408" w:rsidRPr="00E069AC" w14:paraId="1D67C409" w14:textId="77777777" w:rsidTr="005C77F5">
        <w:trPr>
          <w:trHeight w:val="642"/>
          <w:jc w:val="center"/>
        </w:trPr>
        <w:tc>
          <w:tcPr>
            <w:tcW w:w="1992" w:type="dxa"/>
            <w:vAlign w:val="center"/>
          </w:tcPr>
          <w:p w14:paraId="5ADDAC7F" w14:textId="1F0F549A" w:rsidR="00602408" w:rsidRPr="00E069AC" w:rsidRDefault="00602408" w:rsidP="00602408">
            <w:pPr>
              <w:spacing w:line="240" w:lineRule="auto"/>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28374E73"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033E6016"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DB6DDA0" w14:textId="0A06403C" w:rsidR="00602408" w:rsidRPr="00E069AC" w:rsidRDefault="00602408" w:rsidP="00602408">
            <w:pPr>
              <w:spacing w:line="240" w:lineRule="auto"/>
              <w:jc w:val="center"/>
              <w:rPr>
                <w:bCs/>
                <w:sz w:val="20"/>
                <w:szCs w:val="20"/>
              </w:rPr>
            </w:pPr>
            <w:r w:rsidRPr="00372A3C">
              <w:rPr>
                <w:bCs/>
                <w:sz w:val="20"/>
                <w:szCs w:val="20"/>
              </w:rPr>
              <w:t>4,962</w:t>
            </w:r>
          </w:p>
        </w:tc>
        <w:tc>
          <w:tcPr>
            <w:tcW w:w="1493" w:type="dxa"/>
            <w:vAlign w:val="center"/>
          </w:tcPr>
          <w:p w14:paraId="7B612667" w14:textId="67F04E66"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5B125FB4" w:rsidR="00602408" w:rsidRPr="00E069AC" w:rsidRDefault="00602408" w:rsidP="00602408">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39AA775F" w14:textId="77777777" w:rsidR="009A4D96" w:rsidRDefault="009A4D96" w:rsidP="009A4D96">
      <w:pPr>
        <w:pStyle w:val="Caption"/>
      </w:pPr>
    </w:p>
    <w:p w14:paraId="71759B8A" w14:textId="6259838D" w:rsidR="00E978D4" w:rsidRPr="00E069AC"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41" w:name="_Toc23613087"/>
      <w:r w:rsidRPr="00E069AC">
        <w:t xml:space="preserve">Table </w:t>
      </w:r>
      <w:fldSimple w:instr=" STYLEREF 1 \s ">
        <w:r w:rsidRPr="00E069AC">
          <w:t>2</w:t>
        </w:r>
      </w:fldSimple>
      <w:r w:rsidRPr="00E069AC">
        <w:t>.</w:t>
      </w:r>
      <w:r w:rsidRPr="00E069AC">
        <w:rPr>
          <w:noProof/>
        </w:rPr>
        <w:fldChar w:fldCharType="begin"/>
      </w:r>
      <w:r w:rsidRPr="00E069AC">
        <w:rPr>
          <w:noProof/>
        </w:rPr>
        <w:instrText xml:space="preserve"> SEQ Table \* ARABIC \s 1 </w:instrText>
      </w:r>
      <w:r w:rsidRPr="00E069AC">
        <w:rPr>
          <w:noProof/>
        </w:rPr>
        <w:fldChar w:fldCharType="separate"/>
      </w:r>
      <w:r w:rsidRPr="00E069AC">
        <w:rPr>
          <w:noProof/>
        </w:rPr>
        <w:t>5</w:t>
      </w:r>
      <w:r w:rsidRPr="00E069AC">
        <w:rPr>
          <w:noProof/>
        </w:rPr>
        <w:fldChar w:fldCharType="end"/>
      </w:r>
      <w:r w:rsidRPr="00E069AC">
        <w:t xml:space="preserve"> Technical Inputs Solution</w:t>
      </w:r>
      <w:bookmarkEnd w:id="41"/>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E069AC" w14:paraId="13C00DA5" w14:textId="77777777" w:rsidTr="00E978D4">
        <w:trPr>
          <w:trHeight w:val="591"/>
          <w:jc w:val="center"/>
        </w:trPr>
        <w:tc>
          <w:tcPr>
            <w:tcW w:w="2000" w:type="dxa"/>
            <w:shd w:val="clear" w:color="auto" w:fill="4F81BD" w:themeFill="accent1"/>
            <w:vAlign w:val="center"/>
          </w:tcPr>
          <w:p w14:paraId="348EFAF2" w14:textId="77777777" w:rsidR="00E978D4" w:rsidRPr="00FE7C98" w:rsidRDefault="00E978D4" w:rsidP="009A4D96">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FE7C98" w:rsidRDefault="00E978D4" w:rsidP="009A4D96">
            <w:pPr>
              <w:spacing w:after="180" w:line="240" w:lineRule="auto"/>
              <w:jc w:val="center"/>
              <w:rPr>
                <w:b/>
                <w:bCs/>
                <w:color w:val="FFFFFF" w:themeColor="background1"/>
                <w:sz w:val="20"/>
                <w:szCs w:val="20"/>
              </w:rPr>
            </w:pPr>
            <w:r w:rsidRPr="00FE7C98">
              <w:rPr>
                <w:b/>
                <w:bCs/>
                <w:color w:val="FFFFFF" w:themeColor="background1"/>
                <w:sz w:val="20"/>
                <w:szCs w:val="20"/>
              </w:rPr>
              <w:t>Units</w:t>
            </w:r>
          </w:p>
        </w:tc>
        <w:tc>
          <w:tcPr>
            <w:tcW w:w="1701" w:type="dxa"/>
            <w:shd w:val="clear" w:color="auto" w:fill="4F81BD" w:themeFill="accent1"/>
            <w:vAlign w:val="center"/>
          </w:tcPr>
          <w:p w14:paraId="1ADF41EE" w14:textId="77777777" w:rsidR="00E978D4" w:rsidRPr="00FE7C98" w:rsidRDefault="00E978D4" w:rsidP="009A4D96">
            <w:pPr>
              <w:spacing w:after="180" w:line="240" w:lineRule="auto"/>
              <w:jc w:val="center"/>
              <w:rPr>
                <w:b/>
                <w:bCs/>
                <w:color w:val="FFFFFF" w:themeColor="background1"/>
                <w:sz w:val="20"/>
                <w:szCs w:val="20"/>
              </w:rPr>
            </w:pPr>
            <w:r w:rsidRPr="00FE7C98">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E978D4" w:rsidRPr="00FE7C98" w:rsidRDefault="00E978D4" w:rsidP="009A4D96">
            <w:pPr>
              <w:spacing w:after="180" w:line="240" w:lineRule="auto"/>
              <w:jc w:val="center"/>
              <w:rPr>
                <w:b/>
                <w:bCs/>
                <w:color w:val="FFFFFF" w:themeColor="background1"/>
                <w:sz w:val="20"/>
                <w:szCs w:val="20"/>
              </w:rPr>
            </w:pPr>
            <w:r w:rsidRPr="00FE7C98">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FE7C98" w:rsidRDefault="00E978D4" w:rsidP="009A4D96">
            <w:pPr>
              <w:spacing w:after="180" w:line="240" w:lineRule="auto"/>
              <w:jc w:val="center"/>
              <w:rPr>
                <w:b/>
                <w:bCs/>
                <w:color w:val="FFFFFF" w:themeColor="background1"/>
                <w:sz w:val="20"/>
                <w:szCs w:val="20"/>
              </w:rPr>
            </w:pPr>
            <w:r w:rsidRPr="00FE7C98">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FE7C98" w:rsidRDefault="00E978D4" w:rsidP="009A4D96">
            <w:pPr>
              <w:spacing w:after="180" w:line="240" w:lineRule="auto"/>
              <w:jc w:val="center"/>
              <w:rPr>
                <w:b/>
                <w:bCs/>
                <w:color w:val="FFFFFF" w:themeColor="background1"/>
                <w:sz w:val="20"/>
                <w:szCs w:val="20"/>
              </w:rPr>
            </w:pPr>
            <w:r w:rsidRPr="00FE7C98">
              <w:rPr>
                <w:b/>
                <w:bCs/>
                <w:color w:val="FFFFFF" w:themeColor="background1"/>
                <w:sz w:val="20"/>
                <w:szCs w:val="20"/>
              </w:rPr>
              <w:t>Sources (#)</w:t>
            </w:r>
          </w:p>
        </w:tc>
      </w:tr>
      <w:tr w:rsidR="009A13BA" w:rsidRPr="00E069AC" w14:paraId="2548B369" w14:textId="77777777" w:rsidTr="00E978D4">
        <w:trPr>
          <w:trHeight w:val="437"/>
          <w:jc w:val="center"/>
        </w:trPr>
        <w:tc>
          <w:tcPr>
            <w:tcW w:w="2000" w:type="dxa"/>
            <w:vAlign w:val="center"/>
          </w:tcPr>
          <w:p w14:paraId="2EC1FD42" w14:textId="7845BD20" w:rsidR="009A13BA" w:rsidRPr="00FE7C98" w:rsidRDefault="009A13BA" w:rsidP="009A13BA">
            <w:pPr>
              <w:spacing w:line="240" w:lineRule="auto"/>
              <w:jc w:val="center"/>
              <w:rPr>
                <w:bCs/>
                <w:sz w:val="20"/>
                <w:szCs w:val="20"/>
              </w:rPr>
            </w:pPr>
            <w:r w:rsidRPr="00FE7C98">
              <w:rPr>
                <w:bCs/>
                <w:sz w:val="20"/>
                <w:szCs w:val="20"/>
              </w:rPr>
              <w:t>Lifetime Capacity (Solution)</w:t>
            </w:r>
          </w:p>
        </w:tc>
        <w:tc>
          <w:tcPr>
            <w:tcW w:w="1316" w:type="dxa"/>
            <w:vAlign w:val="center"/>
          </w:tcPr>
          <w:p w14:paraId="631D90A3" w14:textId="26757714" w:rsidR="009A13BA" w:rsidRPr="00FE7C98" w:rsidRDefault="009A13BA" w:rsidP="009A13BA">
            <w:pPr>
              <w:spacing w:after="180" w:line="240" w:lineRule="auto"/>
              <w:jc w:val="center"/>
              <w:rPr>
                <w:bCs/>
                <w:i/>
                <w:color w:val="000000" w:themeColor="text1"/>
                <w:sz w:val="20"/>
                <w:szCs w:val="20"/>
              </w:rPr>
            </w:pPr>
            <w:r w:rsidRPr="00FE7C98">
              <w:rPr>
                <w:bCs/>
                <w:i/>
                <w:color w:val="000000" w:themeColor="text1"/>
                <w:sz w:val="20"/>
                <w:szCs w:val="20"/>
              </w:rPr>
              <w:t>hours</w:t>
            </w:r>
          </w:p>
        </w:tc>
        <w:tc>
          <w:tcPr>
            <w:tcW w:w="1701" w:type="dxa"/>
            <w:vAlign w:val="center"/>
          </w:tcPr>
          <w:p w14:paraId="004297E2" w14:textId="179D2BE3" w:rsidR="009A13BA" w:rsidRPr="00FE7C98" w:rsidRDefault="00FE7C98"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24,328-35,404</w:t>
            </w:r>
          </w:p>
        </w:tc>
        <w:tc>
          <w:tcPr>
            <w:tcW w:w="1698" w:type="dxa"/>
            <w:vAlign w:val="center"/>
          </w:tcPr>
          <w:p w14:paraId="15C96457" w14:textId="4A62A89E" w:rsidR="009A13BA" w:rsidRPr="00FE7C98" w:rsidRDefault="00FE7C98"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29,866</w:t>
            </w:r>
          </w:p>
        </w:tc>
        <w:tc>
          <w:tcPr>
            <w:tcW w:w="1499" w:type="dxa"/>
            <w:vAlign w:val="center"/>
          </w:tcPr>
          <w:p w14:paraId="6A1B09AA" w14:textId="3458AE41" w:rsidR="009A13BA" w:rsidRPr="00FE7C98" w:rsidRDefault="009A13BA"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7</w:t>
            </w:r>
          </w:p>
        </w:tc>
        <w:tc>
          <w:tcPr>
            <w:tcW w:w="1386" w:type="dxa"/>
            <w:vAlign w:val="center"/>
          </w:tcPr>
          <w:p w14:paraId="2A4E9F79" w14:textId="7E2DA6D2" w:rsidR="009A13BA" w:rsidRPr="00FE7C98" w:rsidRDefault="00C42FD0"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3</w:t>
            </w:r>
          </w:p>
        </w:tc>
      </w:tr>
      <w:tr w:rsidR="009A13BA" w:rsidRPr="00E069AC" w14:paraId="39F7350C" w14:textId="77777777" w:rsidTr="00E978D4">
        <w:trPr>
          <w:trHeight w:val="307"/>
          <w:jc w:val="center"/>
        </w:trPr>
        <w:tc>
          <w:tcPr>
            <w:tcW w:w="2000" w:type="dxa"/>
            <w:vAlign w:val="center"/>
          </w:tcPr>
          <w:p w14:paraId="631AF332" w14:textId="14566975" w:rsidR="009A13BA" w:rsidRPr="00FE7C98" w:rsidRDefault="009A13BA" w:rsidP="009A13BA">
            <w:pPr>
              <w:spacing w:line="240" w:lineRule="auto"/>
              <w:jc w:val="center"/>
              <w:rPr>
                <w:bCs/>
                <w:sz w:val="20"/>
                <w:szCs w:val="20"/>
              </w:rPr>
            </w:pPr>
            <w:r w:rsidRPr="00FE7C98">
              <w:rPr>
                <w:bCs/>
                <w:sz w:val="20"/>
                <w:szCs w:val="20"/>
              </w:rPr>
              <w:t>Average Annual Use (Solution)</w:t>
            </w:r>
          </w:p>
        </w:tc>
        <w:tc>
          <w:tcPr>
            <w:tcW w:w="1316" w:type="dxa"/>
            <w:vAlign w:val="center"/>
          </w:tcPr>
          <w:p w14:paraId="1BF0B45C" w14:textId="52186B8B" w:rsidR="009A13BA" w:rsidRPr="00FE7C98" w:rsidRDefault="009A13BA" w:rsidP="009A13BA">
            <w:pPr>
              <w:spacing w:after="180" w:line="240" w:lineRule="auto"/>
              <w:jc w:val="center"/>
              <w:rPr>
                <w:bCs/>
                <w:i/>
                <w:color w:val="000000" w:themeColor="text1"/>
                <w:sz w:val="20"/>
                <w:szCs w:val="20"/>
              </w:rPr>
            </w:pPr>
            <w:r w:rsidRPr="00FE7C98">
              <w:rPr>
                <w:bCs/>
                <w:i/>
                <w:color w:val="000000" w:themeColor="text1"/>
                <w:sz w:val="20"/>
                <w:szCs w:val="20"/>
              </w:rPr>
              <w:t>hours</w:t>
            </w:r>
          </w:p>
        </w:tc>
        <w:tc>
          <w:tcPr>
            <w:tcW w:w="1701" w:type="dxa"/>
            <w:vAlign w:val="center"/>
          </w:tcPr>
          <w:p w14:paraId="7C43F62D" w14:textId="06B66CD4" w:rsidR="009A13BA" w:rsidRPr="00FE7C98" w:rsidRDefault="004775A5"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910 – 2,131</w:t>
            </w:r>
          </w:p>
        </w:tc>
        <w:tc>
          <w:tcPr>
            <w:tcW w:w="1698" w:type="dxa"/>
            <w:vAlign w:val="center"/>
          </w:tcPr>
          <w:p w14:paraId="5648047F" w14:textId="7ADED377" w:rsidR="009A13BA" w:rsidRPr="00FE7C98" w:rsidRDefault="004775A5"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1,</w:t>
            </w:r>
            <w:r w:rsidR="00FE7C98" w:rsidRPr="00FE7C98">
              <w:rPr>
                <w:rFonts w:eastAsia="Helvetica,Times New Roman" w:cstheme="minorHAnsi"/>
                <w:color w:val="000000" w:themeColor="text1"/>
                <w:sz w:val="20"/>
                <w:szCs w:val="20"/>
              </w:rPr>
              <w:t>520</w:t>
            </w:r>
          </w:p>
        </w:tc>
        <w:tc>
          <w:tcPr>
            <w:tcW w:w="1499" w:type="dxa"/>
            <w:vAlign w:val="center"/>
          </w:tcPr>
          <w:p w14:paraId="23E1688F" w14:textId="07E0B0FA" w:rsidR="009A13BA" w:rsidRPr="00FE7C98" w:rsidRDefault="00CB7B15"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36</w:t>
            </w:r>
          </w:p>
        </w:tc>
        <w:tc>
          <w:tcPr>
            <w:tcW w:w="1386" w:type="dxa"/>
            <w:vAlign w:val="center"/>
          </w:tcPr>
          <w:p w14:paraId="1975096C" w14:textId="51F2133E" w:rsidR="009A13BA" w:rsidRPr="00FE7C98" w:rsidRDefault="00CB7B15" w:rsidP="009A13BA">
            <w:pPr>
              <w:spacing w:after="180" w:line="240" w:lineRule="auto"/>
              <w:jc w:val="center"/>
              <w:rPr>
                <w:rFonts w:eastAsia="Helvetica,Times New Roman" w:cstheme="minorHAnsi"/>
                <w:color w:val="000000" w:themeColor="text1"/>
                <w:sz w:val="20"/>
                <w:szCs w:val="20"/>
              </w:rPr>
            </w:pPr>
            <w:r w:rsidRPr="00FE7C98">
              <w:rPr>
                <w:rFonts w:eastAsia="Helvetica,Times New Roman" w:cstheme="minorHAnsi"/>
                <w:color w:val="000000" w:themeColor="text1"/>
                <w:sz w:val="20"/>
                <w:szCs w:val="20"/>
              </w:rPr>
              <w:t>9</w:t>
            </w:r>
          </w:p>
        </w:tc>
      </w:tr>
    </w:tbl>
    <w:p w14:paraId="3F927A96" w14:textId="77777777" w:rsidR="00E978D4" w:rsidRPr="00E069AC" w:rsidRDefault="00E978D4" w:rsidP="00EB247F">
      <w:pPr>
        <w:spacing w:after="0"/>
        <w:rPr>
          <w:bCs/>
        </w:rPr>
      </w:pPr>
    </w:p>
    <w:p w14:paraId="4E32D218" w14:textId="050DAA88" w:rsidR="00B144E5" w:rsidRPr="00E069AC" w:rsidRDefault="00E069AC" w:rsidP="006F6CC3">
      <w:pPr>
        <w:pStyle w:val="Heading2"/>
        <w:numPr>
          <w:ilvl w:val="1"/>
          <w:numId w:val="47"/>
        </w:numPr>
      </w:pPr>
      <w:bookmarkStart w:id="42" w:name="_Toc23613460"/>
      <w:r>
        <w:t>Assumptions</w:t>
      </w:r>
      <w:bookmarkEnd w:id="42"/>
    </w:p>
    <w:p w14:paraId="3B68B17E" w14:textId="77777777" w:rsidR="005D2B01" w:rsidRPr="005D2B01" w:rsidRDefault="005D2B01" w:rsidP="005D2B01">
      <w:pPr>
        <w:spacing w:after="240"/>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5D2B01">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5D2B01">
        <w:rPr>
          <w:rFonts w:cs="Times New Roman"/>
          <w:color w:val="000000" w:themeColor="text1"/>
        </w:rPr>
        <w:t>below.</w:t>
      </w:r>
    </w:p>
    <w:p w14:paraId="7E8D104A" w14:textId="09420077" w:rsidR="005F219E" w:rsidRPr="003774D2" w:rsidRDefault="005F219E" w:rsidP="005F219E">
      <w:pPr>
        <w:numPr>
          <w:ilvl w:val="0"/>
          <w:numId w:val="10"/>
        </w:numPr>
        <w:ind w:left="360"/>
        <w:rPr>
          <w:rFonts w:cs="Times New Roman"/>
          <w:bCs/>
        </w:rPr>
      </w:pPr>
      <w:r w:rsidRPr="003774D2">
        <w:rPr>
          <w:rFonts w:cs="Times New Roman"/>
          <w:bCs/>
        </w:rPr>
        <w:t>Several</w:t>
      </w:r>
      <w:r w:rsidRPr="003774D2">
        <w:rPr>
          <w:rFonts w:cstheme="minorHAnsi"/>
          <w:bCs/>
        </w:rPr>
        <w:t xml:space="preserve"> adoption scenarios linked the growth of MWT with utility scale onshore wind. It is true that the MWT industry has size restrictions that the utility wind industry does not have, but MWT uses essentially the same technology as the utility </w:t>
      </w:r>
      <w:r w:rsidR="00EC7ABB">
        <w:rPr>
          <w:rFonts w:cstheme="minorHAnsi"/>
          <w:bCs/>
        </w:rPr>
        <w:t xml:space="preserve">onshore </w:t>
      </w:r>
      <w:r w:rsidRPr="003774D2">
        <w:rPr>
          <w:rFonts w:cstheme="minorHAnsi"/>
          <w:bCs/>
        </w:rPr>
        <w:t xml:space="preserve">wind industry, but on a </w:t>
      </w:r>
      <w:r w:rsidR="00EC7ABB">
        <w:rPr>
          <w:rFonts w:cstheme="minorHAnsi"/>
          <w:bCs/>
        </w:rPr>
        <w:t xml:space="preserve">much </w:t>
      </w:r>
      <w:r w:rsidRPr="003774D2">
        <w:rPr>
          <w:rFonts w:cstheme="minorHAnsi"/>
          <w:bCs/>
        </w:rPr>
        <w:t>smaller scale.</w:t>
      </w:r>
    </w:p>
    <w:p w14:paraId="3D3A1E72" w14:textId="3C05B3B6" w:rsidR="004D1C69" w:rsidRDefault="00D04FB5" w:rsidP="005F219E">
      <w:pPr>
        <w:numPr>
          <w:ilvl w:val="0"/>
          <w:numId w:val="10"/>
        </w:numPr>
        <w:ind w:left="357" w:hanging="357"/>
        <w:rPr>
          <w:rFonts w:cstheme="minorHAnsi"/>
          <w:bCs/>
        </w:rPr>
      </w:pPr>
      <w:r>
        <w:rPr>
          <w:rFonts w:cstheme="minorHAnsi"/>
          <w:bCs/>
        </w:rPr>
        <w:t xml:space="preserve"> MWT c</w:t>
      </w:r>
      <w:r w:rsidR="00825FDD">
        <w:rPr>
          <w:rFonts w:cstheme="minorHAnsi"/>
          <w:bCs/>
        </w:rPr>
        <w:t>apacity</w:t>
      </w:r>
      <w:r>
        <w:rPr>
          <w:rFonts w:cstheme="minorHAnsi"/>
          <w:bCs/>
        </w:rPr>
        <w:t xml:space="preserve"> adoption </w:t>
      </w:r>
      <w:r w:rsidR="00825FDD">
        <w:rPr>
          <w:rFonts w:cstheme="minorHAnsi"/>
          <w:bCs/>
        </w:rPr>
        <w:t>data</w:t>
      </w:r>
      <w:r>
        <w:rPr>
          <w:rFonts w:cstheme="minorHAnsi"/>
          <w:bCs/>
        </w:rPr>
        <w:t xml:space="preserve"> for 2014-2015</w:t>
      </w:r>
      <w:r w:rsidR="00825FDD">
        <w:rPr>
          <w:rFonts w:cstheme="minorHAnsi"/>
          <w:bCs/>
        </w:rPr>
        <w:t xml:space="preserve"> </w:t>
      </w:r>
      <w:r w:rsidR="005F219E" w:rsidRPr="003774D2">
        <w:rPr>
          <w:rFonts w:cstheme="minorHAnsi"/>
          <w:bCs/>
        </w:rPr>
        <w:t xml:space="preserve"> from the S</w:t>
      </w:r>
      <w:r w:rsidR="00EC7ABB">
        <w:rPr>
          <w:rFonts w:cstheme="minorHAnsi"/>
          <w:bCs/>
        </w:rPr>
        <w:t xml:space="preserve">mall </w:t>
      </w:r>
      <w:r w:rsidR="005F219E" w:rsidRPr="003774D2">
        <w:rPr>
          <w:rFonts w:cstheme="minorHAnsi"/>
          <w:bCs/>
        </w:rPr>
        <w:t>W</w:t>
      </w:r>
      <w:r w:rsidR="00EC7ABB">
        <w:rPr>
          <w:rFonts w:cstheme="minorHAnsi"/>
          <w:bCs/>
        </w:rPr>
        <w:t xml:space="preserve">orld </w:t>
      </w:r>
      <w:r w:rsidR="005F219E" w:rsidRPr="003774D2">
        <w:rPr>
          <w:rFonts w:cstheme="minorHAnsi"/>
          <w:bCs/>
        </w:rPr>
        <w:t>W</w:t>
      </w:r>
      <w:r w:rsidR="00EC7ABB">
        <w:rPr>
          <w:rFonts w:cstheme="minorHAnsi"/>
          <w:bCs/>
        </w:rPr>
        <w:t xml:space="preserve">ind </w:t>
      </w:r>
      <w:r w:rsidR="005F219E" w:rsidRPr="003774D2">
        <w:rPr>
          <w:rFonts w:cstheme="minorHAnsi"/>
          <w:bCs/>
        </w:rPr>
        <w:t>R</w:t>
      </w:r>
      <w:r w:rsidR="00EC7ABB">
        <w:rPr>
          <w:rFonts w:cstheme="minorHAnsi"/>
          <w:bCs/>
        </w:rPr>
        <w:t>eport</w:t>
      </w:r>
      <w:r w:rsidR="00825FDD">
        <w:rPr>
          <w:rFonts w:cstheme="minorHAnsi"/>
          <w:bCs/>
        </w:rPr>
        <w:t>s</w:t>
      </w:r>
      <w:r w:rsidR="00CB39D6">
        <w:rPr>
          <w:rFonts w:cstheme="minorHAnsi"/>
          <w:bCs/>
        </w:rPr>
        <w:t xml:space="preserve"> (WWEA, 2015, 2016</w:t>
      </w:r>
      <w:r w:rsidR="00EC7ABB">
        <w:rPr>
          <w:rFonts w:cstheme="minorHAnsi"/>
          <w:bCs/>
        </w:rPr>
        <w:t>, 2017</w:t>
      </w:r>
      <w:r w:rsidR="00CB39D6">
        <w:rPr>
          <w:rFonts w:cstheme="minorHAnsi"/>
          <w:bCs/>
        </w:rPr>
        <w:t>)</w:t>
      </w:r>
      <w:r>
        <w:rPr>
          <w:rFonts w:cstheme="minorHAnsi"/>
          <w:bCs/>
        </w:rPr>
        <w:t xml:space="preserve">, while the 2012, 2013, and 2016 capacity adoption data were collected from the records of Statista (2019). It was assumed that the estimated model’s average capacity factor of 17% is constant for </w:t>
      </w:r>
      <w:r w:rsidR="004D1C69">
        <w:rPr>
          <w:rFonts w:cstheme="minorHAnsi"/>
          <w:bCs/>
        </w:rPr>
        <w:t xml:space="preserve">all the </w:t>
      </w:r>
      <w:r>
        <w:rPr>
          <w:rFonts w:cstheme="minorHAnsi"/>
          <w:bCs/>
        </w:rPr>
        <w:t>years, and therefore was used to convert the capacity adoption</w:t>
      </w:r>
      <w:r w:rsidR="004D1C69">
        <w:rPr>
          <w:rFonts w:cstheme="minorHAnsi"/>
          <w:bCs/>
        </w:rPr>
        <w:t xml:space="preserve"> (kW)</w:t>
      </w:r>
      <w:r>
        <w:rPr>
          <w:rFonts w:cstheme="minorHAnsi"/>
          <w:bCs/>
        </w:rPr>
        <w:t xml:space="preserve"> to adoption in functional unit</w:t>
      </w:r>
      <w:r w:rsidR="004D1C69">
        <w:rPr>
          <w:rFonts w:cstheme="minorHAnsi"/>
          <w:bCs/>
        </w:rPr>
        <w:t xml:space="preserve"> (TWh)</w:t>
      </w:r>
      <w:r>
        <w:rPr>
          <w:rFonts w:cstheme="minorHAnsi"/>
          <w:bCs/>
        </w:rPr>
        <w:t xml:space="preserve">. These estimated (2012 - 2016) were then </w:t>
      </w:r>
      <w:r w:rsidR="004D1C69">
        <w:rPr>
          <w:rFonts w:cstheme="minorHAnsi"/>
          <w:bCs/>
        </w:rPr>
        <w:t>prognosticated till 2050, and future updates could be made as more historical data becomes available.</w:t>
      </w:r>
    </w:p>
    <w:p w14:paraId="41CC1F77" w14:textId="1F94D84E" w:rsidR="002C20C8" w:rsidRDefault="002C20C8" w:rsidP="005F219E">
      <w:pPr>
        <w:numPr>
          <w:ilvl w:val="0"/>
          <w:numId w:val="10"/>
        </w:numPr>
        <w:ind w:left="357" w:hanging="357"/>
        <w:rPr>
          <w:rFonts w:cstheme="minorHAnsi"/>
          <w:bCs/>
        </w:rPr>
      </w:pPr>
      <w:r>
        <w:rPr>
          <w:rFonts w:cstheme="minorHAnsi"/>
          <w:bCs/>
        </w:rPr>
        <w:t>The</w:t>
      </w:r>
      <w:r w:rsidRPr="00587538">
        <w:rPr>
          <w:rFonts w:cstheme="minorHAnsi"/>
          <w:bCs/>
        </w:rPr>
        <w:t xml:space="preserve"> climate mitigation potential calculations</w:t>
      </w:r>
      <w:r>
        <w:rPr>
          <w:rFonts w:cstheme="minorHAnsi"/>
          <w:bCs/>
        </w:rPr>
        <w:t xml:space="preserve"> in the RRS model</w:t>
      </w:r>
      <w:r w:rsidRPr="00587538">
        <w:rPr>
          <w:rFonts w:cstheme="minorHAnsi"/>
          <w:bCs/>
        </w:rPr>
        <w:t xml:space="preserve"> assumed that the energy generated by MWTs replaced the electricity generated by the grid. It must be stated here that MWTs in many locations are used as stand-alone systems. It is unlikely that the grid will reach all of these locations in the time period that the model considers and therefore MWTs are not a ‘replacement’ for the grid in all regions.</w:t>
      </w:r>
    </w:p>
    <w:p w14:paraId="04FBF2E3" w14:textId="412B6782" w:rsidR="009D118F" w:rsidRPr="00E069AC" w:rsidRDefault="551A77D0" w:rsidP="006F6CC3">
      <w:pPr>
        <w:pStyle w:val="Heading2"/>
        <w:numPr>
          <w:ilvl w:val="1"/>
          <w:numId w:val="47"/>
        </w:numPr>
      </w:pPr>
      <w:bookmarkStart w:id="43" w:name="_Toc23613461"/>
      <w:r w:rsidRPr="00E069AC">
        <w:t>I</w:t>
      </w:r>
      <w:r w:rsidR="00E069AC">
        <w:t>ntegration</w:t>
      </w:r>
      <w:bookmarkEnd w:id="43"/>
    </w:p>
    <w:p w14:paraId="40B0D509" w14:textId="748705C6" w:rsidR="00F61DCA" w:rsidRPr="00E069AC" w:rsidRDefault="00F61DCA" w:rsidP="00EB247F">
      <w:r w:rsidRPr="00E069AC">
        <w:t xml:space="preserve">The complete Project Drawdown integration documentation </w:t>
      </w:r>
      <w:r w:rsidR="00B6183A" w:rsidRPr="00E069AC">
        <w:t xml:space="preserve">with </w:t>
      </w:r>
      <w:r w:rsidR="008006D0" w:rsidRPr="00E069AC">
        <w:t>details on</w:t>
      </w:r>
      <w:r w:rsidRPr="00E069AC">
        <w:t xml:space="preserve"> how all solution models in each </w:t>
      </w:r>
      <w:r w:rsidRPr="009A4D96">
        <w:t>sector are integrated, and how sectors are integrated to form a complete system</w:t>
      </w:r>
      <w:r w:rsidR="008006D0" w:rsidRPr="009A4D96">
        <w:t xml:space="preserve"> will be available at </w:t>
      </w:r>
      <w:hyperlink r:id="rId23" w:history="1">
        <w:r w:rsidR="008006D0" w:rsidRPr="009A4D96">
          <w:rPr>
            <w:rStyle w:val="Hyperlink"/>
            <w:color w:val="auto"/>
          </w:rPr>
          <w:t>www.drawdown.org</w:t>
        </w:r>
      </w:hyperlink>
      <w:r w:rsidRPr="009A4D96">
        <w:t xml:space="preserve">. Those general notes are excluded from this document but should be referenced for a complete understanding of </w:t>
      </w:r>
      <w:r w:rsidRPr="00E069AC">
        <w:t>the integration process. Only key elements of the integration process that are needed to understand how this solution fits into the entire system are described here.</w:t>
      </w:r>
    </w:p>
    <w:p w14:paraId="6E8EB265" w14:textId="15BE491C" w:rsidR="002A4E84" w:rsidRPr="00E069AC" w:rsidRDefault="00F61DCA" w:rsidP="00EB247F">
      <w:r w:rsidRPr="00E069AC">
        <w:t>Therefore, t</w:t>
      </w:r>
      <w:r w:rsidR="002A4E84" w:rsidRPr="00E069AC">
        <w:t>he data derived from individual solutions models was then inputted into sector-level integration models to generate final results for all solutions within a global system. The links between this sector and all the others is important, but major interactions occur with energy demand-side sectors like Transport and Buildings and Cities.</w:t>
      </w:r>
    </w:p>
    <w:p w14:paraId="10D2FF27" w14:textId="0A07A81C" w:rsidR="002A4E84" w:rsidRPr="00E069AC" w:rsidRDefault="009D118F" w:rsidP="00EB247F">
      <w:r w:rsidRPr="00E069AC">
        <w:t xml:space="preserve">Through the process of integrating </w:t>
      </w:r>
      <w:r w:rsidR="003774D2">
        <w:t>micro wind turbines</w:t>
      </w:r>
      <w:r w:rsidRPr="00E069AC">
        <w:t xml:space="preserve"> with other solutions, the total addressable market for electricity generation technologies was adjusted to account for reduced demand resulting from the growth of more energy-effi</w:t>
      </w:r>
      <w:r w:rsidR="00F4258D">
        <w:t>cient technologies (for example</w:t>
      </w:r>
      <w:r w:rsidRPr="00E069AC">
        <w:t xml:space="preserv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0ED84BEA" w14:textId="53A78589" w:rsidR="009D118F" w:rsidRPr="00E069AC" w:rsidRDefault="00E069AC" w:rsidP="006F6CC3">
      <w:pPr>
        <w:pStyle w:val="Heading2"/>
        <w:numPr>
          <w:ilvl w:val="1"/>
          <w:numId w:val="47"/>
        </w:numPr>
      </w:pPr>
      <w:bookmarkStart w:id="44" w:name="_Toc23613462"/>
      <w:r>
        <w:t>Limitations / Further Developments</w:t>
      </w:r>
      <w:bookmarkEnd w:id="44"/>
    </w:p>
    <w:p w14:paraId="22162937" w14:textId="7409BF36" w:rsidR="003A4CBC" w:rsidRPr="003774D2" w:rsidRDefault="0002536D" w:rsidP="00EB247F">
      <w:r w:rsidRPr="003774D2">
        <w:t>T</w:t>
      </w:r>
      <w:r w:rsidR="00DE33AF" w:rsidRPr="003774D2">
        <w:t xml:space="preserve">he RRS </w:t>
      </w:r>
      <w:r w:rsidR="003A4CBC" w:rsidRPr="003774D2">
        <w:t xml:space="preserve">model holds a number of factors constant in order to keep global-scale modeling from becoming too complex, but </w:t>
      </w:r>
      <w:r w:rsidR="00DE33AF" w:rsidRPr="003774D2">
        <w:t>it is</w:t>
      </w:r>
      <w:r w:rsidR="003A4CBC" w:rsidRPr="003774D2">
        <w:t xml:space="preserve"> acknowledge</w:t>
      </w:r>
      <w:r w:rsidR="00DE33AF" w:rsidRPr="003774D2">
        <w:t>d</w:t>
      </w:r>
      <w:r w:rsidR="003A4CBC" w:rsidRPr="003774D2">
        <w:t xml:space="preserve"> that many of these factors, including prices of fuel and operating costs for conventional electricity, could change considerably over the period of analysis</w:t>
      </w:r>
      <w:r w:rsidR="004775A5">
        <w:t>, and at agency level</w:t>
      </w:r>
      <w:r w:rsidR="003A4CBC" w:rsidRPr="003774D2">
        <w:t>.</w:t>
      </w:r>
    </w:p>
    <w:p w14:paraId="46A65B98" w14:textId="3792873F" w:rsidR="003A4CBC" w:rsidRPr="003774D2" w:rsidRDefault="00DE33AF" w:rsidP="00EB247F">
      <w:r w:rsidRPr="003774D2">
        <w:t>The RRS</w:t>
      </w:r>
      <w:r w:rsidR="003A4CBC" w:rsidRPr="003774D2">
        <w:t xml:space="preserve"> model</w:t>
      </w:r>
      <w:r w:rsidR="003774D2" w:rsidRPr="003774D2">
        <w:t xml:space="preserve"> adoption scenarios used</w:t>
      </w:r>
      <w:r w:rsidR="003A4CBC" w:rsidRPr="003774D2">
        <w:t xml:space="preserve"> </w:t>
      </w:r>
      <w:r w:rsidR="003774D2" w:rsidRPr="003774D2">
        <w:t>are</w:t>
      </w:r>
      <w:r w:rsidR="003A4CBC" w:rsidRPr="003774D2">
        <w:t xml:space="preserve"> also based on a critical assumption about the percentage of </w:t>
      </w:r>
      <w:r w:rsidR="003774D2" w:rsidRPr="003774D2">
        <w:t>micro wind turbine linked to utility scale wind onshore adoption scenarios.</w:t>
      </w:r>
    </w:p>
    <w:p w14:paraId="6EAA741F" w14:textId="5FBED512" w:rsidR="00B70374" w:rsidRDefault="00B70374" w:rsidP="00EB247F">
      <w:r w:rsidRPr="003774D2">
        <w:t xml:space="preserve">Another critical assumption that is made on the RRS </w:t>
      </w:r>
      <w:r w:rsidR="003774D2" w:rsidRPr="003774D2">
        <w:t>model results</w:t>
      </w:r>
      <w:r w:rsidRPr="003774D2">
        <w:t xml:space="preserve"> is that all </w:t>
      </w:r>
      <w:r w:rsidR="003774D2" w:rsidRPr="003774D2">
        <w:t>micro wind</w:t>
      </w:r>
      <w:r w:rsidRPr="003774D2">
        <w:t xml:space="preserve"> systems replaces electricity from the grid. This needs further refinement</w:t>
      </w:r>
      <w:r w:rsidR="0098082B" w:rsidRPr="003774D2">
        <w:t xml:space="preserve"> but is seen as a conservative approach</w:t>
      </w:r>
      <w:r w:rsidRPr="003774D2">
        <w:t xml:space="preserve">, as the grid do not reach all places where </w:t>
      </w:r>
      <w:r w:rsidR="003774D2" w:rsidRPr="003774D2">
        <w:t>MWT</w:t>
      </w:r>
      <w:r w:rsidRPr="003774D2">
        <w:t xml:space="preserve"> systems can be deployed within the timeframe considered by the model. Indeed, in some places it replaces energy from diesel generators which means that the GHG savings of </w:t>
      </w:r>
      <w:r w:rsidR="003774D2" w:rsidRPr="003774D2">
        <w:t xml:space="preserve">micro wind turbines implementation </w:t>
      </w:r>
      <w:r w:rsidRPr="003774D2">
        <w:t>could be even greater than those calculated by th</w:t>
      </w:r>
      <w:r w:rsidR="0098082B" w:rsidRPr="003774D2">
        <w:t>e RRS</w:t>
      </w:r>
      <w:r w:rsidRPr="003774D2">
        <w:t xml:space="preserve"> model.</w:t>
      </w:r>
      <w:r w:rsidR="004775A5">
        <w:t xml:space="preserve"> </w:t>
      </w:r>
    </w:p>
    <w:p w14:paraId="3700F09A" w14:textId="1BFE272C" w:rsidR="004775A5" w:rsidRPr="003774D2" w:rsidRDefault="004775A5" w:rsidP="00EB247F">
      <w:r>
        <w:t>The modeling approach for the MWT does not account for the hybridization of MWT with other energy sources, which is a popular practice in most sites where MWT have been deployed. Apparently, this might be the reason why the power generation from MWT in functional unit is seldom reported, but rather the installed capacity in implementation unit.</w:t>
      </w:r>
    </w:p>
    <w:p w14:paraId="44AD7CDF" w14:textId="02E70EF4" w:rsidR="00F52595" w:rsidRPr="00E069AC" w:rsidRDefault="003A4CBC" w:rsidP="00EB247F">
      <w:pPr>
        <w:sectPr w:rsidR="00F52595" w:rsidRPr="00E069AC">
          <w:pgSz w:w="12240" w:h="15840"/>
          <w:pgMar w:top="1440" w:right="1440" w:bottom="1440" w:left="1440" w:header="720" w:footer="720" w:gutter="0"/>
          <w:cols w:space="720"/>
        </w:sectPr>
      </w:pPr>
      <w:r w:rsidRPr="00E069AC">
        <w:t>.</w:t>
      </w:r>
    </w:p>
    <w:p w14:paraId="7CAFC693" w14:textId="63A0A730" w:rsidR="007C645A" w:rsidRPr="00E069AC" w:rsidRDefault="551A77D0" w:rsidP="006F6CC3">
      <w:pPr>
        <w:pStyle w:val="Heading1"/>
        <w:numPr>
          <w:ilvl w:val="0"/>
          <w:numId w:val="24"/>
        </w:numPr>
      </w:pPr>
      <w:bookmarkStart w:id="45" w:name="_Toc23613463"/>
      <w:r w:rsidRPr="00E069AC">
        <w:t>Results</w:t>
      </w:r>
      <w:bookmarkEnd w:id="45"/>
    </w:p>
    <w:p w14:paraId="13B4CEC0" w14:textId="6AAC5046"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 xml:space="preserve">section are </w:t>
      </w:r>
      <w:r w:rsidR="003A7929" w:rsidRPr="00E069AC">
        <w:t>depicted</w:t>
      </w:r>
      <w:r w:rsidRPr="00E069AC">
        <w:t xml:space="preserve"> selected</w:t>
      </w:r>
      <w:r w:rsidR="00F61DCA" w:rsidRPr="00E069AC">
        <w:t xml:space="preserve"> results derived from the </w:t>
      </w:r>
      <w:r w:rsidR="008006D0" w:rsidRPr="00E069AC">
        <w:t xml:space="preserve">RRS </w:t>
      </w:r>
      <w:r w:rsidR="00F61DCA" w:rsidRPr="00E069AC">
        <w:t>model</w:t>
      </w:r>
      <w:r w:rsidRPr="00E069AC">
        <w:t xml:space="preserve"> </w:t>
      </w:r>
      <w:r w:rsidR="008006D0" w:rsidRPr="00E069AC">
        <w:t xml:space="preserve">evaluating the impact of increased adoption of </w:t>
      </w:r>
      <w:r w:rsidR="006E1CCE">
        <w:t>micro wind turbines</w:t>
      </w:r>
      <w:r w:rsidR="008006D0" w:rsidRPr="00E069AC">
        <w:t xml:space="preserve"> for electricity generation when compared to conventional technologies.</w:t>
      </w:r>
    </w:p>
    <w:p w14:paraId="7E39F2AB" w14:textId="29DE4365" w:rsidR="00B261E0" w:rsidRPr="00E069AC" w:rsidRDefault="009D37F7" w:rsidP="006F6CC3">
      <w:pPr>
        <w:pStyle w:val="Heading2"/>
        <w:numPr>
          <w:ilvl w:val="1"/>
          <w:numId w:val="48"/>
        </w:numPr>
      </w:pPr>
      <w:r>
        <w:t xml:space="preserve"> </w:t>
      </w:r>
      <w:bookmarkStart w:id="46" w:name="_Toc23613464"/>
      <w:r w:rsidR="007C645A" w:rsidRPr="00E069AC">
        <w:t>Adoption</w:t>
      </w:r>
      <w:bookmarkEnd w:id="46"/>
    </w:p>
    <w:p w14:paraId="1CA60A5B" w14:textId="36977231" w:rsidR="006D6758" w:rsidRPr="00E069AC" w:rsidRDefault="007C645A" w:rsidP="00EB247F">
      <w:pPr>
        <w:pStyle w:val="Caption"/>
        <w:rPr>
          <w:i w:val="0"/>
          <w:iCs w:val="0"/>
          <w:color w:val="auto"/>
          <w:sz w:val="22"/>
          <w:szCs w:val="22"/>
        </w:rPr>
      </w:pPr>
      <w:r w:rsidRPr="00562C0F">
        <w:rPr>
          <w:i w:val="0"/>
          <w:iCs w:val="0"/>
          <w:color w:val="auto"/>
          <w:sz w:val="22"/>
          <w:szCs w:val="22"/>
        </w:rPr>
        <w:t xml:space="preserve">Comparing the results from the three modeled scenarios </w:t>
      </w:r>
      <w:r w:rsidR="008006D0" w:rsidRPr="00562C0F">
        <w:rPr>
          <w:i w:val="0"/>
          <w:iCs w:val="0"/>
          <w:color w:val="auto"/>
          <w:sz w:val="22"/>
          <w:szCs w:val="22"/>
        </w:rPr>
        <w:t>to the Reference Scenario allow</w:t>
      </w:r>
      <w:r w:rsidRPr="00562C0F">
        <w:rPr>
          <w:i w:val="0"/>
          <w:iCs w:val="0"/>
          <w:color w:val="auto"/>
          <w:sz w:val="22"/>
          <w:szCs w:val="22"/>
        </w:rPr>
        <w:t xml:space="preserve"> to estimate the climate and financial impacts of increased adoption of </w:t>
      </w:r>
      <w:r w:rsidR="00562C0F" w:rsidRPr="00562C0F">
        <w:rPr>
          <w:i w:val="0"/>
          <w:iCs w:val="0"/>
          <w:color w:val="auto"/>
          <w:sz w:val="22"/>
          <w:szCs w:val="22"/>
        </w:rPr>
        <w:t>micro wind turbines</w:t>
      </w:r>
      <w:r w:rsidRPr="00562C0F">
        <w:rPr>
          <w:i w:val="0"/>
          <w:iCs w:val="0"/>
          <w:color w:val="auto"/>
          <w:sz w:val="22"/>
          <w:szCs w:val="22"/>
        </w:rPr>
        <w:t xml:space="preserve">. The </w:t>
      </w:r>
      <w:r w:rsidRPr="00562C0F">
        <w:rPr>
          <w:iCs w:val="0"/>
          <w:color w:val="auto"/>
          <w:sz w:val="22"/>
          <w:szCs w:val="22"/>
        </w:rPr>
        <w:t xml:space="preserve">Plausible </w:t>
      </w:r>
      <w:r w:rsidRPr="00562C0F">
        <w:rPr>
          <w:i w:val="0"/>
          <w:iCs w:val="0"/>
          <w:color w:val="auto"/>
          <w:sz w:val="22"/>
          <w:szCs w:val="22"/>
        </w:rPr>
        <w:t>Scenario</w:t>
      </w:r>
      <w:r w:rsidR="005C77F5" w:rsidRPr="00562C0F">
        <w:rPr>
          <w:i w:val="0"/>
          <w:iCs w:val="0"/>
          <w:color w:val="auto"/>
          <w:sz w:val="22"/>
          <w:szCs w:val="22"/>
        </w:rPr>
        <w:t xml:space="preserve"> (PDS1)</w:t>
      </w:r>
      <w:r w:rsidRPr="00562C0F">
        <w:rPr>
          <w:i w:val="0"/>
          <w:iCs w:val="0"/>
          <w:color w:val="auto"/>
          <w:sz w:val="22"/>
          <w:szCs w:val="22"/>
        </w:rPr>
        <w:t xml:space="preserve"> projects </w:t>
      </w:r>
      <w:r w:rsidR="00E61BB3" w:rsidRPr="00562C0F">
        <w:rPr>
          <w:i w:val="0"/>
          <w:iCs w:val="0"/>
          <w:color w:val="auto"/>
          <w:sz w:val="22"/>
          <w:szCs w:val="22"/>
        </w:rPr>
        <w:t xml:space="preserve">near </w:t>
      </w:r>
      <w:r w:rsidR="00562C0F" w:rsidRPr="00562C0F">
        <w:rPr>
          <w:i w:val="0"/>
          <w:iCs w:val="0"/>
          <w:color w:val="auto"/>
          <w:sz w:val="22"/>
          <w:szCs w:val="22"/>
        </w:rPr>
        <w:t>19.26</w:t>
      </w:r>
      <w:r w:rsidR="00E61BB3" w:rsidRPr="00562C0F">
        <w:rPr>
          <w:i w:val="0"/>
          <w:iCs w:val="0"/>
          <w:color w:val="auto"/>
          <w:sz w:val="22"/>
          <w:szCs w:val="22"/>
        </w:rPr>
        <w:t xml:space="preserve"> TWh </w:t>
      </w:r>
      <w:r w:rsidRPr="00562C0F">
        <w:rPr>
          <w:i w:val="0"/>
          <w:iCs w:val="0"/>
          <w:color w:val="auto"/>
          <w:sz w:val="22"/>
          <w:szCs w:val="22"/>
        </w:rPr>
        <w:t xml:space="preserve">of total electricity generation worldwide coming from </w:t>
      </w:r>
      <w:r w:rsidR="003774D2" w:rsidRPr="00562C0F">
        <w:rPr>
          <w:i w:val="0"/>
          <w:iCs w:val="0"/>
          <w:color w:val="auto"/>
          <w:sz w:val="22"/>
          <w:szCs w:val="22"/>
        </w:rPr>
        <w:t>MWT</w:t>
      </w:r>
      <w:r w:rsidRPr="00562C0F">
        <w:rPr>
          <w:i w:val="0"/>
          <w:iCs w:val="0"/>
          <w:color w:val="auto"/>
          <w:sz w:val="22"/>
          <w:szCs w:val="22"/>
        </w:rPr>
        <w:t xml:space="preserve"> by 2050. In the </w:t>
      </w:r>
      <w:r w:rsidRPr="00562C0F">
        <w:rPr>
          <w:iCs w:val="0"/>
          <w:color w:val="auto"/>
          <w:sz w:val="22"/>
          <w:szCs w:val="22"/>
        </w:rPr>
        <w:t xml:space="preserve">Drawdown </w:t>
      </w:r>
      <w:r w:rsidR="005C77F5" w:rsidRPr="00562C0F">
        <w:rPr>
          <w:i w:val="0"/>
          <w:iCs w:val="0"/>
          <w:color w:val="auto"/>
          <w:sz w:val="22"/>
          <w:szCs w:val="22"/>
        </w:rPr>
        <w:t xml:space="preserve">(PDS2) </w:t>
      </w:r>
      <w:r w:rsidRPr="00562C0F">
        <w:rPr>
          <w:i w:val="0"/>
          <w:iCs w:val="0"/>
          <w:color w:val="auto"/>
          <w:sz w:val="22"/>
          <w:szCs w:val="22"/>
        </w:rPr>
        <w:t xml:space="preserve">and </w:t>
      </w:r>
      <w:r w:rsidRPr="00562C0F">
        <w:rPr>
          <w:iCs w:val="0"/>
          <w:color w:val="auto"/>
          <w:sz w:val="22"/>
          <w:szCs w:val="22"/>
        </w:rPr>
        <w:t>Optimum</w:t>
      </w:r>
      <w:r w:rsidRPr="00562C0F">
        <w:rPr>
          <w:i w:val="0"/>
          <w:iCs w:val="0"/>
          <w:color w:val="auto"/>
          <w:sz w:val="22"/>
          <w:szCs w:val="22"/>
        </w:rPr>
        <w:t xml:space="preserve"> Scenarios</w:t>
      </w:r>
      <w:r w:rsidR="005C77F5" w:rsidRPr="00562C0F">
        <w:rPr>
          <w:i w:val="0"/>
          <w:iCs w:val="0"/>
          <w:color w:val="auto"/>
          <w:sz w:val="22"/>
          <w:szCs w:val="22"/>
        </w:rPr>
        <w:t xml:space="preserve"> (PDS3)</w:t>
      </w:r>
      <w:r w:rsidRPr="00562C0F">
        <w:rPr>
          <w:i w:val="0"/>
          <w:iCs w:val="0"/>
          <w:color w:val="auto"/>
          <w:sz w:val="22"/>
          <w:szCs w:val="22"/>
        </w:rPr>
        <w:t>, the market sha</w:t>
      </w:r>
      <w:r w:rsidR="00D201BF" w:rsidRPr="00562C0F">
        <w:rPr>
          <w:i w:val="0"/>
          <w:iCs w:val="0"/>
          <w:color w:val="auto"/>
          <w:sz w:val="22"/>
          <w:szCs w:val="22"/>
        </w:rPr>
        <w:t xml:space="preserve">re reaches </w:t>
      </w:r>
      <w:r w:rsidR="00E61BB3" w:rsidRPr="00562C0F">
        <w:rPr>
          <w:i w:val="0"/>
          <w:iCs w:val="0"/>
          <w:color w:val="auto"/>
          <w:sz w:val="22"/>
          <w:szCs w:val="22"/>
        </w:rPr>
        <w:t>0.03</w:t>
      </w:r>
      <w:r w:rsidR="00562C0F" w:rsidRPr="00562C0F">
        <w:rPr>
          <w:i w:val="0"/>
          <w:iCs w:val="0"/>
          <w:color w:val="auto"/>
          <w:sz w:val="22"/>
          <w:szCs w:val="22"/>
        </w:rPr>
        <w:t>5</w:t>
      </w:r>
      <w:r w:rsidR="00D201BF" w:rsidRPr="00562C0F">
        <w:rPr>
          <w:i w:val="0"/>
          <w:iCs w:val="0"/>
          <w:color w:val="auto"/>
          <w:sz w:val="22"/>
          <w:szCs w:val="22"/>
        </w:rPr>
        <w:t xml:space="preserve"> percent and </w:t>
      </w:r>
      <w:r w:rsidR="00E61BB3" w:rsidRPr="00562C0F">
        <w:rPr>
          <w:i w:val="0"/>
          <w:iCs w:val="0"/>
          <w:color w:val="auto"/>
          <w:sz w:val="22"/>
          <w:szCs w:val="22"/>
        </w:rPr>
        <w:t>0.0</w:t>
      </w:r>
      <w:r w:rsidR="00562C0F" w:rsidRPr="00562C0F">
        <w:rPr>
          <w:i w:val="0"/>
          <w:iCs w:val="0"/>
          <w:color w:val="auto"/>
          <w:sz w:val="22"/>
          <w:szCs w:val="22"/>
        </w:rPr>
        <w:t>84</w:t>
      </w:r>
      <w:r w:rsidRPr="00562C0F">
        <w:rPr>
          <w:i w:val="0"/>
          <w:iCs w:val="0"/>
          <w:color w:val="auto"/>
          <w:sz w:val="22"/>
          <w:szCs w:val="22"/>
        </w:rPr>
        <w:t xml:space="preserve"> percent, respectively.</w:t>
      </w:r>
      <w:r w:rsidR="00B24F59" w:rsidRPr="00562C0F">
        <w:rPr>
          <w:i w:val="0"/>
          <w:iCs w:val="0"/>
          <w:color w:val="auto"/>
          <w:sz w:val="22"/>
          <w:szCs w:val="22"/>
        </w:rPr>
        <w:t xml:space="preserve"> Below </w:t>
      </w:r>
      <w:r w:rsidR="00807D37" w:rsidRPr="00562C0F">
        <w:rPr>
          <w:i w:val="0"/>
          <w:iCs w:val="0"/>
          <w:color w:val="auto"/>
          <w:sz w:val="22"/>
          <w:szCs w:val="22"/>
        </w:rPr>
        <w:t>in Table 3.</w:t>
      </w:r>
      <w:r w:rsidR="005C77F5" w:rsidRPr="00562C0F">
        <w:rPr>
          <w:i w:val="0"/>
          <w:iCs w:val="0"/>
          <w:color w:val="auto"/>
          <w:sz w:val="22"/>
          <w:szCs w:val="22"/>
        </w:rPr>
        <w:t>1</w:t>
      </w:r>
      <w:r w:rsidR="00807D37" w:rsidRPr="00562C0F">
        <w:rPr>
          <w:i w:val="0"/>
          <w:iCs w:val="0"/>
          <w:color w:val="auto"/>
          <w:sz w:val="22"/>
          <w:szCs w:val="22"/>
        </w:rPr>
        <w:t xml:space="preserve"> </w:t>
      </w:r>
      <w:r w:rsidR="00B24F59" w:rsidRPr="00562C0F">
        <w:rPr>
          <w:i w:val="0"/>
          <w:iCs w:val="0"/>
          <w:color w:val="auto"/>
          <w:sz w:val="22"/>
          <w:szCs w:val="22"/>
        </w:rPr>
        <w:t xml:space="preserve">are shown the adoptions of the solution in </w:t>
      </w:r>
      <w:r w:rsidR="00807D37" w:rsidRPr="00562C0F">
        <w:rPr>
          <w:i w:val="0"/>
          <w:iCs w:val="0"/>
          <w:color w:val="auto"/>
          <w:sz w:val="22"/>
          <w:szCs w:val="22"/>
        </w:rPr>
        <w:t>2050</w:t>
      </w:r>
      <w:r w:rsidR="00B24F59" w:rsidRPr="00562C0F">
        <w:rPr>
          <w:i w:val="0"/>
          <w:iCs w:val="0"/>
          <w:color w:val="auto"/>
          <w:sz w:val="22"/>
          <w:szCs w:val="22"/>
        </w:rPr>
        <w:t xml:space="preserve"> in functional units and percent. </w:t>
      </w:r>
      <w:r w:rsidR="00912CC8" w:rsidRPr="00562C0F">
        <w:rPr>
          <w:i w:val="0"/>
          <w:iCs w:val="0"/>
          <w:color w:val="auto"/>
          <w:sz w:val="22"/>
          <w:szCs w:val="22"/>
        </w:rPr>
        <w:t>Figure 3</w:t>
      </w:r>
      <w:r w:rsidR="00FC2DC0" w:rsidRPr="00562C0F">
        <w:rPr>
          <w:i w:val="0"/>
          <w:iCs w:val="0"/>
          <w:color w:val="auto"/>
          <w:sz w:val="22"/>
          <w:szCs w:val="22"/>
        </w:rPr>
        <w:t>.</w:t>
      </w:r>
      <w:r w:rsidR="00912CC8" w:rsidRPr="00562C0F">
        <w:rPr>
          <w:i w:val="0"/>
          <w:iCs w:val="0"/>
          <w:color w:val="auto"/>
          <w:sz w:val="22"/>
          <w:szCs w:val="22"/>
        </w:rPr>
        <w:t xml:space="preserve">1 depicts the long term pathway trajectories for the different scenarios of </w:t>
      </w:r>
      <w:r w:rsidR="00E61BB3" w:rsidRPr="00562C0F">
        <w:rPr>
          <w:i w:val="0"/>
          <w:iCs w:val="0"/>
          <w:color w:val="auto"/>
          <w:sz w:val="22"/>
          <w:szCs w:val="22"/>
        </w:rPr>
        <w:t>micro wind</w:t>
      </w:r>
      <w:r w:rsidR="00912CC8" w:rsidRPr="00562C0F">
        <w:rPr>
          <w:i w:val="0"/>
          <w:iCs w:val="0"/>
          <w:color w:val="auto"/>
          <w:sz w:val="22"/>
          <w:szCs w:val="22"/>
        </w:rPr>
        <w:t xml:space="preserve"> </w:t>
      </w:r>
      <w:r w:rsidR="0016140E" w:rsidRPr="00562C0F">
        <w:rPr>
          <w:i w:val="0"/>
          <w:iCs w:val="0"/>
          <w:color w:val="auto"/>
          <w:sz w:val="22"/>
          <w:szCs w:val="22"/>
        </w:rPr>
        <w:t>systems</w:t>
      </w:r>
      <w:r w:rsidR="00912CC8" w:rsidRPr="00562C0F">
        <w:rPr>
          <w:i w:val="0"/>
          <w:iCs w:val="0"/>
          <w:color w:val="auto"/>
          <w:sz w:val="22"/>
          <w:szCs w:val="22"/>
        </w:rPr>
        <w:t>.</w:t>
      </w:r>
    </w:p>
    <w:p w14:paraId="21183A78" w14:textId="3DE82561" w:rsidR="008D1491" w:rsidRPr="00E069AC" w:rsidRDefault="008D1491" w:rsidP="00EB247F">
      <w:pPr>
        <w:pStyle w:val="Caption"/>
        <w:jc w:val="center"/>
      </w:pPr>
      <w:bookmarkStart w:id="47" w:name="_Toc23613088"/>
      <w:r w:rsidRPr="00E069AC">
        <w:t xml:space="preserve">Table </w:t>
      </w:r>
      <w:fldSimple w:instr=" STYLEREF 1 \s ">
        <w:r w:rsidR="00492F5E" w:rsidRPr="00E069AC">
          <w:t>3</w:t>
        </w:r>
      </w:fldSimple>
      <w:r w:rsidR="00492F5E" w:rsidRPr="00E069AC">
        <w:t>.</w:t>
      </w:r>
      <w:fldSimple w:instr=" SEQ Table \* ARABIC \s 1 ">
        <w:r w:rsidR="00492F5E" w:rsidRPr="00E069AC">
          <w:t>1</w:t>
        </w:r>
      </w:fldSimple>
      <w:r w:rsidRPr="00E069AC">
        <w:t xml:space="preserve"> </w:t>
      </w:r>
      <w:r w:rsidR="005C77F5" w:rsidRPr="00E069AC">
        <w:t xml:space="preserve">World </w:t>
      </w:r>
      <w:r w:rsidRPr="00E069AC">
        <w:t>Adoption</w:t>
      </w:r>
      <w:r w:rsidR="005C77F5" w:rsidRPr="00E069AC">
        <w:t xml:space="preserve"> of the Solution</w:t>
      </w:r>
      <w:bookmarkEnd w:id="47"/>
    </w:p>
    <w:tbl>
      <w:tblPr>
        <w:tblStyle w:val="TableGrid"/>
        <w:tblW w:w="8187" w:type="dxa"/>
        <w:jc w:val="center"/>
        <w:tblLook w:val="04A0" w:firstRow="1" w:lastRow="0" w:firstColumn="1" w:lastColumn="0" w:noHBand="0" w:noVBand="1"/>
      </w:tblPr>
      <w:tblGrid>
        <w:gridCol w:w="1602"/>
        <w:gridCol w:w="1151"/>
        <w:gridCol w:w="1252"/>
        <w:gridCol w:w="1252"/>
        <w:gridCol w:w="1485"/>
        <w:gridCol w:w="1445"/>
      </w:tblGrid>
      <w:tr w:rsidR="00562C0F" w:rsidRPr="00E069AC" w14:paraId="3FFD2090" w14:textId="739B822A" w:rsidTr="00562C0F">
        <w:trPr>
          <w:trHeight w:val="48"/>
          <w:jc w:val="center"/>
        </w:trPr>
        <w:tc>
          <w:tcPr>
            <w:tcW w:w="1602" w:type="dxa"/>
            <w:vMerge w:val="restart"/>
            <w:shd w:val="clear" w:color="auto" w:fill="4F81BD" w:themeFill="accent1"/>
            <w:vAlign w:val="center"/>
          </w:tcPr>
          <w:p w14:paraId="71879AD5" w14:textId="3CA30AF5" w:rsidR="00562C0F" w:rsidRPr="00E069AC" w:rsidRDefault="00562C0F"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1151" w:type="dxa"/>
            <w:vMerge w:val="restart"/>
            <w:shd w:val="clear" w:color="auto" w:fill="4F81BD" w:themeFill="accent1"/>
            <w:vAlign w:val="center"/>
          </w:tcPr>
          <w:p w14:paraId="736EA4CB" w14:textId="55E81B77" w:rsidR="00562C0F" w:rsidRPr="00E069AC" w:rsidRDefault="00562C0F"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252" w:type="dxa"/>
            <w:vMerge w:val="restart"/>
            <w:shd w:val="clear" w:color="auto" w:fill="4F81BD" w:themeFill="accent1"/>
            <w:vAlign w:val="center"/>
          </w:tcPr>
          <w:p w14:paraId="7A4BC7EC" w14:textId="56617266" w:rsidR="00562C0F" w:rsidRPr="00E069AC" w:rsidRDefault="00562C0F" w:rsidP="001534F5">
            <w:pPr>
              <w:spacing w:line="240" w:lineRule="auto"/>
              <w:jc w:val="center"/>
              <w:rPr>
                <w:b/>
                <w:bCs/>
                <w:color w:val="FFFFFF" w:themeColor="background1"/>
                <w:sz w:val="20"/>
                <w:szCs w:val="20"/>
              </w:rPr>
            </w:pPr>
            <w:r w:rsidRPr="00E069AC">
              <w:rPr>
                <w:b/>
                <w:bCs/>
                <w:iCs/>
                <w:color w:val="FFFFFF" w:themeColor="background1"/>
                <w:sz w:val="20"/>
                <w:szCs w:val="20"/>
              </w:rPr>
              <w:t xml:space="preserve">Base Year </w:t>
            </w:r>
            <w:r w:rsidRPr="00E069AC">
              <w:rPr>
                <w:b/>
                <w:bCs/>
                <w:color w:val="FFFFFF" w:themeColor="background1"/>
                <w:sz w:val="20"/>
                <w:szCs w:val="20"/>
              </w:rPr>
              <w:t xml:space="preserve"> (2014)</w:t>
            </w:r>
          </w:p>
        </w:tc>
        <w:tc>
          <w:tcPr>
            <w:tcW w:w="4182" w:type="dxa"/>
            <w:gridSpan w:val="3"/>
            <w:shd w:val="clear" w:color="auto" w:fill="4F81BD" w:themeFill="accent1"/>
            <w:vAlign w:val="center"/>
          </w:tcPr>
          <w:p w14:paraId="1BAFBD47" w14:textId="1AD40332" w:rsidR="00562C0F" w:rsidRPr="00E069AC" w:rsidRDefault="00562C0F"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562C0F" w:rsidRPr="00E069AC" w14:paraId="4801E75B" w14:textId="5BEF044F" w:rsidTr="00562C0F">
        <w:trPr>
          <w:trHeight w:val="184"/>
          <w:jc w:val="center"/>
        </w:trPr>
        <w:tc>
          <w:tcPr>
            <w:tcW w:w="1602" w:type="dxa"/>
            <w:vMerge/>
            <w:shd w:val="clear" w:color="auto" w:fill="4F81BD" w:themeFill="accent1"/>
            <w:vAlign w:val="center"/>
          </w:tcPr>
          <w:p w14:paraId="6CD710FF" w14:textId="77777777" w:rsidR="00562C0F" w:rsidRPr="00E069AC" w:rsidRDefault="00562C0F" w:rsidP="001534F5">
            <w:pPr>
              <w:spacing w:line="240" w:lineRule="auto"/>
              <w:jc w:val="center"/>
              <w:rPr>
                <w:rFonts w:cstheme="minorHAnsi"/>
                <w:b/>
                <w:bCs/>
                <w:i/>
                <w:color w:val="FFFFFF" w:themeColor="background1"/>
                <w:sz w:val="20"/>
                <w:szCs w:val="20"/>
              </w:rPr>
            </w:pPr>
          </w:p>
        </w:tc>
        <w:tc>
          <w:tcPr>
            <w:tcW w:w="1151" w:type="dxa"/>
            <w:vMerge/>
            <w:shd w:val="clear" w:color="auto" w:fill="4F81BD" w:themeFill="accent1"/>
            <w:vAlign w:val="center"/>
          </w:tcPr>
          <w:p w14:paraId="173F30E0" w14:textId="77777777" w:rsidR="00562C0F" w:rsidRPr="00E069AC" w:rsidRDefault="00562C0F" w:rsidP="001534F5">
            <w:pPr>
              <w:spacing w:line="240" w:lineRule="auto"/>
              <w:jc w:val="center"/>
              <w:rPr>
                <w:bCs/>
                <w:i/>
                <w:color w:val="FFFFFF" w:themeColor="background1"/>
                <w:sz w:val="20"/>
                <w:szCs w:val="20"/>
              </w:rPr>
            </w:pPr>
          </w:p>
        </w:tc>
        <w:tc>
          <w:tcPr>
            <w:tcW w:w="1252" w:type="dxa"/>
            <w:vMerge/>
            <w:shd w:val="clear" w:color="auto" w:fill="4F81BD" w:themeFill="accent1"/>
            <w:vAlign w:val="center"/>
          </w:tcPr>
          <w:p w14:paraId="74E7E210" w14:textId="29C848AE" w:rsidR="00562C0F" w:rsidRPr="00E069AC" w:rsidRDefault="00562C0F" w:rsidP="001534F5">
            <w:pPr>
              <w:spacing w:line="240" w:lineRule="auto"/>
              <w:jc w:val="center"/>
              <w:rPr>
                <w:bCs/>
                <w:i/>
                <w:color w:val="FFFFFF" w:themeColor="background1"/>
                <w:sz w:val="20"/>
                <w:szCs w:val="20"/>
              </w:rPr>
            </w:pPr>
          </w:p>
        </w:tc>
        <w:tc>
          <w:tcPr>
            <w:tcW w:w="1252" w:type="dxa"/>
            <w:shd w:val="clear" w:color="auto" w:fill="4F81BD" w:themeFill="accent1"/>
            <w:vAlign w:val="center"/>
          </w:tcPr>
          <w:p w14:paraId="3BAD7FDF" w14:textId="77777777" w:rsidR="00562C0F" w:rsidRPr="00E069AC" w:rsidRDefault="00562C0F"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485" w:type="dxa"/>
            <w:shd w:val="clear" w:color="auto" w:fill="4F81BD" w:themeFill="accent1"/>
            <w:vAlign w:val="center"/>
          </w:tcPr>
          <w:p w14:paraId="0A0F5473" w14:textId="77777777" w:rsidR="00562C0F" w:rsidRPr="00E069AC" w:rsidRDefault="00562C0F"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445" w:type="dxa"/>
            <w:shd w:val="clear" w:color="auto" w:fill="4F81BD" w:themeFill="accent1"/>
            <w:vAlign w:val="center"/>
          </w:tcPr>
          <w:p w14:paraId="0927695E" w14:textId="77777777" w:rsidR="00562C0F" w:rsidRPr="00E069AC" w:rsidRDefault="00562C0F"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562C0F" w:rsidRPr="00E069AC" w14:paraId="305C72A7" w14:textId="3F72A150" w:rsidTr="00562C0F">
        <w:trPr>
          <w:trHeight w:val="619"/>
          <w:jc w:val="center"/>
        </w:trPr>
        <w:tc>
          <w:tcPr>
            <w:tcW w:w="1602" w:type="dxa"/>
            <w:vMerge w:val="restart"/>
            <w:vAlign w:val="center"/>
          </w:tcPr>
          <w:p w14:paraId="2B8FFE1B" w14:textId="4565F0D0" w:rsidR="00562C0F" w:rsidRPr="00E069AC" w:rsidRDefault="00562C0F" w:rsidP="001534F5">
            <w:pPr>
              <w:spacing w:line="240" w:lineRule="auto"/>
              <w:jc w:val="center"/>
              <w:rPr>
                <w:sz w:val="20"/>
                <w:szCs w:val="20"/>
              </w:rPr>
            </w:pPr>
            <w:r>
              <w:rPr>
                <w:sz w:val="20"/>
                <w:szCs w:val="20"/>
              </w:rPr>
              <w:t>Micro Wind Turbines</w:t>
            </w:r>
          </w:p>
        </w:tc>
        <w:tc>
          <w:tcPr>
            <w:tcW w:w="1151" w:type="dxa"/>
            <w:vAlign w:val="center"/>
          </w:tcPr>
          <w:p w14:paraId="5BDA7373" w14:textId="4437EFB5" w:rsidR="00562C0F" w:rsidRPr="00E069AC" w:rsidRDefault="00562C0F" w:rsidP="001534F5">
            <w:pPr>
              <w:spacing w:line="240" w:lineRule="auto"/>
              <w:jc w:val="center"/>
              <w:rPr>
                <w:rFonts w:cstheme="minorHAnsi"/>
                <w:bCs/>
                <w:color w:val="000000" w:themeColor="text1"/>
                <w:sz w:val="20"/>
                <w:szCs w:val="20"/>
              </w:rPr>
            </w:pPr>
            <w:r w:rsidRPr="00E069AC">
              <w:rPr>
                <w:bCs/>
                <w:i/>
                <w:color w:val="000000" w:themeColor="text1"/>
                <w:sz w:val="20"/>
                <w:szCs w:val="20"/>
              </w:rPr>
              <w:t>Electricity Generation (TWh)</w:t>
            </w:r>
          </w:p>
        </w:tc>
        <w:tc>
          <w:tcPr>
            <w:tcW w:w="1252" w:type="dxa"/>
            <w:vAlign w:val="center"/>
          </w:tcPr>
          <w:p w14:paraId="72C0B03E" w14:textId="4B983C99"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1.48</w:t>
            </w:r>
          </w:p>
        </w:tc>
        <w:tc>
          <w:tcPr>
            <w:tcW w:w="1252" w:type="dxa"/>
            <w:vAlign w:val="center"/>
          </w:tcPr>
          <w:p w14:paraId="2A8FE7A2" w14:textId="50E62B4F"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19.</w:t>
            </w:r>
            <w:r w:rsidR="00240C0E">
              <w:rPr>
                <w:rFonts w:cstheme="minorHAnsi"/>
                <w:bCs/>
                <w:sz w:val="20"/>
                <w:szCs w:val="20"/>
              </w:rPr>
              <w:t>36</w:t>
            </w:r>
          </w:p>
        </w:tc>
        <w:tc>
          <w:tcPr>
            <w:tcW w:w="1485" w:type="dxa"/>
            <w:vAlign w:val="center"/>
          </w:tcPr>
          <w:p w14:paraId="79EE8DDC" w14:textId="29185143"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25.1</w:t>
            </w:r>
            <w:r w:rsidR="00240C0E">
              <w:rPr>
                <w:rFonts w:cstheme="minorHAnsi"/>
                <w:bCs/>
                <w:sz w:val="20"/>
                <w:szCs w:val="20"/>
              </w:rPr>
              <w:t>1</w:t>
            </w:r>
          </w:p>
        </w:tc>
        <w:tc>
          <w:tcPr>
            <w:tcW w:w="1445" w:type="dxa"/>
            <w:vAlign w:val="center"/>
          </w:tcPr>
          <w:p w14:paraId="5B002A1D" w14:textId="24F24FD5"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59.7</w:t>
            </w:r>
            <w:r w:rsidR="00240C0E">
              <w:rPr>
                <w:rFonts w:cstheme="minorHAnsi"/>
                <w:bCs/>
                <w:sz w:val="20"/>
                <w:szCs w:val="20"/>
              </w:rPr>
              <w:t>3</w:t>
            </w:r>
          </w:p>
        </w:tc>
      </w:tr>
      <w:tr w:rsidR="00562C0F" w:rsidRPr="00E069AC" w14:paraId="59E1863D" w14:textId="31B46F2A" w:rsidTr="00562C0F">
        <w:trPr>
          <w:trHeight w:val="32"/>
          <w:jc w:val="center"/>
        </w:trPr>
        <w:tc>
          <w:tcPr>
            <w:tcW w:w="1602" w:type="dxa"/>
            <w:vMerge/>
            <w:vAlign w:val="center"/>
          </w:tcPr>
          <w:p w14:paraId="518ED63B" w14:textId="77777777" w:rsidR="00562C0F" w:rsidRPr="00E069AC" w:rsidRDefault="00562C0F" w:rsidP="001534F5">
            <w:pPr>
              <w:spacing w:line="240" w:lineRule="auto"/>
              <w:jc w:val="center"/>
              <w:rPr>
                <w:sz w:val="20"/>
                <w:szCs w:val="20"/>
              </w:rPr>
            </w:pPr>
          </w:p>
        </w:tc>
        <w:tc>
          <w:tcPr>
            <w:tcW w:w="1151" w:type="dxa"/>
            <w:vAlign w:val="center"/>
          </w:tcPr>
          <w:p w14:paraId="2352B4C1" w14:textId="0398F6A2" w:rsidR="00562C0F" w:rsidRPr="00E069AC" w:rsidRDefault="00562C0F" w:rsidP="001534F5">
            <w:pPr>
              <w:spacing w:line="240" w:lineRule="auto"/>
              <w:jc w:val="center"/>
              <w:rPr>
                <w:rFonts w:cstheme="minorHAnsi"/>
                <w:bCs/>
                <w:color w:val="000000" w:themeColor="text1"/>
                <w:sz w:val="20"/>
                <w:szCs w:val="20"/>
              </w:rPr>
            </w:pPr>
            <w:r w:rsidRPr="00E069AC">
              <w:rPr>
                <w:bCs/>
                <w:i/>
                <w:iCs/>
                <w:color w:val="000000" w:themeColor="text1"/>
                <w:sz w:val="20"/>
                <w:szCs w:val="20"/>
              </w:rPr>
              <w:t>(% market)</w:t>
            </w:r>
          </w:p>
        </w:tc>
        <w:tc>
          <w:tcPr>
            <w:tcW w:w="1252" w:type="dxa"/>
            <w:vAlign w:val="center"/>
          </w:tcPr>
          <w:p w14:paraId="4FD03435" w14:textId="1A2A42C3"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0.0066%</w:t>
            </w:r>
          </w:p>
        </w:tc>
        <w:tc>
          <w:tcPr>
            <w:tcW w:w="1252" w:type="dxa"/>
            <w:vAlign w:val="center"/>
          </w:tcPr>
          <w:p w14:paraId="34CAFB53" w14:textId="5E45D28E"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0.0</w:t>
            </w:r>
            <w:r w:rsidR="00240C0E">
              <w:rPr>
                <w:rFonts w:cstheme="minorHAnsi"/>
                <w:bCs/>
                <w:sz w:val="20"/>
                <w:szCs w:val="20"/>
              </w:rPr>
              <w:t>42</w:t>
            </w:r>
            <w:r w:rsidRPr="00562C0F">
              <w:rPr>
                <w:rFonts w:cstheme="minorHAnsi"/>
                <w:bCs/>
                <w:sz w:val="20"/>
                <w:szCs w:val="20"/>
              </w:rPr>
              <w:t>%</w:t>
            </w:r>
          </w:p>
        </w:tc>
        <w:tc>
          <w:tcPr>
            <w:tcW w:w="1485" w:type="dxa"/>
            <w:vAlign w:val="center"/>
          </w:tcPr>
          <w:p w14:paraId="43B375D1" w14:textId="7E53301F"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0.035%</w:t>
            </w:r>
          </w:p>
        </w:tc>
        <w:tc>
          <w:tcPr>
            <w:tcW w:w="1445" w:type="dxa"/>
            <w:vAlign w:val="center"/>
          </w:tcPr>
          <w:p w14:paraId="7641EB01" w14:textId="511B203D" w:rsidR="00562C0F" w:rsidRPr="00562C0F" w:rsidRDefault="00562C0F" w:rsidP="001534F5">
            <w:pPr>
              <w:spacing w:line="240" w:lineRule="auto"/>
              <w:jc w:val="center"/>
              <w:rPr>
                <w:rFonts w:cstheme="minorHAnsi"/>
                <w:bCs/>
                <w:sz w:val="20"/>
                <w:szCs w:val="20"/>
              </w:rPr>
            </w:pPr>
            <w:r w:rsidRPr="00562C0F">
              <w:rPr>
                <w:rFonts w:cstheme="minorHAnsi"/>
                <w:bCs/>
                <w:sz w:val="20"/>
                <w:szCs w:val="20"/>
              </w:rPr>
              <w:t>0.084%</w:t>
            </w:r>
          </w:p>
        </w:tc>
      </w:tr>
    </w:tbl>
    <w:p w14:paraId="49A61C9E" w14:textId="77777777" w:rsidR="001534F5" w:rsidRPr="00E069AC" w:rsidRDefault="001534F5" w:rsidP="000853A5">
      <w:pPr>
        <w:pStyle w:val="Caption"/>
      </w:pPr>
    </w:p>
    <w:p w14:paraId="7A2926D4" w14:textId="5DFA6FDA" w:rsidR="003A7929" w:rsidRPr="006C72CA" w:rsidRDefault="00240C0E" w:rsidP="00EB247F">
      <w:pPr>
        <w:pStyle w:val="Caption"/>
        <w:jc w:val="center"/>
      </w:pPr>
      <w:r>
        <w:rPr>
          <w:noProof/>
        </w:rPr>
        <w:drawing>
          <wp:inline distT="0" distB="0" distL="0" distR="0" wp14:anchorId="6BA1E405" wp14:editId="282CF402">
            <wp:extent cx="5894363" cy="3165231"/>
            <wp:effectExtent l="0" t="0" r="11430" b="10160"/>
            <wp:docPr id="3" name="Chart 3">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7E303A" w14:textId="668982C2" w:rsidR="00762877" w:rsidRDefault="00977F6D" w:rsidP="00E214CC">
      <w:pPr>
        <w:pStyle w:val="Caption"/>
        <w:jc w:val="center"/>
      </w:pPr>
      <w:bookmarkStart w:id="48" w:name="_Toc44543238"/>
      <w:r w:rsidRPr="000853A5">
        <w:t xml:space="preserve">Figure </w:t>
      </w:r>
      <w:r w:rsidR="00D158BC" w:rsidRPr="000853A5">
        <w:rPr>
          <w:noProof/>
        </w:rPr>
        <w:fldChar w:fldCharType="begin"/>
      </w:r>
      <w:r w:rsidR="00D158BC" w:rsidRPr="000853A5">
        <w:rPr>
          <w:noProof/>
        </w:rPr>
        <w:instrText xml:space="preserve"> STYLEREF 1 \s </w:instrText>
      </w:r>
      <w:r w:rsidR="00D158BC" w:rsidRPr="000853A5">
        <w:rPr>
          <w:noProof/>
        </w:rPr>
        <w:fldChar w:fldCharType="separate"/>
      </w:r>
      <w:r w:rsidR="00586AA5" w:rsidRPr="000853A5">
        <w:rPr>
          <w:noProof/>
        </w:rPr>
        <w:t>3</w:t>
      </w:r>
      <w:r w:rsidR="00D158BC" w:rsidRPr="000853A5">
        <w:rPr>
          <w:noProof/>
        </w:rPr>
        <w:fldChar w:fldCharType="end"/>
      </w:r>
      <w:r w:rsidR="00912CC8" w:rsidRPr="000853A5">
        <w:t>.</w:t>
      </w:r>
      <w:r w:rsidR="00D158BC" w:rsidRPr="000853A5">
        <w:rPr>
          <w:noProof/>
        </w:rPr>
        <w:fldChar w:fldCharType="begin"/>
      </w:r>
      <w:r w:rsidR="00D158BC" w:rsidRPr="000853A5">
        <w:rPr>
          <w:noProof/>
        </w:rPr>
        <w:instrText xml:space="preserve"> SEQ Figure \* ARABIC \s 1 </w:instrText>
      </w:r>
      <w:r w:rsidR="00D158BC" w:rsidRPr="000853A5">
        <w:rPr>
          <w:noProof/>
        </w:rPr>
        <w:fldChar w:fldCharType="separate"/>
      </w:r>
      <w:r w:rsidR="00586AA5" w:rsidRPr="000853A5">
        <w:rPr>
          <w:noProof/>
        </w:rPr>
        <w:t>1</w:t>
      </w:r>
      <w:r w:rsidR="00D158BC" w:rsidRPr="000853A5">
        <w:rPr>
          <w:noProof/>
        </w:rPr>
        <w:fldChar w:fldCharType="end"/>
      </w:r>
      <w:r w:rsidRPr="000853A5">
        <w:t xml:space="preserve"> </w:t>
      </w:r>
      <w:r w:rsidR="00807D37" w:rsidRPr="000853A5">
        <w:t xml:space="preserve">World Annual </w:t>
      </w:r>
      <w:r w:rsidRPr="000853A5">
        <w:t>Adoption 20</w:t>
      </w:r>
      <w:r w:rsidR="00971BA5" w:rsidRPr="000853A5">
        <w:t>15-206</w:t>
      </w:r>
      <w:r w:rsidRPr="000853A5">
        <w:t>0</w:t>
      </w:r>
      <w:bookmarkEnd w:id="48"/>
    </w:p>
    <w:p w14:paraId="6B6F22E7" w14:textId="29670F04" w:rsidR="003A7929" w:rsidRPr="00E069AC" w:rsidRDefault="551A77D0" w:rsidP="006F6CC3">
      <w:pPr>
        <w:pStyle w:val="Heading2"/>
        <w:numPr>
          <w:ilvl w:val="1"/>
          <w:numId w:val="48"/>
        </w:numPr>
      </w:pPr>
      <w:bookmarkStart w:id="49" w:name="_Toc23613465"/>
      <w:r w:rsidRPr="00E069AC">
        <w:t>Climate Impacts</w:t>
      </w:r>
      <w:bookmarkEnd w:id="49"/>
    </w:p>
    <w:p w14:paraId="36842FAA" w14:textId="438854F9" w:rsidR="003A7929" w:rsidRPr="00562C0F" w:rsidRDefault="003A7929" w:rsidP="00EB247F">
      <w:pPr>
        <w:pStyle w:val="Caption"/>
        <w:rPr>
          <w:i w:val="0"/>
          <w:iCs w:val="0"/>
          <w:color w:val="auto"/>
          <w:sz w:val="22"/>
          <w:szCs w:val="22"/>
        </w:rPr>
      </w:pPr>
      <w:r w:rsidRPr="00E069AC">
        <w:rPr>
          <w:i w:val="0"/>
          <w:iCs w:val="0"/>
          <w:color w:val="auto"/>
          <w:sz w:val="22"/>
          <w:szCs w:val="22"/>
        </w:rPr>
        <w:t xml:space="preserve">Below are the emissions results of the analysis for each scenario which include total emissions reduction and atmospheric concentration changes. For a detailed explanation of each result, please see the glossary </w:t>
      </w:r>
      <w:r w:rsidRPr="00562C0F">
        <w:rPr>
          <w:i w:val="0"/>
          <w:iCs w:val="0"/>
          <w:color w:val="auto"/>
          <w:sz w:val="22"/>
          <w:szCs w:val="22"/>
        </w:rPr>
        <w:t>(Section 6).</w:t>
      </w:r>
    </w:p>
    <w:p w14:paraId="52E48BE0" w14:textId="267355C2" w:rsidR="00B261E0" w:rsidRPr="007B058F" w:rsidRDefault="007C645A" w:rsidP="001534F5">
      <w:pPr>
        <w:rPr>
          <w:bCs/>
        </w:rPr>
      </w:pPr>
      <w:r w:rsidRPr="00562C0F">
        <w:t xml:space="preserve">The </w:t>
      </w:r>
      <w:r w:rsidRPr="00562C0F">
        <w:rPr>
          <w:i/>
        </w:rPr>
        <w:t>Plausible</w:t>
      </w:r>
      <w:r w:rsidRPr="00562C0F">
        <w:t xml:space="preserve"> Scenari</w:t>
      </w:r>
      <w:r w:rsidR="001B3003" w:rsidRPr="00562C0F">
        <w:t xml:space="preserve">o results in the avoidance of </w:t>
      </w:r>
      <w:r w:rsidR="00E61BB3" w:rsidRPr="00562C0F">
        <w:t>just 0.1</w:t>
      </w:r>
      <w:r w:rsidR="00562C0F" w:rsidRPr="00562C0F">
        <w:t>0</w:t>
      </w:r>
      <w:r w:rsidR="00E61BB3" w:rsidRPr="00562C0F">
        <w:t xml:space="preserve"> </w:t>
      </w:r>
      <w:r w:rsidRPr="00562C0F">
        <w:t>gigatons of carbon dioxide-equivalent greenhouse gas emissio</w:t>
      </w:r>
      <w:r w:rsidR="00BB79D6" w:rsidRPr="00562C0F">
        <w:t>ns between 2020-2050</w:t>
      </w:r>
      <w:r w:rsidR="005C77F5" w:rsidRPr="00562C0F">
        <w:t xml:space="preserve">. </w:t>
      </w:r>
      <w:r w:rsidRPr="00562C0F">
        <w:t xml:space="preserve">Both the </w:t>
      </w:r>
      <w:r w:rsidRPr="00562C0F">
        <w:rPr>
          <w:i/>
        </w:rPr>
        <w:t xml:space="preserve">Drawdown </w:t>
      </w:r>
      <w:r w:rsidRPr="00562C0F">
        <w:t xml:space="preserve">and </w:t>
      </w:r>
      <w:r w:rsidRPr="00562C0F">
        <w:rPr>
          <w:i/>
        </w:rPr>
        <w:t xml:space="preserve">Optimum </w:t>
      </w:r>
      <w:r w:rsidRPr="00562C0F">
        <w:t xml:space="preserve">Scenarios are </w:t>
      </w:r>
      <w:r w:rsidR="00562C0F" w:rsidRPr="00562C0F">
        <w:t>slightly</w:t>
      </w:r>
      <w:r w:rsidRPr="00562C0F">
        <w:t xml:space="preserve"> a</w:t>
      </w:r>
      <w:r w:rsidR="00240C0E">
        <w:t xml:space="preserve">more </w:t>
      </w:r>
      <w:r w:rsidRPr="00562C0F">
        <w:t xml:space="preserve">mbitious in the growth of </w:t>
      </w:r>
      <w:r w:rsidR="00E54227" w:rsidRPr="00562C0F">
        <w:t>distributed</w:t>
      </w:r>
      <w:r w:rsidRPr="00562C0F">
        <w:t xml:space="preserve"> </w:t>
      </w:r>
      <w:r w:rsidR="00E61BB3" w:rsidRPr="00562C0F">
        <w:t>micro wind</w:t>
      </w:r>
      <w:r w:rsidRPr="00562C0F">
        <w:t xml:space="preserve"> technologies</w:t>
      </w:r>
      <w:r w:rsidR="00E61BB3" w:rsidRPr="00562C0F">
        <w:t xml:space="preserve"> </w:t>
      </w:r>
      <w:r w:rsidR="00562C0F" w:rsidRPr="00562C0F">
        <w:t>despite the</w:t>
      </w:r>
      <w:r w:rsidR="00E61BB3" w:rsidRPr="00562C0F">
        <w:t xml:space="preserve"> growth of other more significant technologies</w:t>
      </w:r>
      <w:r w:rsidRPr="00562C0F">
        <w:t xml:space="preserve">, with impacts on greenhouse gas emissions reductions over 2020-2050 of </w:t>
      </w:r>
      <w:r w:rsidR="00E61BB3" w:rsidRPr="00562C0F">
        <w:t>0.1</w:t>
      </w:r>
      <w:r w:rsidR="00562C0F" w:rsidRPr="00562C0F">
        <w:t>4</w:t>
      </w:r>
      <w:r w:rsidR="00E61BB3" w:rsidRPr="00562C0F">
        <w:t xml:space="preserve"> and 0.</w:t>
      </w:r>
      <w:r w:rsidR="00562C0F" w:rsidRPr="00562C0F">
        <w:t>34</w:t>
      </w:r>
      <w:r w:rsidR="00BB79D6" w:rsidRPr="00562C0F">
        <w:t xml:space="preserve"> </w:t>
      </w:r>
      <w:r w:rsidRPr="00562C0F">
        <w:t>gigatons of carbon dioxide-equivalent</w:t>
      </w:r>
      <w:r w:rsidR="00BB79D6" w:rsidRPr="00562C0F">
        <w:t>.</w:t>
      </w:r>
      <w:r w:rsidR="00057050" w:rsidRPr="00562C0F">
        <w:t xml:space="preserve"> </w:t>
      </w:r>
      <w:r w:rsidR="00E61BB3" w:rsidRPr="00562C0F">
        <w:t xml:space="preserve">These estimates were based on a conservative capacity factor. Since wind power is proportional to the cube of the wind speed, higher wind speeds result in much higher power. Doubling the wind speed in this framework would result in an order of magnitude increase in the carbon savings. </w:t>
      </w:r>
      <w:r w:rsidR="00057050" w:rsidRPr="00562C0F">
        <w:t>Tables 3.2 and 3.3. provide additional information on the climate impacts of the solution adoption.</w:t>
      </w:r>
    </w:p>
    <w:p w14:paraId="3322D480" w14:textId="77777777" w:rsidR="00630E72" w:rsidRDefault="00630E72">
      <w:pPr>
        <w:spacing w:after="160" w:line="259" w:lineRule="auto"/>
        <w:jc w:val="left"/>
        <w:rPr>
          <w:i/>
          <w:iCs/>
          <w:color w:val="1F497D" w:themeColor="text2"/>
          <w:sz w:val="18"/>
          <w:szCs w:val="18"/>
        </w:rPr>
      </w:pPr>
      <w:r>
        <w:br w:type="page"/>
      </w:r>
    </w:p>
    <w:p w14:paraId="4DA2B4CB" w14:textId="4D117E30" w:rsidR="00762877" w:rsidRPr="00E069AC" w:rsidRDefault="0066753A" w:rsidP="00EB247F">
      <w:pPr>
        <w:pStyle w:val="Caption"/>
        <w:jc w:val="center"/>
        <w:rPr>
          <w:rFonts w:eastAsia="Times New Roman" w:cs="Times New Roman"/>
          <w:sz w:val="24"/>
          <w:szCs w:val="24"/>
          <w:lang w:eastAsia="zh-CN"/>
        </w:rPr>
      </w:pPr>
      <w:bookmarkStart w:id="50" w:name="_Toc23613089"/>
      <w:r w:rsidRPr="00E069AC">
        <w:t xml:space="preserve">Table </w:t>
      </w:r>
      <w:fldSimple w:instr=" STYLEREF 1 \s ">
        <w:r w:rsidR="00492F5E" w:rsidRPr="00E069AC">
          <w:t>3</w:t>
        </w:r>
      </w:fldSimple>
      <w:r w:rsidR="00492F5E" w:rsidRPr="00E069AC">
        <w:t>.</w:t>
      </w:r>
      <w:fldSimple w:instr=" SEQ Table \* ARABIC \s 1 ">
        <w:r w:rsidR="00492F5E" w:rsidRPr="00E069AC">
          <w:t>2</w:t>
        </w:r>
      </w:fldSimple>
      <w:r w:rsidRPr="00E069AC">
        <w:t xml:space="preserve"> Climate Impacts</w:t>
      </w:r>
      <w:bookmarkEnd w:id="50"/>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E069AC"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5C77F5" w:rsidRPr="00E069AC"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E069AC"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0853A5" w:rsidRPr="00E069AC"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0853A5" w:rsidRPr="00E069AC" w:rsidRDefault="000853A5" w:rsidP="000853A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605E2636" w:rsidR="000853A5" w:rsidRPr="00E214CC" w:rsidRDefault="000853A5" w:rsidP="000853A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0853A5">
              <w:rPr>
                <w:rFonts w:eastAsia="Times New Roman" w:cstheme="minorHAnsi"/>
                <w:color w:val="000000" w:themeColor="text1"/>
                <w:sz w:val="20"/>
                <w:szCs w:val="20"/>
                <w:lang w:eastAsia="zh-CN"/>
              </w:rPr>
              <w:t>0.006</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5BE282CE" w:rsidR="000853A5" w:rsidRPr="00562C0F" w:rsidRDefault="000853A5" w:rsidP="000853A5">
            <w:pPr>
              <w:shd w:val="clear" w:color="auto" w:fill="FFFFFF"/>
              <w:spacing w:after="0" w:line="240" w:lineRule="auto"/>
              <w:jc w:val="center"/>
              <w:rPr>
                <w:rFonts w:eastAsia="Times New Roman" w:cstheme="minorHAnsi"/>
                <w:color w:val="000000" w:themeColor="text1"/>
                <w:sz w:val="20"/>
                <w:szCs w:val="20"/>
                <w:lang w:eastAsia="zh-CN"/>
              </w:rPr>
            </w:pPr>
            <w:r w:rsidRPr="00562C0F">
              <w:rPr>
                <w:rFonts w:eastAsia="Times New Roman" w:cstheme="minorHAnsi"/>
                <w:color w:val="000000" w:themeColor="text1"/>
                <w:sz w:val="20"/>
                <w:szCs w:val="20"/>
                <w:lang w:eastAsia="zh-CN"/>
              </w:rPr>
              <w:t>0.10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2C314EF1" w:rsidR="000853A5" w:rsidRPr="00E214CC" w:rsidRDefault="000853A5" w:rsidP="000853A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0853A5">
              <w:rPr>
                <w:rFonts w:eastAsia="Times New Roman" w:cstheme="minorHAnsi"/>
                <w:color w:val="000000" w:themeColor="text1"/>
                <w:sz w:val="20"/>
                <w:szCs w:val="20"/>
                <w:lang w:eastAsia="zh-CN"/>
              </w:rPr>
              <w:t>0.006</w:t>
            </w:r>
          </w:p>
        </w:tc>
      </w:tr>
      <w:tr w:rsidR="000853A5" w:rsidRPr="00E069AC"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0853A5" w:rsidRPr="00E069AC" w:rsidRDefault="000853A5" w:rsidP="000853A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15B2E392" w:rsidR="000853A5" w:rsidRPr="00E214CC" w:rsidRDefault="000853A5" w:rsidP="000853A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0853A5">
              <w:rPr>
                <w:rFonts w:eastAsia="Times New Roman" w:cstheme="minorHAnsi"/>
                <w:color w:val="000000" w:themeColor="text1"/>
                <w:sz w:val="20"/>
                <w:szCs w:val="20"/>
                <w:lang w:eastAsia="zh-CN"/>
              </w:rPr>
              <w:t>0.009</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56A02C32" w:rsidR="000853A5" w:rsidRPr="00562C0F" w:rsidRDefault="000853A5" w:rsidP="000853A5">
            <w:pPr>
              <w:shd w:val="clear" w:color="auto" w:fill="FFFFFF"/>
              <w:spacing w:after="0" w:line="240" w:lineRule="auto"/>
              <w:jc w:val="center"/>
              <w:rPr>
                <w:rFonts w:eastAsia="Times New Roman" w:cstheme="minorHAnsi"/>
                <w:color w:val="000000" w:themeColor="text1"/>
                <w:sz w:val="20"/>
                <w:szCs w:val="20"/>
                <w:lang w:eastAsia="zh-CN"/>
              </w:rPr>
            </w:pPr>
            <w:r w:rsidRPr="00562C0F">
              <w:rPr>
                <w:rFonts w:eastAsia="Times New Roman" w:cstheme="minorHAnsi"/>
                <w:color w:val="000000" w:themeColor="text1"/>
                <w:sz w:val="20"/>
                <w:szCs w:val="20"/>
                <w:lang w:eastAsia="zh-CN"/>
              </w:rPr>
              <w:t>0.14</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4F1D25BD" w:rsidR="000853A5" w:rsidRPr="00E214CC" w:rsidRDefault="000853A5" w:rsidP="000853A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0853A5">
              <w:rPr>
                <w:rFonts w:eastAsia="Times New Roman" w:cstheme="minorHAnsi"/>
                <w:color w:val="000000" w:themeColor="text1"/>
                <w:sz w:val="20"/>
                <w:szCs w:val="20"/>
                <w:lang w:eastAsia="zh-CN"/>
              </w:rPr>
              <w:t>0.009</w:t>
            </w:r>
          </w:p>
        </w:tc>
      </w:tr>
      <w:tr w:rsidR="000853A5" w:rsidRPr="00E069AC"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0853A5" w:rsidRPr="00E069AC" w:rsidRDefault="000853A5" w:rsidP="000853A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48C0DFCC" w:rsidR="000853A5" w:rsidRPr="00E214CC" w:rsidRDefault="000853A5" w:rsidP="000853A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0853A5">
              <w:rPr>
                <w:rFonts w:eastAsia="Times New Roman" w:cstheme="minorHAnsi"/>
                <w:color w:val="000000" w:themeColor="text1"/>
                <w:sz w:val="20"/>
                <w:szCs w:val="20"/>
                <w:lang w:eastAsia="zh-CN"/>
              </w:rPr>
              <w:t>0.024</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0F44E7AE" w:rsidR="000853A5" w:rsidRPr="00562C0F" w:rsidRDefault="000853A5" w:rsidP="000853A5">
            <w:pPr>
              <w:shd w:val="clear" w:color="auto" w:fill="FFFFFF"/>
              <w:spacing w:after="0" w:line="240" w:lineRule="auto"/>
              <w:jc w:val="center"/>
              <w:rPr>
                <w:rFonts w:eastAsia="Times New Roman" w:cstheme="minorHAnsi"/>
                <w:color w:val="000000" w:themeColor="text1"/>
                <w:sz w:val="20"/>
                <w:szCs w:val="20"/>
                <w:lang w:eastAsia="zh-CN"/>
              </w:rPr>
            </w:pPr>
            <w:r w:rsidRPr="00562C0F">
              <w:rPr>
                <w:rFonts w:eastAsia="Times New Roman" w:cstheme="minorHAnsi"/>
                <w:color w:val="000000" w:themeColor="text1"/>
                <w:sz w:val="20"/>
                <w:szCs w:val="20"/>
                <w:lang w:eastAsia="zh-CN"/>
              </w:rPr>
              <w:t>0.34</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5220B10F" w:rsidR="000853A5" w:rsidRPr="00E214CC" w:rsidRDefault="000853A5" w:rsidP="000853A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0853A5">
              <w:rPr>
                <w:rFonts w:eastAsia="Times New Roman" w:cstheme="minorHAnsi"/>
                <w:color w:val="000000" w:themeColor="text1"/>
                <w:sz w:val="20"/>
                <w:szCs w:val="20"/>
                <w:lang w:eastAsia="zh-CN"/>
              </w:rPr>
              <w:t>0.024</w:t>
            </w:r>
          </w:p>
        </w:tc>
      </w:tr>
    </w:tbl>
    <w:p w14:paraId="43965544" w14:textId="77777777" w:rsidR="00BB79D6" w:rsidRPr="00E069AC" w:rsidRDefault="00BB79D6" w:rsidP="00EB247F">
      <w:pPr>
        <w:pStyle w:val="Caption"/>
      </w:pPr>
      <w:bookmarkStart w:id="51" w:name="_Toc524993443"/>
    </w:p>
    <w:p w14:paraId="2A78003D" w14:textId="621F1C2D" w:rsidR="001534F5" w:rsidRPr="00E069AC" w:rsidRDefault="001534F5" w:rsidP="001534F5">
      <w:pPr>
        <w:spacing w:after="0"/>
      </w:pPr>
      <w:r w:rsidRPr="00871D38">
        <w:t xml:space="preserve">The solution was integrated with all other Project Drawdown solutions and may have different emissions results from the models. This is due to adjustments caused by interactions among solutions that limit full adoption (such as by feedstock or demand limits) or that limit the full benefit of some solutions (such as reduced individual solution impact when technologies are combined). After integration, the impact on emission reduction for this solution is </w:t>
      </w:r>
      <w:r w:rsidR="00A573CA" w:rsidRPr="00871D38">
        <w:t>similar, with 0.</w:t>
      </w:r>
      <w:r w:rsidR="00871D38" w:rsidRPr="00871D38">
        <w:t>1</w:t>
      </w:r>
      <w:r w:rsidRPr="00871D38">
        <w:t xml:space="preserve"> gigatons of carbon dioxide-equivalent in the </w:t>
      </w:r>
      <w:r w:rsidRPr="00871D38">
        <w:rPr>
          <w:i/>
        </w:rPr>
        <w:t>Plausible</w:t>
      </w:r>
      <w:r w:rsidRPr="00871D38">
        <w:t xml:space="preserve"> scenario, </w:t>
      </w:r>
      <w:r w:rsidR="00A573CA" w:rsidRPr="00871D38">
        <w:t>0.1</w:t>
      </w:r>
      <w:r w:rsidR="00871D38" w:rsidRPr="00871D38">
        <w:t>3</w:t>
      </w:r>
      <w:r w:rsidRPr="00871D38">
        <w:t xml:space="preserve"> gigatons of carbon dioxide-equivalent </w:t>
      </w:r>
      <w:r w:rsidR="00562C0F" w:rsidRPr="00871D38">
        <w:t>in</w:t>
      </w:r>
      <w:r w:rsidRPr="00871D38">
        <w:t xml:space="preserve"> the </w:t>
      </w:r>
      <w:r w:rsidRPr="00871D38">
        <w:rPr>
          <w:i/>
        </w:rPr>
        <w:t xml:space="preserve">Drawdown </w:t>
      </w:r>
      <w:r w:rsidRPr="00871D38">
        <w:t xml:space="preserve">Scenario and </w:t>
      </w:r>
      <w:r w:rsidR="00A573CA" w:rsidRPr="00871D38">
        <w:t>0.</w:t>
      </w:r>
      <w:r w:rsidR="00871D38" w:rsidRPr="00871D38">
        <w:t>9</w:t>
      </w:r>
      <w:r w:rsidR="00562C0F" w:rsidRPr="00871D38">
        <w:t>7</w:t>
      </w:r>
      <w:r w:rsidRPr="00871D38">
        <w:t xml:space="preserve"> gigatons of carbon dioxide-equivalent </w:t>
      </w:r>
      <w:r w:rsidR="00562C0F" w:rsidRPr="00871D38">
        <w:t xml:space="preserve">disclosed in </w:t>
      </w:r>
      <w:r w:rsidRPr="00871D38">
        <w:t xml:space="preserve">the </w:t>
      </w:r>
      <w:r w:rsidRPr="00871D38">
        <w:rPr>
          <w:i/>
        </w:rPr>
        <w:t xml:space="preserve">Optimum </w:t>
      </w:r>
      <w:r w:rsidRPr="00871D38">
        <w:t>Scenario.</w:t>
      </w:r>
      <w:r w:rsidR="00912CC8" w:rsidRPr="00871D38">
        <w:t xml:space="preserve"> Figure 3.2. show the world annual emissions reduction trajectories for the different scenarios for the long term.</w:t>
      </w:r>
    </w:p>
    <w:p w14:paraId="404FACD9" w14:textId="4BA6E8D5" w:rsidR="001534F5" w:rsidRPr="00E069AC" w:rsidRDefault="001534F5" w:rsidP="001534F5"/>
    <w:p w14:paraId="524B77BF" w14:textId="75BBD916" w:rsidR="00762877" w:rsidRPr="00E069AC" w:rsidRDefault="003A7929" w:rsidP="00EB247F">
      <w:pPr>
        <w:pStyle w:val="Caption"/>
        <w:jc w:val="center"/>
        <w:rPr>
          <w:rFonts w:eastAsia="Times New Roman" w:cs="Times New Roman"/>
          <w:sz w:val="24"/>
          <w:szCs w:val="24"/>
          <w:lang w:eastAsia="zh-CN"/>
        </w:rPr>
      </w:pPr>
      <w:bookmarkStart w:id="52" w:name="_Toc23613090"/>
      <w:r w:rsidRPr="00E069AC">
        <w:t xml:space="preserve">Table </w:t>
      </w:r>
      <w:fldSimple w:instr=" STYLEREF 1 \s ">
        <w:r w:rsidRPr="00E069AC">
          <w:t>3</w:t>
        </w:r>
      </w:fldSimple>
      <w:r w:rsidRPr="00E069AC">
        <w:t>.</w:t>
      </w:r>
      <w:fldSimple w:instr=" SEQ Table \* ARABIC \s 1 ">
        <w:r w:rsidRPr="00E069AC">
          <w:t>3</w:t>
        </w:r>
      </w:fldSimple>
      <w:r w:rsidRPr="00E069AC">
        <w:t xml:space="preserve"> Impacts on Atmospheric Concentrations of CO</w:t>
      </w:r>
      <w:r w:rsidRPr="00E069AC">
        <w:rPr>
          <w:vertAlign w:val="subscript"/>
        </w:rPr>
        <w:t>2</w:t>
      </w:r>
      <w:r w:rsidRPr="00E069AC">
        <w:t>-eq</w:t>
      </w:r>
      <w:bookmarkEnd w:id="51"/>
      <w:bookmarkEnd w:id="52"/>
    </w:p>
    <w:tbl>
      <w:tblPr>
        <w:tblW w:w="9281" w:type="dxa"/>
        <w:jc w:val="center"/>
        <w:tblCellMar>
          <w:top w:w="15" w:type="dxa"/>
          <w:left w:w="15" w:type="dxa"/>
          <w:bottom w:w="15" w:type="dxa"/>
          <w:right w:w="15" w:type="dxa"/>
        </w:tblCellMar>
        <w:tblLook w:val="04A0" w:firstRow="1" w:lastRow="0" w:firstColumn="1" w:lastColumn="0" w:noHBand="0" w:noVBand="1"/>
      </w:tblPr>
      <w:tblGrid>
        <w:gridCol w:w="1214"/>
        <w:gridCol w:w="3666"/>
        <w:gridCol w:w="4401"/>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0853A5" w:rsidRDefault="003A7929" w:rsidP="001534F5">
            <w:pPr>
              <w:shd w:val="clear" w:color="auto" w:fill="FFFFFF" w:themeFill="background1"/>
              <w:spacing w:after="0" w:line="240" w:lineRule="auto"/>
              <w:jc w:val="center"/>
              <w:rPr>
                <w:i/>
                <w:color w:val="000000" w:themeColor="text1"/>
                <w:sz w:val="20"/>
                <w:szCs w:val="20"/>
                <w:lang w:eastAsia="zh-CN"/>
              </w:rPr>
            </w:pPr>
            <w:r w:rsidRPr="000853A5">
              <w:rPr>
                <w:b/>
                <w:bCs/>
                <w:i/>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4D999441" w:rsidR="003A7929" w:rsidRPr="000853A5" w:rsidRDefault="00E61BB3" w:rsidP="001534F5">
            <w:pPr>
              <w:shd w:val="clear" w:color="auto" w:fill="FFFFFF"/>
              <w:spacing w:after="0" w:line="240" w:lineRule="auto"/>
              <w:jc w:val="center"/>
              <w:rPr>
                <w:rFonts w:eastAsia="Times New Roman" w:cstheme="minorHAnsi"/>
                <w:color w:val="000000" w:themeColor="text1"/>
                <w:sz w:val="20"/>
                <w:szCs w:val="20"/>
                <w:lang w:eastAsia="zh-CN"/>
              </w:rPr>
            </w:pPr>
            <w:r w:rsidRPr="000853A5">
              <w:rPr>
                <w:rFonts w:eastAsia="Times New Roman" w:cstheme="minorHAnsi"/>
                <w:color w:val="000000" w:themeColor="text1"/>
                <w:sz w:val="20"/>
                <w:szCs w:val="20"/>
                <w:lang w:eastAsia="zh-CN"/>
              </w:rPr>
              <w:t>0.0</w:t>
            </w:r>
            <w:r w:rsidR="000853A5" w:rsidRPr="000853A5">
              <w:rPr>
                <w:rFonts w:eastAsia="Times New Roman" w:cstheme="minorHAnsi"/>
                <w:color w:val="000000" w:themeColor="text1"/>
                <w:sz w:val="20"/>
                <w:szCs w:val="20"/>
                <w:lang w:eastAsia="zh-CN"/>
              </w:rPr>
              <w:t>09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7351F33E" w:rsidR="003A7929" w:rsidRPr="000853A5" w:rsidRDefault="00A573CA" w:rsidP="001534F5">
            <w:pPr>
              <w:shd w:val="clear" w:color="auto" w:fill="FFFFFF"/>
              <w:spacing w:after="0" w:line="240" w:lineRule="auto"/>
              <w:jc w:val="center"/>
              <w:rPr>
                <w:rFonts w:eastAsia="Times New Roman" w:cstheme="minorHAnsi"/>
                <w:color w:val="000000" w:themeColor="text1"/>
                <w:sz w:val="20"/>
                <w:szCs w:val="20"/>
                <w:lang w:eastAsia="zh-CN"/>
              </w:rPr>
            </w:pPr>
            <w:r w:rsidRPr="000853A5">
              <w:rPr>
                <w:rFonts w:eastAsia="Times New Roman" w:cstheme="minorHAnsi"/>
                <w:color w:val="000000" w:themeColor="text1"/>
                <w:sz w:val="20"/>
                <w:szCs w:val="20"/>
                <w:lang w:eastAsia="zh-CN"/>
              </w:rPr>
              <w:t>0.00</w:t>
            </w:r>
            <w:r w:rsidR="000853A5" w:rsidRPr="000853A5">
              <w:rPr>
                <w:rFonts w:eastAsia="Times New Roman" w:cstheme="minorHAnsi"/>
                <w:color w:val="000000" w:themeColor="text1"/>
                <w:sz w:val="20"/>
                <w:szCs w:val="20"/>
                <w:lang w:eastAsia="zh-CN"/>
              </w:rPr>
              <w:t>05</w:t>
            </w:r>
          </w:p>
        </w:tc>
      </w:tr>
      <w:tr w:rsidR="00A573CA" w:rsidRPr="00E069AC"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A573CA" w:rsidRPr="000853A5" w:rsidRDefault="00A573CA" w:rsidP="00A573CA">
            <w:pPr>
              <w:shd w:val="clear" w:color="auto" w:fill="FFFFFF" w:themeFill="background1"/>
              <w:spacing w:after="0" w:line="240" w:lineRule="auto"/>
              <w:jc w:val="center"/>
              <w:rPr>
                <w:i/>
                <w:color w:val="000000" w:themeColor="text1"/>
                <w:sz w:val="20"/>
                <w:szCs w:val="20"/>
                <w:lang w:eastAsia="zh-CN"/>
              </w:rPr>
            </w:pPr>
            <w:r w:rsidRPr="000853A5">
              <w:rPr>
                <w:b/>
                <w:bCs/>
                <w:i/>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7F6F767E" w:rsidR="00A573CA" w:rsidRPr="000853A5" w:rsidRDefault="00A573CA" w:rsidP="00A573CA">
            <w:pPr>
              <w:shd w:val="clear" w:color="auto" w:fill="FFFFFF"/>
              <w:spacing w:after="0" w:line="240" w:lineRule="auto"/>
              <w:jc w:val="center"/>
              <w:rPr>
                <w:rFonts w:eastAsia="Times New Roman" w:cstheme="minorHAnsi"/>
                <w:color w:val="000000" w:themeColor="text1"/>
                <w:sz w:val="20"/>
                <w:szCs w:val="20"/>
                <w:lang w:eastAsia="zh-CN"/>
              </w:rPr>
            </w:pPr>
            <w:r w:rsidRPr="000853A5">
              <w:rPr>
                <w:rFonts w:eastAsia="Times New Roman" w:cstheme="minorHAnsi"/>
                <w:color w:val="000000" w:themeColor="text1"/>
                <w:sz w:val="20"/>
                <w:szCs w:val="20"/>
                <w:lang w:eastAsia="zh-CN"/>
              </w:rPr>
              <w:t>0.0</w:t>
            </w:r>
            <w:r w:rsidR="000853A5" w:rsidRPr="000853A5">
              <w:rPr>
                <w:rFonts w:eastAsia="Times New Roman" w:cstheme="minorHAnsi"/>
                <w:color w:val="000000" w:themeColor="text1"/>
                <w:sz w:val="20"/>
                <w:szCs w:val="20"/>
                <w:lang w:eastAsia="zh-CN"/>
              </w:rPr>
              <w:t>12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73054907" w:rsidR="00A573CA" w:rsidRPr="000853A5" w:rsidRDefault="00A573CA" w:rsidP="00A573CA">
            <w:pPr>
              <w:shd w:val="clear" w:color="auto" w:fill="FFFFFF"/>
              <w:spacing w:after="0" w:line="240" w:lineRule="auto"/>
              <w:jc w:val="center"/>
              <w:rPr>
                <w:rFonts w:eastAsia="Times New Roman" w:cstheme="minorHAnsi"/>
                <w:color w:val="000000" w:themeColor="text1"/>
                <w:sz w:val="20"/>
                <w:szCs w:val="20"/>
                <w:lang w:eastAsia="zh-CN"/>
              </w:rPr>
            </w:pPr>
            <w:r w:rsidRPr="000853A5">
              <w:rPr>
                <w:rFonts w:eastAsia="Times New Roman" w:cstheme="minorHAnsi"/>
                <w:color w:val="000000" w:themeColor="text1"/>
                <w:sz w:val="20"/>
                <w:szCs w:val="20"/>
                <w:lang w:eastAsia="zh-CN"/>
              </w:rPr>
              <w:t>0.001</w:t>
            </w:r>
          </w:p>
        </w:tc>
      </w:tr>
      <w:tr w:rsidR="00A573CA" w:rsidRPr="00E069AC"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A573CA" w:rsidRPr="000853A5" w:rsidRDefault="00A573CA" w:rsidP="00A573CA">
            <w:pPr>
              <w:shd w:val="clear" w:color="auto" w:fill="FFFFFF" w:themeFill="background1"/>
              <w:spacing w:after="0" w:line="240" w:lineRule="auto"/>
              <w:jc w:val="center"/>
              <w:rPr>
                <w:i/>
                <w:color w:val="000000" w:themeColor="text1"/>
                <w:sz w:val="20"/>
                <w:szCs w:val="20"/>
                <w:lang w:eastAsia="zh-CN"/>
              </w:rPr>
            </w:pPr>
            <w:r w:rsidRPr="000853A5">
              <w:rPr>
                <w:b/>
                <w:bCs/>
                <w:i/>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5EB2D336" w:rsidR="00A573CA" w:rsidRPr="000853A5" w:rsidRDefault="00A573CA" w:rsidP="00A573CA">
            <w:pPr>
              <w:shd w:val="clear" w:color="auto" w:fill="FFFFFF"/>
              <w:spacing w:after="0" w:line="240" w:lineRule="auto"/>
              <w:jc w:val="center"/>
              <w:rPr>
                <w:rFonts w:eastAsia="Times New Roman" w:cstheme="minorHAnsi"/>
                <w:color w:val="000000" w:themeColor="text1"/>
                <w:sz w:val="20"/>
                <w:szCs w:val="20"/>
                <w:lang w:eastAsia="zh-CN"/>
              </w:rPr>
            </w:pPr>
            <w:r w:rsidRPr="000853A5">
              <w:rPr>
                <w:rFonts w:eastAsia="Times New Roman" w:cstheme="minorHAnsi"/>
                <w:color w:val="000000" w:themeColor="text1"/>
                <w:sz w:val="20"/>
                <w:szCs w:val="20"/>
                <w:lang w:eastAsia="zh-CN"/>
              </w:rPr>
              <w:t>0.0</w:t>
            </w:r>
            <w:r w:rsidR="000853A5" w:rsidRPr="000853A5">
              <w:rPr>
                <w:rFonts w:eastAsia="Times New Roman" w:cstheme="minorHAnsi"/>
                <w:color w:val="000000" w:themeColor="text1"/>
                <w:sz w:val="20"/>
                <w:szCs w:val="20"/>
                <w:lang w:eastAsia="zh-CN"/>
              </w:rPr>
              <w:t>29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BDC6498" w:rsidR="00A573CA" w:rsidRPr="000853A5" w:rsidRDefault="00A573CA" w:rsidP="00A573CA">
            <w:pPr>
              <w:shd w:val="clear" w:color="auto" w:fill="FFFFFF"/>
              <w:spacing w:after="0" w:line="240" w:lineRule="auto"/>
              <w:jc w:val="center"/>
              <w:rPr>
                <w:rFonts w:eastAsia="Times New Roman" w:cstheme="minorHAnsi"/>
                <w:color w:val="000000" w:themeColor="text1"/>
                <w:sz w:val="20"/>
                <w:szCs w:val="20"/>
                <w:lang w:eastAsia="zh-CN"/>
              </w:rPr>
            </w:pPr>
            <w:r w:rsidRPr="000853A5">
              <w:rPr>
                <w:rFonts w:eastAsia="Times New Roman" w:cstheme="minorHAnsi"/>
                <w:color w:val="000000" w:themeColor="text1"/>
                <w:sz w:val="20"/>
                <w:szCs w:val="20"/>
                <w:lang w:eastAsia="zh-CN"/>
              </w:rPr>
              <w:t>0.00</w:t>
            </w:r>
            <w:r w:rsidR="000853A5" w:rsidRPr="000853A5">
              <w:rPr>
                <w:rFonts w:eastAsia="Times New Roman" w:cstheme="minorHAnsi"/>
                <w:color w:val="000000" w:themeColor="text1"/>
                <w:sz w:val="20"/>
                <w:szCs w:val="20"/>
                <w:lang w:eastAsia="zh-CN"/>
              </w:rPr>
              <w:t>2</w:t>
            </w:r>
          </w:p>
        </w:tc>
      </w:tr>
    </w:tbl>
    <w:p w14:paraId="52077D33" w14:textId="77777777" w:rsidR="003A7FE2" w:rsidRPr="00E069AC" w:rsidRDefault="003A7FE2" w:rsidP="00EB247F">
      <w:pPr>
        <w:pStyle w:val="Caption"/>
      </w:pPr>
    </w:p>
    <w:p w14:paraId="61997373" w14:textId="0FAEF33A" w:rsidR="003A7929" w:rsidRPr="000853A5" w:rsidRDefault="00240C0E" w:rsidP="00EB247F">
      <w:pPr>
        <w:jc w:val="center"/>
      </w:pPr>
      <w:r>
        <w:rPr>
          <w:noProof/>
        </w:rPr>
        <w:drawing>
          <wp:inline distT="0" distB="0" distL="0" distR="0" wp14:anchorId="45B5AD45" wp14:editId="7D8D85F6">
            <wp:extent cx="5936566" cy="3108960"/>
            <wp:effectExtent l="0" t="0" r="7620" b="15240"/>
            <wp:docPr id="4" name="Chart 4">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DAEFCF6" w14:textId="10A06CA3" w:rsidR="00762877" w:rsidRDefault="003A7929" w:rsidP="00996E91">
      <w:pPr>
        <w:pStyle w:val="Caption"/>
        <w:jc w:val="center"/>
      </w:pPr>
      <w:bookmarkStart w:id="53" w:name="_Toc524993433"/>
      <w:bookmarkStart w:id="54" w:name="_Toc44543239"/>
      <w:r w:rsidRPr="000853A5">
        <w:t xml:space="preserve">Figure </w:t>
      </w:r>
      <w:fldSimple w:instr=" STYLEREF 1 \s ">
        <w:r w:rsidRPr="000853A5">
          <w:t>3</w:t>
        </w:r>
      </w:fldSimple>
      <w:r w:rsidRPr="000853A5">
        <w:t>.</w:t>
      </w:r>
      <w:fldSimple w:instr=" SEQ Figure \* ARABIC \s 1 ">
        <w:r w:rsidRPr="000853A5">
          <w:t>2</w:t>
        </w:r>
      </w:fldSimple>
      <w:r w:rsidRPr="000853A5">
        <w:t xml:space="preserve"> World Annual</w:t>
      </w:r>
      <w:r w:rsidRPr="000853A5">
        <w:rPr>
          <w:vertAlign w:val="subscript"/>
        </w:rPr>
        <w:t xml:space="preserve"> </w:t>
      </w:r>
      <w:r w:rsidRPr="000853A5">
        <w:t>Greenhouse Gas Emissions Reduction</w:t>
      </w:r>
      <w:bookmarkEnd w:id="53"/>
      <w:bookmarkEnd w:id="54"/>
    </w:p>
    <w:p w14:paraId="66EC2EBB" w14:textId="3C718438" w:rsidR="00B261E0" w:rsidRPr="00E069AC" w:rsidRDefault="551A77D0" w:rsidP="006F6CC3">
      <w:pPr>
        <w:pStyle w:val="Heading2"/>
        <w:numPr>
          <w:ilvl w:val="1"/>
          <w:numId w:val="48"/>
        </w:numPr>
      </w:pPr>
      <w:bookmarkStart w:id="55" w:name="_Toc23613466"/>
      <w:r w:rsidRPr="00E069AC">
        <w:t>Financial Impacts</w:t>
      </w:r>
      <w:bookmarkEnd w:id="55"/>
    </w:p>
    <w:p w14:paraId="67D10FD6" w14:textId="177925C4" w:rsidR="00E9270B" w:rsidRPr="008944B4" w:rsidRDefault="00E9270B" w:rsidP="005C77F5">
      <w:r w:rsidRPr="00623266">
        <w:t xml:space="preserve">The financial savings incurred by replacing conventional grid electricity sources with </w:t>
      </w:r>
      <w:r w:rsidR="00A573CA">
        <w:t>micro wind</w:t>
      </w:r>
      <w:r w:rsidR="00E54227" w:rsidRPr="00623266">
        <w:t xml:space="preserve"> systems</w:t>
      </w:r>
      <w:r w:rsidRPr="00623266">
        <w:t xml:space="preserve"> </w:t>
      </w:r>
      <w:r w:rsidR="00A573CA">
        <w:t xml:space="preserve">is </w:t>
      </w:r>
      <w:r w:rsidR="00A573CA" w:rsidRPr="000853A5">
        <w:t xml:space="preserve">reduced </w:t>
      </w:r>
      <w:r w:rsidR="000853A5" w:rsidRPr="000853A5">
        <w:t xml:space="preserve">when </w:t>
      </w:r>
      <w:r w:rsidR="00A573CA" w:rsidRPr="000853A5">
        <w:t xml:space="preserve">compared to other renewable energy sources. The </w:t>
      </w:r>
      <w:r w:rsidR="005C77F5" w:rsidRPr="000853A5">
        <w:rPr>
          <w:i/>
        </w:rPr>
        <w:t>Plausible</w:t>
      </w:r>
      <w:r w:rsidR="005C77F5" w:rsidRPr="000853A5">
        <w:t xml:space="preserve"> scenario presents US$</w:t>
      </w:r>
      <w:r w:rsidR="000853A5" w:rsidRPr="000853A5">
        <w:t>52</w:t>
      </w:r>
      <w:r w:rsidR="00A573CA" w:rsidRPr="000853A5">
        <w:t>.</w:t>
      </w:r>
      <w:r w:rsidR="000853A5" w:rsidRPr="000853A5">
        <w:t>84</w:t>
      </w:r>
      <w:r w:rsidR="005C77F5" w:rsidRPr="000853A5">
        <w:t xml:space="preserve"> </w:t>
      </w:r>
      <w:r w:rsidR="005C77F5" w:rsidRPr="008944B4">
        <w:t xml:space="preserve">billion from </w:t>
      </w:r>
      <w:r w:rsidR="00A573CA" w:rsidRPr="008944B4">
        <w:t>marginal</w:t>
      </w:r>
      <w:r w:rsidR="005C77F5" w:rsidRPr="008944B4">
        <w:t xml:space="preserve"> first costs</w:t>
      </w:r>
      <w:r w:rsidR="00996E91" w:rsidRPr="008944B4">
        <w:t xml:space="preserve"> and</w:t>
      </w:r>
      <w:r w:rsidR="005C77F5" w:rsidRPr="008944B4">
        <w:t xml:space="preserve"> </w:t>
      </w:r>
      <w:r w:rsidR="000853A5" w:rsidRPr="008944B4">
        <w:t xml:space="preserve">negative </w:t>
      </w:r>
      <w:r w:rsidR="005C77F5" w:rsidRPr="008944B4">
        <w:t>US$</w:t>
      </w:r>
      <w:r w:rsidR="000853A5" w:rsidRPr="008944B4">
        <w:t>11.57 billions</w:t>
      </w:r>
      <w:r w:rsidR="005C77F5" w:rsidRPr="008944B4">
        <w:t xml:space="preserve"> of net operating savings are projected over the same period</w:t>
      </w:r>
      <w:r w:rsidR="000853A5" w:rsidRPr="008944B4">
        <w:t>.</w:t>
      </w:r>
      <w:r w:rsidR="005C77F5" w:rsidRPr="008944B4">
        <w:t xml:space="preserve"> </w:t>
      </w:r>
      <w:r w:rsidR="00996E91" w:rsidRPr="008944B4">
        <w:t xml:space="preserve">PDS2 </w:t>
      </w:r>
      <w:r w:rsidR="000853A5" w:rsidRPr="008944B4">
        <w:t xml:space="preserve">results show US$69.64 billion from marginal first costs with while </w:t>
      </w:r>
      <w:r w:rsidR="00996E91" w:rsidRPr="008944B4">
        <w:t>PDS3</w:t>
      </w:r>
      <w:r w:rsidR="008944B4" w:rsidRPr="008944B4">
        <w:t>. consider</w:t>
      </w:r>
      <w:r w:rsidR="00996E91" w:rsidRPr="008944B4">
        <w:t xml:space="preserve"> near US$</w:t>
      </w:r>
      <w:r w:rsidR="000853A5" w:rsidRPr="008944B4">
        <w:t>157</w:t>
      </w:r>
      <w:r w:rsidR="008944B4" w:rsidRPr="008944B4">
        <w:t>.83</w:t>
      </w:r>
      <w:r w:rsidR="00623266" w:rsidRPr="008944B4">
        <w:t xml:space="preserve"> billions</w:t>
      </w:r>
      <w:r w:rsidR="00996E91" w:rsidRPr="008944B4">
        <w:t xml:space="preserve"> of marginal first costs and </w:t>
      </w:r>
      <w:r w:rsidR="008944B4" w:rsidRPr="008944B4">
        <w:t>-38.65</w:t>
      </w:r>
      <w:r w:rsidR="00996E91" w:rsidRPr="008944B4">
        <w:t xml:space="preserve"> </w:t>
      </w:r>
      <w:r w:rsidR="008944B4" w:rsidRPr="008944B4">
        <w:t>billions</w:t>
      </w:r>
      <w:r w:rsidR="00996E91" w:rsidRPr="008944B4">
        <w:t xml:space="preserve"> of net operating savings.</w:t>
      </w:r>
    </w:p>
    <w:p w14:paraId="7B5C6E11" w14:textId="4E04497D" w:rsidR="003A7929" w:rsidRPr="00E9270B" w:rsidRDefault="00E9270B" w:rsidP="005C77F5">
      <w:r w:rsidRPr="008944B4">
        <w:rPr>
          <w:bCs/>
        </w:rPr>
        <w:t xml:space="preserve">The capital costs for PDS adoption of </w:t>
      </w:r>
      <w:r w:rsidR="00A573CA" w:rsidRPr="008944B4">
        <w:rPr>
          <w:bCs/>
        </w:rPr>
        <w:t>micro wind</w:t>
      </w:r>
      <w:r w:rsidRPr="008944B4">
        <w:rPr>
          <w:bCs/>
        </w:rPr>
        <w:t xml:space="preserve"> will require </w:t>
      </w:r>
      <w:r w:rsidR="00A573CA" w:rsidRPr="008944B4">
        <w:rPr>
          <w:bCs/>
        </w:rPr>
        <w:t>additional</w:t>
      </w:r>
      <w:r w:rsidRPr="008944B4">
        <w:rPr>
          <w:bCs/>
        </w:rPr>
        <w:t xml:space="preserve"> investments, as the cumulative capital costs are just over $</w:t>
      </w:r>
      <w:r w:rsidR="008944B4" w:rsidRPr="008944B4">
        <w:rPr>
          <w:bCs/>
        </w:rPr>
        <w:t>78.54</w:t>
      </w:r>
      <w:r w:rsidRPr="008944B4">
        <w:rPr>
          <w:bCs/>
        </w:rPr>
        <w:t xml:space="preserve"> </w:t>
      </w:r>
      <w:r w:rsidR="00A573CA" w:rsidRPr="008944B4">
        <w:rPr>
          <w:bCs/>
        </w:rPr>
        <w:t>billion</w:t>
      </w:r>
      <w:r w:rsidRPr="008944B4">
        <w:rPr>
          <w:bCs/>
        </w:rPr>
        <w:t xml:space="preserve"> </w:t>
      </w:r>
      <w:r w:rsidR="00A573CA" w:rsidRPr="008944B4">
        <w:rPr>
          <w:bCs/>
        </w:rPr>
        <w:t>on</w:t>
      </w:r>
      <w:r w:rsidRPr="008944B4">
        <w:rPr>
          <w:bCs/>
        </w:rPr>
        <w:t xml:space="preserve"> the </w:t>
      </w:r>
      <w:r w:rsidRPr="008944B4">
        <w:rPr>
          <w:bCs/>
          <w:i/>
        </w:rPr>
        <w:t xml:space="preserve">Plausible </w:t>
      </w:r>
      <w:r w:rsidRPr="008944B4">
        <w:rPr>
          <w:bCs/>
        </w:rPr>
        <w:t>Scenario</w:t>
      </w:r>
      <w:r w:rsidR="008944B4" w:rsidRPr="008944B4">
        <w:rPr>
          <w:bCs/>
        </w:rPr>
        <w:t xml:space="preserve">, </w:t>
      </w:r>
      <w:r w:rsidRPr="008944B4">
        <w:rPr>
          <w:bCs/>
        </w:rPr>
        <w:t>$</w:t>
      </w:r>
      <w:r w:rsidR="008944B4" w:rsidRPr="008944B4">
        <w:rPr>
          <w:bCs/>
        </w:rPr>
        <w:t>99.39</w:t>
      </w:r>
      <w:r w:rsidR="000C0E19" w:rsidRPr="008944B4">
        <w:rPr>
          <w:bCs/>
        </w:rPr>
        <w:t xml:space="preserve"> billion</w:t>
      </w:r>
      <w:r w:rsidRPr="008944B4">
        <w:rPr>
          <w:bCs/>
        </w:rPr>
        <w:t xml:space="preserve"> </w:t>
      </w:r>
      <w:r w:rsidR="008944B4" w:rsidRPr="008944B4">
        <w:rPr>
          <w:bCs/>
        </w:rPr>
        <w:t xml:space="preserve">for </w:t>
      </w:r>
      <w:r w:rsidRPr="008944B4">
        <w:rPr>
          <w:bCs/>
        </w:rPr>
        <w:t xml:space="preserve"> </w:t>
      </w:r>
      <w:r w:rsidR="008944B4" w:rsidRPr="008944B4">
        <w:rPr>
          <w:bCs/>
        </w:rPr>
        <w:t xml:space="preserve">Drawdown </w:t>
      </w:r>
      <w:r w:rsidRPr="008944B4">
        <w:rPr>
          <w:bCs/>
        </w:rPr>
        <w:t>scenario</w:t>
      </w:r>
      <w:r w:rsidR="008944B4" w:rsidRPr="008944B4">
        <w:rPr>
          <w:bCs/>
        </w:rPr>
        <w:t xml:space="preserve"> and 199.33 on the more ambitious adoption</w:t>
      </w:r>
      <w:r w:rsidR="008944B4" w:rsidRPr="008944B4">
        <w:rPr>
          <w:bCs/>
          <w:i/>
        </w:rPr>
        <w:t xml:space="preserve"> Optimum</w:t>
      </w:r>
      <w:r w:rsidR="008944B4" w:rsidRPr="008944B4">
        <w:rPr>
          <w:bCs/>
        </w:rPr>
        <w:t xml:space="preserve"> scenario. </w:t>
      </w:r>
      <w:r w:rsidRPr="008944B4">
        <w:rPr>
          <w:bCs/>
        </w:rPr>
        <w:t xml:space="preserve">The learning rates used in this analysis </w:t>
      </w:r>
      <w:r w:rsidR="008944B4" w:rsidRPr="008944B4">
        <w:rPr>
          <w:bCs/>
        </w:rPr>
        <w:t xml:space="preserve"> close to 10% (i.e</w:t>
      </w:r>
      <w:r w:rsidR="008944B4">
        <w:rPr>
          <w:bCs/>
        </w:rPr>
        <w:t>.</w:t>
      </w:r>
      <w:r w:rsidR="008944B4" w:rsidRPr="008944B4">
        <w:rPr>
          <w:bCs/>
        </w:rPr>
        <w:t xml:space="preserve"> 9.65%) </w:t>
      </w:r>
      <w:r w:rsidRPr="008944B4">
        <w:rPr>
          <w:bCs/>
        </w:rPr>
        <w:t xml:space="preserve">lead to a continued decrease in the capital costs of </w:t>
      </w:r>
      <w:r w:rsidR="00E54227" w:rsidRPr="008944B4">
        <w:rPr>
          <w:bCs/>
        </w:rPr>
        <w:t>these distributed</w:t>
      </w:r>
      <w:r w:rsidRPr="008944B4">
        <w:rPr>
          <w:bCs/>
        </w:rPr>
        <w:t xml:space="preserve"> </w:t>
      </w:r>
      <w:r w:rsidR="000C0E19" w:rsidRPr="008944B4">
        <w:rPr>
          <w:bCs/>
        </w:rPr>
        <w:t>micro wind systems</w:t>
      </w:r>
      <w:r w:rsidRPr="008944B4">
        <w:rPr>
          <w:bCs/>
        </w:rPr>
        <w:t xml:space="preserve">. </w:t>
      </w:r>
      <w:r w:rsidR="003A7929" w:rsidRPr="008944B4">
        <w:rPr>
          <w:iCs/>
          <w:kern w:val="2"/>
          <w:lang w:eastAsia="zh-CN"/>
        </w:rPr>
        <w:t xml:space="preserve">Below </w:t>
      </w:r>
      <w:r w:rsidRPr="008944B4">
        <w:rPr>
          <w:iCs/>
          <w:kern w:val="2"/>
          <w:lang w:eastAsia="zh-CN"/>
        </w:rPr>
        <w:t>in T</w:t>
      </w:r>
      <w:r w:rsidR="00912CC8" w:rsidRPr="008944B4">
        <w:rPr>
          <w:iCs/>
          <w:kern w:val="2"/>
          <w:lang w:eastAsia="zh-CN"/>
        </w:rPr>
        <w:t xml:space="preserve">able 3.4 </w:t>
      </w:r>
      <w:r w:rsidR="003A7929" w:rsidRPr="008944B4">
        <w:rPr>
          <w:iCs/>
          <w:kern w:val="2"/>
          <w:lang w:eastAsia="zh-CN"/>
        </w:rPr>
        <w:t>are the financial results of the analysis for each scenario. For a detailed explanation of each result, please see the glossary (Section 6).</w:t>
      </w:r>
    </w:p>
    <w:p w14:paraId="2514F33B" w14:textId="77777777" w:rsidR="00FC2DC0" w:rsidRDefault="00FC2DC0" w:rsidP="006C72CA">
      <w:pPr>
        <w:pStyle w:val="Caption"/>
      </w:pPr>
    </w:p>
    <w:p w14:paraId="6C456856" w14:textId="77777777" w:rsidR="006C72CA" w:rsidRDefault="006C72CA" w:rsidP="00EB247F">
      <w:pPr>
        <w:pStyle w:val="Caption"/>
        <w:jc w:val="center"/>
      </w:pPr>
    </w:p>
    <w:p w14:paraId="22AC2FAE" w14:textId="77777777" w:rsidR="006C72CA" w:rsidRDefault="006C72CA" w:rsidP="00EB247F">
      <w:pPr>
        <w:pStyle w:val="Caption"/>
        <w:jc w:val="center"/>
      </w:pPr>
    </w:p>
    <w:p w14:paraId="064F0DAE" w14:textId="77777777" w:rsidR="008944B4" w:rsidRDefault="008944B4" w:rsidP="00EB247F">
      <w:pPr>
        <w:pStyle w:val="Caption"/>
        <w:jc w:val="center"/>
      </w:pPr>
    </w:p>
    <w:p w14:paraId="3ACA5173" w14:textId="77777777" w:rsidR="008944B4" w:rsidRDefault="008944B4" w:rsidP="00EB247F">
      <w:pPr>
        <w:pStyle w:val="Caption"/>
        <w:jc w:val="center"/>
      </w:pPr>
    </w:p>
    <w:p w14:paraId="09347CCA" w14:textId="21CC6EFB" w:rsidR="00492F5E" w:rsidRPr="00E069AC" w:rsidRDefault="00492F5E" w:rsidP="00EB247F">
      <w:pPr>
        <w:pStyle w:val="Caption"/>
        <w:jc w:val="center"/>
        <w:rPr>
          <w:i w:val="0"/>
          <w:iCs w:val="0"/>
        </w:rPr>
      </w:pPr>
      <w:bookmarkStart w:id="56" w:name="_Toc23613091"/>
      <w:r w:rsidRPr="00E069AC">
        <w:t xml:space="preserve">Table </w:t>
      </w:r>
      <w:fldSimple w:instr=" STYLEREF 1 \s ">
        <w:r w:rsidRPr="00E069AC">
          <w:t>3</w:t>
        </w:r>
      </w:fldSimple>
      <w:r w:rsidRPr="00E069AC">
        <w:t>.</w:t>
      </w:r>
      <w:fldSimple w:instr=" SEQ Table \* ARABIC \s 1 ">
        <w:r w:rsidRPr="00E069AC">
          <w:t>4</w:t>
        </w:r>
      </w:fldSimple>
      <w:r w:rsidRPr="00E069AC">
        <w:t xml:space="preserve"> Financial Impacts</w:t>
      </w:r>
      <w:bookmarkEnd w:id="56"/>
    </w:p>
    <w:tbl>
      <w:tblPr>
        <w:tblW w:w="0" w:type="auto"/>
        <w:tblCellMar>
          <w:top w:w="15" w:type="dxa"/>
          <w:left w:w="15" w:type="dxa"/>
          <w:bottom w:w="15" w:type="dxa"/>
          <w:right w:w="15" w:type="dxa"/>
        </w:tblCellMar>
        <w:tblLook w:val="04A0" w:firstRow="1" w:lastRow="0" w:firstColumn="1" w:lastColumn="0" w:noHBand="0" w:noVBand="1"/>
      </w:tblPr>
      <w:tblGrid>
        <w:gridCol w:w="1101"/>
        <w:gridCol w:w="1871"/>
        <w:gridCol w:w="1821"/>
        <w:gridCol w:w="1866"/>
        <w:gridCol w:w="2681"/>
      </w:tblGrid>
      <w:tr w:rsidR="00E9782A" w:rsidRPr="00E069AC" w14:paraId="02CA9FB7" w14:textId="77777777" w:rsidTr="00FB649C">
        <w:trPr>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8944B4" w:rsidRDefault="00E9782A" w:rsidP="00912CC8">
            <w:pPr>
              <w:spacing w:after="0" w:line="240" w:lineRule="auto"/>
              <w:jc w:val="center"/>
              <w:rPr>
                <w:b/>
                <w:i/>
                <w:color w:val="FFFFFF" w:themeColor="background1"/>
                <w:sz w:val="20"/>
                <w:szCs w:val="20"/>
                <w:lang w:eastAsia="zh-CN"/>
              </w:rPr>
            </w:pPr>
            <w:r w:rsidRPr="008944B4">
              <w:rPr>
                <w:b/>
                <w:bCs/>
                <w:i/>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Net Operating 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FB649C">
        <w:trPr>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8944B4" w:rsidRDefault="00E9782A" w:rsidP="00912CC8">
            <w:pPr>
              <w:spacing w:after="0" w:line="240" w:lineRule="auto"/>
              <w:rPr>
                <w:rFonts w:eastAsia="Times New Roman" w:cstheme="minorHAnsi"/>
                <w:b/>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E069AC" w14:paraId="2CCDE781"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8944B4" w:rsidRDefault="00E9782A" w:rsidP="00912CC8">
            <w:pPr>
              <w:spacing w:after="0" w:line="240" w:lineRule="auto"/>
              <w:jc w:val="center"/>
              <w:rPr>
                <w:i/>
                <w:sz w:val="20"/>
                <w:szCs w:val="20"/>
                <w:lang w:eastAsia="zh-CN"/>
              </w:rPr>
            </w:pPr>
            <w:r w:rsidRPr="008944B4">
              <w:rPr>
                <w:b/>
                <w:bCs/>
                <w:i/>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68B37EBB" w:rsidR="00E9782A" w:rsidRPr="00E214CC" w:rsidRDefault="00240C0E" w:rsidP="00912CC8">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80</w:t>
            </w:r>
            <w:r w:rsidR="008944B4" w:rsidRPr="008944B4">
              <w:rPr>
                <w:rFonts w:eastAsia="Times New Roman" w:cstheme="minorHAnsi"/>
                <w:sz w:val="20"/>
                <w:szCs w:val="20"/>
                <w:lang w:eastAsia="zh-CN"/>
              </w:rPr>
              <w:t>.</w:t>
            </w:r>
            <w:r>
              <w:rPr>
                <w:rFonts w:eastAsia="Times New Roman" w:cstheme="minorHAnsi"/>
                <w:sz w:val="20"/>
                <w:szCs w:val="20"/>
                <w:lang w:eastAsia="zh-CN"/>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64F17774" w:rsidR="00E9782A" w:rsidRPr="00E214CC" w:rsidRDefault="00240C0E" w:rsidP="00912CC8">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54.1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42DE2C78" w:rsidR="00E9782A" w:rsidRPr="00E214CC" w:rsidRDefault="008944B4" w:rsidP="00912CC8">
            <w:pPr>
              <w:spacing w:after="0" w:line="240" w:lineRule="auto"/>
              <w:jc w:val="center"/>
              <w:rPr>
                <w:rFonts w:eastAsia="Times New Roman" w:cstheme="minorHAnsi"/>
                <w:sz w:val="20"/>
                <w:szCs w:val="20"/>
                <w:highlight w:val="lightGray"/>
                <w:lang w:eastAsia="zh-CN"/>
              </w:rPr>
            </w:pPr>
            <w:r w:rsidRPr="008944B4">
              <w:rPr>
                <w:rFonts w:eastAsia="Times New Roman" w:cstheme="minorHAnsi"/>
                <w:sz w:val="20"/>
                <w:szCs w:val="20"/>
                <w:lang w:eastAsia="zh-CN"/>
              </w:rPr>
              <w:t>-11.5</w:t>
            </w:r>
            <w:r w:rsidR="00871D38">
              <w:rPr>
                <w:rFonts w:eastAsia="Times New Roman" w:cstheme="minorHAnsi"/>
                <w:sz w:val="20"/>
                <w:szCs w:val="20"/>
                <w:lang w:eastAsia="zh-CN"/>
              </w:rPr>
              <w:t>6</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4C107C8C" w:rsidR="00E9782A" w:rsidRPr="00E214CC" w:rsidRDefault="000C0E19" w:rsidP="00912CC8">
            <w:pPr>
              <w:spacing w:after="0" w:line="240" w:lineRule="auto"/>
              <w:jc w:val="center"/>
              <w:rPr>
                <w:rFonts w:eastAsia="Times New Roman" w:cstheme="minorHAnsi"/>
                <w:sz w:val="20"/>
                <w:szCs w:val="20"/>
                <w:highlight w:val="lightGray"/>
                <w:lang w:eastAsia="zh-CN"/>
              </w:rPr>
            </w:pPr>
            <w:r w:rsidRPr="008944B4">
              <w:rPr>
                <w:rFonts w:eastAsia="Times New Roman" w:cstheme="minorHAnsi"/>
                <w:sz w:val="20"/>
                <w:szCs w:val="20"/>
                <w:lang w:eastAsia="zh-CN"/>
              </w:rPr>
              <w:t>-</w:t>
            </w:r>
            <w:r w:rsidR="008944B4" w:rsidRPr="008944B4">
              <w:rPr>
                <w:rFonts w:eastAsia="Times New Roman" w:cstheme="minorHAnsi"/>
                <w:sz w:val="20"/>
                <w:szCs w:val="20"/>
                <w:lang w:eastAsia="zh-CN"/>
              </w:rPr>
              <w:t>2</w:t>
            </w:r>
            <w:r w:rsidR="00871D38">
              <w:rPr>
                <w:rFonts w:eastAsia="Times New Roman" w:cstheme="minorHAnsi"/>
                <w:sz w:val="20"/>
                <w:szCs w:val="20"/>
                <w:lang w:eastAsia="zh-CN"/>
              </w:rPr>
              <w:t>9</w:t>
            </w:r>
            <w:r w:rsidRPr="008944B4">
              <w:rPr>
                <w:rFonts w:eastAsia="Times New Roman" w:cstheme="minorHAnsi"/>
                <w:sz w:val="20"/>
                <w:szCs w:val="20"/>
                <w:lang w:eastAsia="zh-CN"/>
              </w:rPr>
              <w:t>.</w:t>
            </w:r>
            <w:r w:rsidR="00871D38">
              <w:rPr>
                <w:rFonts w:eastAsia="Times New Roman" w:cstheme="minorHAnsi"/>
                <w:sz w:val="20"/>
                <w:szCs w:val="20"/>
                <w:lang w:eastAsia="zh-CN"/>
              </w:rPr>
              <w:t>14</w:t>
            </w:r>
          </w:p>
        </w:tc>
      </w:tr>
      <w:tr w:rsidR="00E9782A" w:rsidRPr="00E069AC" w14:paraId="6C3482B4"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E9782A" w:rsidRPr="008944B4" w:rsidRDefault="00E9782A" w:rsidP="00912CC8">
            <w:pPr>
              <w:spacing w:after="0" w:line="240" w:lineRule="auto"/>
              <w:jc w:val="center"/>
              <w:rPr>
                <w:i/>
                <w:sz w:val="20"/>
                <w:szCs w:val="20"/>
                <w:lang w:eastAsia="zh-CN"/>
              </w:rPr>
            </w:pPr>
            <w:r w:rsidRPr="008944B4">
              <w:rPr>
                <w:b/>
                <w:bCs/>
                <w:i/>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35ECDA13" w:rsidR="00E9782A" w:rsidRPr="00E214CC" w:rsidRDefault="00240C0E" w:rsidP="00912CC8">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101.3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61435DBE" w:rsidR="00E9782A" w:rsidRPr="00E214CC" w:rsidRDefault="00240C0E" w:rsidP="00912CC8">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71.2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64A1B812" w:rsidR="00E9782A" w:rsidRPr="00E214CC" w:rsidRDefault="008944B4" w:rsidP="00912CC8">
            <w:pPr>
              <w:spacing w:after="0" w:line="240" w:lineRule="auto"/>
              <w:jc w:val="center"/>
              <w:rPr>
                <w:rFonts w:eastAsia="Times New Roman" w:cstheme="minorHAnsi"/>
                <w:sz w:val="20"/>
                <w:szCs w:val="20"/>
                <w:highlight w:val="lightGray"/>
                <w:lang w:eastAsia="zh-CN"/>
              </w:rPr>
            </w:pPr>
            <w:r w:rsidRPr="008944B4">
              <w:rPr>
                <w:rFonts w:eastAsia="Times New Roman" w:cstheme="minorHAnsi"/>
                <w:sz w:val="20"/>
                <w:szCs w:val="20"/>
                <w:lang w:eastAsia="zh-CN"/>
              </w:rPr>
              <w:t>-15.5</w:t>
            </w:r>
            <w:r w:rsidR="00871D38">
              <w:rPr>
                <w:rFonts w:eastAsia="Times New Roman" w:cstheme="minorHAnsi"/>
                <w:sz w:val="20"/>
                <w:szCs w:val="20"/>
                <w:lang w:eastAsia="zh-CN"/>
              </w:rPr>
              <w:t>7</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46C09C86" w:rsidR="00E9782A" w:rsidRPr="00E214CC" w:rsidRDefault="000C0E19" w:rsidP="00912CC8">
            <w:pPr>
              <w:spacing w:after="0" w:line="240" w:lineRule="auto"/>
              <w:jc w:val="center"/>
              <w:rPr>
                <w:rFonts w:eastAsia="Times New Roman" w:cstheme="minorHAnsi"/>
                <w:sz w:val="20"/>
                <w:szCs w:val="20"/>
                <w:highlight w:val="lightGray"/>
                <w:lang w:eastAsia="zh-CN"/>
              </w:rPr>
            </w:pPr>
            <w:r w:rsidRPr="008944B4">
              <w:rPr>
                <w:rFonts w:eastAsia="Times New Roman" w:cstheme="minorHAnsi"/>
                <w:sz w:val="20"/>
                <w:szCs w:val="20"/>
                <w:lang w:eastAsia="zh-CN"/>
              </w:rPr>
              <w:t>-</w:t>
            </w:r>
            <w:r w:rsidR="008944B4" w:rsidRPr="008944B4">
              <w:rPr>
                <w:rFonts w:eastAsia="Times New Roman" w:cstheme="minorHAnsi"/>
                <w:sz w:val="20"/>
                <w:szCs w:val="20"/>
                <w:lang w:eastAsia="zh-CN"/>
              </w:rPr>
              <w:t>3</w:t>
            </w:r>
            <w:r w:rsidR="00871D38">
              <w:rPr>
                <w:rFonts w:eastAsia="Times New Roman" w:cstheme="minorHAnsi"/>
                <w:sz w:val="20"/>
                <w:szCs w:val="20"/>
                <w:lang w:eastAsia="zh-CN"/>
              </w:rPr>
              <w:t>8</w:t>
            </w:r>
            <w:r w:rsidR="008944B4" w:rsidRPr="008944B4">
              <w:rPr>
                <w:rFonts w:eastAsia="Times New Roman" w:cstheme="minorHAnsi"/>
                <w:sz w:val="20"/>
                <w:szCs w:val="20"/>
                <w:lang w:eastAsia="zh-CN"/>
              </w:rPr>
              <w:t>.</w:t>
            </w:r>
            <w:r w:rsidR="00871D38">
              <w:rPr>
                <w:rFonts w:eastAsia="Times New Roman" w:cstheme="minorHAnsi"/>
                <w:sz w:val="20"/>
                <w:szCs w:val="20"/>
                <w:lang w:eastAsia="zh-CN"/>
              </w:rPr>
              <w:t>11</w:t>
            </w:r>
          </w:p>
        </w:tc>
      </w:tr>
      <w:tr w:rsidR="000C0E19" w:rsidRPr="00E069AC" w14:paraId="76A27626"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0C0E19" w:rsidRPr="008944B4" w:rsidRDefault="000C0E19" w:rsidP="000C0E19">
            <w:pPr>
              <w:spacing w:after="0" w:line="240" w:lineRule="auto"/>
              <w:jc w:val="center"/>
              <w:rPr>
                <w:i/>
                <w:sz w:val="20"/>
                <w:szCs w:val="20"/>
                <w:lang w:eastAsia="zh-CN"/>
              </w:rPr>
            </w:pPr>
            <w:r w:rsidRPr="008944B4">
              <w:rPr>
                <w:b/>
                <w:bCs/>
                <w:i/>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7353E93E" w:rsidR="000C0E19" w:rsidRPr="00E214CC" w:rsidRDefault="00240C0E" w:rsidP="000C0E19">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203.2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638B7DFD" w:rsidR="000C0E19" w:rsidRPr="00E214CC" w:rsidRDefault="00240C0E" w:rsidP="000C0E19">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161.4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71AAA8C2" w:rsidR="000C0E19" w:rsidRPr="00E214CC" w:rsidRDefault="008944B4" w:rsidP="000C0E19">
            <w:pPr>
              <w:spacing w:after="0" w:line="240" w:lineRule="auto"/>
              <w:jc w:val="center"/>
              <w:rPr>
                <w:rFonts w:eastAsia="Times New Roman" w:cstheme="minorHAnsi"/>
                <w:sz w:val="20"/>
                <w:szCs w:val="20"/>
                <w:highlight w:val="lightGray"/>
                <w:lang w:eastAsia="zh-CN"/>
              </w:rPr>
            </w:pPr>
            <w:r w:rsidRPr="008944B4">
              <w:rPr>
                <w:rFonts w:eastAsia="Times New Roman" w:cstheme="minorHAnsi"/>
                <w:sz w:val="20"/>
                <w:szCs w:val="20"/>
                <w:lang w:eastAsia="zh-CN"/>
              </w:rPr>
              <w:t>-38.6</w:t>
            </w:r>
            <w:r w:rsidR="00871D38">
              <w:rPr>
                <w:rFonts w:eastAsia="Times New Roman" w:cstheme="minorHAnsi"/>
                <w:sz w:val="20"/>
                <w:szCs w:val="20"/>
                <w:lang w:eastAsia="zh-CN"/>
              </w:rPr>
              <w:t>3</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01AEC0F4" w:rsidR="000C0E19" w:rsidRPr="00E214CC" w:rsidRDefault="008944B4" w:rsidP="000C0E19">
            <w:pPr>
              <w:spacing w:after="0" w:line="240" w:lineRule="auto"/>
              <w:jc w:val="center"/>
              <w:rPr>
                <w:rFonts w:eastAsia="Times New Roman" w:cstheme="minorHAnsi"/>
                <w:sz w:val="20"/>
                <w:szCs w:val="20"/>
                <w:highlight w:val="lightGray"/>
                <w:lang w:eastAsia="zh-CN"/>
              </w:rPr>
            </w:pPr>
            <w:r w:rsidRPr="008944B4">
              <w:rPr>
                <w:rFonts w:eastAsia="Times New Roman" w:cstheme="minorHAnsi"/>
                <w:sz w:val="20"/>
                <w:szCs w:val="20"/>
                <w:lang w:eastAsia="zh-CN"/>
              </w:rPr>
              <w:t>-8</w:t>
            </w:r>
            <w:r w:rsidR="00871D38">
              <w:rPr>
                <w:rFonts w:eastAsia="Times New Roman" w:cstheme="minorHAnsi"/>
                <w:sz w:val="20"/>
                <w:szCs w:val="20"/>
                <w:lang w:eastAsia="zh-CN"/>
              </w:rPr>
              <w:t>6</w:t>
            </w:r>
            <w:r w:rsidRPr="008944B4">
              <w:rPr>
                <w:rFonts w:eastAsia="Times New Roman" w:cstheme="minorHAnsi"/>
                <w:sz w:val="20"/>
                <w:szCs w:val="20"/>
                <w:lang w:eastAsia="zh-CN"/>
              </w:rPr>
              <w:t>.</w:t>
            </w:r>
            <w:r w:rsidR="00871D38">
              <w:rPr>
                <w:rFonts w:eastAsia="Times New Roman" w:cstheme="minorHAnsi"/>
                <w:sz w:val="20"/>
                <w:szCs w:val="20"/>
                <w:lang w:eastAsia="zh-CN"/>
              </w:rPr>
              <w:t>71</w:t>
            </w:r>
          </w:p>
        </w:tc>
      </w:tr>
    </w:tbl>
    <w:p w14:paraId="2C06DB22" w14:textId="395928CD" w:rsidR="006745FF" w:rsidRDefault="006745FF" w:rsidP="00EB247F"/>
    <w:p w14:paraId="2C7F12D2" w14:textId="78BA1DDE" w:rsidR="00240C0E" w:rsidRDefault="00240C0E" w:rsidP="00240C0E">
      <w:pPr>
        <w:jc w:val="center"/>
      </w:pPr>
      <w:r>
        <w:rPr>
          <w:noProof/>
        </w:rPr>
        <w:drawing>
          <wp:inline distT="0" distB="0" distL="0" distR="0" wp14:anchorId="291BBFD6" wp14:editId="03994B9C">
            <wp:extent cx="5950634" cy="3418449"/>
            <wp:effectExtent l="0" t="0" r="18415" b="10795"/>
            <wp:docPr id="9" name="Chart 9">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18BD98" w14:textId="704FE50B" w:rsidR="00240C0E" w:rsidRPr="00E069AC" w:rsidRDefault="00240C0E" w:rsidP="00240C0E">
      <w:pPr>
        <w:pStyle w:val="Caption"/>
        <w:jc w:val="center"/>
      </w:pPr>
      <w:r w:rsidRPr="000853A5">
        <w:t xml:space="preserve">Figure </w:t>
      </w:r>
      <w:fldSimple w:instr=" STYLEREF 1 \s ">
        <w:r w:rsidRPr="000853A5">
          <w:t>3</w:t>
        </w:r>
      </w:fldSimple>
      <w:r w:rsidRPr="000853A5">
        <w:t>.</w:t>
      </w:r>
      <w:r>
        <w:t>3</w:t>
      </w:r>
      <w:r w:rsidRPr="000853A5">
        <w:t xml:space="preserve"> World </w:t>
      </w:r>
      <w:r>
        <w:t>Operating Cost</w:t>
      </w:r>
      <w:r w:rsidRPr="000853A5">
        <w:t xml:space="preserve"> Reduction</w:t>
      </w:r>
    </w:p>
    <w:p w14:paraId="2EDBF88B" w14:textId="77777777" w:rsidR="00DF029A" w:rsidRDefault="00DF029A">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0925B686" w:rsidR="00F52595" w:rsidRPr="00E069AC" w:rsidRDefault="551A77D0" w:rsidP="006F6CC3">
      <w:pPr>
        <w:pStyle w:val="Heading1"/>
        <w:numPr>
          <w:ilvl w:val="0"/>
          <w:numId w:val="24"/>
        </w:numPr>
      </w:pPr>
      <w:bookmarkStart w:id="57" w:name="_Toc23613467"/>
      <w:r w:rsidRPr="00E069AC">
        <w:t>Discussion</w:t>
      </w:r>
      <w:bookmarkEnd w:id="57"/>
    </w:p>
    <w:p w14:paraId="21C82AD7" w14:textId="0E20ABEE" w:rsidR="005F219E" w:rsidRDefault="009D37F7" w:rsidP="006F6CC3">
      <w:pPr>
        <w:pStyle w:val="Heading2"/>
        <w:numPr>
          <w:ilvl w:val="1"/>
          <w:numId w:val="49"/>
        </w:numPr>
      </w:pPr>
      <w:r>
        <w:t xml:space="preserve"> </w:t>
      </w:r>
      <w:bookmarkStart w:id="58" w:name="_Toc23613468"/>
      <w:r w:rsidR="006745FF" w:rsidRPr="00E069AC">
        <w:t>Limitations</w:t>
      </w:r>
      <w:bookmarkEnd w:id="58"/>
    </w:p>
    <w:p w14:paraId="0DC791C3" w14:textId="77777777" w:rsidR="009E6D18" w:rsidRPr="00C77160" w:rsidRDefault="005F219E" w:rsidP="009E6D18">
      <w:pPr>
        <w:autoSpaceDE w:val="0"/>
        <w:autoSpaceDN w:val="0"/>
        <w:adjustRightInd w:val="0"/>
      </w:pPr>
      <w:r w:rsidRPr="009E6D18">
        <w:rPr>
          <w:rFonts w:cstheme="minorHAnsi"/>
          <w:shd w:val="clear" w:color="auto" w:fill="FFFFFF"/>
        </w:rPr>
        <w:t>MWTs are very much still a nascent technology in many ways. To grow, the industry has to deal with the current high cost of technology, low product reliability, lack of effective standards and the low visibility of the technology. Given the uncertainty at this point it is unclear what the drivers of adoption will be in different regions, and where and how this adoption will occur.</w:t>
      </w:r>
      <w:r w:rsidR="009E6D18">
        <w:rPr>
          <w:rFonts w:cstheme="minorHAnsi"/>
          <w:shd w:val="clear" w:color="auto" w:fill="FFFFFF"/>
        </w:rPr>
        <w:t xml:space="preserve"> </w:t>
      </w:r>
      <w:r w:rsidR="009E6D18" w:rsidRPr="009E6D18">
        <w:rPr>
          <w:rFonts w:cstheme="minorHAnsi"/>
          <w:shd w:val="clear" w:color="auto" w:fill="FFFFFF"/>
        </w:rPr>
        <w:t xml:space="preserve">Furthermore, in many cases uptake of that </w:t>
      </w:r>
      <w:r w:rsidR="009E6D18" w:rsidRPr="00C77160">
        <w:t>technology has been linked to financial incentives offered by national governments and thus the technology is linked somewhat to political cycles which always shorter in duration the long term energy policy requires.</w:t>
      </w:r>
    </w:p>
    <w:p w14:paraId="102F93D4" w14:textId="77777777" w:rsidR="00C77160" w:rsidRDefault="008912D4" w:rsidP="00C77160">
      <w:pPr>
        <w:autoSpaceDE w:val="0"/>
        <w:autoSpaceDN w:val="0"/>
        <w:adjustRightInd w:val="0"/>
      </w:pPr>
      <w:r w:rsidRPr="00C77160">
        <w:t xml:space="preserve">As with most renewable energy resources, MWTs are plagued by variability: the sun is not always shining, which means the wind is not always blowing. As such, accurately modeling future MWT output is quite uncertain. This analysis assumed a relatively low capacity factor of about 15%. </w:t>
      </w:r>
      <w:r w:rsidR="00C77160" w:rsidRPr="00C77160">
        <w:t>capacity factor has a significant effect upon the</w:t>
      </w:r>
      <w:r w:rsidR="00C77160">
        <w:t xml:space="preserve"> </w:t>
      </w:r>
      <w:r w:rsidR="00C77160" w:rsidRPr="00C77160">
        <w:t>calculations</w:t>
      </w:r>
      <w:r w:rsidR="00C77160">
        <w:t>.</w:t>
      </w:r>
    </w:p>
    <w:p w14:paraId="7D0EBD4D" w14:textId="653DD55F" w:rsidR="009E6D18" w:rsidRPr="00C77160" w:rsidRDefault="009E6D18" w:rsidP="00C77160">
      <w:pPr>
        <w:autoSpaceDE w:val="0"/>
        <w:autoSpaceDN w:val="0"/>
        <w:adjustRightInd w:val="0"/>
      </w:pPr>
      <w:r>
        <w:t>T</w:t>
      </w:r>
      <w:r w:rsidRPr="009E6D18">
        <w:t>h</w:t>
      </w:r>
      <w:r>
        <w:t>is</w:t>
      </w:r>
      <w:r w:rsidRPr="009E6D18">
        <w:t xml:space="preserve"> technology is intrinsically linked to</w:t>
      </w:r>
      <w:r>
        <w:t xml:space="preserve"> </w:t>
      </w:r>
      <w:r w:rsidRPr="009E6D18">
        <w:t>the local wind speed and hence local terrain and siting</w:t>
      </w:r>
      <w:r>
        <w:t xml:space="preserve"> </w:t>
      </w:r>
      <w:r w:rsidRPr="009E6D18">
        <w:t>issues plus as a small scale technology it is highly</w:t>
      </w:r>
      <w:r>
        <w:t xml:space="preserve"> </w:t>
      </w:r>
      <w:r w:rsidRPr="009E6D18">
        <w:t>dependent upon some form of financial subsidy due to the</w:t>
      </w:r>
      <w:r>
        <w:t xml:space="preserve"> </w:t>
      </w:r>
      <w:r w:rsidRPr="009E6D18">
        <w:t>high installed cost per unit generation</w:t>
      </w:r>
      <w:r>
        <w:t>.</w:t>
      </w:r>
    </w:p>
    <w:p w14:paraId="5D346A74" w14:textId="3D7D2AD6" w:rsidR="008912D4" w:rsidRPr="00C77160" w:rsidRDefault="008912D4" w:rsidP="009E6D18">
      <w:pPr>
        <w:rPr>
          <w:color w:val="000000" w:themeColor="text1"/>
        </w:rPr>
      </w:pPr>
      <w:r w:rsidRPr="00C84E91">
        <w:t xml:space="preserve">The largest drawback of MWTs is their high initial investment. As it stands, the payback period of most MWTs on the market is roughly equivalent to the lifetime of the machine itself. Worse yet, because the percentages and installed capacities of MWTs are so small, the RRS may not have enough finesse to accurately forecast the true cost of MWTs. Perhaps forecasts out 100 years with the same assumptions would show a more reasonable lifetime savings. Additional tax rebate programs or subsidies available to </w:t>
      </w:r>
      <w:r w:rsidRPr="00C77160">
        <w:rPr>
          <w:color w:val="000000" w:themeColor="text1"/>
        </w:rPr>
        <w:t>consumers will help prompt further adoption of MWTs.</w:t>
      </w:r>
    </w:p>
    <w:p w14:paraId="6053F774" w14:textId="4AB3E283" w:rsidR="008912D4" w:rsidRPr="00C77160" w:rsidRDefault="008912D4" w:rsidP="00C77160">
      <w:pPr>
        <w:rPr>
          <w:rFonts w:cs="Times New Roman"/>
          <w:color w:val="000000" w:themeColor="text1"/>
        </w:rPr>
      </w:pPr>
      <w:r w:rsidRPr="00C77160">
        <w:rPr>
          <w:rFonts w:cs="Times New Roman"/>
          <w:color w:val="000000" w:themeColor="text1"/>
        </w:rPr>
        <w:t xml:space="preserve">Relatedly, the issue of energy storage is inherently intertwined with any microgrid application. When installing a MWT, it can either feed excess electricity back into the grid, or stored onsite. Indeed, more and more customers are gravitating towards onsite storage. </w:t>
      </w:r>
      <w:r w:rsidR="00C77160" w:rsidRPr="00C77160">
        <w:rPr>
          <w:rFonts w:cs="Times New Roman"/>
          <w:color w:val="000000" w:themeColor="text1"/>
        </w:rPr>
        <w:t>P</w:t>
      </w:r>
      <w:r w:rsidRPr="00C77160">
        <w:rPr>
          <w:rFonts w:cs="Times New Roman"/>
          <w:color w:val="000000" w:themeColor="text1"/>
        </w:rPr>
        <w:t>roduct</w:t>
      </w:r>
      <w:r w:rsidR="00C77160" w:rsidRPr="00C77160">
        <w:rPr>
          <w:rFonts w:cs="Times New Roman"/>
          <w:color w:val="000000" w:themeColor="text1"/>
        </w:rPr>
        <w:t>s</w:t>
      </w:r>
      <w:r w:rsidRPr="00C77160">
        <w:rPr>
          <w:rFonts w:cs="Times New Roman"/>
          <w:color w:val="000000" w:themeColor="text1"/>
        </w:rPr>
        <w:t xml:space="preserve"> that </w:t>
      </w:r>
      <w:r w:rsidR="00C77160" w:rsidRPr="00C77160">
        <w:rPr>
          <w:rFonts w:cs="Times New Roman"/>
          <w:color w:val="000000" w:themeColor="text1"/>
        </w:rPr>
        <w:t>are</w:t>
      </w:r>
      <w:r w:rsidRPr="00C77160">
        <w:rPr>
          <w:rFonts w:cs="Times New Roman"/>
          <w:color w:val="000000" w:themeColor="text1"/>
        </w:rPr>
        <w:t xml:space="preserve"> just now entering the marketplace </w:t>
      </w:r>
      <w:r w:rsidR="00C77160" w:rsidRPr="00C77160">
        <w:rPr>
          <w:rFonts w:cs="Times New Roman"/>
          <w:color w:val="000000" w:themeColor="text1"/>
        </w:rPr>
        <w:t>like</w:t>
      </w:r>
      <w:r w:rsidRPr="00C77160">
        <w:rPr>
          <w:rFonts w:cs="Times New Roman"/>
          <w:color w:val="000000" w:themeColor="text1"/>
        </w:rPr>
        <w:t xml:space="preserve"> Tesla’s PowerWall</w:t>
      </w:r>
      <w:r w:rsidR="00C77160" w:rsidRPr="00C77160">
        <w:rPr>
          <w:rFonts w:cs="Times New Roman"/>
          <w:color w:val="000000" w:themeColor="text1"/>
        </w:rPr>
        <w:t xml:space="preserve"> </w:t>
      </w:r>
      <w:r w:rsidRPr="00C77160">
        <w:rPr>
          <w:rFonts w:cs="Times New Roman"/>
          <w:color w:val="000000" w:themeColor="text1"/>
        </w:rPr>
        <w:t xml:space="preserve"> </w:t>
      </w:r>
      <w:r w:rsidR="00C77160" w:rsidRPr="00C77160">
        <w:rPr>
          <w:rFonts w:cs="Times New Roman"/>
          <w:color w:val="000000" w:themeColor="text1"/>
        </w:rPr>
        <w:t xml:space="preserve">and Power Pack model </w:t>
      </w:r>
      <w:r w:rsidRPr="00C77160">
        <w:rPr>
          <w:rFonts w:cs="Times New Roman"/>
          <w:color w:val="000000" w:themeColor="text1"/>
        </w:rPr>
        <w:t>battery storage system</w:t>
      </w:r>
      <w:r w:rsidR="00C77160" w:rsidRPr="00C77160">
        <w:rPr>
          <w:rFonts w:cs="Times New Roman"/>
          <w:color w:val="000000" w:themeColor="text1"/>
        </w:rPr>
        <w:t>s for c</w:t>
      </w:r>
      <w:r w:rsidRPr="00C77160">
        <w:rPr>
          <w:rFonts w:cs="Times New Roman"/>
          <w:color w:val="000000" w:themeColor="text1"/>
        </w:rPr>
        <w:t>apable of storing up to 10kW-hr</w:t>
      </w:r>
      <w:r w:rsidR="00C77160" w:rsidRPr="00C77160">
        <w:rPr>
          <w:rFonts w:cs="Times New Roman"/>
          <w:color w:val="000000" w:themeColor="text1"/>
        </w:rPr>
        <w:t xml:space="preserve"> to hundreds of kWh respectively, </w:t>
      </w:r>
      <w:r w:rsidRPr="00C77160">
        <w:rPr>
          <w:rFonts w:cs="Times New Roman"/>
          <w:color w:val="000000" w:themeColor="text1"/>
        </w:rPr>
        <w:t xml:space="preserve"> would nicely complement the scales of energy generated by MWTs. As the developing world become more and more electrified, onsite storage begins to look more and more attractive. Instead of building expensive grids to interconnect remote villages, the excess electricity generated by MWTs can be stored onsite, in a battery pack.</w:t>
      </w:r>
    </w:p>
    <w:p w14:paraId="2139E8E7" w14:textId="211F012F" w:rsidR="006745FF" w:rsidRPr="00E069AC" w:rsidRDefault="006745FF" w:rsidP="006F6CC3">
      <w:pPr>
        <w:pStyle w:val="Heading2"/>
        <w:numPr>
          <w:ilvl w:val="1"/>
          <w:numId w:val="49"/>
        </w:numPr>
      </w:pPr>
      <w:bookmarkStart w:id="59" w:name="_Toc23613469"/>
      <w:r w:rsidRPr="00E069AC">
        <w:t>Benchmarks</w:t>
      </w:r>
      <w:bookmarkEnd w:id="59"/>
    </w:p>
    <w:p w14:paraId="48AD930B" w14:textId="24586062" w:rsidR="00276E19" w:rsidRPr="00E069AC" w:rsidRDefault="006C72CA" w:rsidP="00C87E89">
      <w:pPr>
        <w:rPr>
          <w:rFonts w:asciiTheme="majorHAnsi" w:eastAsiaTheme="majorEastAsia" w:hAnsiTheme="majorHAnsi" w:cs="Times New Roman (Headings CS)"/>
          <w:b/>
          <w:bCs/>
          <w:smallCaps/>
          <w:color w:val="4F81BD" w:themeColor="accent1"/>
          <w:sz w:val="36"/>
          <w:szCs w:val="36"/>
        </w:rPr>
      </w:pPr>
      <w:r>
        <w:rPr>
          <w:bCs/>
          <w:iCs/>
        </w:rPr>
        <w:t xml:space="preserve">No </w:t>
      </w:r>
      <w:r w:rsidR="00B966A8">
        <w:rPr>
          <w:bCs/>
          <w:iCs/>
        </w:rPr>
        <w:t xml:space="preserve">data sources </w:t>
      </w:r>
      <w:r w:rsidR="00C87E89">
        <w:rPr>
          <w:bCs/>
          <w:iCs/>
        </w:rPr>
        <w:t>were found that could be reasonably benchmarked to PDS micro wind turbines adoption till 2050.</w:t>
      </w:r>
    </w:p>
    <w:p w14:paraId="22A1E0CA" w14:textId="77777777" w:rsidR="00DF029A" w:rsidRDefault="00DF029A">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0F717898" w:rsidR="00434F61" w:rsidRPr="00E069AC" w:rsidRDefault="551A77D0" w:rsidP="006F6CC3">
      <w:pPr>
        <w:pStyle w:val="Heading1"/>
        <w:numPr>
          <w:ilvl w:val="0"/>
          <w:numId w:val="24"/>
        </w:numPr>
      </w:pPr>
      <w:bookmarkStart w:id="60" w:name="_Toc23613470"/>
      <w:r w:rsidRPr="00E069AC">
        <w:t>References</w:t>
      </w:r>
      <w:bookmarkEnd w:id="60"/>
    </w:p>
    <w:p w14:paraId="7F80C9B9" w14:textId="77777777" w:rsidR="0065586D" w:rsidRPr="002F6AD9" w:rsidRDefault="0065586D" w:rsidP="002F6AD9">
      <w:pPr>
        <w:rPr>
          <w:rFonts w:cs="Times New Roman"/>
        </w:rPr>
      </w:pPr>
      <w:bookmarkStart w:id="61" w:name="_Hlk4959994"/>
      <w:r w:rsidRPr="002F6AD9">
        <w:rPr>
          <w:rFonts w:cs="Times New Roman"/>
          <w:lang w:val="pt-PT"/>
        </w:rPr>
        <w:t xml:space="preserve">Abohela, I., Hamza, N., &amp; Dudek, S. (2013). </w:t>
      </w:r>
      <w:r w:rsidRPr="002F6AD9">
        <w:rPr>
          <w:rFonts w:cs="Times New Roman"/>
        </w:rPr>
        <w:t xml:space="preserve">Effect of roof shape, wind direction, building height and urban configuration on the energy yield and positioning of roof mounted wind turbines. </w:t>
      </w:r>
      <w:r w:rsidRPr="00C76FEB">
        <w:rPr>
          <w:rFonts w:cs="Times New Roman"/>
          <w:i/>
        </w:rPr>
        <w:t>Renewable Energy, 50, 1106–1118.</w:t>
      </w:r>
      <w:r w:rsidRPr="002F6AD9">
        <w:rPr>
          <w:rFonts w:cs="Times New Roman"/>
        </w:rPr>
        <w:t xml:space="preserve"> https://doi.org/10.1016/j.renene.2012.08.068</w:t>
      </w:r>
    </w:p>
    <w:p w14:paraId="0AC7C349" w14:textId="77777777" w:rsidR="0065586D" w:rsidRPr="002F6AD9" w:rsidRDefault="0065586D" w:rsidP="002F6AD9">
      <w:pPr>
        <w:rPr>
          <w:rFonts w:cs="Times New Roman"/>
          <w:bCs/>
          <w:color w:val="000000" w:themeColor="text1"/>
        </w:rPr>
      </w:pPr>
      <w:r w:rsidRPr="002F6AD9">
        <w:rPr>
          <w:rFonts w:cs="Times New Roman"/>
          <w:bCs/>
          <w:color w:val="000000" w:themeColor="text1"/>
        </w:rPr>
        <w:t xml:space="preserve">AEA (2009). </w:t>
      </w:r>
      <w:r w:rsidRPr="00824E03">
        <w:rPr>
          <w:rFonts w:cs="Times New Roman"/>
          <w:bCs/>
          <w:i/>
          <w:color w:val="000000" w:themeColor="text1"/>
        </w:rPr>
        <w:t>UK Small-Scale Wind Survey.</w:t>
      </w:r>
      <w:r w:rsidRPr="002F6AD9">
        <w:rPr>
          <w:rFonts w:cs="Times New Roman"/>
          <w:bCs/>
          <w:color w:val="000000" w:themeColor="text1"/>
        </w:rPr>
        <w:t xml:space="preserve"> Installed capacity, annual generation and Market Growth. Report to Department of Energy and Climate Change. Available at: http://doc.wind-watch.org/AEA-UK-Small-Wind-Survey-2008.pdf</w:t>
      </w:r>
    </w:p>
    <w:p w14:paraId="2C9B6B69" w14:textId="77777777" w:rsidR="0065586D" w:rsidRPr="002F6AD9" w:rsidRDefault="0065586D" w:rsidP="002F6AD9">
      <w:pPr>
        <w:rPr>
          <w:rFonts w:cs="Times New Roman"/>
        </w:rPr>
      </w:pPr>
      <w:r w:rsidRPr="002F6AD9">
        <w:rPr>
          <w:rFonts w:cs="Times New Roman"/>
        </w:rPr>
        <w:t xml:space="preserve">Al-Hadhrami, L. M. (2014). Performance evaluation of small wind turbines for off grid applications in Saudi Arabia. </w:t>
      </w:r>
      <w:r w:rsidRPr="00824E03">
        <w:rPr>
          <w:rFonts w:cs="Times New Roman"/>
          <w:i/>
        </w:rPr>
        <w:t>Energy Conversion and Management, 81, 19–29.</w:t>
      </w:r>
      <w:r w:rsidRPr="002F6AD9">
        <w:rPr>
          <w:rFonts w:cs="Times New Roman"/>
        </w:rPr>
        <w:t xml:space="preserve"> https://doi.org/10.1016/j.enconman.2014.01.064</w:t>
      </w:r>
    </w:p>
    <w:p w14:paraId="61747535" w14:textId="77777777" w:rsidR="0065586D" w:rsidRPr="002F6AD9" w:rsidRDefault="0065586D" w:rsidP="002F6AD9">
      <w:pPr>
        <w:rPr>
          <w:rFonts w:eastAsia="Times New Roman" w:cs="Times New Roman"/>
        </w:rPr>
      </w:pPr>
      <w:r w:rsidRPr="008D107D">
        <w:rPr>
          <w:rFonts w:cs="Times New Roman"/>
        </w:rPr>
        <w:t xml:space="preserve">AMPERE. </w:t>
      </w:r>
      <w:r w:rsidRPr="002F6AD9">
        <w:rPr>
          <w:rFonts w:cs="Times New Roman"/>
          <w:lang w:val="pt-PT"/>
        </w:rPr>
        <w:t xml:space="preserve">(2014). </w:t>
      </w:r>
      <w:r w:rsidRPr="002F6AD9">
        <w:rPr>
          <w:rFonts w:cs="Times New Roman"/>
          <w:i/>
          <w:lang w:val="pt-PT"/>
        </w:rPr>
        <w:t>AMPERE Database, Regions Definitions,</w:t>
      </w:r>
      <w:r w:rsidRPr="002F6AD9">
        <w:rPr>
          <w:rFonts w:cs="Times New Roman"/>
          <w:lang w:val="pt-PT"/>
        </w:rPr>
        <w:t xml:space="preserve"> EU FP7 AMPERE Project. </w:t>
      </w:r>
      <w:r w:rsidRPr="002F6AD9">
        <w:rPr>
          <w:rFonts w:cs="Times New Roman"/>
        </w:rPr>
        <w:t>Retrieved from: https://secure.iiasa.ac.at/web-apps/ene/AMPEREDB/dsd?Action=htmlpage&amp;page=about#regiondefs</w:t>
      </w:r>
    </w:p>
    <w:p w14:paraId="4BC158D5" w14:textId="77777777" w:rsidR="0065586D" w:rsidRPr="002F6AD9" w:rsidRDefault="0065586D" w:rsidP="002F6AD9">
      <w:pPr>
        <w:rPr>
          <w:rFonts w:cs="Times New Roman"/>
        </w:rPr>
      </w:pPr>
      <w:r w:rsidRPr="002F6AD9">
        <w:rPr>
          <w:rFonts w:cs="Times New Roman"/>
        </w:rPr>
        <w:t xml:space="preserve">Anant Kishore, R., &amp; Priya, S. (2013). Design and experimental verification of a high efficiency small wind energy portable turbine (SWEPT). </w:t>
      </w:r>
      <w:r w:rsidRPr="00C76FEB">
        <w:rPr>
          <w:rFonts w:cs="Times New Roman"/>
          <w:i/>
        </w:rPr>
        <w:t>Journal of Wind Engineering and Industrial Aerodynamics, 118, 12–19.</w:t>
      </w:r>
      <w:r w:rsidRPr="002F6AD9">
        <w:rPr>
          <w:rFonts w:cs="Times New Roman"/>
        </w:rPr>
        <w:t xml:space="preserve"> https://doi.org/10.1016/j.jweia.2013.04.009</w:t>
      </w:r>
    </w:p>
    <w:p w14:paraId="5379B068" w14:textId="77777777" w:rsidR="0065586D" w:rsidRDefault="004A0C3D" w:rsidP="002F6AD9">
      <w:pPr>
        <w:rPr>
          <w:rFonts w:cs="Times New Roman"/>
          <w:bCs/>
        </w:rPr>
      </w:pPr>
      <w:hyperlink w:history="1"/>
      <w:r w:rsidR="0065586D" w:rsidRPr="00C6356C">
        <w:rPr>
          <w:rFonts w:cs="Times New Roman"/>
          <w:bCs/>
        </w:rPr>
        <w:t xml:space="preserve">Attaianese, E., Duca, G., Caturano, U., Coppola, N., &amp; Scapicchio, S. (2014). A hybrid micro generation system for a small-scale building in urban area. </w:t>
      </w:r>
      <w:r w:rsidR="0065586D" w:rsidRPr="00C76FEB">
        <w:rPr>
          <w:rFonts w:cs="Times New Roman"/>
          <w:bCs/>
          <w:i/>
        </w:rPr>
        <w:t xml:space="preserve">European Scientific Journal, ESJ, 10(23). </w:t>
      </w:r>
      <w:r w:rsidR="0065586D" w:rsidRPr="00C6356C">
        <w:rPr>
          <w:rFonts w:cs="Times New Roman"/>
          <w:bCs/>
        </w:rPr>
        <w:t>https://doi.org/10.19044/esj.2014.v10n23p%p</w:t>
      </w:r>
    </w:p>
    <w:p w14:paraId="7E715520" w14:textId="77777777" w:rsidR="0065586D" w:rsidRPr="008D107D" w:rsidRDefault="0065586D" w:rsidP="002F6AD9">
      <w:pPr>
        <w:rPr>
          <w:rFonts w:eastAsia="Times New Roman" w:cs="Times New Roman"/>
          <w:color w:val="000000" w:themeColor="text1"/>
        </w:rPr>
      </w:pPr>
      <w:r w:rsidRPr="002F6AD9">
        <w:rPr>
          <w:rFonts w:eastAsia="Times New Roman" w:cs="Times New Roman"/>
          <w:color w:val="000000" w:themeColor="text1"/>
        </w:rPr>
        <w:t xml:space="preserve">AWEA (2010). American Wind Energy Association. “AWEA Small Wind Turbine Global Market Study.” American Wind Energy Association, 2010. </w:t>
      </w:r>
      <w:hyperlink r:id="rId27" w:history="1">
        <w:r w:rsidRPr="008D107D">
          <w:rPr>
            <w:rStyle w:val="Hyperlink"/>
            <w:rFonts w:eastAsia="Times New Roman" w:cs="Times New Roman"/>
            <w:color w:val="000000" w:themeColor="text1"/>
            <w:u w:val="none"/>
          </w:rPr>
          <w:t>http://e360.yale.edu/images/digest/2010_AWEA_Small_Wind_Turbine_Global_Market_Study-1.pdf</w:t>
        </w:r>
      </w:hyperlink>
      <w:r w:rsidRPr="008D107D">
        <w:rPr>
          <w:rFonts w:eastAsia="Times New Roman" w:cs="Times New Roman"/>
          <w:color w:val="000000" w:themeColor="text1"/>
        </w:rPr>
        <w:t>.</w:t>
      </w:r>
    </w:p>
    <w:p w14:paraId="5CDBBA8A" w14:textId="77777777" w:rsidR="0065586D" w:rsidRDefault="0065586D" w:rsidP="002F6AD9">
      <w:pPr>
        <w:rPr>
          <w:rFonts w:cs="Times New Roman"/>
        </w:rPr>
      </w:pPr>
      <w:r w:rsidRPr="00296FC2">
        <w:rPr>
          <w:rFonts w:cs="Times New Roman"/>
        </w:rPr>
        <w:t>Awopetu, O. O., &amp; Erinle, T. J. (2015). Performance Evaluation of the Development of Micro Wind Turbine. Performance Evaluation, 2(1). Retrieved from http://www.jmest.org/wp-content/uploads/JMESTN42350438.pdf</w:t>
      </w:r>
    </w:p>
    <w:p w14:paraId="74901B2B" w14:textId="77777777" w:rsidR="0065586D" w:rsidRPr="002F6AD9" w:rsidRDefault="0065586D" w:rsidP="002F6AD9">
      <w:pPr>
        <w:rPr>
          <w:rFonts w:cs="Times New Roman"/>
        </w:rPr>
      </w:pPr>
      <w:r w:rsidRPr="002F6AD9">
        <w:rPr>
          <w:rFonts w:cs="Times New Roman"/>
        </w:rPr>
        <w:t>Battisti, L., Benini, E., Brighenti, A., Dell’Anna, S., &amp; Raciti Castelli, M. (2018). Small wind turbine effectiveness in the urban environment</w:t>
      </w:r>
      <w:r w:rsidRPr="00C76FEB">
        <w:rPr>
          <w:rFonts w:cs="Times New Roman"/>
          <w:i/>
        </w:rPr>
        <w:t xml:space="preserve">. Renewable Energy, 129, 102–113. </w:t>
      </w:r>
      <w:r w:rsidRPr="002F6AD9">
        <w:rPr>
          <w:rFonts w:cs="Times New Roman"/>
        </w:rPr>
        <w:t>https://doi.org/10.1016/j.renene.2018.05.062</w:t>
      </w:r>
    </w:p>
    <w:p w14:paraId="576F350F" w14:textId="77777777" w:rsidR="0065586D" w:rsidRPr="002F6AD9" w:rsidRDefault="0065586D" w:rsidP="002F6AD9">
      <w:pPr>
        <w:rPr>
          <w:rFonts w:cs="Times New Roman"/>
        </w:rPr>
      </w:pPr>
      <w:r w:rsidRPr="002F6AD9">
        <w:rPr>
          <w:rFonts w:cs="Times New Roman"/>
        </w:rPr>
        <w:t>BINE. (2007). BINE Informationsdienst: Projektinfo: Small wind turbine for grid-connected and stand-alone operation. Retrieved from BINE Information Service website: http://www.bine.info/en/publications/publikation/kleine-windenergieanlage-fuer-netz-und-inselbetrieb/</w:t>
      </w:r>
    </w:p>
    <w:p w14:paraId="605364C7" w14:textId="77777777" w:rsidR="0065586D" w:rsidRPr="002F6AD9" w:rsidRDefault="0065586D" w:rsidP="002F6AD9">
      <w:pPr>
        <w:rPr>
          <w:rFonts w:cs="Times New Roman"/>
        </w:rPr>
      </w:pPr>
      <w:r w:rsidRPr="002F6AD9">
        <w:rPr>
          <w:rFonts w:cs="Times New Roman"/>
        </w:rPr>
        <w:t xml:space="preserve">Black &amp; Veatch. (2012). </w:t>
      </w:r>
      <w:r w:rsidRPr="002F6AD9">
        <w:rPr>
          <w:rFonts w:cs="Times New Roman"/>
          <w:i/>
        </w:rPr>
        <w:t>Cost and Performance Data for Power Generation Technologies.</w:t>
      </w:r>
      <w:r w:rsidRPr="002F6AD9">
        <w:rPr>
          <w:rFonts w:cs="Times New Roman"/>
        </w:rPr>
        <w:t xml:space="preserve"> Prepared for the National Renewable Energy Laboratory. Black &amp; Veatch Holding Company. Retrieved from https://www.bv.com/docs/reports-studies/nrel-cost-report.pdf</w:t>
      </w:r>
    </w:p>
    <w:p w14:paraId="7A4E0872" w14:textId="77777777" w:rsidR="0065586D" w:rsidRPr="002F6AD9" w:rsidRDefault="0065586D" w:rsidP="002F6AD9">
      <w:pPr>
        <w:rPr>
          <w:rFonts w:cs="Times New Roman"/>
        </w:rPr>
      </w:pPr>
      <w:r w:rsidRPr="002F6AD9">
        <w:rPr>
          <w:rFonts w:cs="Times New Roman"/>
          <w:lang w:val="pt-PT"/>
        </w:rPr>
        <w:t xml:space="preserve">Bortolini, M., Gamberi, M., Graziani, A., Manzini, R., &amp; Pilati, F. (2014). </w:t>
      </w:r>
      <w:r w:rsidRPr="002F6AD9">
        <w:rPr>
          <w:rFonts w:cs="Times New Roman"/>
        </w:rPr>
        <w:t xml:space="preserve">Performance and viability analysis of small wind turbines in the European Union. </w:t>
      </w:r>
      <w:r w:rsidRPr="008D107D">
        <w:rPr>
          <w:rFonts w:cs="Times New Roman"/>
          <w:i/>
        </w:rPr>
        <w:t xml:space="preserve">Renewable Energy, 62, 629–639. </w:t>
      </w:r>
      <w:r w:rsidRPr="002F6AD9">
        <w:rPr>
          <w:rFonts w:cs="Times New Roman"/>
        </w:rPr>
        <w:t>https://doi.org/10.1016/j.renene.2013.08.004</w:t>
      </w:r>
    </w:p>
    <w:p w14:paraId="1EA6FBAC" w14:textId="77777777" w:rsidR="0065586D" w:rsidRPr="002F6AD9" w:rsidRDefault="0065586D" w:rsidP="002F6AD9">
      <w:pPr>
        <w:rPr>
          <w:rFonts w:cs="Times New Roman"/>
        </w:rPr>
      </w:pPr>
      <w:r w:rsidRPr="002F6AD9">
        <w:rPr>
          <w:rFonts w:cs="Times New Roman"/>
        </w:rPr>
        <w:t xml:space="preserve">Bukala, J., Damaziak, K., Kroszczynski, K., Krzeszowiec, M., &amp; Malachowski, J. (2015). Investigation of parameters influencing the efficiency of small wind turbines. </w:t>
      </w:r>
      <w:r w:rsidRPr="008D107D">
        <w:rPr>
          <w:rFonts w:cs="Times New Roman"/>
          <w:i/>
        </w:rPr>
        <w:t>Journal of Wind Engineering and Industrial Aerodynamics, 146, 29–38</w:t>
      </w:r>
      <w:r w:rsidRPr="002F6AD9">
        <w:rPr>
          <w:rFonts w:cs="Times New Roman"/>
        </w:rPr>
        <w:t xml:space="preserve">. </w:t>
      </w:r>
      <w:hyperlink r:id="rId28" w:history="1">
        <w:r w:rsidRPr="002F6AD9">
          <w:rPr>
            <w:rStyle w:val="Hyperlink"/>
            <w:rFonts w:cs="Times New Roman"/>
          </w:rPr>
          <w:t>https://doi.org/10.1016/j.jweia.2015.06.017</w:t>
        </w:r>
      </w:hyperlink>
    </w:p>
    <w:p w14:paraId="0711AB83" w14:textId="77777777" w:rsidR="0065586D" w:rsidRPr="002F6AD9" w:rsidRDefault="0065586D" w:rsidP="002F6AD9">
      <w:pPr>
        <w:rPr>
          <w:rFonts w:cs="Times New Roman"/>
        </w:rPr>
      </w:pPr>
      <w:r w:rsidRPr="002F6AD9">
        <w:rPr>
          <w:rFonts w:cs="Times New Roman"/>
        </w:rPr>
        <w:t xml:space="preserve">Carbon Tracker &amp; Grantham Institute. (2017). </w:t>
      </w:r>
      <w:r w:rsidRPr="008D107D">
        <w:rPr>
          <w:rFonts w:cs="Times New Roman"/>
          <w:i/>
        </w:rPr>
        <w:t xml:space="preserve">Expect the Unexpected: The Disruptive Power of Low-carbon Technology (p. 52). </w:t>
      </w:r>
      <w:r w:rsidRPr="002F6AD9">
        <w:rPr>
          <w:rFonts w:cs="Times New Roman"/>
        </w:rPr>
        <w:t xml:space="preserve">Retrieved from A report by Carbon Tracker &amp; Grantham Institute at Imperial College London website: </w:t>
      </w:r>
      <w:hyperlink r:id="rId29" w:history="1">
        <w:r w:rsidRPr="002F6AD9">
          <w:rPr>
            <w:rStyle w:val="Hyperlink"/>
            <w:rFonts w:cs="Times New Roman"/>
          </w:rPr>
          <w:t>https://www.carbontracker.org/reports/expect-the-unexpected-the-disruptive-power-of-low-carbon-technology/</w:t>
        </w:r>
      </w:hyperlink>
    </w:p>
    <w:p w14:paraId="4BED72A4" w14:textId="77777777" w:rsidR="0065586D" w:rsidRPr="0065586D" w:rsidRDefault="0065586D" w:rsidP="002F6AD9">
      <w:pPr>
        <w:rPr>
          <w:rFonts w:cs="Times New Roman"/>
        </w:rPr>
      </w:pPr>
      <w:r w:rsidRPr="0065586D">
        <w:rPr>
          <w:rFonts w:cs="Times New Roman"/>
        </w:rPr>
        <w:t xml:space="preserve">Carbon Trust. (2008). </w:t>
      </w:r>
      <w:r w:rsidRPr="0065586D">
        <w:rPr>
          <w:rFonts w:cs="Times New Roman"/>
          <w:i/>
        </w:rPr>
        <w:t>Small-scale wind energy: Policy insights and practical guidance.</w:t>
      </w:r>
      <w:r w:rsidRPr="0065586D">
        <w:rPr>
          <w:rFonts w:cs="Times New Roman"/>
        </w:rPr>
        <w:t xml:space="preserve"> Retrieved from https://www.carbontrust.com/media/77248/ctc738_small-scale_wind_energy.pdf</w:t>
      </w:r>
    </w:p>
    <w:p w14:paraId="6F53E44D" w14:textId="77777777" w:rsidR="0065586D" w:rsidRPr="0065586D" w:rsidRDefault="0065586D" w:rsidP="002F6AD9">
      <w:pPr>
        <w:rPr>
          <w:rFonts w:cs="Times New Roman"/>
        </w:rPr>
      </w:pPr>
      <w:r w:rsidRPr="0065586D">
        <w:rPr>
          <w:rFonts w:cs="Times New Roman"/>
        </w:rPr>
        <w:t xml:space="preserve">Danish Energy Agency and Energynet. (2012). </w:t>
      </w:r>
      <w:r w:rsidRPr="0065586D">
        <w:rPr>
          <w:rFonts w:cs="Times New Roman"/>
          <w:i/>
        </w:rPr>
        <w:t>Technology Data for Energy Plants Generation of Electricity and District Heating, Energy Storage and Energy Carrier Generation and Conversion.</w:t>
      </w:r>
      <w:r w:rsidRPr="0065586D">
        <w:rPr>
          <w:rFonts w:cs="Times New Roman"/>
        </w:rPr>
        <w:t xml:space="preserve"> Danish Energy Agency and Energinet.dk. Retrieved from: https://www.energinet.dk/SiteCollectionDocuments/Danske%20dokumenter/Forskning/Technology_data_for_energy_plants.pdf</w:t>
      </w:r>
    </w:p>
    <w:p w14:paraId="006A5F4E" w14:textId="77777777" w:rsidR="0065586D" w:rsidRPr="0065586D" w:rsidRDefault="0065586D" w:rsidP="002F6AD9">
      <w:pPr>
        <w:rPr>
          <w:rFonts w:eastAsia="Times New Roman" w:cs="Times New Roman"/>
        </w:rPr>
      </w:pPr>
      <w:r w:rsidRPr="0065586D">
        <w:rPr>
          <w:rFonts w:eastAsia="Times New Roman" w:cs="Times New Roman"/>
        </w:rPr>
        <w:t>DOE (2013). 2013 Wind Technologies Report, August 2014. http://emp.lbl.gov/sites/all/files/2013_Wind_Technologies_Market_Report_Final3.pdf.</w:t>
      </w:r>
    </w:p>
    <w:p w14:paraId="0BD6D43C" w14:textId="77777777" w:rsidR="0065586D" w:rsidRPr="0065586D" w:rsidRDefault="0065586D" w:rsidP="0065586D">
      <w:pPr>
        <w:rPr>
          <w:rFonts w:cs="Times New Roman"/>
        </w:rPr>
      </w:pPr>
      <w:r w:rsidRPr="0065586D">
        <w:rPr>
          <w:rFonts w:cs="Times New Roman"/>
        </w:rPr>
        <w:t xml:space="preserve">Ecofys. (2018). </w:t>
      </w:r>
      <w:r w:rsidRPr="0065586D">
        <w:rPr>
          <w:rFonts w:cs="Times New Roman"/>
          <w:i/>
        </w:rPr>
        <w:t>Energy transition within 1.5ºC.</w:t>
      </w:r>
      <w:r w:rsidRPr="0065586D">
        <w:rPr>
          <w:rFonts w:cs="Times New Roman"/>
        </w:rPr>
        <w:t xml:space="preserve"> A disruptive approach to 100% decarbonization of the global energy system by 2050. Ecofys- A Navigant Company. Retrieved from: </w:t>
      </w:r>
      <w:hyperlink r:id="rId30" w:history="1">
        <w:r w:rsidRPr="0065586D">
          <w:rPr>
            <w:rStyle w:val="Hyperlink"/>
            <w:rFonts w:cs="Times New Roman"/>
          </w:rPr>
          <w:t>https://www.navigant.com/-/media/www/site/downloads/energy/2018/navigant2018energytransitionwithin15c.pdf</w:t>
        </w:r>
      </w:hyperlink>
    </w:p>
    <w:p w14:paraId="4B98AB4F" w14:textId="77777777" w:rsidR="0065586D" w:rsidRPr="002F6AD9" w:rsidRDefault="0065586D" w:rsidP="002F6AD9">
      <w:pPr>
        <w:rPr>
          <w:rFonts w:cs="Times New Roman"/>
        </w:rPr>
      </w:pPr>
      <w:r w:rsidRPr="0065586D">
        <w:rPr>
          <w:rFonts w:cs="Times New Roman"/>
          <w:lang w:val="pt-PT"/>
        </w:rPr>
        <w:t xml:space="preserve">Edenhofer, O., Pichs Madruga, R., Sokona, Y. (2012). </w:t>
      </w:r>
      <w:r w:rsidRPr="0065586D">
        <w:rPr>
          <w:rFonts w:cs="Times New Roman"/>
        </w:rPr>
        <w:t xml:space="preserve">United Nations Environment Programme, World Meteorological Organization, Intergovernmental Panel on Climate Change, &amp; Potsdam-Institut für Klimafolgenforschung (Eds.). </w:t>
      </w:r>
      <w:r w:rsidRPr="0065586D">
        <w:rPr>
          <w:rFonts w:cs="Times New Roman"/>
          <w:i/>
        </w:rPr>
        <w:t>Renewable energy sources and climate</w:t>
      </w:r>
      <w:r w:rsidRPr="002F6AD9">
        <w:rPr>
          <w:rFonts w:cs="Times New Roman"/>
          <w:i/>
        </w:rPr>
        <w:t xml:space="preserve"> change mitigation: special report of the Intergovernmental Panel on Climate Change.</w:t>
      </w:r>
      <w:r w:rsidRPr="002F6AD9">
        <w:rPr>
          <w:rFonts w:cs="Times New Roman"/>
        </w:rPr>
        <w:t xml:space="preserve"> New York: Cambridge University Press.</w:t>
      </w:r>
    </w:p>
    <w:p w14:paraId="3AF0CCCE" w14:textId="77777777" w:rsidR="0065586D" w:rsidRPr="002F6AD9" w:rsidRDefault="0065586D" w:rsidP="002F6AD9">
      <w:pPr>
        <w:rPr>
          <w:rFonts w:eastAsia="Times New Roman" w:cs="Times New Roman"/>
        </w:rPr>
      </w:pPr>
      <w:r w:rsidRPr="002F6AD9">
        <w:rPr>
          <w:rFonts w:eastAsia="Times New Roman" w:cs="Times New Roman"/>
        </w:rPr>
        <w:t>EIA</w:t>
      </w:r>
      <w:r>
        <w:rPr>
          <w:rFonts w:eastAsia="Times New Roman" w:cs="Times New Roman"/>
        </w:rPr>
        <w:t xml:space="preserve"> </w:t>
      </w:r>
      <w:r w:rsidRPr="002F6AD9">
        <w:rPr>
          <w:rFonts w:eastAsia="Times New Roman" w:cs="Times New Roman"/>
        </w:rPr>
        <w:t>(2013). Energy Information Administration. “Distributed Generation System Characteristics and Costs in the  Buildings Sector,”.</w:t>
      </w:r>
    </w:p>
    <w:p w14:paraId="42EDC790" w14:textId="77777777" w:rsidR="0065586D" w:rsidRPr="002F6AD9" w:rsidRDefault="0065586D" w:rsidP="002F6AD9">
      <w:pPr>
        <w:rPr>
          <w:rFonts w:cs="Times New Roman"/>
        </w:rPr>
      </w:pPr>
      <w:r w:rsidRPr="002F6AD9">
        <w:rPr>
          <w:rFonts w:cs="Times New Roman"/>
        </w:rPr>
        <w:t xml:space="preserve">EIA. (2015). </w:t>
      </w:r>
      <w:r w:rsidRPr="002F6AD9">
        <w:rPr>
          <w:rFonts w:cs="Times New Roman"/>
          <w:i/>
        </w:rPr>
        <w:t>Updated capital cost estimates for utility scale electricity generating plants.</w:t>
      </w:r>
      <w:r w:rsidRPr="002F6AD9">
        <w:rPr>
          <w:rFonts w:cs="Times New Roman"/>
        </w:rPr>
        <w:t xml:space="preserve"> Washington: U.S. Energy Information Administration Retrieved from http://www.eia.gov/forecasts/capitalcost/</w:t>
      </w:r>
      <w:r w:rsidRPr="002F6AD9">
        <w:rPr>
          <w:rFonts w:cs="Times New Roman"/>
        </w:rPr>
        <w:br/>
        <w:t>pdf/updated_capcost.pdf</w:t>
      </w:r>
    </w:p>
    <w:p w14:paraId="370DB927" w14:textId="77777777" w:rsidR="0065586D" w:rsidRPr="002F6AD9" w:rsidRDefault="0065586D" w:rsidP="002F6AD9">
      <w:pPr>
        <w:rPr>
          <w:rFonts w:cs="Times New Roman"/>
        </w:rPr>
      </w:pPr>
      <w:r w:rsidRPr="002F6AD9">
        <w:rPr>
          <w:rFonts w:cs="Times New Roman"/>
        </w:rPr>
        <w:t>Emejeamara, F. C., Tomlin, A. S., &amp; Millward-Hopkins, J. T. (2015). Urban wind: Characterisation of useful gust and energy capture. Renewable Energy, 81, 162–172. https://doi.org/10.1016/j.renene.2015.03.028</w:t>
      </w:r>
    </w:p>
    <w:p w14:paraId="2484DED8" w14:textId="77777777" w:rsidR="0065586D" w:rsidRPr="0065586D" w:rsidRDefault="0065586D" w:rsidP="002F6AD9">
      <w:pPr>
        <w:rPr>
          <w:rFonts w:cs="Times New Roman"/>
        </w:rPr>
      </w:pPr>
      <w:r w:rsidRPr="002F6AD9">
        <w:rPr>
          <w:rFonts w:cs="Times New Roman"/>
        </w:rPr>
        <w:t xml:space="preserve">Energy and Environmental Economics, </w:t>
      </w:r>
      <w:r w:rsidRPr="0065586D">
        <w:rPr>
          <w:rFonts w:cs="Times New Roman"/>
        </w:rPr>
        <w:t>Inc. (2014). Capital cost review of power generation technologies. San Francisco. Retrieved from https://www.wecc.biz/Reliability/2014_TEPPC_Generation_</w:t>
      </w:r>
      <w:r w:rsidRPr="0065586D">
        <w:rPr>
          <w:rFonts w:cs="Times New Roman"/>
        </w:rPr>
        <w:br/>
        <w:t>CapCost_Report_E3.pdf</w:t>
      </w:r>
    </w:p>
    <w:p w14:paraId="1865B77F" w14:textId="77777777" w:rsidR="0065586D" w:rsidRPr="0065586D" w:rsidRDefault="0065586D" w:rsidP="0065586D">
      <w:pPr>
        <w:rPr>
          <w:rFonts w:cs="Times New Roman"/>
        </w:rPr>
      </w:pPr>
      <w:r w:rsidRPr="0065586D">
        <w:rPr>
          <w:rFonts w:cs="Times New Roman"/>
        </w:rPr>
        <w:t xml:space="preserve">Equinor. (2018). </w:t>
      </w:r>
      <w:r w:rsidRPr="0065586D">
        <w:rPr>
          <w:rFonts w:cs="Times New Roman"/>
          <w:i/>
        </w:rPr>
        <w:t>Energy Perspectives 2018, Long-term macro and market outlook.</w:t>
      </w:r>
      <w:r w:rsidRPr="0065586D">
        <w:rPr>
          <w:rFonts w:cs="Times New Roman"/>
        </w:rPr>
        <w:t xml:space="preserve"> Equinor. Retrieved from: </w:t>
      </w:r>
      <w:hyperlink r:id="rId31" w:history="1">
        <w:r w:rsidRPr="0065586D">
          <w:rPr>
            <w:rStyle w:val="Hyperlink"/>
            <w:rFonts w:cs="Times New Roman"/>
          </w:rPr>
          <w:t>https://www.equinor.com/en/news/07jun2018-energy-perspectives.html</w:t>
        </w:r>
      </w:hyperlink>
    </w:p>
    <w:p w14:paraId="78672889" w14:textId="77777777" w:rsidR="0065586D" w:rsidRPr="002F6AD9" w:rsidRDefault="0065586D" w:rsidP="002F6AD9">
      <w:pPr>
        <w:rPr>
          <w:rFonts w:cs="Times New Roman"/>
        </w:rPr>
      </w:pPr>
      <w:r w:rsidRPr="0065586D">
        <w:rPr>
          <w:rFonts w:cs="Times New Roman"/>
        </w:rPr>
        <w:t>EST. (2009). Domestic small-scale wind field trial report. Retrieved from Energy Saving Trust (EST) website:</w:t>
      </w:r>
      <w:r w:rsidRPr="002F6AD9">
        <w:rPr>
          <w:rFonts w:cs="Times New Roman"/>
        </w:rPr>
        <w:t xml:space="preserve"> https://www.energysavingtrust.org.uk/sites/default/files/reports/Location_Location_Location_field_trial_small-scale_wind_report%20%282%29.pdf</w:t>
      </w:r>
    </w:p>
    <w:p w14:paraId="288B021D" w14:textId="77777777" w:rsidR="0065586D" w:rsidRPr="002F6AD9" w:rsidRDefault="0065586D" w:rsidP="002F6AD9">
      <w:pPr>
        <w:rPr>
          <w:rFonts w:cs="Times New Roman"/>
        </w:rPr>
      </w:pPr>
      <w:r w:rsidRPr="002F6AD9">
        <w:rPr>
          <w:rFonts w:cs="Times New Roman"/>
        </w:rPr>
        <w:t xml:space="preserve">EST. (2019). </w:t>
      </w:r>
      <w:r w:rsidRPr="008D107D">
        <w:rPr>
          <w:rFonts w:cs="Times New Roman"/>
          <w:i/>
        </w:rPr>
        <w:t>Micro-CHP.</w:t>
      </w:r>
      <w:r w:rsidRPr="002F6AD9">
        <w:rPr>
          <w:rFonts w:cs="Times New Roman"/>
        </w:rPr>
        <w:t xml:space="preserve"> Retrieved March 28, 2019, from Energy Saving Trust website: https://www.energysavingtrust.org.uk/renewable-energy/electricity/micro-chp</w:t>
      </w:r>
    </w:p>
    <w:p w14:paraId="77DCCD33" w14:textId="77777777" w:rsidR="0065586D" w:rsidRPr="002F6AD9" w:rsidRDefault="0065586D" w:rsidP="002F6AD9">
      <w:pPr>
        <w:rPr>
          <w:rFonts w:cs="Times New Roman"/>
          <w:bCs/>
        </w:rPr>
      </w:pPr>
      <w:r w:rsidRPr="002F6AD9">
        <w:rPr>
          <w:rFonts w:cs="Times New Roman"/>
          <w:bCs/>
        </w:rPr>
        <w:t xml:space="preserve">EWEA (2016). </w:t>
      </w:r>
      <w:r w:rsidRPr="008D107D">
        <w:rPr>
          <w:rFonts w:cs="Times New Roman"/>
          <w:bCs/>
          <w:i/>
        </w:rPr>
        <w:t>FAQ - The basics.</w:t>
      </w:r>
      <w:r w:rsidRPr="002F6AD9">
        <w:rPr>
          <w:rFonts w:cs="Times New Roman"/>
          <w:bCs/>
        </w:rPr>
        <w:t xml:space="preserve"> The European Wind Energy Association. Available at: </w:t>
      </w:r>
      <w:hyperlink r:id="rId32" w:history="1">
        <w:r w:rsidRPr="002F6AD9">
          <w:rPr>
            <w:rStyle w:val="Hyperlink"/>
            <w:rFonts w:cs="Times New Roman"/>
            <w:bCs/>
          </w:rPr>
          <w:t>http://www.ewea.org/wind-energy-basics/faq/</w:t>
        </w:r>
      </w:hyperlink>
    </w:p>
    <w:p w14:paraId="6CB92658" w14:textId="77777777" w:rsidR="0065586D" w:rsidRDefault="0065586D" w:rsidP="002F6AD9">
      <w:pPr>
        <w:rPr>
          <w:rFonts w:cs="Times New Roman"/>
          <w:bCs/>
        </w:rPr>
      </w:pPr>
      <w:r w:rsidRPr="00105370">
        <w:rPr>
          <w:rFonts w:cs="Times New Roman"/>
          <w:bCs/>
        </w:rPr>
        <w:t xml:space="preserve">EWEA. (2006). </w:t>
      </w:r>
      <w:r w:rsidRPr="008D107D">
        <w:rPr>
          <w:rFonts w:cs="Times New Roman"/>
          <w:bCs/>
          <w:i/>
        </w:rPr>
        <w:t>Wind Energy A Vision for Europe in 2030.</w:t>
      </w:r>
      <w:r w:rsidRPr="00105370">
        <w:rPr>
          <w:rFonts w:cs="Times New Roman"/>
          <w:bCs/>
        </w:rPr>
        <w:t xml:space="preserve"> Retrieved from European Wind Energy Technology Platform website: http://www.windplatform.eu/fileadmin/ewetp_docs/Structure/061003Vision_final.pdf</w:t>
      </w:r>
    </w:p>
    <w:p w14:paraId="1600F1E3" w14:textId="77777777" w:rsidR="0065586D" w:rsidRPr="002F6AD9" w:rsidRDefault="0065586D" w:rsidP="002F6AD9">
      <w:pPr>
        <w:rPr>
          <w:rFonts w:cs="Times New Roman"/>
        </w:rPr>
      </w:pPr>
      <w:r w:rsidRPr="002F6AD9">
        <w:rPr>
          <w:rFonts w:cs="Times New Roman"/>
        </w:rPr>
        <w:t xml:space="preserve">Global CCS Institute. (2015). </w:t>
      </w:r>
      <w:r w:rsidRPr="008D107D">
        <w:rPr>
          <w:rFonts w:cs="Times New Roman"/>
          <w:i/>
        </w:rPr>
        <w:t>Project Cost.</w:t>
      </w:r>
      <w:r w:rsidRPr="002F6AD9">
        <w:rPr>
          <w:rFonts w:cs="Times New Roman"/>
        </w:rPr>
        <w:t xml:space="preserve"> Retrieved March 20, 2019, from Global CCS Institute website: https://hub.globalccsinstitute.com/publications/review-generation-costs-and-deployment-potential-renewable-electricity-technologies-uk/38-project-cost</w:t>
      </w:r>
    </w:p>
    <w:p w14:paraId="30F66599" w14:textId="77777777" w:rsidR="00A93AD7" w:rsidRDefault="00A93AD7" w:rsidP="00A93AD7">
      <w:pPr>
        <w:jc w:val="left"/>
        <w:rPr>
          <w:rFonts w:eastAsia="SimSun" w:cs="Arial"/>
          <w:noProof/>
        </w:rPr>
      </w:pPr>
      <w:r>
        <w:rPr>
          <w:rFonts w:eastAsia="SimSun" w:cs="Arial"/>
          <w:noProof/>
        </w:rPr>
        <w:t>Grantham Institute and Carbon Tracker (2017). Expect the Unexpected. The</w:t>
      </w:r>
      <w:r w:rsidRPr="00C3651B">
        <w:rPr>
          <w:rFonts w:eastAsia="SimSun" w:cs="Arial"/>
          <w:noProof/>
        </w:rPr>
        <w:t xml:space="preserve"> Disruptive Power</w:t>
      </w:r>
      <w:r>
        <w:rPr>
          <w:rFonts w:eastAsia="SimSun" w:cs="Arial"/>
          <w:noProof/>
        </w:rPr>
        <w:t xml:space="preserve"> </w:t>
      </w:r>
      <w:r w:rsidRPr="00C3651B">
        <w:rPr>
          <w:rFonts w:eastAsia="SimSun" w:cs="Arial"/>
          <w:noProof/>
        </w:rPr>
        <w:t>of Low-carbon</w:t>
      </w:r>
      <w:r>
        <w:rPr>
          <w:rFonts w:eastAsia="SimSun" w:cs="Arial"/>
          <w:noProof/>
        </w:rPr>
        <w:t xml:space="preserve"> </w:t>
      </w:r>
      <w:r w:rsidRPr="00C3651B">
        <w:rPr>
          <w:rFonts w:eastAsia="SimSun" w:cs="Arial"/>
          <w:noProof/>
        </w:rPr>
        <w:t>Technology</w:t>
      </w:r>
      <w:r>
        <w:rPr>
          <w:rFonts w:eastAsia="Times New Roman" w:cs="Times New Roman"/>
          <w:sz w:val="24"/>
          <w:szCs w:val="24"/>
          <w:lang w:eastAsia="en-US"/>
        </w:rPr>
        <w:t>.</w:t>
      </w:r>
      <w:r w:rsidRPr="00C3651B">
        <w:rPr>
          <w:rFonts w:eastAsia="SimSun" w:cs="Arial"/>
          <w:noProof/>
        </w:rPr>
        <w:t xml:space="preserve"> </w:t>
      </w:r>
      <w:r>
        <w:rPr>
          <w:rFonts w:eastAsia="SimSun" w:cs="Arial"/>
          <w:noProof/>
        </w:rPr>
        <w:t>Grantham Institute- Climate Change and the Environment and Carbon Tracker Initiative.</w:t>
      </w:r>
      <w:r>
        <w:rPr>
          <w:rFonts w:eastAsia="Times New Roman" w:cs="Times New Roman"/>
          <w:sz w:val="24"/>
          <w:szCs w:val="24"/>
          <w:lang w:eastAsia="en-US"/>
        </w:rPr>
        <w:t xml:space="preserve"> </w:t>
      </w:r>
      <w:r>
        <w:rPr>
          <w:rFonts w:eastAsia="SimSun" w:cs="Arial"/>
          <w:noProof/>
        </w:rPr>
        <w:t xml:space="preserve">Retrieved from: </w:t>
      </w:r>
      <w:hyperlink r:id="rId33" w:history="1">
        <w:r w:rsidRPr="007C28AC">
          <w:rPr>
            <w:rStyle w:val="Hyperlink"/>
            <w:rFonts w:eastAsia="SimSun" w:cs="Arial"/>
            <w:noProof/>
          </w:rPr>
          <w:t>https://www.imperial.ac.uk/media/imperial-college/grantham-institute/public/publications/collaborative-publications/Expect-the-Unexpected_CTI_Imperial.pdf</w:t>
        </w:r>
      </w:hyperlink>
    </w:p>
    <w:p w14:paraId="31FDA339" w14:textId="77777777" w:rsidR="0065586D" w:rsidRPr="002F6AD9" w:rsidRDefault="0065586D" w:rsidP="002F6AD9">
      <w:pPr>
        <w:rPr>
          <w:rFonts w:cs="Times New Roman"/>
        </w:rPr>
      </w:pPr>
      <w:r w:rsidRPr="002F6AD9">
        <w:rPr>
          <w:rFonts w:cs="Times New Roman"/>
        </w:rPr>
        <w:t xml:space="preserve">Greenpeace. (2015). </w:t>
      </w:r>
      <w:r w:rsidRPr="008D107D">
        <w:rPr>
          <w:rFonts w:cs="Times New Roman"/>
          <w:i/>
        </w:rPr>
        <w:t>World Energy [R]evolution, a sustainable world energy outlook.</w:t>
      </w:r>
      <w:r w:rsidRPr="002F6AD9">
        <w:rPr>
          <w:rFonts w:cs="Times New Roman"/>
        </w:rPr>
        <w:t xml:space="preserve"> Retrieved from: http://www.greenpeace.org/international/Global/international/publications/climate/2015/Energy-Revolution-2015-Full.pdf</w:t>
      </w:r>
    </w:p>
    <w:p w14:paraId="6A6B9B18" w14:textId="77777777" w:rsidR="0065586D" w:rsidRPr="002F6AD9" w:rsidRDefault="0065586D" w:rsidP="002F6AD9">
      <w:pPr>
        <w:rPr>
          <w:rFonts w:cs="Times New Roman"/>
        </w:rPr>
      </w:pPr>
      <w:r w:rsidRPr="002F6AD9">
        <w:rPr>
          <w:rFonts w:cs="Times New Roman"/>
        </w:rPr>
        <w:t xml:space="preserve">Grieser, B., Sunak, Y., &amp; Madlener, R. (2015). Economics of small wind turbines in urban settings: An empirical investigation for Germany. </w:t>
      </w:r>
      <w:r w:rsidRPr="008D107D">
        <w:rPr>
          <w:rFonts w:cs="Times New Roman"/>
          <w:i/>
        </w:rPr>
        <w:t>Renewable Energy, 78, 334–350</w:t>
      </w:r>
      <w:r w:rsidRPr="002F6AD9">
        <w:rPr>
          <w:rFonts w:cs="Times New Roman"/>
        </w:rPr>
        <w:t>. https://doi.org/10.1016/j.renene.2015.01.008</w:t>
      </w:r>
    </w:p>
    <w:p w14:paraId="3D29DC4F" w14:textId="77777777" w:rsidR="0065586D" w:rsidRPr="002F6AD9" w:rsidRDefault="0065586D" w:rsidP="002F6AD9">
      <w:pPr>
        <w:rPr>
          <w:rFonts w:cs="Times New Roman"/>
        </w:rPr>
      </w:pPr>
      <w:r w:rsidRPr="002F6AD9">
        <w:rPr>
          <w:rFonts w:cs="Times New Roman"/>
        </w:rPr>
        <w:t xml:space="preserve">Hayward, J., Graham, P. (2013). A global and local endogenous experience curve model for projecting future uptake and cost of electricity generation technologies. </w:t>
      </w:r>
      <w:r w:rsidRPr="002F6AD9">
        <w:rPr>
          <w:rFonts w:cs="Times New Roman"/>
          <w:i/>
        </w:rPr>
        <w:t>Energy Economics 40, pp. 537-548.</w:t>
      </w:r>
    </w:p>
    <w:p w14:paraId="09F58E75" w14:textId="77777777" w:rsidR="0065586D" w:rsidRPr="002F6AD9" w:rsidRDefault="0065586D" w:rsidP="002F6AD9">
      <w:pPr>
        <w:rPr>
          <w:rFonts w:cs="Times New Roman"/>
        </w:rPr>
      </w:pPr>
      <w:r w:rsidRPr="002F6AD9">
        <w:rPr>
          <w:rFonts w:cs="Times New Roman"/>
        </w:rPr>
        <w:t xml:space="preserve">Heagle, A. L. B., Naterer, G. F., &amp; Pope, K. (2011). Small wind turbine energy policies for residential and small business usage in Ontario, Canada. </w:t>
      </w:r>
      <w:r w:rsidRPr="008D107D">
        <w:rPr>
          <w:rFonts w:cs="Times New Roman"/>
          <w:i/>
        </w:rPr>
        <w:t>Energy Policy, 39(4), 1988–1999.</w:t>
      </w:r>
      <w:r w:rsidRPr="002F6AD9">
        <w:rPr>
          <w:rFonts w:cs="Times New Roman"/>
        </w:rPr>
        <w:t xml:space="preserve"> https://doi.org/10.1016/j.enpol.2011.01.028</w:t>
      </w:r>
    </w:p>
    <w:p w14:paraId="2C66C41F" w14:textId="77777777" w:rsidR="0065586D" w:rsidRPr="002F6AD9" w:rsidRDefault="0065586D" w:rsidP="002F6AD9">
      <w:pPr>
        <w:rPr>
          <w:rFonts w:cs="Times New Roman"/>
        </w:rPr>
      </w:pPr>
      <w:r w:rsidRPr="002F6AD9">
        <w:rPr>
          <w:rFonts w:cs="Times New Roman"/>
        </w:rPr>
        <w:t xml:space="preserve">Hertwich, E. G., Gibon, T., Bouman, E. A., Arvesen, A., Suh, S., Heath, G. A., … Shi, L. (2015). Integrated life-cycle assessment of electricity-supply scenarios confirms global environmental benefit of low-carbon technologies. </w:t>
      </w:r>
      <w:r w:rsidRPr="008D107D">
        <w:rPr>
          <w:rFonts w:cs="Times New Roman"/>
          <w:i/>
        </w:rPr>
        <w:t xml:space="preserve">Proceedings of the National Academy of Sciences, 112(20), 6277–6282. </w:t>
      </w:r>
      <w:r w:rsidRPr="002F6AD9">
        <w:rPr>
          <w:rFonts w:cs="Times New Roman"/>
        </w:rPr>
        <w:t>https://doi.org/10.1073/pnas.1312753111</w:t>
      </w:r>
    </w:p>
    <w:p w14:paraId="7D7E93C7" w14:textId="77777777" w:rsidR="0065586D" w:rsidRPr="002F6AD9" w:rsidRDefault="0065586D" w:rsidP="002F6AD9">
      <w:pPr>
        <w:rPr>
          <w:rFonts w:cs="Times New Roman"/>
        </w:rPr>
      </w:pPr>
      <w:r w:rsidRPr="002F6AD9">
        <w:rPr>
          <w:rFonts w:cs="Times New Roman"/>
        </w:rPr>
        <w:t>Hondo, H. (2005).</w:t>
      </w:r>
      <w:r w:rsidRPr="002F6AD9">
        <w:rPr>
          <w:rFonts w:cs="Times New Roman"/>
          <w:i/>
        </w:rPr>
        <w:t xml:space="preserve"> Life cycle GHG emission analysis of power generation systems: Japanese case. </w:t>
      </w:r>
      <w:r w:rsidRPr="002F6AD9">
        <w:rPr>
          <w:rFonts w:cs="Times New Roman"/>
        </w:rPr>
        <w:t>Energy 30 - 2042–2056. Retrieved from http://www.univie.ac.at/photovoltaik/umwelt/LCA_japanstudy.pdf</w:t>
      </w:r>
    </w:p>
    <w:p w14:paraId="7BF8342C" w14:textId="77777777" w:rsidR="0065586D" w:rsidRPr="002F6AD9" w:rsidRDefault="0065586D" w:rsidP="002F6AD9">
      <w:pPr>
        <w:rPr>
          <w:rFonts w:cs="Times New Roman"/>
        </w:rPr>
      </w:pPr>
      <w:r w:rsidRPr="008D107D">
        <w:rPr>
          <w:rFonts w:cs="Times New Roman"/>
          <w:lang w:val="pt-PT"/>
        </w:rPr>
        <w:t xml:space="preserve">Hosseinalizadeh, R., Rafiei, E. sadat, Alavijeh, A. S., &amp; Ghaderi, S. F. (2017a). </w:t>
      </w:r>
      <w:r w:rsidRPr="008D107D">
        <w:rPr>
          <w:rFonts w:cs="Times New Roman"/>
        </w:rPr>
        <w:t xml:space="preserve">Economic analysis of small wind turbines in residential energy sector in Iran. </w:t>
      </w:r>
      <w:r w:rsidRPr="008D107D">
        <w:rPr>
          <w:rFonts w:cs="Times New Roman"/>
          <w:i/>
        </w:rPr>
        <w:t>Sustainable Energy Technologies and Assessments, 20, 58–71.</w:t>
      </w:r>
      <w:r w:rsidRPr="008D107D">
        <w:rPr>
          <w:rFonts w:cs="Times New Roman"/>
        </w:rPr>
        <w:t xml:space="preserve"> https://doi.org/10.1016/j.seta.2017.02.018</w:t>
      </w:r>
    </w:p>
    <w:p w14:paraId="7BF677FD" w14:textId="77777777" w:rsidR="0065586D" w:rsidRPr="002F6AD9" w:rsidRDefault="0065586D" w:rsidP="002F6AD9">
      <w:pPr>
        <w:rPr>
          <w:rFonts w:eastAsia="Times New Roman" w:cs="Times New Roman"/>
        </w:rPr>
      </w:pPr>
      <w:r w:rsidRPr="002F6AD9">
        <w:rPr>
          <w:rFonts w:eastAsia="Times New Roman" w:cs="Times New Roman"/>
        </w:rPr>
        <w:t xml:space="preserve">IEA (2013). </w:t>
      </w:r>
      <w:r w:rsidRPr="008D107D">
        <w:rPr>
          <w:rFonts w:eastAsia="Times New Roman" w:cs="Times New Roman"/>
          <w:i/>
        </w:rPr>
        <w:t>Technology Roadmap: Wind Energy 2013 Edition</w:t>
      </w:r>
      <w:r w:rsidRPr="002F6AD9">
        <w:rPr>
          <w:rFonts w:eastAsia="Times New Roman" w:cs="Times New Roman"/>
        </w:rPr>
        <w:t>.</w:t>
      </w:r>
      <w:r w:rsidRPr="00B14CD2">
        <w:rPr>
          <w:rFonts w:eastAsia="Times New Roman" w:cs="Times New Roman"/>
        </w:rPr>
        <w:t xml:space="preserve"> </w:t>
      </w:r>
      <w:r w:rsidRPr="002F6AD9">
        <w:rPr>
          <w:rFonts w:cs="Times New Roman"/>
        </w:rPr>
        <w:t xml:space="preserve">Paris, France: International Energy Agency. </w:t>
      </w:r>
      <w:hyperlink r:id="rId34" w:history="1">
        <w:r w:rsidRPr="002F6AD9">
          <w:rPr>
            <w:rStyle w:val="Hyperlink"/>
            <w:rFonts w:eastAsia="Times New Roman" w:cs="Times New Roman"/>
          </w:rPr>
          <w:t>https://www.iea.org/publications/freepublications/publication/Wind_2013_Roadmap.pdf</w:t>
        </w:r>
      </w:hyperlink>
      <w:r w:rsidRPr="002F6AD9">
        <w:rPr>
          <w:rFonts w:eastAsia="Times New Roman" w:cs="Times New Roman"/>
        </w:rPr>
        <w:t>.</w:t>
      </w:r>
    </w:p>
    <w:p w14:paraId="3966166D" w14:textId="77777777" w:rsidR="0065586D" w:rsidRPr="002F6AD9" w:rsidRDefault="0065586D" w:rsidP="002F6AD9">
      <w:pPr>
        <w:rPr>
          <w:rFonts w:cs="Times New Roman"/>
        </w:rPr>
      </w:pPr>
      <w:r w:rsidRPr="002F6AD9">
        <w:rPr>
          <w:rFonts w:cs="Times New Roman"/>
        </w:rPr>
        <w:t xml:space="preserve">IEA and NEA (2010). </w:t>
      </w:r>
      <w:r w:rsidRPr="002F6AD9">
        <w:rPr>
          <w:rFonts w:cs="Times New Roman"/>
          <w:i/>
        </w:rPr>
        <w:t>Projected Costs of Generating Electricity – edition 2010</w:t>
      </w:r>
      <w:r w:rsidRPr="002F6AD9">
        <w:rPr>
          <w:rFonts w:cs="Times New Roman"/>
        </w:rPr>
        <w:t xml:space="preserve">. Organisation for Economic Co-operation and Development - International Energy Agency and Nuclear Energy Agency. France. Retrieved from </w:t>
      </w:r>
      <w:hyperlink r:id="rId35" w:history="1">
        <w:r w:rsidRPr="002F6AD9">
          <w:rPr>
            <w:rFonts w:cs="Times New Roman"/>
          </w:rPr>
          <w:t>http://www.worldenergyoutlook.org/media/weowebsite/energymodel/ProjectedCostsofGeneratingElectricity2010.pdf</w:t>
        </w:r>
      </w:hyperlink>
    </w:p>
    <w:p w14:paraId="1C7734A2" w14:textId="77777777" w:rsidR="0065586D" w:rsidRPr="002F6AD9" w:rsidRDefault="0065586D" w:rsidP="002F6AD9">
      <w:pPr>
        <w:rPr>
          <w:rFonts w:cs="Times New Roman"/>
        </w:rPr>
      </w:pPr>
      <w:r w:rsidRPr="002F6AD9">
        <w:rPr>
          <w:rFonts w:cs="Times New Roman"/>
        </w:rPr>
        <w:t xml:space="preserve">IEA and NEA (2015). </w:t>
      </w:r>
      <w:r w:rsidRPr="002F6AD9">
        <w:rPr>
          <w:rFonts w:cs="Times New Roman"/>
          <w:i/>
        </w:rPr>
        <w:t>Projected Costs of Generating Electricity – edition 2015.</w:t>
      </w:r>
      <w:r w:rsidRPr="002F6AD9">
        <w:rPr>
          <w:rFonts w:cs="Times New Roman"/>
        </w:rPr>
        <w:t xml:space="preserve"> Organisation for Economic Co-operation and Development - International Energy Agency and Nuclear Energy Agency. France. Retrieved from https://www.oecd-nea.org/ndd/pubs/2015/7057-proj-costs-electricity-2015.pdf</w:t>
      </w:r>
    </w:p>
    <w:p w14:paraId="242AE6F2" w14:textId="77777777" w:rsidR="0065586D" w:rsidRPr="002F6AD9" w:rsidRDefault="0065586D" w:rsidP="002F6AD9">
      <w:pPr>
        <w:rPr>
          <w:rFonts w:cs="Times New Roman"/>
        </w:rPr>
      </w:pPr>
      <w:r w:rsidRPr="002F6AD9">
        <w:rPr>
          <w:rFonts w:cs="Times New Roman"/>
        </w:rPr>
        <w:t xml:space="preserve">IEA ETSAP. (2010). </w:t>
      </w:r>
      <w:r w:rsidRPr="002F6AD9">
        <w:rPr>
          <w:rFonts w:cs="Times New Roman"/>
          <w:i/>
        </w:rPr>
        <w:t>Technology brief e02 - gas-fired Power.</w:t>
      </w:r>
      <w:r w:rsidRPr="002F6AD9">
        <w:rPr>
          <w:rFonts w:cs="Times New Roman"/>
        </w:rPr>
        <w:t xml:space="preserve"> Paris: International Energy Agency Energy Technology Systems Analysis Programme. Retrieved from http://www.iea-etsap.org/web/e-techds/pdf/e02-gas_fired_power-gs-ad-gct.pdf</w:t>
      </w:r>
    </w:p>
    <w:p w14:paraId="1CEA9F51" w14:textId="77777777" w:rsidR="0065586D" w:rsidRPr="008D107D" w:rsidRDefault="0065586D" w:rsidP="002F6AD9">
      <w:pPr>
        <w:rPr>
          <w:rFonts w:cs="Times New Roman"/>
        </w:rPr>
      </w:pPr>
      <w:r w:rsidRPr="008D107D">
        <w:rPr>
          <w:rFonts w:cs="Times New Roman"/>
        </w:rPr>
        <w:t xml:space="preserve">IEA. (2014). </w:t>
      </w:r>
      <w:r w:rsidRPr="008D107D">
        <w:rPr>
          <w:rFonts w:cs="Times New Roman"/>
          <w:i/>
        </w:rPr>
        <w:t>Energy Technology Perspectives 2014 - Harnessing Electricity’s Potential</w:t>
      </w:r>
      <w:r w:rsidRPr="008D107D">
        <w:rPr>
          <w:rFonts w:cs="Times New Roman"/>
        </w:rPr>
        <w:t>. Paris, France: International Energy Agency. Retrieved from http://www.iea.org/etp/etp2014/</w:t>
      </w:r>
    </w:p>
    <w:p w14:paraId="6FEEB240" w14:textId="77777777" w:rsidR="0065586D" w:rsidRPr="0065586D" w:rsidRDefault="0065586D" w:rsidP="002F6AD9">
      <w:pPr>
        <w:rPr>
          <w:rFonts w:cs="Times New Roman"/>
        </w:rPr>
      </w:pPr>
      <w:r w:rsidRPr="008D107D">
        <w:rPr>
          <w:rFonts w:cs="Times New Roman"/>
        </w:rPr>
        <w:t>IEA. (2016</w:t>
      </w:r>
      <w:r w:rsidRPr="0065586D">
        <w:rPr>
          <w:rFonts w:cs="Times New Roman"/>
        </w:rPr>
        <w:t xml:space="preserve">). </w:t>
      </w:r>
      <w:r w:rsidRPr="0065586D">
        <w:rPr>
          <w:rFonts w:cs="Times New Roman"/>
          <w:i/>
        </w:rPr>
        <w:t>Energy Technology Perspectives 2016 - Towards Sustainable Urban Energy Systems</w:t>
      </w:r>
      <w:r w:rsidRPr="0065586D">
        <w:rPr>
          <w:rFonts w:cs="Times New Roman"/>
        </w:rPr>
        <w:t>. Paris, France: International Energy Agency. Retrieved from http://www.iea.org/etp/etp2016/</w:t>
      </w:r>
    </w:p>
    <w:p w14:paraId="33393A8F" w14:textId="77777777" w:rsidR="0065586D" w:rsidRPr="0065586D" w:rsidRDefault="0065586D" w:rsidP="0065586D">
      <w:pPr>
        <w:rPr>
          <w:rFonts w:cs="Times New Roman"/>
        </w:rPr>
      </w:pPr>
      <w:r w:rsidRPr="0065586D">
        <w:rPr>
          <w:rFonts w:cs="Times New Roman"/>
        </w:rPr>
        <w:t xml:space="preserve">IEA. (2017). </w:t>
      </w:r>
      <w:r w:rsidRPr="0065586D">
        <w:rPr>
          <w:rFonts w:cs="Times New Roman"/>
          <w:i/>
        </w:rPr>
        <w:t>Energy Technology Perspectives 2017 - Catalysing Energy Technology Transformations.</w:t>
      </w:r>
      <w:r w:rsidRPr="0065586D">
        <w:rPr>
          <w:rFonts w:cs="Times New Roman"/>
        </w:rPr>
        <w:t xml:space="preserve"> International Energy Agency (IEA). Retrieved from: </w:t>
      </w:r>
      <w:hyperlink r:id="rId36" w:history="1">
        <w:r w:rsidRPr="0065586D">
          <w:rPr>
            <w:rStyle w:val="Hyperlink"/>
            <w:rFonts w:cs="Times New Roman"/>
          </w:rPr>
          <w:t>https://www.iea.org/etp/</w:t>
        </w:r>
      </w:hyperlink>
    </w:p>
    <w:p w14:paraId="32E3BA1A" w14:textId="77777777" w:rsidR="0065586D" w:rsidRPr="0065586D" w:rsidRDefault="0065586D" w:rsidP="002F6AD9">
      <w:pPr>
        <w:rPr>
          <w:rFonts w:cs="Times New Roman"/>
        </w:rPr>
      </w:pPr>
      <w:r w:rsidRPr="0065586D">
        <w:rPr>
          <w:rFonts w:cs="Times New Roman"/>
        </w:rPr>
        <w:t>IEA. (2018a). Task 27 Small Wind Turbines in High Turbulence Sites - IEA Wind TCP. Retrieved from https://community.ieawind.org/Go.aspx?MicrositeGroupTypeRouteDesignKey=4efb79f8-3eaa-40a6-87dd-e79761e566a2&amp;NavigationKey=e91f20cc-0039-4605-9c61-9a755be2db0f</w:t>
      </w:r>
    </w:p>
    <w:p w14:paraId="656754A7" w14:textId="408F2AF5" w:rsidR="0065586D" w:rsidRPr="0065586D" w:rsidRDefault="0065586D" w:rsidP="002F6AD9">
      <w:pPr>
        <w:rPr>
          <w:rFonts w:cs="Times New Roman"/>
        </w:rPr>
      </w:pPr>
      <w:r w:rsidRPr="0065586D">
        <w:rPr>
          <w:rFonts w:cs="Times New Roman"/>
        </w:rPr>
        <w:t xml:space="preserve">IEA. (2018b). World Energy Outlook 2018 (p. 661). International Energy Agency (IEA). Retrieved from: </w:t>
      </w:r>
      <w:hyperlink r:id="rId37" w:history="1">
        <w:r w:rsidRPr="0065586D">
          <w:rPr>
            <w:rStyle w:val="Hyperlink"/>
            <w:rFonts w:cs="Times New Roman"/>
          </w:rPr>
          <w:t>https://webstore.iea.org/world-energy-outlook-2018</w:t>
        </w:r>
      </w:hyperlink>
    </w:p>
    <w:p w14:paraId="4827895F" w14:textId="0482C127" w:rsidR="0065586D" w:rsidRPr="0065586D" w:rsidRDefault="0065586D" w:rsidP="002F6AD9">
      <w:pPr>
        <w:rPr>
          <w:rFonts w:cs="Times New Roman"/>
        </w:rPr>
      </w:pPr>
      <w:r w:rsidRPr="0065586D">
        <w:rPr>
          <w:rFonts w:cs="Times New Roman"/>
        </w:rPr>
        <w:t>IEA. (2019</w:t>
      </w:r>
      <w:r w:rsidR="00602408">
        <w:rPr>
          <w:rFonts w:cs="Times New Roman"/>
        </w:rPr>
        <w:t>a</w:t>
      </w:r>
      <w:r w:rsidRPr="0065586D">
        <w:rPr>
          <w:rFonts w:cs="Times New Roman"/>
        </w:rPr>
        <w:t>). IEA Wind TCP Publications and Reports - IEA Wind TCP. Retrieved from https://community.ieawind.org/viewdocument/compendium-of-iea-wind-tcp-task-27-1</w:t>
      </w:r>
    </w:p>
    <w:p w14:paraId="2EA8BFA6" w14:textId="5A930A66" w:rsidR="00602408" w:rsidRDefault="00602408" w:rsidP="0065586D">
      <w:pPr>
        <w:rPr>
          <w:rFonts w:cs="Times New Roman"/>
        </w:rPr>
      </w:pPr>
      <w:r>
        <w:rPr>
          <w:rFonts w:cs="Times New Roman"/>
        </w:rPr>
        <w:t xml:space="preserve">IEA. (2019b). Energy Prices and Taxes – Quarterly Statistics – First Quarter 2019. International Energy Agency. </w:t>
      </w:r>
      <w:r w:rsidRPr="00EC195C">
        <w:rPr>
          <w:rFonts w:cs="Times New Roman"/>
        </w:rPr>
        <w:t>OECD/IEA, Paris.</w:t>
      </w:r>
    </w:p>
    <w:p w14:paraId="2FCDE145" w14:textId="170DA7DC" w:rsidR="0065586D" w:rsidRPr="0065586D" w:rsidRDefault="0065586D" w:rsidP="0065586D">
      <w:pPr>
        <w:rPr>
          <w:rFonts w:cs="Times New Roman"/>
        </w:rPr>
      </w:pPr>
      <w:r w:rsidRPr="0065586D">
        <w:rPr>
          <w:rFonts w:cs="Times New Roman"/>
        </w:rPr>
        <w:t xml:space="preserve">IEEJ. (2018). </w:t>
      </w:r>
      <w:r w:rsidRPr="0065586D">
        <w:rPr>
          <w:rFonts w:cs="Times New Roman"/>
          <w:i/>
        </w:rPr>
        <w:t>IEEJ Outlook 2019 – Energy transition and a thorny oath for 3E challenges.</w:t>
      </w:r>
      <w:r w:rsidRPr="0065586D">
        <w:rPr>
          <w:rFonts w:cs="Times New Roman"/>
        </w:rPr>
        <w:t xml:space="preserve"> The Institute of Energy Economics Japan. Available at: </w:t>
      </w:r>
      <w:hyperlink r:id="rId38" w:history="1">
        <w:r w:rsidRPr="0065586D">
          <w:rPr>
            <w:rStyle w:val="Hyperlink"/>
            <w:rFonts w:cs="Times New Roman"/>
          </w:rPr>
          <w:t>https://eneken.ieej.or.jp/data/8122.pdf</w:t>
        </w:r>
      </w:hyperlink>
    </w:p>
    <w:p w14:paraId="4B47E5E6" w14:textId="77777777" w:rsidR="0065586D" w:rsidRPr="002F6AD9" w:rsidRDefault="0065586D" w:rsidP="002F6AD9">
      <w:pPr>
        <w:rPr>
          <w:rFonts w:cs="Times New Roman"/>
        </w:rPr>
      </w:pPr>
      <w:r w:rsidRPr="0065586D">
        <w:rPr>
          <w:rFonts w:cs="Times New Roman"/>
        </w:rPr>
        <w:t xml:space="preserve">IPCC. (2012). </w:t>
      </w:r>
      <w:r w:rsidRPr="0065586D">
        <w:rPr>
          <w:rFonts w:cs="Times New Roman"/>
          <w:i/>
        </w:rPr>
        <w:t>Special report on renewable energy sources and climate change</w:t>
      </w:r>
      <w:r w:rsidRPr="002F6AD9">
        <w:rPr>
          <w:rFonts w:cs="Times New Roman"/>
          <w:i/>
        </w:rPr>
        <w:t xml:space="preserve"> Mitigation (SRREN).</w:t>
      </w:r>
      <w:r w:rsidRPr="002F6AD9">
        <w:rPr>
          <w:rFonts w:cs="Times New Roman"/>
        </w:rPr>
        <w:t xml:space="preserve"> New York, NY: Cambridge University Press. Retrieved from http://www.ipcc.ch/report/srren/</w:t>
      </w:r>
    </w:p>
    <w:p w14:paraId="204B9461" w14:textId="77777777" w:rsidR="0065586D" w:rsidRPr="002F6AD9" w:rsidRDefault="0065586D" w:rsidP="002F6AD9">
      <w:pPr>
        <w:rPr>
          <w:rFonts w:cs="Times New Roman"/>
        </w:rPr>
      </w:pPr>
      <w:r w:rsidRPr="002F6AD9">
        <w:rPr>
          <w:rFonts w:cs="Times New Roman"/>
        </w:rPr>
        <w:t xml:space="preserve">IPCC. (2014). </w:t>
      </w:r>
      <w:r w:rsidRPr="002F6AD9">
        <w:rPr>
          <w:rFonts w:cs="Times New Roman"/>
          <w:i/>
        </w:rPr>
        <w:t>Climate Change 2014: Mitigation of Climate Change. Contribution of Working Group III to the Fifth Assessment Report of the Intergovernmental Panel on Climate Change</w:t>
      </w:r>
      <w:r w:rsidRPr="002F6AD9">
        <w:rPr>
          <w:rFonts w:cs="Times New Roman"/>
        </w:rPr>
        <w:t xml:space="preserve"> [Edenhofer, O., R. Pichs-Madruga, Y. Sokona, E. Farahani, S. Kadner, K. Seyboth, A. Adler, I. Baum, S. Brunner, P. Eickemeier, B. Kriemann, J. Savolainen, S. Schlömer, C. von Stechow, T. Zwickel and J.C. Minx (eds.)]. Cambridge University Press, Cambridge, United Kingdom and New York, NY, USA Retrieved from: https://www.ipcc.ch/pdf/assessment-report/ar5/wg3/ipcc_wg3_ar5_full.pdf</w:t>
      </w:r>
    </w:p>
    <w:p w14:paraId="0E880F54" w14:textId="77777777" w:rsidR="0065586D" w:rsidRPr="002F6AD9" w:rsidRDefault="0065586D" w:rsidP="002F6AD9">
      <w:pPr>
        <w:rPr>
          <w:rFonts w:eastAsia="Times New Roman" w:cs="Times New Roman"/>
        </w:rPr>
      </w:pPr>
      <w:r w:rsidRPr="002F6AD9">
        <w:rPr>
          <w:rFonts w:eastAsia="Times New Roman" w:cs="Times New Roman"/>
        </w:rPr>
        <w:t>IRENA (2012). Renewable Energy Technologies: Cost Analysis Series - Wind Power. International Renewable Energy Agency</w:t>
      </w:r>
      <w:r w:rsidRPr="002F6AD9">
        <w:rPr>
          <w:rStyle w:val="Hyperlink"/>
          <w:rFonts w:eastAsia="Times New Roman" w:cs="Times New Roman"/>
        </w:rPr>
        <w:t xml:space="preserve"> </w:t>
      </w:r>
      <w:hyperlink r:id="rId39" w:history="1">
        <w:r w:rsidRPr="00B14CD2">
          <w:rPr>
            <w:rStyle w:val="Hyperlink"/>
            <w:rFonts w:eastAsia="Times New Roman" w:cs="Times New Roman"/>
            <w:color w:val="auto"/>
            <w:u w:val="none"/>
          </w:rPr>
          <w:t>http://www.irena.org/DocumentDownloads/Publications/RE_Technologies_Cost_Analysis-WIND_POWER.pdf</w:t>
        </w:r>
      </w:hyperlink>
      <w:r w:rsidRPr="00B14CD2">
        <w:rPr>
          <w:rFonts w:eastAsia="Times New Roman" w:cs="Times New Roman"/>
        </w:rPr>
        <w:t>.</w:t>
      </w:r>
    </w:p>
    <w:p w14:paraId="14C0C4F0" w14:textId="77777777" w:rsidR="0065586D" w:rsidRPr="002F6AD9" w:rsidRDefault="0065586D" w:rsidP="002F6AD9">
      <w:pPr>
        <w:rPr>
          <w:rFonts w:cs="Times New Roman"/>
        </w:rPr>
      </w:pPr>
      <w:r w:rsidRPr="002F6AD9">
        <w:rPr>
          <w:rFonts w:cs="Times New Roman"/>
        </w:rPr>
        <w:t>IRENA. (2012). Renewable Energy Cost Analysis - Wind Power. Retrieved from International Renewable Energy Agency (IRENA) website: /publications/2012/Jun/Renewable-Energy-Cost-Analysis---Wind-Power</w:t>
      </w:r>
    </w:p>
    <w:p w14:paraId="424FE03D" w14:textId="77777777" w:rsidR="0065586D" w:rsidRPr="002F6AD9" w:rsidRDefault="0065586D" w:rsidP="002F6AD9">
      <w:pPr>
        <w:rPr>
          <w:rFonts w:cs="Times New Roman"/>
        </w:rPr>
      </w:pPr>
      <w:r w:rsidRPr="002F6AD9">
        <w:rPr>
          <w:rFonts w:cs="Times New Roman"/>
        </w:rPr>
        <w:t xml:space="preserve">IRENA. (2015). </w:t>
      </w:r>
      <w:r w:rsidRPr="002F6AD9">
        <w:rPr>
          <w:rFonts w:cs="Times New Roman"/>
          <w:i/>
        </w:rPr>
        <w:t>Renewable Power Generation Costs in 2014.</w:t>
      </w:r>
      <w:r w:rsidRPr="002F6AD9">
        <w:rPr>
          <w:rFonts w:cs="Times New Roman"/>
        </w:rPr>
        <w:t xml:space="preserve"> International Renewable Energy Agency. Retrieved from http://www.irena.org/Document</w:t>
      </w:r>
      <w:r w:rsidRPr="002F6AD9">
        <w:rPr>
          <w:rFonts w:cs="Times New Roman"/>
        </w:rPr>
        <w:br/>
        <w:t>Downloads/Publications/IRENA_RE_Power_Costs_2014_report.pdf</w:t>
      </w:r>
    </w:p>
    <w:p w14:paraId="0D5A4EB8" w14:textId="77777777" w:rsidR="0065586D" w:rsidRPr="002F6AD9" w:rsidRDefault="0065586D" w:rsidP="002F6AD9">
      <w:pPr>
        <w:rPr>
          <w:rFonts w:cs="Times New Roman"/>
        </w:rPr>
      </w:pPr>
      <w:r w:rsidRPr="002F6AD9">
        <w:rPr>
          <w:rFonts w:cs="Times New Roman"/>
        </w:rPr>
        <w:t xml:space="preserve">IRENA. (2016). </w:t>
      </w:r>
      <w:r w:rsidRPr="002F6AD9">
        <w:rPr>
          <w:rFonts w:cs="Times New Roman"/>
          <w:i/>
        </w:rPr>
        <w:t>Renewable Energy Statistics 2016.</w:t>
      </w:r>
      <w:r w:rsidRPr="002F6AD9">
        <w:rPr>
          <w:rFonts w:cs="Times New Roman"/>
        </w:rPr>
        <w:t xml:space="preserve"> International Renewable Energy Agency. Retrieved from http://www.irena.org/DocumentDownloads/Publications/IRENA_RE_Capacity_Statistics_2016.pdf</w:t>
      </w:r>
    </w:p>
    <w:p w14:paraId="5C8A920E" w14:textId="77777777" w:rsidR="0065586D" w:rsidRPr="002F6AD9" w:rsidRDefault="0065586D" w:rsidP="002F6AD9">
      <w:pPr>
        <w:rPr>
          <w:rFonts w:cs="Times New Roman"/>
        </w:rPr>
      </w:pPr>
      <w:r w:rsidRPr="002F6AD9">
        <w:rPr>
          <w:rFonts w:cs="Times New Roman"/>
        </w:rPr>
        <w:t xml:space="preserve">IRENA. (2016a). </w:t>
      </w:r>
      <w:r w:rsidRPr="008D107D">
        <w:rPr>
          <w:rFonts w:cs="Times New Roman"/>
          <w:i/>
        </w:rPr>
        <w:t>Innovation Outlook: Renewable mini-grids</w:t>
      </w:r>
      <w:r w:rsidRPr="002F6AD9">
        <w:rPr>
          <w:rFonts w:cs="Times New Roman"/>
        </w:rPr>
        <w:t>. Retrieved from International Renewable Energy Agency (IRENA) website: /publications/2016/Sep/Innovation-Outlook-Renewable-mini-grids</w:t>
      </w:r>
    </w:p>
    <w:p w14:paraId="4B11F92E" w14:textId="77777777" w:rsidR="0065586D" w:rsidRPr="0065586D" w:rsidRDefault="0065586D" w:rsidP="002F6AD9">
      <w:pPr>
        <w:rPr>
          <w:rFonts w:cs="Times New Roman"/>
        </w:rPr>
      </w:pPr>
      <w:r w:rsidRPr="002F6AD9">
        <w:rPr>
          <w:rFonts w:cs="Times New Roman"/>
        </w:rPr>
        <w:t xml:space="preserve">IRENA. (2016b). </w:t>
      </w:r>
      <w:r w:rsidRPr="0065586D">
        <w:rPr>
          <w:rFonts w:cs="Times New Roman"/>
          <w:i/>
        </w:rPr>
        <w:t>Wind Power:</w:t>
      </w:r>
      <w:r w:rsidRPr="0065586D">
        <w:rPr>
          <w:rFonts w:cs="Times New Roman"/>
        </w:rPr>
        <w:t xml:space="preserve"> Technology Brief. Retrieved from International Renewable Energy Agency (IRENA) website: /publications/2016/Mar/Wind-Power</w:t>
      </w:r>
    </w:p>
    <w:p w14:paraId="0B91283D" w14:textId="77777777" w:rsidR="0065586D" w:rsidRPr="0065586D" w:rsidRDefault="0065586D" w:rsidP="002F6AD9">
      <w:pPr>
        <w:rPr>
          <w:rFonts w:cs="Times New Roman"/>
        </w:rPr>
      </w:pPr>
      <w:r w:rsidRPr="0065586D">
        <w:rPr>
          <w:rFonts w:cs="Times New Roman"/>
        </w:rPr>
        <w:t xml:space="preserve">IRENA. (2018). </w:t>
      </w:r>
      <w:r w:rsidRPr="0065586D">
        <w:rPr>
          <w:rFonts w:cs="Times New Roman"/>
          <w:i/>
        </w:rPr>
        <w:t>Off-grid Renewable Energy Solutions.</w:t>
      </w:r>
      <w:r w:rsidRPr="0065586D">
        <w:rPr>
          <w:rFonts w:cs="Times New Roman"/>
        </w:rPr>
        <w:t xml:space="preserve"> Retrieved from International Renewable Energy Agency (IRENA) website: /publications/2018/Jul/Off-grid-Renewable-Energy-Solutions</w:t>
      </w:r>
    </w:p>
    <w:p w14:paraId="5AC16D6C" w14:textId="77777777" w:rsidR="0065586D" w:rsidRPr="0065586D" w:rsidRDefault="0065586D" w:rsidP="0065586D">
      <w:pPr>
        <w:rPr>
          <w:rFonts w:cs="Times New Roman"/>
        </w:rPr>
      </w:pPr>
      <w:r w:rsidRPr="0065586D">
        <w:rPr>
          <w:rFonts w:cs="Times New Roman"/>
        </w:rPr>
        <w:t>IRENA. (2019).</w:t>
      </w:r>
      <w:r w:rsidRPr="0065586D">
        <w:rPr>
          <w:rFonts w:cs="Times New Roman"/>
          <w:i/>
        </w:rPr>
        <w:t xml:space="preserve"> Global energy transformation: </w:t>
      </w:r>
      <w:r w:rsidRPr="0065586D">
        <w:rPr>
          <w:rFonts w:cs="Times New Roman"/>
        </w:rPr>
        <w:t>The REmap transition pathway (Background report to 2019 edition), International Renewable Energy Agency, Abu Dhabi.</w:t>
      </w:r>
    </w:p>
    <w:p w14:paraId="498FAA17" w14:textId="77777777" w:rsidR="0065586D" w:rsidRPr="002F6AD9" w:rsidRDefault="0065586D" w:rsidP="002F6AD9">
      <w:pPr>
        <w:rPr>
          <w:rFonts w:cs="Times New Roman"/>
          <w:bCs/>
        </w:rPr>
      </w:pPr>
      <w:r w:rsidRPr="002F6AD9">
        <w:rPr>
          <w:rFonts w:cs="Times New Roman"/>
          <w:bCs/>
        </w:rPr>
        <w:t>Jablońska, Marta R. (2014)</w:t>
      </w:r>
      <w:r>
        <w:rPr>
          <w:rFonts w:cs="Times New Roman"/>
          <w:bCs/>
        </w:rPr>
        <w:t xml:space="preserve">. </w:t>
      </w:r>
      <w:r w:rsidRPr="002F6AD9">
        <w:rPr>
          <w:rFonts w:cs="Times New Roman"/>
          <w:bCs/>
        </w:rPr>
        <w:t xml:space="preserve">Microgrids Technology Review For The Creation Of Urban Prosumers Societies. </w:t>
      </w:r>
      <w:r w:rsidRPr="002F6AD9">
        <w:rPr>
          <w:rFonts w:cs="Times New Roman"/>
          <w:bCs/>
          <w:i/>
          <w:iCs/>
        </w:rPr>
        <w:t>Studia I Materialy Polskiego Stowarzyszenia Zarzadzania Wiedza/Studies &amp; Proceedings Polish Association for Knowledge Management</w:t>
      </w:r>
      <w:r w:rsidRPr="002F6AD9">
        <w:rPr>
          <w:rFonts w:cs="Times New Roman"/>
          <w:bCs/>
        </w:rPr>
        <w:t>, no. 72. http://www.pszw.edu.pl/images/publikacje/t072_pszw_2014_jablonska---microgrids-technology-review-for-the-creation-of-urban-prosumers-societies.pdf.</w:t>
      </w:r>
    </w:p>
    <w:p w14:paraId="277D16BD" w14:textId="77777777" w:rsidR="0065586D" w:rsidRPr="002F6AD9" w:rsidRDefault="0065586D" w:rsidP="002F6AD9">
      <w:pPr>
        <w:rPr>
          <w:rFonts w:cs="Times New Roman"/>
        </w:rPr>
      </w:pPr>
      <w:r w:rsidRPr="002F6AD9">
        <w:rPr>
          <w:rFonts w:cs="Times New Roman"/>
        </w:rPr>
        <w:t>James, P. A. B., &amp; Bahaj, A. S. (2017). Small-Scale Wind Turbines. In T. M. Letcher (Ed.)</w:t>
      </w:r>
      <w:r>
        <w:rPr>
          <w:rFonts w:cs="Times New Roman"/>
        </w:rPr>
        <w:t>.</w:t>
      </w:r>
      <w:r w:rsidRPr="002F6AD9">
        <w:rPr>
          <w:rFonts w:cs="Times New Roman"/>
        </w:rPr>
        <w:t xml:space="preserve"> </w:t>
      </w:r>
      <w:r w:rsidRPr="008D107D">
        <w:rPr>
          <w:rFonts w:cs="Times New Roman"/>
          <w:i/>
        </w:rPr>
        <w:t xml:space="preserve">Wind Energy Engineering (Chapter 19, pp. 389–418). </w:t>
      </w:r>
      <w:r w:rsidRPr="002F6AD9">
        <w:rPr>
          <w:rFonts w:cs="Times New Roman"/>
        </w:rPr>
        <w:t>https://doi.org/10.1016/B978-0-12-809451-8.00019-9</w:t>
      </w:r>
    </w:p>
    <w:p w14:paraId="04DE1719" w14:textId="77777777" w:rsidR="0065586D" w:rsidRPr="002F6AD9" w:rsidRDefault="0065586D" w:rsidP="002F6AD9">
      <w:pPr>
        <w:rPr>
          <w:rFonts w:cs="Times New Roman"/>
        </w:rPr>
      </w:pPr>
      <w:r w:rsidRPr="002F6AD9">
        <w:rPr>
          <w:rFonts w:cs="Times New Roman"/>
        </w:rPr>
        <w:t xml:space="preserve">Jawahar, C. P., &amp; Michael, P. A. (2017). A review on turbines for micro hydro power plant. </w:t>
      </w:r>
      <w:r w:rsidRPr="008D107D">
        <w:rPr>
          <w:rFonts w:cs="Times New Roman"/>
          <w:i/>
        </w:rPr>
        <w:t>Renewable and Sustainable Energy Reviews, 72, 882–887</w:t>
      </w:r>
      <w:r w:rsidRPr="002F6AD9">
        <w:rPr>
          <w:rFonts w:cs="Times New Roman"/>
        </w:rPr>
        <w:t>. https://doi.org/10.1016/j.rser.2017.01.133</w:t>
      </w:r>
    </w:p>
    <w:p w14:paraId="5728C3AB" w14:textId="77777777" w:rsidR="0065586D" w:rsidRPr="002F6AD9" w:rsidRDefault="0065586D" w:rsidP="002F6AD9">
      <w:pPr>
        <w:rPr>
          <w:rFonts w:cs="Times New Roman"/>
        </w:rPr>
      </w:pPr>
      <w:r w:rsidRPr="002F6AD9">
        <w:rPr>
          <w:rFonts w:cs="Times New Roman"/>
        </w:rPr>
        <w:t xml:space="preserve">KC, A., Whale, J., &amp; Urmee, T. (2019). Urban wind conditions and small wind turbines in the built environment: A review. </w:t>
      </w:r>
      <w:r w:rsidRPr="008D107D">
        <w:rPr>
          <w:rFonts w:cs="Times New Roman"/>
          <w:i/>
        </w:rPr>
        <w:t>Renewable Energy, 131, 268–283</w:t>
      </w:r>
      <w:r w:rsidRPr="002F6AD9">
        <w:rPr>
          <w:rFonts w:cs="Times New Roman"/>
        </w:rPr>
        <w:t>. https://doi.org/10.1016/j.renene.2018.07.050</w:t>
      </w:r>
    </w:p>
    <w:p w14:paraId="51E749B1" w14:textId="77777777" w:rsidR="0065586D" w:rsidRDefault="0065586D" w:rsidP="002F6AD9">
      <w:pPr>
        <w:rPr>
          <w:rFonts w:cs="Times New Roman"/>
        </w:rPr>
      </w:pPr>
      <w:r w:rsidRPr="00846827">
        <w:rPr>
          <w:rFonts w:cs="Times New Roman"/>
        </w:rPr>
        <w:t>Kidmo, D. K., Djongyang, N., Doka, S. Y., &amp; Raidandi, D. (2013). Assessment of wind energy potential for small scale water pumping systems in the north region of Cameroon.</w:t>
      </w:r>
      <w:r w:rsidRPr="008D107D">
        <w:rPr>
          <w:rFonts w:cs="Times New Roman"/>
          <w:i/>
        </w:rPr>
        <w:t xml:space="preserve"> International Journal of Basic and Applied Sciences, 3(1).</w:t>
      </w:r>
      <w:r w:rsidRPr="00846827">
        <w:rPr>
          <w:rFonts w:cs="Times New Roman"/>
        </w:rPr>
        <w:t xml:space="preserve"> https://doi.org/10.14419/ijbas.v3i1.1769</w:t>
      </w:r>
    </w:p>
    <w:p w14:paraId="3102EB96" w14:textId="77777777" w:rsidR="0065586D" w:rsidRPr="002F6AD9" w:rsidRDefault="0065586D" w:rsidP="002F6AD9">
      <w:pPr>
        <w:rPr>
          <w:rFonts w:cs="Times New Roman"/>
        </w:rPr>
      </w:pPr>
      <w:r w:rsidRPr="002F6AD9">
        <w:rPr>
          <w:rFonts w:cs="Times New Roman"/>
        </w:rPr>
        <w:t xml:space="preserve">Kishore, R. A., Coudron, T., &amp; Priya, S. (2013). Small-scale wind energy portable turbine (SWEPT). </w:t>
      </w:r>
      <w:r w:rsidRPr="008D107D">
        <w:rPr>
          <w:rFonts w:cs="Times New Roman"/>
          <w:i/>
        </w:rPr>
        <w:t>Journal of Wind Engineering and Industrial Aerodynamics, 116, 21–31</w:t>
      </w:r>
      <w:r w:rsidRPr="002F6AD9">
        <w:rPr>
          <w:rFonts w:cs="Times New Roman"/>
        </w:rPr>
        <w:t>. https://doi.org/10.1016/j.jweia.2013.01.010</w:t>
      </w:r>
    </w:p>
    <w:p w14:paraId="58149CA0" w14:textId="77777777" w:rsidR="0065586D" w:rsidRPr="002F6AD9" w:rsidRDefault="0065586D" w:rsidP="002F6AD9">
      <w:pPr>
        <w:rPr>
          <w:rFonts w:cs="Times New Roman"/>
        </w:rPr>
      </w:pPr>
      <w:r w:rsidRPr="002F6AD9">
        <w:rPr>
          <w:rFonts w:cs="Times New Roman"/>
        </w:rPr>
        <w:t xml:space="preserve">Kriegler, E., Riahi, K., Bauer, N., Schwanitz, V. J., Petermann, N., Bosetti, V., … Edenhofer, O. (2015). Making or breaking climate targets: The AMPERE study on staged accession scenarios for climate policy. </w:t>
      </w:r>
      <w:r w:rsidRPr="002F6AD9">
        <w:rPr>
          <w:rFonts w:cs="Times New Roman"/>
          <w:i/>
        </w:rPr>
        <w:t>Technological Forecasting and Social Change, 90, 24–44</w:t>
      </w:r>
      <w:r w:rsidRPr="002F6AD9">
        <w:rPr>
          <w:rFonts w:cs="Times New Roman"/>
        </w:rPr>
        <w:t>. http://doi.org/10.1016/j.techfore.2013.09.021</w:t>
      </w:r>
    </w:p>
    <w:p w14:paraId="29C99CBD" w14:textId="77777777" w:rsidR="0065586D" w:rsidRPr="002F6AD9" w:rsidRDefault="0065586D" w:rsidP="002F6AD9">
      <w:pPr>
        <w:rPr>
          <w:rFonts w:eastAsia="Times New Roman" w:cs="Times New Roman"/>
        </w:rPr>
      </w:pPr>
      <w:r w:rsidRPr="002F6AD9">
        <w:rPr>
          <w:rFonts w:eastAsia="Times New Roman" w:cs="Times New Roman"/>
        </w:rPr>
        <w:t xml:space="preserve">Lazard (2014). </w:t>
      </w:r>
      <w:r w:rsidRPr="008D107D">
        <w:rPr>
          <w:rFonts w:eastAsia="Times New Roman" w:cs="Times New Roman"/>
          <w:i/>
        </w:rPr>
        <w:t>Lazard’s Levelized Cost of Energy Analysis - Version 8.0</w:t>
      </w:r>
      <w:r w:rsidRPr="002F6AD9">
        <w:rPr>
          <w:rFonts w:eastAsia="Times New Roman" w:cs="Times New Roman"/>
        </w:rPr>
        <w:t xml:space="preserve"> </w:t>
      </w:r>
      <w:r w:rsidRPr="002F6AD9">
        <w:rPr>
          <w:rFonts w:cs="Times New Roman"/>
        </w:rPr>
        <w:t>Retrieved from</w:t>
      </w:r>
      <w:r>
        <w:rPr>
          <w:rFonts w:cs="Times New Roman"/>
        </w:rPr>
        <w:t>:</w:t>
      </w:r>
      <w:r w:rsidRPr="002F6AD9">
        <w:rPr>
          <w:rFonts w:cs="Times New Roman"/>
        </w:rPr>
        <w:t xml:space="preserve"> </w:t>
      </w:r>
      <w:r w:rsidRPr="002F6AD9">
        <w:rPr>
          <w:rFonts w:eastAsia="Times New Roman" w:cs="Times New Roman"/>
        </w:rPr>
        <w:t>http://www.lazard.com/PDF/Levelized%20Cost%20of%20Energy%20-%20Version%208.0.pdf.</w:t>
      </w:r>
    </w:p>
    <w:p w14:paraId="368EC6BE" w14:textId="77777777" w:rsidR="0065586D" w:rsidRPr="002F6AD9" w:rsidRDefault="0065586D" w:rsidP="002F6AD9">
      <w:pPr>
        <w:rPr>
          <w:rFonts w:cs="Times New Roman"/>
        </w:rPr>
      </w:pPr>
      <w:r w:rsidRPr="002F6AD9">
        <w:rPr>
          <w:rFonts w:cs="Times New Roman"/>
        </w:rPr>
        <w:t xml:space="preserve">Lazard. (2015). </w:t>
      </w:r>
      <w:r w:rsidRPr="008D107D">
        <w:rPr>
          <w:rFonts w:cs="Times New Roman"/>
          <w:i/>
        </w:rPr>
        <w:t>Lazard’s Levelized Cost of Energy Analysis – Version 9.0</w:t>
      </w:r>
      <w:r w:rsidRPr="002F6AD9">
        <w:rPr>
          <w:rFonts w:cs="Times New Roman"/>
        </w:rPr>
        <w:t>. Retrieved from</w:t>
      </w:r>
      <w:r>
        <w:rPr>
          <w:rFonts w:cs="Times New Roman"/>
        </w:rPr>
        <w:t>:</w:t>
      </w:r>
      <w:r w:rsidRPr="002F6AD9">
        <w:rPr>
          <w:rFonts w:cs="Times New Roman"/>
        </w:rPr>
        <w:t xml:space="preserve"> </w:t>
      </w:r>
      <w:hyperlink r:id="rId40" w:history="1">
        <w:r w:rsidRPr="002F6AD9">
          <w:rPr>
            <w:rFonts w:cs="Times New Roman"/>
          </w:rPr>
          <w:t>https://www.lazard.com/media/2390/lazards-levelized-cost-of-energy-analysis-90.pdf</w:t>
        </w:r>
      </w:hyperlink>
    </w:p>
    <w:p w14:paraId="1E6B36D3" w14:textId="77777777" w:rsidR="0065586D" w:rsidRPr="002F6AD9" w:rsidRDefault="0065586D" w:rsidP="002F6AD9">
      <w:pPr>
        <w:rPr>
          <w:rFonts w:cs="Times New Roman"/>
        </w:rPr>
      </w:pPr>
      <w:r w:rsidRPr="002F6AD9">
        <w:rPr>
          <w:rFonts w:cs="Times New Roman"/>
        </w:rPr>
        <w:t xml:space="preserve">Lazard. (2016). </w:t>
      </w:r>
      <w:r w:rsidRPr="008D107D">
        <w:rPr>
          <w:rFonts w:cs="Times New Roman"/>
          <w:i/>
        </w:rPr>
        <w:t>Lazard’s Levelized Cost of Energy Analysis – Version 10.0.</w:t>
      </w:r>
      <w:r w:rsidRPr="002F6AD9">
        <w:rPr>
          <w:rFonts w:cs="Times New Roman"/>
        </w:rPr>
        <w:t xml:space="preserve"> Retrieved from https://www.lazard.com/perspective/levelized-cost-of-energy-analysis-100/</w:t>
      </w:r>
    </w:p>
    <w:p w14:paraId="1223014A" w14:textId="77777777" w:rsidR="0065586D" w:rsidRPr="002F6AD9" w:rsidRDefault="0065586D" w:rsidP="002F6AD9">
      <w:pPr>
        <w:rPr>
          <w:rFonts w:cs="Times New Roman"/>
        </w:rPr>
      </w:pPr>
      <w:r w:rsidRPr="002F6AD9">
        <w:rPr>
          <w:rFonts w:cs="Times New Roman"/>
        </w:rPr>
        <w:t xml:space="preserve">Ledo, L., Kosasih, P. B., &amp; Cooper, P. (2011). Roof mounting site analysis for micro-wind turbines. </w:t>
      </w:r>
      <w:r w:rsidRPr="008D107D">
        <w:rPr>
          <w:rFonts w:cs="Times New Roman"/>
          <w:i/>
        </w:rPr>
        <w:t>Renewable Energy, 36(5), 1379–1391</w:t>
      </w:r>
      <w:r w:rsidRPr="002F6AD9">
        <w:rPr>
          <w:rFonts w:cs="Times New Roman"/>
        </w:rPr>
        <w:t>. https://doi.org/10.1016/j.renene.2010.10.030</w:t>
      </w:r>
    </w:p>
    <w:p w14:paraId="63F5360B" w14:textId="77777777" w:rsidR="0065586D" w:rsidRPr="008D107D" w:rsidRDefault="0065586D" w:rsidP="002F6AD9">
      <w:pPr>
        <w:rPr>
          <w:rFonts w:cs="Times New Roman"/>
          <w:color w:val="222222"/>
          <w:shd w:val="clear" w:color="auto" w:fill="FFFFFF"/>
        </w:rPr>
      </w:pPr>
      <w:r w:rsidRPr="002F6AD9">
        <w:rPr>
          <w:rFonts w:cs="Times New Roman"/>
          <w:color w:val="222222"/>
          <w:shd w:val="clear" w:color="auto" w:fill="FFFFFF"/>
        </w:rPr>
        <w:t>Ledo, L., P. B. Kosasih, and P. Cooper (2011). Roof mounting site analysis for micro-wind turbines.</w:t>
      </w:r>
      <w:r w:rsidRPr="002F6AD9">
        <w:rPr>
          <w:rStyle w:val="apple-converted-space"/>
          <w:rFonts w:cs="Times New Roman"/>
          <w:color w:val="222222"/>
          <w:shd w:val="clear" w:color="auto" w:fill="FFFFFF"/>
        </w:rPr>
        <w:t> </w:t>
      </w:r>
      <w:r w:rsidRPr="002F6AD9">
        <w:rPr>
          <w:rFonts w:cs="Times New Roman"/>
          <w:i/>
          <w:iCs/>
          <w:color w:val="222222"/>
          <w:shd w:val="clear" w:color="auto" w:fill="FFFFFF"/>
        </w:rPr>
        <w:t>Renewable Energy</w:t>
      </w:r>
      <w:r w:rsidRPr="002F6AD9">
        <w:rPr>
          <w:rStyle w:val="apple-converted-space"/>
          <w:rFonts w:cs="Times New Roman"/>
          <w:color w:val="222222"/>
          <w:shd w:val="clear" w:color="auto" w:fill="FFFFFF"/>
        </w:rPr>
        <w:t> </w:t>
      </w:r>
      <w:r w:rsidRPr="002F6AD9">
        <w:rPr>
          <w:rFonts w:cs="Times New Roman"/>
          <w:color w:val="222222"/>
          <w:shd w:val="clear" w:color="auto" w:fill="FFFFFF"/>
        </w:rPr>
        <w:t>36.5: 1379-1391.</w:t>
      </w:r>
    </w:p>
    <w:p w14:paraId="51272CBF" w14:textId="77777777" w:rsidR="0065586D" w:rsidRPr="002F6AD9" w:rsidRDefault="0065586D" w:rsidP="002F6AD9">
      <w:pPr>
        <w:rPr>
          <w:rFonts w:cs="Times New Roman"/>
          <w:bCs/>
        </w:rPr>
      </w:pPr>
      <w:r w:rsidRPr="007F067C">
        <w:rPr>
          <w:rFonts w:cs="Times New Roman"/>
          <w:bCs/>
        </w:rPr>
        <w:t xml:space="preserve">Li, X. (2015). </w:t>
      </w:r>
      <w:r w:rsidRPr="008D107D">
        <w:rPr>
          <w:rFonts w:cs="Times New Roman"/>
          <w:bCs/>
          <w:i/>
        </w:rPr>
        <w:t>Decarbonizing China’s power system with wind power: the past and the future</w:t>
      </w:r>
      <w:r w:rsidRPr="007F067C">
        <w:rPr>
          <w:rFonts w:cs="Times New Roman"/>
          <w:bCs/>
        </w:rPr>
        <w:t>. Retrieved from https://www.oxfordenergy.org/wpcms/wp-content/uploads/2015/01/EL-11.pdf</w:t>
      </w:r>
    </w:p>
    <w:p w14:paraId="66EC72AD" w14:textId="77777777" w:rsidR="0065586D" w:rsidRDefault="0065586D" w:rsidP="002F6AD9">
      <w:pPr>
        <w:rPr>
          <w:rFonts w:eastAsia="Times New Roman" w:cs="Times New Roman"/>
        </w:rPr>
      </w:pPr>
      <w:r w:rsidRPr="00296FC2">
        <w:rPr>
          <w:rFonts w:eastAsia="Times New Roman" w:cs="Times New Roman"/>
        </w:rPr>
        <w:t>Lindenberg, S., Smith, B., O’Dell, K., DeMeo, E., &amp; Ram, B. (2008). 20% Wind Energy by 2030: Increasing Wind Energy’s Contribution to U.S. Electricity Supply. Retrieved from US Department of Energy website: www.nrel.gov/docs/fy08osti/41869.pdf</w:t>
      </w:r>
    </w:p>
    <w:p w14:paraId="17F84824" w14:textId="77777777" w:rsidR="0065586D" w:rsidRPr="002F6AD9" w:rsidRDefault="0065586D" w:rsidP="002F6AD9">
      <w:pPr>
        <w:rPr>
          <w:rFonts w:cs="Times New Roman"/>
        </w:rPr>
      </w:pPr>
      <w:r w:rsidRPr="002F6AD9">
        <w:rPr>
          <w:rFonts w:cs="Times New Roman"/>
        </w:rPr>
        <w:t xml:space="preserve">Lo, C. (2014). </w:t>
      </w:r>
      <w:r w:rsidRPr="002F6AD9">
        <w:rPr>
          <w:rFonts w:cs="Times New Roman"/>
          <w:i/>
        </w:rPr>
        <w:t>Power plant O&amp;M: how does the industry stack up on cost?</w:t>
      </w:r>
      <w:r w:rsidRPr="002F6AD9">
        <w:rPr>
          <w:rFonts w:cs="Times New Roman"/>
        </w:rPr>
        <w:t xml:space="preserve"> Retrieved from: http://www.power-technology.com/features/featurepower-plant-om-how-does-the-industry-</w:t>
      </w:r>
    </w:p>
    <w:p w14:paraId="2AF45922" w14:textId="77777777" w:rsidR="0065586D" w:rsidRPr="002F6AD9" w:rsidRDefault="0065586D" w:rsidP="002F6AD9">
      <w:pPr>
        <w:rPr>
          <w:rFonts w:cs="Times New Roman"/>
        </w:rPr>
      </w:pPr>
      <w:r w:rsidRPr="002F6AD9">
        <w:rPr>
          <w:rFonts w:cs="Times New Roman"/>
        </w:rPr>
        <w:t xml:space="preserve">Loganathan, B., Chowdhury, H., Mustary, I., Rana, M. M., &amp; Alam, F. (2019). Design of a micro wind turbine and its economic feasibility study for residential power generation in built-up areas. </w:t>
      </w:r>
      <w:r w:rsidRPr="008D107D">
        <w:rPr>
          <w:rFonts w:cs="Times New Roman"/>
          <w:i/>
        </w:rPr>
        <w:t>Energy Procedia, 160, 812–819.</w:t>
      </w:r>
      <w:r w:rsidRPr="002F6AD9">
        <w:rPr>
          <w:rFonts w:cs="Times New Roman"/>
        </w:rPr>
        <w:t xml:space="preserve"> https://doi.org/10.1016/j.egypro.2019.02.153</w:t>
      </w:r>
    </w:p>
    <w:p w14:paraId="7B0C2ED6" w14:textId="77777777" w:rsidR="0065586D" w:rsidRPr="002F6AD9" w:rsidRDefault="0065586D" w:rsidP="002F6AD9">
      <w:pPr>
        <w:rPr>
          <w:rFonts w:cs="Times New Roman"/>
        </w:rPr>
      </w:pPr>
      <w:r w:rsidRPr="00602408">
        <w:rPr>
          <w:rFonts w:cs="Times New Roman"/>
        </w:rPr>
        <w:t xml:space="preserve">Lombardi, L., Mendecka, B., Carnevale, E., &amp; Stanek, W. (2018). </w:t>
      </w:r>
      <w:r w:rsidRPr="002F6AD9">
        <w:rPr>
          <w:rFonts w:cs="Times New Roman"/>
        </w:rPr>
        <w:t xml:space="preserve">Environmental impacts of electricity production of micro wind turbines with vertical axis. </w:t>
      </w:r>
      <w:r w:rsidRPr="008D107D">
        <w:rPr>
          <w:rFonts w:cs="Times New Roman"/>
          <w:i/>
        </w:rPr>
        <w:t>Renewable Energy, 128, 553–564.</w:t>
      </w:r>
      <w:r w:rsidRPr="002F6AD9">
        <w:rPr>
          <w:rFonts w:cs="Times New Roman"/>
        </w:rPr>
        <w:t xml:space="preserve"> https://doi.org/10.1016/j.renene.2017.07.010</w:t>
      </w:r>
    </w:p>
    <w:p w14:paraId="1D6DBE82" w14:textId="77777777" w:rsidR="0065586D" w:rsidRPr="002F6AD9" w:rsidRDefault="0065586D" w:rsidP="002F6AD9">
      <w:pPr>
        <w:rPr>
          <w:rFonts w:cs="Times New Roman"/>
          <w:bCs/>
          <w:color w:val="000000" w:themeColor="text1"/>
        </w:rPr>
      </w:pPr>
      <w:r w:rsidRPr="002F6AD9">
        <w:rPr>
          <w:rFonts w:cs="Times New Roman"/>
          <w:bCs/>
          <w:color w:val="000000" w:themeColor="text1"/>
        </w:rPr>
        <w:t>Low Carbon Trust (2008). Small scale wind energy – Policy insights and practical guidance. Available at: https://www.wind-power-program.com/Library/Policy%20and%20planning%20documents/Carbon-Trust-Small-Scale-Wind-Report.pdf</w:t>
      </w:r>
    </w:p>
    <w:p w14:paraId="163230F5" w14:textId="77777777" w:rsidR="0065586D" w:rsidRPr="002F6AD9" w:rsidRDefault="0065586D" w:rsidP="002F6AD9">
      <w:pPr>
        <w:rPr>
          <w:rFonts w:cs="Times New Roman"/>
        </w:rPr>
      </w:pPr>
      <w:r w:rsidRPr="002F6AD9">
        <w:rPr>
          <w:rFonts w:cs="Times New Roman"/>
        </w:rPr>
        <w:t xml:space="preserve">Lu, L., &amp; Sun, K. (2014). Wind power evaluation and utilization over a reference high-rise building in urban area. </w:t>
      </w:r>
      <w:r w:rsidRPr="008D107D">
        <w:rPr>
          <w:rFonts w:cs="Times New Roman"/>
          <w:i/>
        </w:rPr>
        <w:t>Energy and Buildings, 68, 339–350.</w:t>
      </w:r>
      <w:r w:rsidRPr="002F6AD9">
        <w:rPr>
          <w:rFonts w:cs="Times New Roman"/>
        </w:rPr>
        <w:t xml:space="preserve"> https://doi.org/10.1016/j.enbuild.2013.09.029</w:t>
      </w:r>
    </w:p>
    <w:p w14:paraId="1E8CF588" w14:textId="77777777" w:rsidR="0065586D" w:rsidRPr="002F6AD9" w:rsidRDefault="0065586D" w:rsidP="002F6AD9">
      <w:pPr>
        <w:rPr>
          <w:rFonts w:cs="Times New Roman"/>
          <w:bCs/>
          <w:color w:val="000000" w:themeColor="text1"/>
        </w:rPr>
      </w:pPr>
      <w:r w:rsidRPr="002F6AD9">
        <w:rPr>
          <w:rFonts w:cs="Times New Roman"/>
          <w:bCs/>
          <w:color w:val="000000" w:themeColor="text1"/>
        </w:rPr>
        <w:t>M. Lenzen, Munksgaard, J. (2002). Energy and CO</w:t>
      </w:r>
      <w:r w:rsidRPr="002F6AD9">
        <w:rPr>
          <w:rFonts w:cs="Times New Roman"/>
          <w:bCs/>
          <w:color w:val="000000" w:themeColor="text1"/>
          <w:vertAlign w:val="subscript"/>
        </w:rPr>
        <w:t>2</w:t>
      </w:r>
      <w:r w:rsidRPr="002F6AD9">
        <w:rPr>
          <w:rFonts w:cs="Times New Roman"/>
          <w:bCs/>
          <w:color w:val="000000" w:themeColor="text1"/>
        </w:rPr>
        <w:t xml:space="preserve"> life-cycle analyses of wind turbines—review and applications. </w:t>
      </w:r>
      <w:r w:rsidRPr="002F6AD9">
        <w:rPr>
          <w:rFonts w:cs="Times New Roman"/>
          <w:bCs/>
          <w:i/>
          <w:color w:val="000000" w:themeColor="text1"/>
        </w:rPr>
        <w:t>Renewable Energy 26 (2002) 339–362</w:t>
      </w:r>
    </w:p>
    <w:p w14:paraId="20B423AC" w14:textId="77777777" w:rsidR="0065586D" w:rsidRPr="002F6AD9" w:rsidRDefault="0065586D" w:rsidP="002F6AD9">
      <w:pPr>
        <w:rPr>
          <w:rFonts w:cs="Times New Roman"/>
          <w:color w:val="222222"/>
          <w:shd w:val="clear" w:color="auto" w:fill="FFFFFF"/>
        </w:rPr>
      </w:pPr>
      <w:r w:rsidRPr="002F6AD9">
        <w:rPr>
          <w:rFonts w:cs="Times New Roman"/>
          <w:color w:val="222222"/>
          <w:shd w:val="clear" w:color="auto" w:fill="FFFFFF"/>
        </w:rPr>
        <w:t xml:space="preserve">Makkawi, A., A. N. Celik, and T. Muneer (2009). Evaluation of micro-wind turbine aerodynamics, wind speed sampling interval and its spatial variation. </w:t>
      </w:r>
      <w:r w:rsidRPr="002F6AD9">
        <w:rPr>
          <w:rFonts w:cs="Times New Roman"/>
          <w:i/>
          <w:iCs/>
          <w:color w:val="222222"/>
          <w:shd w:val="clear" w:color="auto" w:fill="FFFFFF"/>
        </w:rPr>
        <w:t>Building Services Engineering Research and Technology</w:t>
      </w:r>
      <w:r w:rsidRPr="002F6AD9">
        <w:rPr>
          <w:rStyle w:val="apple-converted-space"/>
          <w:rFonts w:cs="Times New Roman"/>
          <w:color w:val="222222"/>
          <w:shd w:val="clear" w:color="auto" w:fill="FFFFFF"/>
        </w:rPr>
        <w:t> </w:t>
      </w:r>
      <w:r w:rsidRPr="002F6AD9">
        <w:rPr>
          <w:rFonts w:cs="Times New Roman"/>
          <w:color w:val="222222"/>
          <w:shd w:val="clear" w:color="auto" w:fill="FFFFFF"/>
        </w:rPr>
        <w:t>30.1 (2009): 7-14.</w:t>
      </w:r>
    </w:p>
    <w:p w14:paraId="39C938FA" w14:textId="77777777" w:rsidR="0065586D" w:rsidRPr="002F6AD9" w:rsidRDefault="0065586D" w:rsidP="002F6AD9">
      <w:pPr>
        <w:rPr>
          <w:rFonts w:cs="Times New Roman"/>
        </w:rPr>
      </w:pPr>
      <w:r w:rsidRPr="002F6AD9">
        <w:rPr>
          <w:rFonts w:cs="Times New Roman"/>
        </w:rPr>
        <w:t xml:space="preserve">MI. (2018). </w:t>
      </w:r>
      <w:r w:rsidRPr="008D107D">
        <w:rPr>
          <w:rFonts w:cs="Times New Roman"/>
          <w:i/>
        </w:rPr>
        <w:t>Small Wind Turbine Market | Size, Trends, and Forecast (2018 - 2023</w:t>
      </w:r>
      <w:r w:rsidRPr="002F6AD9">
        <w:rPr>
          <w:rFonts w:cs="Times New Roman"/>
        </w:rPr>
        <w:t>). Retrieved March 9, 2019, from https://www.mordorintelligence.com/industry-reports/small-wind-turbine-market</w:t>
      </w:r>
    </w:p>
    <w:p w14:paraId="779BB133" w14:textId="77777777" w:rsidR="0065586D" w:rsidRDefault="0065586D" w:rsidP="002F6AD9">
      <w:pPr>
        <w:rPr>
          <w:rFonts w:cs="Times New Roman"/>
        </w:rPr>
      </w:pPr>
      <w:r w:rsidRPr="007F067C">
        <w:rPr>
          <w:rFonts w:cs="Times New Roman"/>
        </w:rPr>
        <w:t xml:space="preserve">Nandi, S. K., &amp; Ghosh, H. R. (2010). Prospect of wind–PV-battery hybrid power system as an alternative to grid extension in Bangladesh. </w:t>
      </w:r>
      <w:r w:rsidRPr="008D107D">
        <w:rPr>
          <w:rFonts w:cs="Times New Roman"/>
          <w:i/>
        </w:rPr>
        <w:t>Energy, 35(7), 3040–3047</w:t>
      </w:r>
      <w:r w:rsidRPr="007F067C">
        <w:rPr>
          <w:rFonts w:cs="Times New Roman"/>
        </w:rPr>
        <w:t>. https://doi.org/10.1016/j.energy.2010.03.044</w:t>
      </w:r>
    </w:p>
    <w:p w14:paraId="2AE9DE53" w14:textId="77777777" w:rsidR="0065586D" w:rsidRPr="002F6AD9" w:rsidRDefault="0065586D" w:rsidP="002F6AD9">
      <w:pPr>
        <w:rPr>
          <w:rFonts w:cs="Times New Roman"/>
        </w:rPr>
      </w:pPr>
      <w:r w:rsidRPr="002F6AD9">
        <w:rPr>
          <w:rFonts w:cs="Times New Roman"/>
        </w:rPr>
        <w:t xml:space="preserve">NREL (2002). Roadmap – a 20 year industry plan for small wind turbine technology. The US Small wind turbine industry. American Wind Energy Association (AWEA)Small Wind Turbine Committee. Available at: </w:t>
      </w:r>
      <w:hyperlink r:id="rId41" w:history="1">
        <w:r w:rsidRPr="002F6AD9">
          <w:rPr>
            <w:rStyle w:val="Hyperlink"/>
            <w:rFonts w:cs="Times New Roman"/>
          </w:rPr>
          <w:t>http://www.nrel.gov/docs/gen/fy02/31958.pdf</w:t>
        </w:r>
      </w:hyperlink>
    </w:p>
    <w:p w14:paraId="6902E619" w14:textId="77777777" w:rsidR="0065586D" w:rsidRPr="002F6AD9" w:rsidRDefault="0065586D" w:rsidP="002F6AD9">
      <w:pPr>
        <w:rPr>
          <w:rFonts w:cs="Times New Roman"/>
        </w:rPr>
      </w:pPr>
      <w:r w:rsidRPr="002F6AD9">
        <w:rPr>
          <w:rFonts w:cs="Times New Roman"/>
        </w:rPr>
        <w:t xml:space="preserve">NREL (2007). Small Wind Electric Systems: A US Consumer Guide’. U,S Department of Energy – Energy efficiency and Renewable Energy. Available at:  </w:t>
      </w:r>
      <w:hyperlink r:id="rId42" w:history="1">
        <w:r w:rsidRPr="002F6AD9">
          <w:rPr>
            <w:rStyle w:val="Hyperlink"/>
            <w:rFonts w:cs="Times New Roman"/>
          </w:rPr>
          <w:t>http://www.nrel.gov/docs/fy07osti/42005.pdf</w:t>
        </w:r>
      </w:hyperlink>
    </w:p>
    <w:p w14:paraId="2F424605" w14:textId="77777777" w:rsidR="0065586D" w:rsidRPr="002F6AD9" w:rsidRDefault="0065586D" w:rsidP="002F6AD9">
      <w:pPr>
        <w:rPr>
          <w:rFonts w:cs="Times New Roman"/>
        </w:rPr>
      </w:pPr>
      <w:r w:rsidRPr="002F6AD9">
        <w:rPr>
          <w:rFonts w:cs="Times New Roman"/>
        </w:rPr>
        <w:t xml:space="preserve">NREL. (2016). </w:t>
      </w:r>
      <w:r w:rsidRPr="008D107D">
        <w:rPr>
          <w:rFonts w:cs="Times New Roman"/>
          <w:i/>
        </w:rPr>
        <w:t>Distributed Generation Renewable Energy Estimate of Costs</w:t>
      </w:r>
      <w:r>
        <w:rPr>
          <w:rFonts w:cs="Times New Roman"/>
        </w:rPr>
        <w:t>.</w:t>
      </w:r>
      <w:r w:rsidRPr="002F6AD9">
        <w:rPr>
          <w:rFonts w:cs="Times New Roman"/>
        </w:rPr>
        <w:t xml:space="preserve"> Energy Analysis</w:t>
      </w:r>
      <w:r>
        <w:rPr>
          <w:rFonts w:cs="Times New Roman"/>
        </w:rPr>
        <w:t>.</w:t>
      </w:r>
      <w:r w:rsidRPr="002F6AD9">
        <w:rPr>
          <w:rFonts w:cs="Times New Roman"/>
        </w:rPr>
        <w:t xml:space="preserve"> NREL. Retrieved March 14, 2019, from https://www.nrel.gov/analysis/tech-lcoe-re-cost-est.html</w:t>
      </w:r>
    </w:p>
    <w:p w14:paraId="1C84E7BD" w14:textId="77777777" w:rsidR="0065586D" w:rsidRPr="002F6AD9" w:rsidRDefault="0065586D" w:rsidP="002F6AD9">
      <w:pPr>
        <w:rPr>
          <w:rFonts w:cs="Times New Roman"/>
        </w:rPr>
      </w:pPr>
      <w:r w:rsidRPr="002F6AD9">
        <w:rPr>
          <w:rFonts w:cs="Times New Roman"/>
        </w:rPr>
        <w:t xml:space="preserve">Nugent, D., Sovacool, B. K. (2014). Assessing the lifecycle greenhouse gas emissions from solar PV and wind energy: A critical meta-survey. </w:t>
      </w:r>
      <w:r w:rsidRPr="008D107D">
        <w:rPr>
          <w:rFonts w:cs="Times New Roman"/>
          <w:i/>
        </w:rPr>
        <w:t>Energy Policy, 65, 229–244.</w:t>
      </w:r>
      <w:r w:rsidRPr="002F6AD9">
        <w:rPr>
          <w:rFonts w:cs="Times New Roman"/>
        </w:rPr>
        <w:t xml:space="preserve"> https://doi.org/10.1016/j.enpol.2013.10.048</w:t>
      </w:r>
    </w:p>
    <w:p w14:paraId="31BB00CC" w14:textId="77777777" w:rsidR="0065586D" w:rsidRPr="002F6AD9" w:rsidRDefault="0065586D" w:rsidP="002F6AD9">
      <w:pPr>
        <w:rPr>
          <w:rFonts w:cs="Times New Roman"/>
        </w:rPr>
      </w:pPr>
      <w:r w:rsidRPr="002F6AD9">
        <w:rPr>
          <w:rFonts w:cs="Times New Roman"/>
        </w:rPr>
        <w:t>Olatayo, K. I., Wichers, J. H., &amp; Stoker, P. W. (2018). Energy and economic performance of small wind energy systems under different climatic conditions of South Africa. Renewable and Sustainable Energy Reviews, 98, 376–392. https://doi.org/10.1016/j.rser.2018.09.037</w:t>
      </w:r>
    </w:p>
    <w:p w14:paraId="6E1A625B" w14:textId="77777777" w:rsidR="0065586D" w:rsidRPr="002F6AD9" w:rsidRDefault="0065586D" w:rsidP="002F6AD9">
      <w:pPr>
        <w:rPr>
          <w:rFonts w:eastAsia="Times New Roman" w:cs="Times New Roman"/>
        </w:rPr>
      </w:pPr>
      <w:r w:rsidRPr="002F6AD9">
        <w:rPr>
          <w:rFonts w:eastAsia="Times New Roman" w:cs="Times New Roman"/>
        </w:rPr>
        <w:t>Orrell, Alice C., H. E. Rhoads-Weaver, Larry T. Flowers, Matthew N. Gagne, Boyd H. Pro, and Nikolas AF Foster (2013). 2013 Distributed Wind Market Report. Pacific Northwest National Laboratory (PNNL), Richland, WA (US), 2014. http://www.osti.gov/scitech/biblio/1158500.</w:t>
      </w:r>
    </w:p>
    <w:p w14:paraId="053C2B82" w14:textId="77777777" w:rsidR="0065586D" w:rsidRPr="002F6AD9" w:rsidRDefault="0065586D" w:rsidP="002F6AD9">
      <w:pPr>
        <w:rPr>
          <w:rFonts w:cs="Times New Roman"/>
        </w:rPr>
      </w:pPr>
      <w:r w:rsidRPr="002F6AD9">
        <w:rPr>
          <w:rFonts w:cs="Times New Roman"/>
          <w:lang w:val="pt-PT"/>
        </w:rPr>
        <w:t xml:space="preserve">Palma, J. M. L. M., Castro, F. A., Ribeiro, L. F., Rodrigues, A. H., &amp; Pinto, A. P. (2008). </w:t>
      </w:r>
      <w:r w:rsidRPr="002F6AD9">
        <w:rPr>
          <w:rFonts w:cs="Times New Roman"/>
        </w:rPr>
        <w:t xml:space="preserve">Linear and nonlinear models in wind resource assessment and wind turbine micro-siting in complex terrain. Journal of </w:t>
      </w:r>
      <w:r w:rsidRPr="00B14CD2">
        <w:rPr>
          <w:rFonts w:cs="Times New Roman"/>
          <w:i/>
        </w:rPr>
        <w:t xml:space="preserve">Wind Engineering and Industrial Aerodynamics, 96(12), 2308–2326. </w:t>
      </w:r>
      <w:r w:rsidRPr="002F6AD9">
        <w:rPr>
          <w:rFonts w:cs="Times New Roman"/>
        </w:rPr>
        <w:t>https://doi.org/10.1016/j.jweia.2008.03.012</w:t>
      </w:r>
    </w:p>
    <w:p w14:paraId="705DC3CF" w14:textId="77777777" w:rsidR="0065586D" w:rsidRPr="002F6AD9" w:rsidRDefault="0065586D" w:rsidP="002F6AD9">
      <w:pPr>
        <w:rPr>
          <w:rFonts w:cs="Times New Roman"/>
          <w:color w:val="000000" w:themeColor="text1"/>
        </w:rPr>
      </w:pPr>
      <w:r w:rsidRPr="002F6AD9">
        <w:rPr>
          <w:rFonts w:cs="Times New Roman"/>
          <w:color w:val="000000" w:themeColor="text1"/>
        </w:rPr>
        <w:t xml:space="preserve">Peacok, A.D., Jenkins, D., Ahadzi, M., Berry, A., Turan, S. (2008). Micro wind turbines in the UK domestic sector. </w:t>
      </w:r>
      <w:r w:rsidRPr="002F6AD9">
        <w:rPr>
          <w:rFonts w:cs="Times New Roman"/>
          <w:i/>
          <w:color w:val="000000" w:themeColor="text1"/>
        </w:rPr>
        <w:t xml:space="preserve">Energy and Buildings, volume 40, issue 7, pp. 1324-1333. </w:t>
      </w:r>
      <w:hyperlink r:id="rId43" w:history="1">
        <w:r w:rsidRPr="00B14CD2">
          <w:rPr>
            <w:rStyle w:val="Hyperlink"/>
            <w:rFonts w:cs="Times New Roman"/>
            <w:color w:val="000000" w:themeColor="text1"/>
            <w:u w:val="none"/>
          </w:rPr>
          <w:t>https://doi.org/10.1016/j.enbuild.2007.12.004</w:t>
        </w:r>
      </w:hyperlink>
    </w:p>
    <w:p w14:paraId="582DD522" w14:textId="77777777" w:rsidR="0065586D" w:rsidRPr="00B14CD2" w:rsidRDefault="0065586D" w:rsidP="002F6AD9">
      <w:pPr>
        <w:rPr>
          <w:rFonts w:cs="Times New Roman"/>
          <w:color w:val="000000" w:themeColor="text1"/>
        </w:rPr>
      </w:pPr>
      <w:r w:rsidRPr="002F6AD9">
        <w:rPr>
          <w:rFonts w:cs="Times New Roman"/>
        </w:rPr>
        <w:t xml:space="preserve">Petersen, M. (2016). Global small wind turbine market and opportunities. Available at:  </w:t>
      </w:r>
      <w:hyperlink r:id="rId44" w:history="1">
        <w:r w:rsidRPr="00B14CD2">
          <w:rPr>
            <w:rStyle w:val="Hyperlink"/>
            <w:rFonts w:cs="Times New Roman"/>
            <w:color w:val="000000" w:themeColor="text1"/>
            <w:u w:val="none"/>
          </w:rPr>
          <w:t>http://smallwindconference.com/wp-content/uploads/2016/08/Global-Small-Wind-Market-and-Opportunities-MV-Petersen.pdf</w:t>
        </w:r>
      </w:hyperlink>
    </w:p>
    <w:p w14:paraId="715659C8" w14:textId="77777777" w:rsidR="0065586D" w:rsidRPr="00B14CD2" w:rsidRDefault="0065586D" w:rsidP="002F6AD9">
      <w:pPr>
        <w:rPr>
          <w:rFonts w:cs="Times New Roman"/>
          <w:bCs/>
          <w:color w:val="000000" w:themeColor="text1"/>
        </w:rPr>
      </w:pPr>
      <w:r w:rsidRPr="00B14CD2">
        <w:rPr>
          <w:rFonts w:cs="Times New Roman"/>
          <w:bCs/>
          <w:color w:val="000000" w:themeColor="text1"/>
        </w:rPr>
        <w:t xml:space="preserve">Ragheb, M (2014). Wind Turbines in the Urban Environment. Available at: </w:t>
      </w:r>
      <w:hyperlink r:id="rId45" w:history="1">
        <w:r w:rsidRPr="00B14CD2">
          <w:rPr>
            <w:rStyle w:val="Hyperlink"/>
            <w:rFonts w:cs="Times New Roman"/>
            <w:bCs/>
            <w:color w:val="000000" w:themeColor="text1"/>
            <w:u w:val="none"/>
          </w:rPr>
          <w:t>http://www.ragheb.co/NPRE%20475%20Wind%20Power%20Systems/Wind%20Turbines%20in%20the%20Urban%20Environment.pdf</w:t>
        </w:r>
      </w:hyperlink>
    </w:p>
    <w:p w14:paraId="18BF4518" w14:textId="77777777" w:rsidR="0065586D" w:rsidRPr="0065586D" w:rsidRDefault="0065586D" w:rsidP="0065586D">
      <w:pPr>
        <w:rPr>
          <w:rStyle w:val="Hyperlink"/>
          <w:rFonts w:cs="Times New Roman"/>
          <w:color w:val="auto"/>
          <w:u w:val="none"/>
        </w:rPr>
      </w:pPr>
      <w:r w:rsidRPr="0065586D">
        <w:rPr>
          <w:rFonts w:cs="Times New Roman"/>
        </w:rPr>
        <w:t xml:space="preserve">Ram M., Bogdanov D., Aghahosseini A., Gulagi A., Oyewo A.S., Child M., Caldera U., Sadovskaia K., Farfan J., Barbosa LSNS., Fasihi M., Khalili S., Dalheimer B.,Gruber G., Traber T., De Caluwe F., Fell H.-J., Breyer C. (2019). </w:t>
      </w:r>
      <w:r w:rsidRPr="0065586D">
        <w:rPr>
          <w:rFonts w:cs="Times New Roman"/>
          <w:i/>
        </w:rPr>
        <w:t xml:space="preserve">Global Energy System based on 100% Renewable Energy –Power, Heat, Transport and Desalination Sectors. </w:t>
      </w:r>
      <w:r w:rsidRPr="0065586D">
        <w:rPr>
          <w:rFonts w:cs="Times New Roman"/>
        </w:rPr>
        <w:t xml:space="preserve">Study by Lappeenranta University of Technology and Energy Watch Group, Lappeenranta, Berlin, March 2019. Retrieved from: </w:t>
      </w:r>
      <w:hyperlink r:id="rId46" w:history="1">
        <w:r w:rsidRPr="0065586D">
          <w:rPr>
            <w:rStyle w:val="Hyperlink"/>
            <w:rFonts w:cs="Times New Roman"/>
          </w:rPr>
          <w:t>http://energywatchgroup.org/wp-content/uploads/EWG_LUT_100RE_All_Sectors_Global_Report_2019.pdf</w:t>
        </w:r>
      </w:hyperlink>
    </w:p>
    <w:p w14:paraId="7CCA71DF" w14:textId="77777777" w:rsidR="0065586D" w:rsidRPr="002F6AD9" w:rsidRDefault="0065586D" w:rsidP="002F6AD9">
      <w:pPr>
        <w:rPr>
          <w:rFonts w:cs="Times New Roman"/>
          <w:bCs/>
          <w:color w:val="000000" w:themeColor="text1"/>
        </w:rPr>
      </w:pPr>
      <w:r w:rsidRPr="002F6AD9">
        <w:rPr>
          <w:rFonts w:cs="Times New Roman"/>
          <w:bCs/>
          <w:color w:val="000000" w:themeColor="text1"/>
        </w:rPr>
        <w:t>Ram, M., Bogdanov, D., Aghahosseini, A., Oyewo, A. S., Gulagi, A., Child, M., … Breyer, C. (2017). Global Energy System based on 100% Renewable Energy-Power Sectors. (p. 156). Retrieved from Study by Lappeenranta University of Technology and Energy Watch Group website: http://energywatchgroup.org/wp-content/uploads/2017/11/Full-Study-100-Renewable-Energy-Worldwide-Power-Sector.pdf</w:t>
      </w:r>
    </w:p>
    <w:p w14:paraId="7D7F7523" w14:textId="77777777" w:rsidR="0065586D" w:rsidRPr="002F6AD9" w:rsidRDefault="0065586D" w:rsidP="002F6AD9">
      <w:pPr>
        <w:rPr>
          <w:rFonts w:eastAsia="Times New Roman" w:cs="Times New Roman"/>
        </w:rPr>
      </w:pPr>
      <w:r w:rsidRPr="002F6AD9">
        <w:rPr>
          <w:rFonts w:eastAsia="Times New Roman" w:cs="Times New Roman"/>
          <w:lang w:val="pt-PT"/>
        </w:rPr>
        <w:t xml:space="preserve">Ranaboldo, M., Laia Ferrer-Martí, and Enrique Velo. </w:t>
      </w:r>
      <w:r w:rsidRPr="002F6AD9">
        <w:rPr>
          <w:rFonts w:eastAsia="Times New Roman" w:cs="Times New Roman"/>
        </w:rPr>
        <w:t>(2014). Micro-Scale Wind Resource Assessment for Off-Grid Electrification Projects in Rural Communities. A Case Study in Peru.</w:t>
      </w:r>
      <w:r>
        <w:rPr>
          <w:rFonts w:eastAsia="Times New Roman" w:cs="Times New Roman"/>
        </w:rPr>
        <w:t xml:space="preserve"> </w:t>
      </w:r>
      <w:r w:rsidRPr="002F6AD9">
        <w:rPr>
          <w:rFonts w:eastAsia="Times New Roman" w:cs="Times New Roman"/>
          <w:i/>
          <w:iCs/>
        </w:rPr>
        <w:t>International Journal of Green Energy</w:t>
      </w:r>
      <w:r w:rsidRPr="002F6AD9">
        <w:rPr>
          <w:rFonts w:eastAsia="Times New Roman" w:cs="Times New Roman"/>
        </w:rPr>
        <w:t xml:space="preserve"> 11 (1): 75–90. doi:</w:t>
      </w:r>
      <w:hyperlink r:id="rId47" w:history="1">
        <w:r w:rsidRPr="002F6AD9">
          <w:rPr>
            <w:rStyle w:val="Hyperlink"/>
            <w:rFonts w:eastAsia="Times New Roman" w:cs="Times New Roman"/>
            <w:color w:val="auto"/>
            <w:u w:val="none"/>
          </w:rPr>
          <w:t>10.1080/15435075.2013.769878</w:t>
        </w:r>
      </w:hyperlink>
      <w:r w:rsidRPr="002F6AD9">
        <w:rPr>
          <w:rFonts w:eastAsia="Times New Roman" w:cs="Times New Roman"/>
        </w:rPr>
        <w:t>.</w:t>
      </w:r>
    </w:p>
    <w:p w14:paraId="1DBDCD1B" w14:textId="31A1A87A" w:rsidR="0065586D" w:rsidRPr="002F6AD9" w:rsidRDefault="0065586D" w:rsidP="002F6AD9">
      <w:pPr>
        <w:pStyle w:val="FootnoteText"/>
        <w:spacing w:after="120"/>
        <w:rPr>
          <w:rFonts w:cs="Times New Roman"/>
          <w:sz w:val="22"/>
          <w:szCs w:val="22"/>
        </w:rPr>
      </w:pPr>
      <w:r w:rsidRPr="002F6AD9">
        <w:rPr>
          <w:rFonts w:cs="Times New Roman"/>
          <w:sz w:val="22"/>
          <w:szCs w:val="22"/>
        </w:rPr>
        <w:t>RenewableUK (201</w:t>
      </w:r>
      <w:r w:rsidR="00DF01C4">
        <w:rPr>
          <w:rFonts w:cs="Times New Roman"/>
          <w:sz w:val="22"/>
          <w:szCs w:val="22"/>
        </w:rPr>
        <w:t>5</w:t>
      </w:r>
      <w:r w:rsidRPr="002F6AD9">
        <w:rPr>
          <w:rFonts w:cs="Times New Roman"/>
          <w:sz w:val="22"/>
          <w:szCs w:val="22"/>
        </w:rPr>
        <w:t xml:space="preserve">). </w:t>
      </w:r>
      <w:r w:rsidRPr="008D107D">
        <w:rPr>
          <w:rFonts w:cs="Times New Roman"/>
          <w:i/>
          <w:sz w:val="22"/>
          <w:szCs w:val="22"/>
        </w:rPr>
        <w:t>Small and medium wind – UK Market report.</w:t>
      </w:r>
      <w:r w:rsidRPr="002F6AD9">
        <w:rPr>
          <w:rFonts w:cs="Times New Roman"/>
          <w:sz w:val="22"/>
          <w:szCs w:val="22"/>
        </w:rPr>
        <w:t xml:space="preserve"> Available at: </w:t>
      </w:r>
      <w:r w:rsidR="00DF01C4" w:rsidRPr="00DF01C4">
        <w:rPr>
          <w:rFonts w:cs="Times New Roman"/>
          <w:sz w:val="22"/>
          <w:szCs w:val="22"/>
        </w:rPr>
        <w:t>http://www.windkracht13.be/wp-content/uploads/2015/03/small_medium_wind_uk_market_report_2015.pdf</w:t>
      </w:r>
    </w:p>
    <w:p w14:paraId="1572555C" w14:textId="77777777" w:rsidR="0065586D" w:rsidRPr="002F6AD9" w:rsidRDefault="0065586D" w:rsidP="002F6AD9">
      <w:pPr>
        <w:rPr>
          <w:rFonts w:cs="Times New Roman"/>
        </w:rPr>
      </w:pPr>
      <w:r w:rsidRPr="002F6AD9">
        <w:rPr>
          <w:rFonts w:cs="Times New Roman"/>
        </w:rPr>
        <w:t xml:space="preserve">Rolland, S. (2013). </w:t>
      </w:r>
      <w:r w:rsidRPr="008D107D">
        <w:rPr>
          <w:rFonts w:cs="Times New Roman"/>
          <w:i/>
        </w:rPr>
        <w:t>Promoting Small Wind in Developing Markets. Renewable Energy World Magazine</w:t>
      </w:r>
      <w:r w:rsidRPr="002F6AD9">
        <w:rPr>
          <w:rFonts w:cs="Times New Roman"/>
        </w:rPr>
        <w:t>. Retrieved from https://www.renewableenergyworld.com/articles/print/volume-16/issue-2/wind-power/promoting-small-wind-in-developing-markets.html</w:t>
      </w:r>
    </w:p>
    <w:p w14:paraId="5E416803" w14:textId="77777777" w:rsidR="0065586D" w:rsidRPr="002F6AD9" w:rsidRDefault="0065586D" w:rsidP="002F6AD9">
      <w:pPr>
        <w:rPr>
          <w:rFonts w:cs="Times New Roman"/>
        </w:rPr>
      </w:pPr>
      <w:r w:rsidRPr="007F067C">
        <w:rPr>
          <w:rFonts w:cs="Times New Roman"/>
        </w:rPr>
        <w:t xml:space="preserve">Rosato, M. A. (2018). </w:t>
      </w:r>
      <w:r w:rsidRPr="008D107D">
        <w:rPr>
          <w:rFonts w:cs="Times New Roman"/>
          <w:i/>
        </w:rPr>
        <w:t>Small Wind Turbines for Electricity and Irrigation: Design and Construction - CRC Press Book.</w:t>
      </w:r>
      <w:r w:rsidRPr="007F067C">
        <w:rPr>
          <w:rFonts w:cs="Times New Roman"/>
        </w:rPr>
        <w:t xml:space="preserve"> Retrieved from Sustainable Technologies Latisana, Udine, Italy website: https://www.crcpress.com/Small-Wind-Turbines-for-Electricity-and-Irrigation-Design-and-Construction/Rosato/p/book/9781138570191</w:t>
      </w:r>
    </w:p>
    <w:p w14:paraId="0E4020C5" w14:textId="77777777" w:rsidR="0065586D" w:rsidRPr="002F6AD9" w:rsidRDefault="0065586D" w:rsidP="002F6AD9">
      <w:pPr>
        <w:rPr>
          <w:rFonts w:cs="Times New Roman"/>
          <w:i/>
        </w:rPr>
      </w:pPr>
      <w:r w:rsidRPr="002F6AD9">
        <w:rPr>
          <w:rFonts w:cs="Times New Roman"/>
          <w:lang w:val="pt-PT"/>
        </w:rPr>
        <w:t xml:space="preserve">Rubin, E., Azevedo, I., Jaramillo, P., Yeh, S. (2015). </w:t>
      </w:r>
      <w:r w:rsidRPr="002F6AD9">
        <w:rPr>
          <w:rFonts w:cs="Times New Roman"/>
        </w:rPr>
        <w:t xml:space="preserve">A review of learning rates for electricity supply technologies. </w:t>
      </w:r>
      <w:r w:rsidRPr="002F6AD9">
        <w:rPr>
          <w:rFonts w:cs="Times New Roman"/>
          <w:i/>
        </w:rPr>
        <w:t>Energy Policy 86, pp. 198-218.</w:t>
      </w:r>
    </w:p>
    <w:p w14:paraId="4D35EBB3" w14:textId="77777777" w:rsidR="0065586D" w:rsidRPr="00B14CD2" w:rsidRDefault="0065586D" w:rsidP="002F6AD9">
      <w:pPr>
        <w:rPr>
          <w:rFonts w:cs="Times New Roman"/>
          <w:color w:val="000000" w:themeColor="text1"/>
        </w:rPr>
      </w:pPr>
      <w:r w:rsidRPr="002F6AD9">
        <w:rPr>
          <w:rFonts w:cs="Times New Roman"/>
        </w:rPr>
        <w:t xml:space="preserve">Schmidt T. S., R.  </w:t>
      </w:r>
      <w:r w:rsidRPr="00B14CD2">
        <w:rPr>
          <w:rFonts w:cs="Times New Roman"/>
          <w:color w:val="000000" w:themeColor="text1"/>
        </w:rPr>
        <w:t xml:space="preserve">Born, M. Schneider (2012). Assessing the costs of photovoltaic and wind power in six developing countries. </w:t>
      </w:r>
      <w:r w:rsidRPr="00B14CD2">
        <w:rPr>
          <w:rFonts w:cs="Times New Roman"/>
          <w:i/>
          <w:color w:val="000000" w:themeColor="text1"/>
        </w:rPr>
        <w:t>Nature Climate Change 2, 548 – 553.</w:t>
      </w:r>
      <w:r w:rsidRPr="00B14CD2">
        <w:rPr>
          <w:rFonts w:cs="Times New Roman"/>
          <w:color w:val="000000" w:themeColor="text1"/>
        </w:rPr>
        <w:t xml:space="preserve">  </w:t>
      </w:r>
    </w:p>
    <w:p w14:paraId="28A00C78"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Shell International B.V. (2018). </w:t>
      </w:r>
      <w:r w:rsidRPr="00B14CD2">
        <w:rPr>
          <w:rFonts w:cs="Times New Roman"/>
          <w:i/>
          <w:color w:val="000000" w:themeColor="text1"/>
        </w:rPr>
        <w:t>Sky Scenario.</w:t>
      </w:r>
      <w:r w:rsidRPr="00B14CD2">
        <w:rPr>
          <w:rFonts w:cs="Times New Roman"/>
          <w:color w:val="000000" w:themeColor="text1"/>
        </w:rPr>
        <w:t xml:space="preserve"> Retrieved from </w:t>
      </w:r>
      <w:hyperlink r:id="rId48" w:history="1">
        <w:r w:rsidRPr="00B14CD2">
          <w:rPr>
            <w:rStyle w:val="Hyperlink"/>
            <w:rFonts w:cs="Times New Roman"/>
            <w:color w:val="000000" w:themeColor="text1"/>
            <w:u w:val="none"/>
          </w:rPr>
          <w:t>https://www.shell.com/energy-and-innovation/the-energy-future/scenarios/shell-scenario-sky.html</w:t>
        </w:r>
      </w:hyperlink>
    </w:p>
    <w:p w14:paraId="1F0B144A"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Simic, Z., Havelka, J. G., Bozicevic Vrhovcak, M. (2013). Small wind turbines – A unique segment of the wind power market. </w:t>
      </w:r>
      <w:r w:rsidRPr="00B14CD2">
        <w:rPr>
          <w:rFonts w:cs="Times New Roman"/>
          <w:i/>
          <w:color w:val="000000" w:themeColor="text1"/>
        </w:rPr>
        <w:t>Renewable Energy, 50, 1027–1036</w:t>
      </w:r>
      <w:r w:rsidRPr="00B14CD2">
        <w:rPr>
          <w:rFonts w:cs="Times New Roman"/>
          <w:color w:val="000000" w:themeColor="text1"/>
        </w:rPr>
        <w:t xml:space="preserve">. </w:t>
      </w:r>
      <w:hyperlink r:id="rId49" w:history="1">
        <w:r w:rsidRPr="00B14CD2">
          <w:rPr>
            <w:rStyle w:val="Hyperlink"/>
            <w:rFonts w:cs="Times New Roman"/>
            <w:color w:val="000000" w:themeColor="text1"/>
            <w:u w:val="none"/>
          </w:rPr>
          <w:t>https://doi.org/10.1016/j.renene.2012.08.038</w:t>
        </w:r>
      </w:hyperlink>
    </w:p>
    <w:p w14:paraId="0716134F"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Spence, J. E. (2012). </w:t>
      </w:r>
      <w:r w:rsidRPr="008D107D">
        <w:rPr>
          <w:rFonts w:cs="Times New Roman"/>
          <w:i/>
          <w:color w:val="000000" w:themeColor="text1"/>
        </w:rPr>
        <w:t xml:space="preserve">Renewable energy in the Australian red meat processing industry &amp; the viability of paunch as a biofuel </w:t>
      </w:r>
      <w:r w:rsidRPr="00B14CD2">
        <w:rPr>
          <w:rFonts w:cs="Times New Roman"/>
          <w:color w:val="000000" w:themeColor="text1"/>
        </w:rPr>
        <w:t>(University of Southern Queensland). Retrieved from https://eprints.usq.edu.au/23223/</w:t>
      </w:r>
    </w:p>
    <w:p w14:paraId="74EF688E"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Stanek, W., Mendecka, B., Lombardi, L., Simla, T. (2018). Environmental assessment of wind turbine systems based on thermo-ecological cost. </w:t>
      </w:r>
      <w:r w:rsidRPr="00B14CD2">
        <w:rPr>
          <w:rFonts w:cs="Times New Roman"/>
          <w:i/>
          <w:color w:val="000000" w:themeColor="text1"/>
        </w:rPr>
        <w:t>Energy, 160, 341–348.</w:t>
      </w:r>
      <w:r w:rsidRPr="00B14CD2">
        <w:rPr>
          <w:rFonts w:cs="Times New Roman"/>
          <w:color w:val="000000" w:themeColor="text1"/>
        </w:rPr>
        <w:t xml:space="preserve"> https://doi.org/10.1016/j.energy.2018.07.032</w:t>
      </w:r>
    </w:p>
    <w:p w14:paraId="1F8B0BE5" w14:textId="77777777" w:rsidR="0065586D" w:rsidRPr="002F6AD9" w:rsidRDefault="0065586D" w:rsidP="002F6AD9">
      <w:pPr>
        <w:rPr>
          <w:rFonts w:cs="Times New Roman"/>
        </w:rPr>
      </w:pPr>
      <w:r w:rsidRPr="00B14CD2">
        <w:rPr>
          <w:rFonts w:cs="Times New Roman"/>
          <w:color w:val="000000" w:themeColor="text1"/>
        </w:rPr>
        <w:t xml:space="preserve">Stathopoulos, T., Alrawashdeh, H., Al-Quraan, A., </w:t>
      </w:r>
      <w:r w:rsidRPr="002F6AD9">
        <w:rPr>
          <w:rFonts w:cs="Times New Roman"/>
        </w:rPr>
        <w:t xml:space="preserve">Blocken, B., Dilimulati, A., Paraschivoiu, M., &amp; Pilay, P. (2018). Urban wind energy: Some views on potential and challenges. </w:t>
      </w:r>
      <w:r w:rsidRPr="00B14CD2">
        <w:rPr>
          <w:rFonts w:cs="Times New Roman"/>
          <w:i/>
        </w:rPr>
        <w:t>Journal of Wind Engineering and Industrial Aerodynamics, 179, 146–157.</w:t>
      </w:r>
      <w:r w:rsidRPr="002F6AD9">
        <w:rPr>
          <w:rFonts w:cs="Times New Roman"/>
        </w:rPr>
        <w:t xml:space="preserve"> https://doi.org/10.1016/j.jweia.2018.05.018</w:t>
      </w:r>
    </w:p>
    <w:p w14:paraId="345410DB" w14:textId="77777777" w:rsidR="0065586D" w:rsidRPr="002F6AD9" w:rsidRDefault="0065586D" w:rsidP="002F6AD9">
      <w:pPr>
        <w:rPr>
          <w:rFonts w:cs="Times New Roman"/>
        </w:rPr>
      </w:pPr>
      <w:r w:rsidRPr="002F6AD9">
        <w:rPr>
          <w:rFonts w:cs="Times New Roman"/>
        </w:rPr>
        <w:t xml:space="preserve">Statista. (2019). </w:t>
      </w:r>
      <w:r w:rsidRPr="00B14CD2">
        <w:rPr>
          <w:rFonts w:cs="Times New Roman"/>
          <w:i/>
        </w:rPr>
        <w:t>Cumulative installed capacity of small wind turbines worldwide from 2010 to 2016</w:t>
      </w:r>
      <w:r w:rsidRPr="002F6AD9">
        <w:rPr>
          <w:rFonts w:cs="Times New Roman"/>
        </w:rPr>
        <w:t>. Retrieved March 24, 2019, from Statista website: https://www.statista.com/statistics/269885/capacity-of-small-wind-turbines-worldwide/</w:t>
      </w:r>
    </w:p>
    <w:p w14:paraId="18177209" w14:textId="77777777" w:rsidR="0065586D" w:rsidRPr="002F6AD9" w:rsidRDefault="0065586D" w:rsidP="002F6AD9">
      <w:pPr>
        <w:rPr>
          <w:rFonts w:cs="Times New Roman"/>
        </w:rPr>
      </w:pPr>
      <w:r w:rsidRPr="002F6AD9">
        <w:rPr>
          <w:rFonts w:cs="Times New Roman"/>
        </w:rPr>
        <w:t xml:space="preserve">SWC. (2018). </w:t>
      </w:r>
      <w:r w:rsidRPr="00B14CD2">
        <w:rPr>
          <w:rFonts w:cs="Times New Roman"/>
          <w:i/>
        </w:rPr>
        <w:t>2018 Small Wind Presentations.</w:t>
      </w:r>
      <w:r w:rsidRPr="002F6AD9">
        <w:rPr>
          <w:rFonts w:cs="Times New Roman"/>
        </w:rPr>
        <w:t xml:space="preserve"> Retrieved March 7, 2019, from Small Wind Conference (SWC) website: http://smallwindconference.com/?page_id=70</w:t>
      </w:r>
    </w:p>
    <w:p w14:paraId="567E79E4" w14:textId="77777777" w:rsidR="0065586D" w:rsidRDefault="0065586D" w:rsidP="002F6AD9">
      <w:pPr>
        <w:rPr>
          <w:rFonts w:cs="Times New Roman"/>
          <w:lang w:val="pt-PT"/>
        </w:rPr>
      </w:pPr>
      <w:r w:rsidRPr="008D107D">
        <w:rPr>
          <w:rFonts w:cs="Times New Roman"/>
        </w:rPr>
        <w:t xml:space="preserve">Taylor, J., Eastwick, C., Lawrence, C., &amp; Wilson, R. (2013). Noise levels and noise perception from small and micro wind turbines. </w:t>
      </w:r>
      <w:r w:rsidRPr="008D107D">
        <w:rPr>
          <w:rFonts w:cs="Times New Roman"/>
          <w:i/>
          <w:lang w:val="pt-PT"/>
        </w:rPr>
        <w:t>Renewable Energy, 55, 120–127.</w:t>
      </w:r>
      <w:r w:rsidRPr="00494E6A">
        <w:rPr>
          <w:rFonts w:cs="Times New Roman"/>
          <w:lang w:val="pt-PT"/>
        </w:rPr>
        <w:t xml:space="preserve"> https://doi.org/10.1016/j.renene.2012.11.031</w:t>
      </w:r>
    </w:p>
    <w:p w14:paraId="4D1709A0" w14:textId="77777777" w:rsidR="0065586D" w:rsidRPr="002F6AD9" w:rsidRDefault="0065586D" w:rsidP="002F6AD9">
      <w:pPr>
        <w:rPr>
          <w:rFonts w:cs="Times New Roman"/>
        </w:rPr>
      </w:pPr>
      <w:r w:rsidRPr="002F6AD9">
        <w:rPr>
          <w:rFonts w:cs="Times New Roman"/>
          <w:lang w:val="pt-PT"/>
        </w:rPr>
        <w:t xml:space="preserve">Toja-Silva, F., Colmenar-Santos, A., &amp; Castro-Gil, M. (2013). </w:t>
      </w:r>
      <w:r w:rsidRPr="002F6AD9">
        <w:rPr>
          <w:rFonts w:cs="Times New Roman"/>
        </w:rPr>
        <w:t xml:space="preserve">Urban wind energy exploitation systems: Behaviour under multidirectional flow conditions—Opportunities and challenges. </w:t>
      </w:r>
      <w:r w:rsidRPr="00B14CD2">
        <w:rPr>
          <w:rFonts w:cs="Times New Roman"/>
          <w:i/>
        </w:rPr>
        <w:t>Renewable and Sustainable Energy Reviews, 24, 364–378.</w:t>
      </w:r>
      <w:r w:rsidRPr="002F6AD9">
        <w:rPr>
          <w:rFonts w:cs="Times New Roman"/>
        </w:rPr>
        <w:t xml:space="preserve"> https://doi.org/10.1016/j.rser.2013.03.052</w:t>
      </w:r>
    </w:p>
    <w:p w14:paraId="07D92B40" w14:textId="77777777" w:rsidR="0065586D" w:rsidRPr="002F6AD9" w:rsidRDefault="0065586D" w:rsidP="002F6AD9">
      <w:pPr>
        <w:rPr>
          <w:rFonts w:cs="Times New Roman"/>
        </w:rPr>
      </w:pPr>
      <w:r w:rsidRPr="002F6AD9">
        <w:rPr>
          <w:rFonts w:cs="Times New Roman"/>
          <w:lang w:val="pt-PT"/>
        </w:rPr>
        <w:t xml:space="preserve">Toja-Silva, F., Kono, T., Peralta, C., Lopez-Garcia, O., Chen, J. (2018). </w:t>
      </w:r>
      <w:r w:rsidRPr="002F6AD9">
        <w:rPr>
          <w:rFonts w:cs="Times New Roman"/>
        </w:rPr>
        <w:t>A review of computational fluid dynamics (CFD) simulations of the wind flow around buildings for urban wind energy exploitation</w:t>
      </w:r>
      <w:r w:rsidRPr="00B14CD2">
        <w:rPr>
          <w:rFonts w:cs="Times New Roman"/>
          <w:i/>
        </w:rPr>
        <w:t>. Journal of Wind Engineering and Industrial Aerodynamics, 180, 66–87.</w:t>
      </w:r>
      <w:r w:rsidRPr="002F6AD9">
        <w:rPr>
          <w:rFonts w:cs="Times New Roman"/>
        </w:rPr>
        <w:t xml:space="preserve"> https://doi.org/10.1016/j.jweia.2018.07.010</w:t>
      </w:r>
    </w:p>
    <w:p w14:paraId="315CEDD9" w14:textId="77777777" w:rsidR="0065586D" w:rsidRPr="002F6AD9" w:rsidRDefault="0065586D" w:rsidP="002F6AD9">
      <w:pPr>
        <w:rPr>
          <w:rFonts w:cs="Times New Roman"/>
        </w:rPr>
      </w:pPr>
      <w:r w:rsidRPr="002F6AD9">
        <w:rPr>
          <w:rFonts w:cs="Times New Roman"/>
          <w:lang w:val="pt-PT"/>
        </w:rPr>
        <w:t xml:space="preserve">Tummala, A., Velamati, R. K., Sinha, D. K., Indraja, V., &amp; Krishna, V. H. (2016). </w:t>
      </w:r>
      <w:r w:rsidRPr="002F6AD9">
        <w:rPr>
          <w:rFonts w:cs="Times New Roman"/>
        </w:rPr>
        <w:t xml:space="preserve">A review on small scale wind turbines. </w:t>
      </w:r>
      <w:r w:rsidRPr="00B14CD2">
        <w:rPr>
          <w:rFonts w:cs="Times New Roman"/>
          <w:i/>
        </w:rPr>
        <w:t>Renewable and Sustainable Energy Reviews, 56, 1351–1371.</w:t>
      </w:r>
      <w:r w:rsidRPr="002F6AD9">
        <w:rPr>
          <w:rFonts w:cs="Times New Roman"/>
        </w:rPr>
        <w:t xml:space="preserve"> https://doi.org/10.1016/j.rser.2015.12.027</w:t>
      </w:r>
    </w:p>
    <w:p w14:paraId="551D6F21" w14:textId="77777777" w:rsidR="0065586D" w:rsidRPr="002F6AD9" w:rsidRDefault="0065586D" w:rsidP="002F6AD9">
      <w:pPr>
        <w:rPr>
          <w:rFonts w:cs="Times New Roman"/>
        </w:rPr>
      </w:pPr>
      <w:r w:rsidRPr="002F6AD9">
        <w:rPr>
          <w:rFonts w:cs="Times New Roman"/>
        </w:rPr>
        <w:t xml:space="preserve">UK DECC. (2009). </w:t>
      </w:r>
      <w:r w:rsidRPr="008D107D">
        <w:rPr>
          <w:rFonts w:cs="Times New Roman"/>
          <w:i/>
        </w:rPr>
        <w:t>UK Small-Scale Wind Survey (No. ED45244 – Issue 2).</w:t>
      </w:r>
      <w:r w:rsidRPr="002F6AD9">
        <w:rPr>
          <w:rFonts w:cs="Times New Roman"/>
        </w:rPr>
        <w:t xml:space="preserve"> Retrieved from UK Department of Energy and Climate Change (UK DECC) website: http://doc.wind-watch.org/AEA-UK-Small-Wind-Survey-2008.pdf</w:t>
      </w:r>
    </w:p>
    <w:p w14:paraId="653D21E6" w14:textId="77777777" w:rsidR="0065586D" w:rsidRPr="002F6AD9" w:rsidRDefault="0065586D" w:rsidP="002F6AD9">
      <w:pPr>
        <w:rPr>
          <w:rFonts w:cs="Times New Roman"/>
        </w:rPr>
      </w:pPr>
      <w:r w:rsidRPr="002F6AD9">
        <w:rPr>
          <w:rFonts w:cs="Times New Roman"/>
        </w:rPr>
        <w:t>UK DECC. (2010). Microwind cost data. Retrieved March 20, 2019, from Microwind cost data website: http://2050-calculator-tool-wiki.decc.gov.uk/cost_categories/25</w:t>
      </w:r>
    </w:p>
    <w:p w14:paraId="754A5762" w14:textId="77777777" w:rsidR="0065586D" w:rsidRPr="002F6AD9" w:rsidRDefault="0065586D" w:rsidP="002F6AD9">
      <w:pPr>
        <w:rPr>
          <w:rFonts w:cs="Times New Roman"/>
        </w:rPr>
      </w:pPr>
      <w:r w:rsidRPr="002F6AD9">
        <w:rPr>
          <w:rFonts w:cs="Times New Roman"/>
        </w:rPr>
        <w:t xml:space="preserve">US DOE. (2016a). </w:t>
      </w:r>
      <w:r w:rsidRPr="008D107D">
        <w:rPr>
          <w:rFonts w:cs="Times New Roman"/>
          <w:i/>
        </w:rPr>
        <w:t>Distributed Wind Deployment: Dairy Farm</w:t>
      </w:r>
      <w:r w:rsidRPr="002F6AD9">
        <w:rPr>
          <w:rFonts w:cs="Times New Roman"/>
        </w:rPr>
        <w:t xml:space="preserve"> (p. 2). Retrieved from https://www.energy.gov/sites/prod/files/2018/08/f54/np_yuma_draft_layout_8_03_18.pdf</w:t>
      </w:r>
    </w:p>
    <w:p w14:paraId="40073AD8" w14:textId="77777777" w:rsidR="0065586D" w:rsidRPr="002F6AD9" w:rsidRDefault="0065586D" w:rsidP="002F6AD9">
      <w:pPr>
        <w:rPr>
          <w:rFonts w:cs="Times New Roman"/>
        </w:rPr>
      </w:pPr>
      <w:r w:rsidRPr="002F6AD9">
        <w:rPr>
          <w:rFonts w:cs="Times New Roman"/>
        </w:rPr>
        <w:t xml:space="preserve">US DOE. (2016b). </w:t>
      </w:r>
      <w:r w:rsidRPr="008D107D">
        <w:rPr>
          <w:rFonts w:cs="Times New Roman"/>
          <w:i/>
        </w:rPr>
        <w:t>WINDExchange: Small Wind Guidebook.</w:t>
      </w:r>
      <w:r w:rsidRPr="002F6AD9">
        <w:rPr>
          <w:rFonts w:cs="Times New Roman"/>
        </w:rPr>
        <w:t xml:space="preserve"> Retrieved March 14, 2019, from https://windexchange.energy.gov/small-wind-guidebook</w:t>
      </w:r>
    </w:p>
    <w:p w14:paraId="70694E34" w14:textId="77777777" w:rsidR="0065586D" w:rsidRPr="002F6AD9" w:rsidRDefault="0065586D" w:rsidP="002F6AD9">
      <w:pPr>
        <w:rPr>
          <w:rFonts w:cs="Times New Roman"/>
        </w:rPr>
      </w:pPr>
      <w:r w:rsidRPr="002F6AD9">
        <w:rPr>
          <w:rFonts w:cs="Times New Roman"/>
        </w:rPr>
        <w:t xml:space="preserve">US DOE. (2017). </w:t>
      </w:r>
      <w:r w:rsidRPr="008D107D">
        <w:rPr>
          <w:rFonts w:cs="Times New Roman"/>
          <w:i/>
        </w:rPr>
        <w:t>2017 Distributed Wind Market Report.</w:t>
      </w:r>
      <w:r w:rsidRPr="002F6AD9">
        <w:rPr>
          <w:rFonts w:cs="Times New Roman"/>
        </w:rPr>
        <w:t xml:space="preserve"> Retrieved from United States Department of Energy (US DOE) website: https://www.energy.gov/eere/wind/downloads/2017-distributed-wind-market-report</w:t>
      </w:r>
    </w:p>
    <w:p w14:paraId="12EA03A6" w14:textId="77777777" w:rsidR="0065586D" w:rsidRPr="00B14CD2" w:rsidRDefault="0065586D" w:rsidP="002F6AD9">
      <w:pPr>
        <w:rPr>
          <w:rFonts w:cs="Times New Roman"/>
          <w:color w:val="000000" w:themeColor="text1"/>
        </w:rPr>
      </w:pPr>
      <w:r w:rsidRPr="002F6AD9">
        <w:rPr>
          <w:rFonts w:cs="Times New Roman"/>
        </w:rPr>
        <w:t xml:space="preserve">Walker, S. L. (2011). Building mounted wind turbines and their suitability for the urban scale—A review of methods of estimating urban wind resource. </w:t>
      </w:r>
      <w:r w:rsidRPr="00B14CD2">
        <w:rPr>
          <w:rFonts w:cs="Times New Roman"/>
          <w:i/>
        </w:rPr>
        <w:t>Energy and Buildings, 43(8), 1852–1862.</w:t>
      </w:r>
      <w:r w:rsidRPr="002F6AD9">
        <w:rPr>
          <w:rFonts w:cs="Times New Roman"/>
        </w:rPr>
        <w:t xml:space="preserve"> https://doi.org/10.1016/j.enbuild.2011.03.</w:t>
      </w:r>
      <w:r w:rsidRPr="00B14CD2">
        <w:rPr>
          <w:rFonts w:cs="Times New Roman"/>
          <w:color w:val="000000" w:themeColor="text1"/>
        </w:rPr>
        <w:t>032</w:t>
      </w:r>
    </w:p>
    <w:p w14:paraId="369ABA5E"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Wang, B., Cot, L. D., Adolphe, L., Geoffroy, S., &amp; Morchain, J. (2015). Estimation of wind energy over roof of two perpendicular buildings. </w:t>
      </w:r>
      <w:r w:rsidRPr="00B14CD2">
        <w:rPr>
          <w:rFonts w:cs="Times New Roman"/>
          <w:i/>
          <w:color w:val="000000" w:themeColor="text1"/>
        </w:rPr>
        <w:t>Energy and Buildings, 88, 57–67.</w:t>
      </w:r>
      <w:r w:rsidRPr="00B14CD2">
        <w:rPr>
          <w:rFonts w:cs="Times New Roman"/>
          <w:color w:val="000000" w:themeColor="text1"/>
        </w:rPr>
        <w:t xml:space="preserve"> https://doi.org/10.1016/j.enbuild.2014.11.072</w:t>
      </w:r>
    </w:p>
    <w:p w14:paraId="68EC716D"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WindEurope. (2017). </w:t>
      </w:r>
      <w:r w:rsidRPr="008D107D">
        <w:rPr>
          <w:rFonts w:cs="Times New Roman"/>
          <w:i/>
          <w:color w:val="000000" w:themeColor="text1"/>
        </w:rPr>
        <w:t>Wind energy in Europe: Outlook to 2020.</w:t>
      </w:r>
      <w:r w:rsidRPr="00B14CD2">
        <w:rPr>
          <w:rFonts w:cs="Times New Roman"/>
          <w:color w:val="000000" w:themeColor="text1"/>
        </w:rPr>
        <w:t xml:space="preserve"> Retrieved from https://windeurope.org/about-wind/reports/wind-energy-in-europe-outlook-to-2020/</w:t>
      </w:r>
    </w:p>
    <w:p w14:paraId="51C8552A" w14:textId="77777777" w:rsidR="0065586D" w:rsidRPr="00B14CD2" w:rsidRDefault="0065586D" w:rsidP="002F6AD9">
      <w:pPr>
        <w:rPr>
          <w:rFonts w:cs="Times New Roman"/>
          <w:bCs/>
          <w:color w:val="000000" w:themeColor="text1"/>
        </w:rPr>
      </w:pPr>
      <w:r w:rsidRPr="00B14CD2">
        <w:rPr>
          <w:rFonts w:cs="Times New Roman"/>
          <w:bCs/>
          <w:color w:val="000000" w:themeColor="text1"/>
        </w:rPr>
        <w:t xml:space="preserve">Windustry (2015). </w:t>
      </w:r>
      <w:r w:rsidRPr="008D107D">
        <w:rPr>
          <w:rFonts w:cs="Times New Roman"/>
          <w:bCs/>
          <w:i/>
          <w:color w:val="000000" w:themeColor="text1"/>
        </w:rPr>
        <w:t>How much do wind turbines cost?</w:t>
      </w:r>
      <w:r w:rsidRPr="00B14CD2">
        <w:rPr>
          <w:rFonts w:cs="Times New Roman"/>
          <w:bCs/>
          <w:color w:val="000000" w:themeColor="text1"/>
        </w:rPr>
        <w:t xml:space="preserve"> Available at: </w:t>
      </w:r>
      <w:hyperlink r:id="rId50" w:history="1">
        <w:r w:rsidRPr="00B14CD2">
          <w:rPr>
            <w:rStyle w:val="Hyperlink"/>
            <w:rFonts w:cs="Times New Roman"/>
            <w:color w:val="000000" w:themeColor="text1"/>
            <w:u w:val="none"/>
          </w:rPr>
          <w:t>http://www.windustry.org/how_much_do_wind_turbines_cost</w:t>
        </w:r>
      </w:hyperlink>
    </w:p>
    <w:p w14:paraId="0D77FBAF" w14:textId="77777777" w:rsidR="0065586D" w:rsidRDefault="0065586D" w:rsidP="002F6AD9">
      <w:pPr>
        <w:rPr>
          <w:rFonts w:cs="Times New Roman"/>
          <w:color w:val="000000" w:themeColor="text1"/>
        </w:rPr>
      </w:pPr>
      <w:r w:rsidRPr="00494E6A">
        <w:rPr>
          <w:rFonts w:cs="Times New Roman"/>
          <w:color w:val="000000" w:themeColor="text1"/>
        </w:rPr>
        <w:t>Wiser, R., Yang, Z., Hand, M., Hohmeyer, O., Infield, D., Jensen, P. H., … Zervos, A. (2011). Wind Energy. In IPCC Special Report on Renewable Energy Sources and Climate Change Mitigation. Cambridge, UK and New York, NY, USA: Cambridge University Press.</w:t>
      </w:r>
    </w:p>
    <w:p w14:paraId="4EFF30BB"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WWEA. (2014). </w:t>
      </w:r>
      <w:r w:rsidRPr="008D107D">
        <w:rPr>
          <w:rFonts w:cs="Times New Roman"/>
          <w:i/>
          <w:color w:val="000000" w:themeColor="text1"/>
        </w:rPr>
        <w:t>Small Wind World Report 2014.</w:t>
      </w:r>
      <w:r w:rsidRPr="00B14CD2">
        <w:rPr>
          <w:rFonts w:cs="Times New Roman"/>
          <w:color w:val="000000" w:themeColor="text1"/>
        </w:rPr>
        <w:t xml:space="preserve"> Retrieved from http://small-wind.org/wp-content/uploads/2014/03/2014_SWWR_summary_web.pdf</w:t>
      </w:r>
    </w:p>
    <w:p w14:paraId="2EFD4CB4"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WWEA. (2015a). </w:t>
      </w:r>
      <w:r w:rsidRPr="008D107D">
        <w:rPr>
          <w:rFonts w:cs="Times New Roman"/>
          <w:i/>
          <w:color w:val="000000" w:themeColor="text1"/>
        </w:rPr>
        <w:t xml:space="preserve">Small Wind World Market: Growth at Lower Pace. </w:t>
      </w:r>
      <w:r w:rsidRPr="00B14CD2">
        <w:rPr>
          <w:rFonts w:cs="Times New Roman"/>
          <w:color w:val="000000" w:themeColor="text1"/>
        </w:rPr>
        <w:t>Retrieved March 9, 2019, from https://wwindea.org/blog/2015/03/21/wssw2015-small-wind-world-market-growth-at-lower-pace/</w:t>
      </w:r>
    </w:p>
    <w:p w14:paraId="467455E7" w14:textId="77777777" w:rsidR="0065586D" w:rsidRPr="00B14CD2" w:rsidRDefault="0065586D" w:rsidP="002F6AD9">
      <w:pPr>
        <w:rPr>
          <w:rFonts w:cs="Times New Roman"/>
          <w:color w:val="000000" w:themeColor="text1"/>
        </w:rPr>
      </w:pPr>
      <w:r w:rsidRPr="00B14CD2">
        <w:rPr>
          <w:rFonts w:cs="Times New Roman"/>
          <w:color w:val="000000" w:themeColor="text1"/>
        </w:rPr>
        <w:t xml:space="preserve">WWEA. (2015b). </w:t>
      </w:r>
      <w:r w:rsidRPr="008D107D">
        <w:rPr>
          <w:rFonts w:cs="Times New Roman"/>
          <w:i/>
          <w:color w:val="000000" w:themeColor="text1"/>
        </w:rPr>
        <w:t>Small Wind World Report 2015.</w:t>
      </w:r>
      <w:r w:rsidRPr="00B14CD2">
        <w:rPr>
          <w:rFonts w:cs="Times New Roman"/>
          <w:color w:val="000000" w:themeColor="text1"/>
        </w:rPr>
        <w:t xml:space="preserve"> Retrieved from World Wind Energy Association (WWEA) website: http://small-wind.org/wp-content/uploads/2014/12/Summary_SWWR2015_online.pdf</w:t>
      </w:r>
    </w:p>
    <w:p w14:paraId="781067D1" w14:textId="77777777" w:rsidR="0065586D" w:rsidRPr="002F6AD9" w:rsidRDefault="0065586D" w:rsidP="002F6AD9">
      <w:pPr>
        <w:rPr>
          <w:rFonts w:cs="Times New Roman"/>
        </w:rPr>
      </w:pPr>
      <w:r w:rsidRPr="00B14CD2">
        <w:rPr>
          <w:rFonts w:cs="Times New Roman"/>
          <w:color w:val="000000" w:themeColor="text1"/>
        </w:rPr>
        <w:t xml:space="preserve">WWEA. (2016). </w:t>
      </w:r>
      <w:r w:rsidRPr="008D107D">
        <w:rPr>
          <w:rFonts w:cs="Times New Roman"/>
          <w:i/>
          <w:color w:val="000000" w:themeColor="text1"/>
        </w:rPr>
        <w:t>2016 Small Wind World Report</w:t>
      </w:r>
      <w:r w:rsidRPr="00B14CD2">
        <w:rPr>
          <w:rFonts w:cs="Times New Roman"/>
          <w:color w:val="000000" w:themeColor="text1"/>
        </w:rPr>
        <w:t xml:space="preserve">. </w:t>
      </w:r>
      <w:r w:rsidRPr="002F6AD9">
        <w:rPr>
          <w:rFonts w:cs="Times New Roman"/>
        </w:rPr>
        <w:t>World Wind Energy Association</w:t>
      </w:r>
      <w:r>
        <w:rPr>
          <w:rFonts w:cs="Times New Roman"/>
        </w:rPr>
        <w:t xml:space="preserve"> </w:t>
      </w:r>
      <w:r w:rsidRPr="002F6AD9">
        <w:rPr>
          <w:rFonts w:cs="Times New Roman"/>
        </w:rPr>
        <w:t>(WWEA)</w:t>
      </w:r>
      <w:r>
        <w:rPr>
          <w:rFonts w:cs="Times New Roman"/>
        </w:rPr>
        <w:t xml:space="preserve">. </w:t>
      </w:r>
      <w:r w:rsidRPr="00B14CD2">
        <w:rPr>
          <w:rFonts w:cs="Times New Roman"/>
          <w:color w:val="000000" w:themeColor="text1"/>
        </w:rPr>
        <w:t>Retrieved from https://distributedwind.org/wp-content/uploads/2016/03/2016-Small-Wind-World-Report</w:t>
      </w:r>
      <w:r w:rsidRPr="002F6AD9">
        <w:rPr>
          <w:rFonts w:cs="Times New Roman"/>
        </w:rPr>
        <w:t>.pdf</w:t>
      </w:r>
    </w:p>
    <w:p w14:paraId="286BA228" w14:textId="77777777" w:rsidR="0065586D" w:rsidRPr="002F6AD9" w:rsidRDefault="0065586D" w:rsidP="002F6AD9">
      <w:pPr>
        <w:rPr>
          <w:rFonts w:cs="Times New Roman"/>
        </w:rPr>
      </w:pPr>
      <w:r w:rsidRPr="002F6AD9">
        <w:rPr>
          <w:rFonts w:cs="Times New Roman"/>
        </w:rPr>
        <w:t>WWEA. (2017). 2017 Small Wind World Report Summary. World Wind Energy Association (WWEA)</w:t>
      </w:r>
      <w:r>
        <w:rPr>
          <w:rFonts w:cs="Times New Roman"/>
        </w:rPr>
        <w:t>.</w:t>
      </w:r>
      <w:r w:rsidRPr="002F6AD9">
        <w:rPr>
          <w:rFonts w:cs="Times New Roman"/>
        </w:rPr>
        <w:t xml:space="preserve"> Retrieved from website: https://www.wwindea.org/wp-content/uploads/filebase/small_wind_/SWWR2017-SUMMARY.pdf</w:t>
      </w:r>
    </w:p>
    <w:p w14:paraId="44389B4B" w14:textId="77777777" w:rsidR="0065586D" w:rsidRPr="00E214CC" w:rsidRDefault="0065586D" w:rsidP="002F6AD9">
      <w:pPr>
        <w:rPr>
          <w:rFonts w:cs="Times New Roman"/>
          <w:color w:val="000000" w:themeColor="text1"/>
        </w:rPr>
      </w:pPr>
      <w:r w:rsidRPr="002F6AD9">
        <w:rPr>
          <w:rFonts w:cs="Times New Roman"/>
        </w:rPr>
        <w:t xml:space="preserve">Yang, A.-S., Su, Y.-M., Wen, C.-Y., Juan, Y.-H., Wang, W.-S., &amp; Cheng, C.-H. (2016b). Estimation of wind power </w:t>
      </w:r>
      <w:r w:rsidRPr="00E214CC">
        <w:rPr>
          <w:rFonts w:cs="Times New Roman"/>
          <w:color w:val="000000" w:themeColor="text1"/>
        </w:rPr>
        <w:t xml:space="preserve">generation in dense urban area. </w:t>
      </w:r>
      <w:r w:rsidRPr="008D107D">
        <w:rPr>
          <w:rFonts w:cs="Times New Roman"/>
          <w:i/>
          <w:color w:val="000000" w:themeColor="text1"/>
        </w:rPr>
        <w:t>Applied Energy, 171, 213–230.</w:t>
      </w:r>
      <w:r w:rsidRPr="00E214CC">
        <w:rPr>
          <w:rFonts w:cs="Times New Roman"/>
          <w:color w:val="000000" w:themeColor="text1"/>
        </w:rPr>
        <w:t xml:space="preserve"> https://doi.org/10.1016/j.apenergy.2016.03.007</w:t>
      </w:r>
    </w:p>
    <w:p w14:paraId="4AAA6004" w14:textId="77777777" w:rsidR="0065586D" w:rsidRPr="00E214CC" w:rsidRDefault="0065586D" w:rsidP="002F6AD9">
      <w:pPr>
        <w:rPr>
          <w:rFonts w:cs="Times New Roman"/>
          <w:color w:val="000000" w:themeColor="text1"/>
        </w:rPr>
      </w:pPr>
      <w:r w:rsidRPr="00E214CC">
        <w:rPr>
          <w:rFonts w:cs="Times New Roman"/>
          <w:color w:val="000000" w:themeColor="text1"/>
          <w:lang w:val="pt-PT"/>
        </w:rPr>
        <w:t xml:space="preserve">Yasar, A., Nazir, S., Rasheed, R., Tabinda, A. B., &amp; Nazar, M. (2017). </w:t>
      </w:r>
      <w:r w:rsidRPr="00E214CC">
        <w:rPr>
          <w:rFonts w:cs="Times New Roman"/>
          <w:color w:val="000000" w:themeColor="text1"/>
        </w:rPr>
        <w:t xml:space="preserve">Economic review of different designs of biogas plants at household level in Pakistan. </w:t>
      </w:r>
      <w:r w:rsidRPr="008D107D">
        <w:rPr>
          <w:rFonts w:cs="Times New Roman"/>
          <w:i/>
          <w:color w:val="000000" w:themeColor="text1"/>
        </w:rPr>
        <w:t>Renewable and Sustainable Energy Reviews, 74, 221–229.</w:t>
      </w:r>
      <w:r w:rsidRPr="00E214CC">
        <w:rPr>
          <w:rFonts w:cs="Times New Roman"/>
          <w:color w:val="000000" w:themeColor="text1"/>
        </w:rPr>
        <w:t xml:space="preserve"> https://doi.org/10.1016/j.rser.2017.01.128</w:t>
      </w:r>
    </w:p>
    <w:p w14:paraId="05325625" w14:textId="77777777" w:rsidR="0065586D" w:rsidRDefault="0065586D" w:rsidP="002F6AD9">
      <w:pPr>
        <w:rPr>
          <w:rFonts w:cs="Times New Roman"/>
          <w:color w:val="000000" w:themeColor="text1"/>
          <w:shd w:val="clear" w:color="auto" w:fill="FFFFFF"/>
        </w:rPr>
      </w:pPr>
      <w:r w:rsidRPr="00494E6A">
        <w:rPr>
          <w:rFonts w:cs="Times New Roman"/>
          <w:color w:val="000000" w:themeColor="text1"/>
          <w:shd w:val="clear" w:color="auto" w:fill="FFFFFF"/>
        </w:rPr>
        <w:t>Zayas, J., Derby, M., &amp; Gilman, P. (2015). Enabling Wind Power Nationwide. Retrieved from US Department of Energy website: http://www.energy.gov/sites/prod/files/2015/05/f22/Enabling-Wind-Power-Nationwide_18MAY2015_FINAL.pdf</w:t>
      </w:r>
    </w:p>
    <w:p w14:paraId="771F7100" w14:textId="77777777" w:rsidR="0065586D" w:rsidRDefault="0065586D" w:rsidP="00E214CC">
      <w:pPr>
        <w:rPr>
          <w:rFonts w:cs="Times New Roman"/>
          <w:bCs/>
          <w:color w:val="000000" w:themeColor="text1"/>
        </w:rPr>
      </w:pPr>
      <w:r w:rsidRPr="00494E6A">
        <w:rPr>
          <w:rFonts w:cs="Times New Roman"/>
          <w:bCs/>
          <w:color w:val="000000" w:themeColor="text1"/>
        </w:rPr>
        <w:t xml:space="preserve">Zhang, S., &amp; Qi, J. (2011). Small wind power in China: Current status and future potentials. </w:t>
      </w:r>
      <w:r w:rsidRPr="008D107D">
        <w:rPr>
          <w:rFonts w:cs="Times New Roman"/>
          <w:bCs/>
          <w:i/>
          <w:color w:val="000000" w:themeColor="text1"/>
        </w:rPr>
        <w:t>Renewable and Sustainable Energy Reviews, 15(5), 2457–2460</w:t>
      </w:r>
      <w:r w:rsidRPr="00494E6A">
        <w:rPr>
          <w:rFonts w:cs="Times New Roman"/>
          <w:bCs/>
          <w:color w:val="000000" w:themeColor="text1"/>
        </w:rPr>
        <w:t>. https://doi.org/10.1016/j.rser.2011.02.009</w:t>
      </w:r>
    </w:p>
    <w:p w14:paraId="0C3F099C" w14:textId="77777777" w:rsidR="0065586D" w:rsidRPr="00E214CC" w:rsidRDefault="0065586D" w:rsidP="002F6AD9">
      <w:pPr>
        <w:rPr>
          <w:rFonts w:cs="Times New Roman"/>
          <w:color w:val="000000" w:themeColor="text1"/>
          <w:shd w:val="clear" w:color="auto" w:fill="FFFFFF"/>
        </w:rPr>
      </w:pPr>
      <w:r w:rsidRPr="00E214CC">
        <w:rPr>
          <w:rFonts w:cs="Times New Roman"/>
          <w:color w:val="000000" w:themeColor="text1"/>
          <w:shd w:val="clear" w:color="auto" w:fill="FFFFFF"/>
        </w:rPr>
        <w:t>Zhang, Sufang, and Jianxun Qi (2011). Small wind power in China: Current status and future potentials.</w:t>
      </w:r>
      <w:r w:rsidRPr="00E214CC">
        <w:rPr>
          <w:rStyle w:val="apple-converted-space"/>
          <w:rFonts w:cs="Times New Roman"/>
          <w:color w:val="000000" w:themeColor="text1"/>
          <w:shd w:val="clear" w:color="auto" w:fill="FFFFFF"/>
        </w:rPr>
        <w:t> </w:t>
      </w:r>
      <w:r w:rsidRPr="00E214CC">
        <w:rPr>
          <w:rFonts w:cs="Times New Roman"/>
          <w:i/>
          <w:iCs/>
          <w:color w:val="000000" w:themeColor="text1"/>
          <w:shd w:val="clear" w:color="auto" w:fill="FFFFFF"/>
        </w:rPr>
        <w:t>Renewable and Sustainable Energy Reviews</w:t>
      </w:r>
      <w:r w:rsidRPr="00E214CC">
        <w:rPr>
          <w:rStyle w:val="apple-converted-space"/>
          <w:rFonts w:cs="Times New Roman"/>
          <w:color w:val="000000" w:themeColor="text1"/>
          <w:shd w:val="clear" w:color="auto" w:fill="FFFFFF"/>
        </w:rPr>
        <w:t> </w:t>
      </w:r>
      <w:r w:rsidRPr="00E214CC">
        <w:rPr>
          <w:rFonts w:cs="Times New Roman"/>
          <w:color w:val="000000" w:themeColor="text1"/>
          <w:shd w:val="clear" w:color="auto" w:fill="FFFFFF"/>
        </w:rPr>
        <w:t>15.5: 2457-2460.</w:t>
      </w:r>
    </w:p>
    <w:p w14:paraId="69605BD8" w14:textId="77777777" w:rsidR="0065586D" w:rsidRPr="00E214CC" w:rsidRDefault="0065586D" w:rsidP="00E214CC">
      <w:pPr>
        <w:rPr>
          <w:rFonts w:cs="Times New Roman"/>
          <w:bCs/>
          <w:color w:val="000000" w:themeColor="text1"/>
        </w:rPr>
      </w:pPr>
      <w:r w:rsidRPr="00494E6A">
        <w:rPr>
          <w:rFonts w:cs="Times New Roman"/>
          <w:bCs/>
          <w:color w:val="000000" w:themeColor="text1"/>
        </w:rPr>
        <w:t>Zhu, J., &amp; Ye, Y. (2014). Feasibility Study of Zero Carbon Domestic Building in the UK. 103. Retrieved from http://docs.lib.purdue.edu/ihpbc/103/</w:t>
      </w:r>
    </w:p>
    <w:bookmarkEnd w:id="61"/>
    <w:p w14:paraId="691202CE" w14:textId="77777777" w:rsidR="002F6AD9" w:rsidRPr="00E214CC" w:rsidRDefault="002F6AD9">
      <w:pPr>
        <w:spacing w:after="160" w:line="259" w:lineRule="auto"/>
        <w:jc w:val="left"/>
        <w:rPr>
          <w:rFonts w:asciiTheme="majorHAnsi" w:eastAsiaTheme="majorEastAsia" w:hAnsiTheme="majorHAnsi" w:cs="Times New Roman (Headings CS)"/>
          <w:b/>
          <w:bCs/>
          <w:smallCaps/>
          <w:color w:val="000000" w:themeColor="text1"/>
          <w:sz w:val="36"/>
          <w:szCs w:val="36"/>
        </w:rPr>
      </w:pPr>
      <w:r w:rsidRPr="00E214CC">
        <w:rPr>
          <w:color w:val="000000" w:themeColor="text1"/>
        </w:rPr>
        <w:br w:type="page"/>
      </w:r>
    </w:p>
    <w:p w14:paraId="02EABFF3" w14:textId="2E28AA17" w:rsidR="006745FF" w:rsidRPr="00C07E6B" w:rsidRDefault="006745FF" w:rsidP="00353EE4">
      <w:pPr>
        <w:pStyle w:val="Heading1"/>
        <w:numPr>
          <w:ilvl w:val="0"/>
          <w:numId w:val="24"/>
        </w:numPr>
      </w:pPr>
      <w:bookmarkStart w:id="62" w:name="_Toc23613471"/>
      <w:r w:rsidRPr="00E069AC">
        <w:t>Glossary</w:t>
      </w:r>
      <w:bookmarkEnd w:id="62"/>
    </w:p>
    <w:p w14:paraId="02D27B4A" w14:textId="64FD13A7" w:rsidR="006745FF" w:rsidRPr="00E069AC" w:rsidRDefault="006745FF" w:rsidP="00996E91">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rsidR="00F4258D">
        <w:t>,</w:t>
      </w:r>
      <w:r w:rsidRPr="00E069AC">
        <w:t xml:space="preserve"> a solution is one of reduced heating energy usage due to better insulation, then the solution adoption is translated into an increase in </w:t>
      </w:r>
      <w:r w:rsidR="00F4258D">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rsidR="00F4258D">
        <w:t xml:space="preserve">the </w:t>
      </w:r>
      <w:r w:rsidRPr="00E069AC">
        <w:t>high growth of the solution.</w:t>
      </w:r>
    </w:p>
    <w:p w14:paraId="5FD0673A" w14:textId="5BE7E387" w:rsidR="006745FF" w:rsidRPr="00E069AC" w:rsidRDefault="006745FF" w:rsidP="00996E91">
      <w:r w:rsidRPr="00E069AC">
        <w:rPr>
          <w:b/>
        </w:rPr>
        <w:t>Approximate PPM Equivalent</w:t>
      </w:r>
      <w:r w:rsidRPr="00E069AC">
        <w:t xml:space="preserve"> – the reduction in </w:t>
      </w:r>
      <w:r w:rsidR="00F4258D">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59150663" w14:textId="6A10A787" w:rsidR="006745FF" w:rsidRPr="00E069AC" w:rsidRDefault="006745FF" w:rsidP="00996E91">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16A2F2DD" w14:textId="1875D470" w:rsidR="006745FF" w:rsidRPr="00E069AC" w:rsidRDefault="006745FF" w:rsidP="00996E91">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rsidR="00F4258D">
        <w:t xml:space="preserve">the </w:t>
      </w:r>
      <w:r w:rsidRPr="00E069AC">
        <w:t xml:space="preserve">total number of passenger-km driven by a hybrid vehicle in a year depends on </w:t>
      </w:r>
      <w:r w:rsidR="00F4258D">
        <w:t xml:space="preserve">the </w:t>
      </w:r>
      <w:r w:rsidRPr="00E069AC">
        <w:t xml:space="preserve">country and </w:t>
      </w:r>
      <w:r w:rsidR="00F4258D">
        <w:t xml:space="preserve">the </w:t>
      </w:r>
      <w:r w:rsidRPr="00E069AC">
        <w:t xml:space="preserve">typical number of occupants. </w:t>
      </w:r>
      <w:r w:rsidR="0090360D">
        <w:t>It is</w:t>
      </w:r>
      <w:r w:rsidRPr="00E069AC">
        <w:t xml:space="preserve"> </w:t>
      </w:r>
      <w:r w:rsidR="0090360D">
        <w:t>considered a</w:t>
      </w:r>
      <w:r w:rsidRPr="00E069AC">
        <w:t xml:space="preserve"> global weighted averages for this input. This is used to estimate the </w:t>
      </w:r>
      <w:r w:rsidRPr="00E069AC">
        <w:rPr>
          <w:b/>
        </w:rPr>
        <w:t>Replacement Time</w:t>
      </w:r>
      <w:r w:rsidRPr="00E069AC">
        <w:t>.</w:t>
      </w:r>
    </w:p>
    <w:p w14:paraId="044BB52C" w14:textId="77777777" w:rsidR="006745FF" w:rsidRPr="00E069AC" w:rsidRDefault="006745FF" w:rsidP="00996E91">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E069AC" w:rsidRDefault="006745FF" w:rsidP="00996E91">
      <w:r w:rsidRPr="00E069AC">
        <w:rPr>
          <w:b/>
        </w:rPr>
        <w:t>Direct Emissions</w:t>
      </w:r>
      <w:r w:rsidRPr="00E069AC">
        <w:t xml:space="preserve"> – emissions caused by the operation of the solution, which are typically caused </w:t>
      </w:r>
      <w:r w:rsidR="00F4258D">
        <w:t>by</w:t>
      </w:r>
      <w:r w:rsidRPr="00E069AC">
        <w:t xml:space="preserve"> the lifetime </w:t>
      </w:r>
      <w:r w:rsidR="00F4258D">
        <w:t xml:space="preserve">use </w:t>
      </w:r>
      <w:r w:rsidRPr="00E069AC">
        <w:t>of the solution. They should be entered into the model normalized per functional unit.</w:t>
      </w:r>
    </w:p>
    <w:p w14:paraId="1C32899A" w14:textId="30052717" w:rsidR="006745FF" w:rsidRPr="00E069AC" w:rsidRDefault="006745FF" w:rsidP="00996E91">
      <w:r w:rsidRPr="00E069AC">
        <w:rPr>
          <w:b/>
        </w:rPr>
        <w:t>Discount Rate</w:t>
      </w:r>
      <w:r w:rsidRPr="00E069AC">
        <w:t>- the interest rate used in discounted cash flow (DCF) analysis to determine the present value of future cash flows. The discount rate in DCF analysis takes into account</w:t>
      </w:r>
      <w:r w:rsidR="00F4258D">
        <w:t>,</w:t>
      </w:r>
      <w:r w:rsidRPr="00E069AC">
        <w:t xml:space="preserve"> not just the time value of money, but also the risk or uncertainty of future cash flows; the greater the uncertainty of future cash flows, the </w:t>
      </w:r>
      <w:r w:rsidR="00F4258D">
        <w:t>higher the discount rate.</w:t>
      </w:r>
      <w:r w:rsidRPr="00E069AC">
        <w:t xml:space="preserve"> Most importantly, the greater the discount rate, the more the future savings are devalued (which impacts the financial but not the climate impacts of the solution).  </w:t>
      </w:r>
    </w:p>
    <w:p w14:paraId="59D5AC90" w14:textId="77777777" w:rsidR="006745FF" w:rsidRPr="00E069AC" w:rsidRDefault="006745FF" w:rsidP="00996E91">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754A056C" w14:textId="77777777" w:rsidR="006745FF" w:rsidRPr="00E069AC" w:rsidRDefault="006745FF" w:rsidP="00996E91">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E069AC" w:rsidRDefault="006745FF" w:rsidP="00996E91">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t xml:space="preserve"> high-</w:t>
      </w:r>
      <w:r w:rsidRPr="00E069AC">
        <w:t>speed rail provides billions of passenger-km of mobility.</w:t>
      </w:r>
    </w:p>
    <w:p w14:paraId="40F3C0D9" w14:textId="29A617B7" w:rsidR="006745FF" w:rsidRPr="00E069AC" w:rsidRDefault="006745FF" w:rsidP="00996E91">
      <w:r w:rsidRPr="00E069AC">
        <w:rPr>
          <w:b/>
        </w:rPr>
        <w:t>Grid Emissions</w:t>
      </w:r>
      <w:r w:rsidRPr="00E069AC">
        <w:t xml:space="preserve"> – emissions caused by </w:t>
      </w:r>
      <w:r w:rsidR="00F4258D">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rsidR="00F4258D">
        <w:t>nario, is slowly getting cleaner</w:t>
      </w:r>
      <w:r w:rsidRPr="00E069AC">
        <w:t xml:space="preserve"> and that emissions factors fall over time resulting in lower grid emissions for the same electricity demand.</w:t>
      </w:r>
    </w:p>
    <w:p w14:paraId="623A0FE9" w14:textId="1C7C251F" w:rsidR="006745FF" w:rsidRPr="00E069AC" w:rsidRDefault="006745FF" w:rsidP="00996E91">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w:t>
      </w:r>
      <w:r w:rsidR="004D1C69">
        <w:t>micro wind power</w:t>
      </w:r>
      <w:r w:rsidRPr="00E069AC">
        <w:t xml:space="preserve"> is measured according to the total terawatts (TW) of capacity installed worldwide.</w:t>
      </w:r>
    </w:p>
    <w:p w14:paraId="688137A2" w14:textId="77777777" w:rsidR="006745FF" w:rsidRPr="00E069AC" w:rsidRDefault="006745FF" w:rsidP="00996E91">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E069AC" w:rsidRDefault="006745FF" w:rsidP="00996E91">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rsidR="00A84924">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77507D03" w14:textId="77777777" w:rsidR="006745FF" w:rsidRPr="00E069AC" w:rsidRDefault="006745FF" w:rsidP="00996E91">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E069AC" w:rsidRDefault="006745FF" w:rsidP="00996E91">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49E72DD2" w14:textId="77777777" w:rsidR="006745FF" w:rsidRPr="00E069AC" w:rsidRDefault="006745FF" w:rsidP="00996E91">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44D5A85B" w14:textId="77777777" w:rsidR="006745FF" w:rsidRPr="00E069AC" w:rsidRDefault="006745FF" w:rsidP="00996E91">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E069AC" w:rsidRDefault="006745FF" w:rsidP="00996E91">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0360F8D5" w14:textId="77777777" w:rsidR="006745FF" w:rsidRPr="00E069AC" w:rsidRDefault="006745FF" w:rsidP="00996E91">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3A36C3BE" w14:textId="77777777" w:rsidR="006745FF" w:rsidRPr="00E069AC" w:rsidRDefault="006745FF" w:rsidP="00996E91">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62002AFC" w14:textId="769AE42E" w:rsidR="006745FF" w:rsidRPr="00E069AC" w:rsidRDefault="006745FF" w:rsidP="00996E91">
      <w:r w:rsidRPr="00E069AC">
        <w:rPr>
          <w:b/>
        </w:rPr>
        <w:t xml:space="preserve">Operating Costs </w:t>
      </w:r>
      <w:r w:rsidRPr="00E069AC">
        <w:t xml:space="preserve">– the average cost to ensure </w:t>
      </w:r>
      <w:r w:rsidR="00A84924">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3B7DF305" w14:textId="77777777" w:rsidR="006745FF" w:rsidRPr="00E069AC" w:rsidRDefault="006745FF" w:rsidP="00996E91">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69E0C8C0" w14:textId="7B2FDAF5" w:rsidR="006745FF" w:rsidRPr="00E069AC" w:rsidRDefault="006745FF" w:rsidP="00996E91">
      <w:r w:rsidRPr="00E069AC">
        <w:rPr>
          <w:b/>
        </w:rPr>
        <w:t>PDS/ Project Drawdown Scenario</w:t>
      </w:r>
      <w:r w:rsidRPr="00E069AC">
        <w:t xml:space="preserve"> – this is the high growth scenario for </w:t>
      </w:r>
      <w:r w:rsidR="00A84924">
        <w:t xml:space="preserve">the </w:t>
      </w:r>
      <w:r w:rsidRPr="00E069AC">
        <w:t>adoption of the solution</w:t>
      </w:r>
      <w:r w:rsidR="00A84924">
        <w:t>.</w:t>
      </w:r>
    </w:p>
    <w:p w14:paraId="6F8267F5" w14:textId="77777777" w:rsidR="006745FF" w:rsidRPr="00E069AC" w:rsidRDefault="006745FF" w:rsidP="00996E91">
      <w:r w:rsidRPr="00E069AC">
        <w:rPr>
          <w:b/>
        </w:rPr>
        <w:t>PPB/ Parts per Billion</w:t>
      </w:r>
      <w:r w:rsidRPr="00E069AC">
        <w:t xml:space="preserve"> – a measure of concentration for atmospheric gases. 10 million PPB = 1%.</w:t>
      </w:r>
    </w:p>
    <w:p w14:paraId="78DB05A8" w14:textId="77777777" w:rsidR="006745FF" w:rsidRPr="00E069AC" w:rsidRDefault="006745FF" w:rsidP="00996E91">
      <w:r w:rsidRPr="00E069AC">
        <w:rPr>
          <w:b/>
        </w:rPr>
        <w:t>PPM/ Parts per Million</w:t>
      </w:r>
      <w:r w:rsidRPr="00E069AC">
        <w:t xml:space="preserve"> – a measure of concentration for atmospheric gases. 10 thousand PPM = 1%.</w:t>
      </w:r>
    </w:p>
    <w:p w14:paraId="0574EE5A" w14:textId="75EFD473" w:rsidR="006745FF" w:rsidRPr="00E069AC" w:rsidRDefault="006745FF" w:rsidP="00996E91">
      <w:r w:rsidRPr="00E069AC">
        <w:rPr>
          <w:b/>
        </w:rPr>
        <w:t>REF/ Reference Scenario</w:t>
      </w:r>
      <w:r w:rsidRPr="00E069AC">
        <w:t xml:space="preserve"> – this is the low growth scenario for </w:t>
      </w:r>
      <w:r w:rsidR="00A84924">
        <w:t xml:space="preserve">the </w:t>
      </w:r>
      <w:r w:rsidRPr="00E069AC">
        <w:t xml:space="preserve">adoption of the solution against which all </w:t>
      </w:r>
      <w:r w:rsidRPr="00E069AC">
        <w:rPr>
          <w:b/>
        </w:rPr>
        <w:t>PDS scenarios</w:t>
      </w:r>
      <w:r w:rsidRPr="00E069AC">
        <w:t xml:space="preserve"> are compared.</w:t>
      </w:r>
    </w:p>
    <w:p w14:paraId="333AF401" w14:textId="7C332B53" w:rsidR="001759D2" w:rsidRPr="00E069AC" w:rsidRDefault="001759D2" w:rsidP="00996E91">
      <w:pPr>
        <w:rPr>
          <w:rFonts w:cstheme="minorHAnsi"/>
        </w:rPr>
      </w:pPr>
      <w:r w:rsidRPr="00E069AC">
        <w:rPr>
          <w:rFonts w:cstheme="minorHAnsi"/>
          <w:b/>
        </w:rPr>
        <w:t>Regrets solution</w:t>
      </w:r>
      <w:r w:rsidRPr="00E069AC">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E069AC" w:rsidRDefault="006745FF" w:rsidP="00996E91">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013DD235" w14:textId="71FC070D" w:rsidR="00D25FC7" w:rsidRPr="00E069AC" w:rsidRDefault="001759D2" w:rsidP="00996E91">
      <w:r w:rsidRPr="00E069AC">
        <w:rPr>
          <w:b/>
        </w:rPr>
        <w:t xml:space="preserve">TAM/ Total Addressable Market </w:t>
      </w:r>
      <w:r w:rsidRPr="00E069AC">
        <w:t>–</w:t>
      </w:r>
      <w:r w:rsidR="00D25FC7" w:rsidRPr="00E069AC">
        <w:t xml:space="preserve"> represents the total potential market of functional demand provided by the technologies and practices under investigation, adjusting for estimated economic and population growth. For this solutions sector, it represents </w:t>
      </w:r>
      <w:r w:rsidR="00A84924">
        <w:t xml:space="preserve">the </w:t>
      </w:r>
      <w:r w:rsidRPr="00E069AC">
        <w:t>world and regional total addressable markets for electricity generation technologies in which the solutions are considered.</w:t>
      </w:r>
    </w:p>
    <w:p w14:paraId="06D9A50A" w14:textId="0FBA1D20" w:rsidR="006745FF" w:rsidRPr="00E069AC" w:rsidRDefault="006745FF" w:rsidP="00996E91">
      <w:r w:rsidRPr="00E069AC">
        <w:rPr>
          <w:b/>
        </w:rPr>
        <w:t>Total Emissions Reduction</w:t>
      </w:r>
      <w:r w:rsidRPr="00E069AC">
        <w:t xml:space="preserve"> – the sum of </w:t>
      </w:r>
      <w:r w:rsidR="00A84924">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512C529B" w14:textId="2DAF5158" w:rsidR="001759D2" w:rsidRPr="00E069AC" w:rsidRDefault="001759D2" w:rsidP="00996E91">
      <w:pPr>
        <w:rPr>
          <w:rFonts w:cstheme="minorHAnsi"/>
        </w:rPr>
      </w:pPr>
      <w:r w:rsidRPr="00E069AC">
        <w:rPr>
          <w:rFonts w:cstheme="minorHAnsi"/>
          <w:b/>
        </w:rPr>
        <w:t>Transition solutions</w:t>
      </w:r>
      <w:r w:rsidRPr="00E069AC">
        <w:rPr>
          <w:rFonts w:cstheme="minorHAnsi"/>
        </w:rPr>
        <w:t xml:space="preserve"> </w:t>
      </w:r>
      <w:r w:rsidR="00A84924">
        <w:rPr>
          <w:rFonts w:cstheme="minorHAnsi"/>
        </w:rPr>
        <w:t xml:space="preserve">- </w:t>
      </w:r>
      <w:r w:rsidRPr="00E069AC">
        <w:rPr>
          <w:rFonts w:cstheme="minorHAnsi"/>
        </w:rPr>
        <w:t>are considered till better technologies a</w:t>
      </w:r>
      <w:r w:rsidR="00A84924">
        <w:rPr>
          <w:rFonts w:cstheme="minorHAnsi"/>
        </w:rPr>
        <w:t>nd less impactful are more cost-</w:t>
      </w:r>
      <w:r w:rsidRPr="00E069AC">
        <w:rPr>
          <w:rFonts w:cstheme="minorHAnsi"/>
        </w:rPr>
        <w:t xml:space="preserve">effective and mature. </w:t>
      </w:r>
    </w:p>
    <w:p w14:paraId="57B3845F" w14:textId="50903586" w:rsidR="006745FF" w:rsidRPr="00996E91" w:rsidRDefault="006745FF" w:rsidP="00EB247F">
      <w:r w:rsidRPr="00E069AC">
        <w:rPr>
          <w:b/>
        </w:rPr>
        <w:t>TWh/ Terawatt-hour</w:t>
      </w:r>
      <w:r w:rsidRPr="00E069AC">
        <w:t xml:space="preserve"> – A unit of energy equal to 1 billion kilowatt-hours</w:t>
      </w:r>
      <w:r w:rsidR="0087599B">
        <w:t>.</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0C01" w14:textId="77777777" w:rsidR="004A0C3D" w:rsidRDefault="004A0C3D" w:rsidP="00D26F59">
      <w:pPr>
        <w:spacing w:after="0"/>
      </w:pPr>
      <w:r>
        <w:separator/>
      </w:r>
    </w:p>
  </w:endnote>
  <w:endnote w:type="continuationSeparator" w:id="0">
    <w:p w14:paraId="16B143B5" w14:textId="77777777" w:rsidR="004A0C3D" w:rsidRDefault="004A0C3D"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240C0E" w:rsidRDefault="00240C0E"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240C0E" w:rsidRDefault="00240C0E"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240C0E" w:rsidRDefault="00240C0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240C0E" w:rsidRDefault="00240C0E"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F576" w14:textId="77777777" w:rsidR="004A0C3D" w:rsidRDefault="004A0C3D" w:rsidP="00D26F59">
      <w:pPr>
        <w:spacing w:after="0"/>
      </w:pPr>
      <w:r>
        <w:separator/>
      </w:r>
    </w:p>
  </w:footnote>
  <w:footnote w:type="continuationSeparator" w:id="0">
    <w:p w14:paraId="4E11A5D1" w14:textId="77777777" w:rsidR="004A0C3D" w:rsidRDefault="004A0C3D" w:rsidP="00D26F59">
      <w:pPr>
        <w:spacing w:after="0"/>
      </w:pPr>
      <w:r>
        <w:continuationSeparator/>
      </w:r>
    </w:p>
  </w:footnote>
  <w:footnote w:id="1">
    <w:p w14:paraId="483AC51D" w14:textId="77777777" w:rsidR="00240C0E" w:rsidRDefault="00240C0E" w:rsidP="002B53DF">
      <w:pPr>
        <w:pStyle w:val="FootnoteText"/>
      </w:pPr>
      <w:r>
        <w:rPr>
          <w:rStyle w:val="FootnoteReference"/>
        </w:rPr>
        <w:footnoteRef/>
      </w:r>
      <w:r>
        <w:t xml:space="preserve"> World Wind Energy Association, ‘Small Wind World Report, 2016’</w:t>
      </w:r>
    </w:p>
  </w:footnote>
  <w:footnote w:id="2">
    <w:p w14:paraId="6C8902A7" w14:textId="2BFA732C" w:rsidR="00240C0E" w:rsidRDefault="00240C0E" w:rsidP="00767F96">
      <w:pPr>
        <w:pStyle w:val="FootnoteText"/>
      </w:pPr>
      <w:r w:rsidRPr="009A4D96">
        <w:rPr>
          <w:rStyle w:val="FootnoteReference"/>
        </w:rPr>
        <w:footnoteRef/>
      </w:r>
      <w:r w:rsidRPr="009A4D96">
        <w:t xml:space="preserve"> The IPCC’s 5</w:t>
      </w:r>
      <w:r w:rsidRPr="009A4D96">
        <w:rPr>
          <w:vertAlign w:val="superscript"/>
        </w:rPr>
        <w:t>th</w:t>
      </w:r>
      <w:r w:rsidRPr="009A4D96">
        <w:t xml:space="preserve"> Assessment Report analyzes the following sources: </w:t>
      </w:r>
      <w:r w:rsidRPr="009A4D96">
        <w:rPr>
          <w:u w:val="single"/>
        </w:rPr>
        <w:t>Coal:</w:t>
      </w:r>
      <w:r w:rsidRPr="009A4D96">
        <w:t xml:space="preserve"> Black and Veatch (2012), DEA (2012), IEA/NEA (2010), IEA (2013a), IEA-RETD (2013), Schmidt et al. (2012), US EIA (2013). </w:t>
      </w:r>
      <w:r w:rsidRPr="009A4D96">
        <w:rPr>
          <w:u w:val="single"/>
        </w:rPr>
        <w:t>Gas Combined Cycle:</w:t>
      </w:r>
      <w:r w:rsidRPr="009A4D96">
        <w:t xml:space="preserve"> Black and Veatch (2012), DEA </w:t>
      </w:r>
      <w:r>
        <w:t xml:space="preserve">(2012), </w:t>
      </w:r>
      <w:r w:rsidRPr="00E069AC">
        <w:t>IEA/NEA (2010), IEA (2011),</w:t>
      </w:r>
      <w:r>
        <w:t xml:space="preserve"> </w:t>
      </w:r>
      <w:r w:rsidRPr="00E069AC">
        <w:t xml:space="preserve">IEA (2013a), IEA-RETD (2013), Schmidt </w:t>
      </w:r>
      <w:r w:rsidRPr="00E069AC">
        <w:rPr>
          <w:i/>
        </w:rPr>
        <w:t>et al.</w:t>
      </w:r>
      <w:r w:rsidRPr="00E069AC">
        <w:t xml:space="preserve"> (2012), US EIA (2013).</w:t>
      </w:r>
    </w:p>
  </w:footnote>
  <w:footnote w:id="3">
    <w:p w14:paraId="73480CD1" w14:textId="1D40688F" w:rsidR="00240C0E" w:rsidRPr="007225CF" w:rsidRDefault="00240C0E" w:rsidP="007225CF">
      <w:pPr>
        <w:spacing w:after="0" w:line="240" w:lineRule="auto"/>
        <w:jc w:val="left"/>
        <w:rPr>
          <w:rFonts w:eastAsia="Times New Roman" w:cs="Times New Roman"/>
          <w:sz w:val="18"/>
          <w:szCs w:val="18"/>
          <w:lang w:eastAsia="en-US"/>
        </w:rPr>
      </w:pPr>
      <w:r>
        <w:rPr>
          <w:rStyle w:val="FootnoteReference"/>
        </w:rPr>
        <w:footnoteRef/>
      </w:r>
      <w:r>
        <w:t xml:space="preserve"> </w:t>
      </w:r>
      <w:r w:rsidRPr="002971A6">
        <w:rPr>
          <w:rStyle w:val="FootnoteReference"/>
          <w:rFonts w:cs="Times New Roman"/>
          <w:sz w:val="18"/>
          <w:szCs w:val="18"/>
        </w:rPr>
        <w:footnoteRef/>
      </w:r>
      <w:r w:rsidRPr="002971A6">
        <w:rPr>
          <w:rFonts w:cs="Times New Roman"/>
          <w:sz w:val="18"/>
          <w:szCs w:val="18"/>
        </w:rP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footnote>
  <w:footnote w:id="4">
    <w:p w14:paraId="7183C9BF" w14:textId="77777777" w:rsidR="00240C0E" w:rsidRDefault="00240C0E"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F28E1"/>
    <w:multiLevelType w:val="multilevel"/>
    <w:tmpl w:val="D6AE832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5" w15:restartNumberingAfterBreak="0">
    <w:nsid w:val="06E416D1"/>
    <w:multiLevelType w:val="multilevel"/>
    <w:tmpl w:val="23E0C60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C0135F"/>
    <w:multiLevelType w:val="hybridMultilevel"/>
    <w:tmpl w:val="9A4CD2F2"/>
    <w:lvl w:ilvl="0" w:tplc="85C8F1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C328F4"/>
    <w:multiLevelType w:val="multilevel"/>
    <w:tmpl w:val="A71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12"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C4211"/>
    <w:multiLevelType w:val="hybridMultilevel"/>
    <w:tmpl w:val="B00EAAEC"/>
    <w:lvl w:ilvl="0" w:tplc="CBD2D7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5" w15:restartNumberingAfterBreak="0">
    <w:nsid w:val="2C7F4F1E"/>
    <w:multiLevelType w:val="hybridMultilevel"/>
    <w:tmpl w:val="15C6C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B3E77"/>
    <w:multiLevelType w:val="hybridMultilevel"/>
    <w:tmpl w:val="1E8C5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DE06F80"/>
    <w:multiLevelType w:val="multilevel"/>
    <w:tmpl w:val="83805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E94073E"/>
    <w:multiLevelType w:val="multilevel"/>
    <w:tmpl w:val="845A017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4412BA"/>
    <w:multiLevelType w:val="multilevel"/>
    <w:tmpl w:val="247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435B3667"/>
    <w:multiLevelType w:val="multilevel"/>
    <w:tmpl w:val="A56834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3F55A2C"/>
    <w:multiLevelType w:val="hybridMultilevel"/>
    <w:tmpl w:val="6280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8"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EA60F0"/>
    <w:multiLevelType w:val="hybridMultilevel"/>
    <w:tmpl w:val="2074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AE40FB"/>
    <w:multiLevelType w:val="hybridMultilevel"/>
    <w:tmpl w:val="17EC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32" w15:restartNumberingAfterBreak="0">
    <w:nsid w:val="60480584"/>
    <w:multiLevelType w:val="multilevel"/>
    <w:tmpl w:val="A6800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757E4"/>
    <w:multiLevelType w:val="multilevel"/>
    <w:tmpl w:val="428A09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6"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AC6BC0"/>
    <w:multiLevelType w:val="multilevel"/>
    <w:tmpl w:val="D85852A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41"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11"/>
  </w:num>
  <w:num w:numId="2">
    <w:abstractNumId w:val="41"/>
  </w:num>
  <w:num w:numId="3">
    <w:abstractNumId w:val="31"/>
  </w:num>
  <w:num w:numId="4">
    <w:abstractNumId w:val="8"/>
  </w:num>
  <w:num w:numId="5">
    <w:abstractNumId w:val="40"/>
  </w:num>
  <w:num w:numId="6">
    <w:abstractNumId w:val="27"/>
  </w:num>
  <w:num w:numId="7">
    <w:abstractNumId w:val="35"/>
  </w:num>
  <w:num w:numId="8">
    <w:abstractNumId w:val="4"/>
  </w:num>
  <w:num w:numId="9">
    <w:abstractNumId w:val="9"/>
  </w:num>
  <w:num w:numId="10">
    <w:abstractNumId w:val="24"/>
  </w:num>
  <w:num w:numId="11">
    <w:abstractNumId w:val="19"/>
  </w:num>
  <w:num w:numId="12">
    <w:abstractNumId w:val="33"/>
  </w:num>
  <w:num w:numId="13">
    <w:abstractNumId w:val="12"/>
  </w:num>
  <w:num w:numId="14">
    <w:abstractNumId w:val="16"/>
  </w:num>
  <w:num w:numId="15">
    <w:abstractNumId w:val="2"/>
  </w:num>
  <w:num w:numId="16">
    <w:abstractNumId w:val="6"/>
  </w:num>
  <w:num w:numId="17">
    <w:abstractNumId w:val="36"/>
  </w:num>
  <w:num w:numId="18">
    <w:abstractNumId w:val="39"/>
  </w:num>
  <w:num w:numId="19">
    <w:abstractNumId w:val="38"/>
  </w:num>
  <w:num w:numId="20">
    <w:abstractNumId w:val="18"/>
  </w:num>
  <w:num w:numId="21">
    <w:abstractNumId w:val="9"/>
  </w:num>
  <w:num w:numId="22">
    <w:abstractNumId w:val="9"/>
  </w:num>
  <w:num w:numId="23">
    <w:abstractNumId w:val="14"/>
  </w:num>
  <w:num w:numId="24">
    <w:abstractNumId w:val="20"/>
  </w:num>
  <w:num w:numId="25">
    <w:abstractNumId w:val="28"/>
  </w:num>
  <w:num w:numId="26">
    <w:abstractNumId w:val="22"/>
  </w:num>
  <w:num w:numId="27">
    <w:abstractNumId w:val="22"/>
  </w:num>
  <w:num w:numId="28">
    <w:abstractNumId w:val="22"/>
    <w:lvlOverride w:ilvl="0">
      <w:startOverride w:val="2"/>
    </w:lvlOverride>
    <w:lvlOverride w:ilvl="1">
      <w:startOverride w:val="1"/>
    </w:lvlOverride>
  </w:num>
  <w:num w:numId="29">
    <w:abstractNumId w:val="22"/>
    <w:lvlOverride w:ilvl="0">
      <w:startOverride w:val="4"/>
    </w:lvlOverride>
    <w:lvlOverride w:ilvl="1">
      <w:startOverride w:val="1"/>
    </w:lvlOverride>
  </w:num>
  <w:num w:numId="30">
    <w:abstractNumId w:val="22"/>
    <w:lvlOverride w:ilvl="0">
      <w:startOverride w:val="3"/>
    </w:lvlOverride>
    <w:lvlOverride w:ilvl="1">
      <w:startOverride w:val="1"/>
    </w:lvlOverride>
  </w:num>
  <w:num w:numId="31">
    <w:abstractNumId w:val="23"/>
  </w:num>
  <w:num w:numId="32">
    <w:abstractNumId w:val="30"/>
  </w:num>
  <w:num w:numId="33">
    <w:abstractNumId w:val="10"/>
  </w:num>
  <w:num w:numId="34">
    <w:abstractNumId w:val="32"/>
  </w:num>
  <w:num w:numId="35">
    <w:abstractNumId w:val="15"/>
  </w:num>
  <w:num w:numId="36">
    <w:abstractNumId w:val="29"/>
  </w:num>
  <w:num w:numId="37">
    <w:abstractNumId w:val="26"/>
  </w:num>
  <w:num w:numId="38">
    <w:abstractNumId w:val="22"/>
    <w:lvlOverride w:ilvl="0">
      <w:startOverride w:val="2"/>
    </w:lvlOverride>
    <w:lvlOverride w:ilvl="1">
      <w:startOverride w:val="1"/>
    </w:lvlOverride>
  </w:num>
  <w:num w:numId="39">
    <w:abstractNumId w:val="22"/>
    <w:lvlOverride w:ilvl="0">
      <w:startOverride w:val="2"/>
    </w:lvlOverride>
    <w:lvlOverride w:ilvl="1">
      <w:startOverride w:val="1"/>
    </w:lvlOverride>
  </w:num>
  <w:num w:numId="40">
    <w:abstractNumId w:val="20"/>
    <w:lvlOverride w:ilvl="0">
      <w:startOverride w:val="2"/>
    </w:lvlOverride>
    <w:lvlOverride w:ilvl="1">
      <w:startOverride w:val="2"/>
    </w:lvlOverride>
  </w:num>
  <w:num w:numId="41">
    <w:abstractNumId w:val="22"/>
    <w:lvlOverride w:ilvl="0">
      <w:startOverride w:val="2"/>
    </w:lvlOverride>
    <w:lvlOverride w:ilvl="1">
      <w:startOverride w:val="4"/>
    </w:lvlOverride>
    <w:lvlOverride w:ilvl="2">
      <w:startOverride w:val="1"/>
    </w:lvlOverride>
  </w:num>
  <w:num w:numId="42">
    <w:abstractNumId w:val="22"/>
    <w:lvlOverride w:ilvl="0">
      <w:startOverride w:val="2"/>
    </w:lvlOverride>
    <w:lvlOverride w:ilvl="1">
      <w:startOverride w:val="4"/>
    </w:lvlOverride>
    <w:lvlOverride w:ilvl="2">
      <w:startOverride w:val="1"/>
    </w:lvlOverride>
  </w:num>
  <w:num w:numId="43">
    <w:abstractNumId w:val="22"/>
    <w:lvlOverride w:ilvl="0">
      <w:startOverride w:val="2"/>
    </w:lvlOverride>
    <w:lvlOverride w:ilvl="1">
      <w:startOverride w:val="4"/>
    </w:lvlOverride>
    <w:lvlOverride w:ilvl="2">
      <w:startOverride w:val="1"/>
    </w:lvlOverride>
  </w:num>
  <w:num w:numId="44">
    <w:abstractNumId w:val="22"/>
    <w:lvlOverride w:ilvl="0">
      <w:startOverride w:val="2"/>
    </w:lvlOverride>
    <w:lvlOverride w:ilvl="1">
      <w:startOverride w:val="4"/>
    </w:lvlOverride>
    <w:lvlOverride w:ilvl="2">
      <w:startOverride w:val="2"/>
    </w:lvlOverride>
  </w:num>
  <w:num w:numId="45">
    <w:abstractNumId w:val="5"/>
  </w:num>
  <w:num w:numId="46">
    <w:abstractNumId w:val="3"/>
  </w:num>
  <w:num w:numId="47">
    <w:abstractNumId w:val="37"/>
  </w:num>
  <w:num w:numId="48">
    <w:abstractNumId w:val="25"/>
  </w:num>
  <w:num w:numId="49">
    <w:abstractNumId w:val="21"/>
  </w:num>
  <w:num w:numId="50">
    <w:abstractNumId w:val="34"/>
  </w:num>
  <w:num w:numId="51">
    <w:abstractNumId w:val="7"/>
  </w:num>
  <w:num w:numId="52">
    <w:abstractNumId w:val="13"/>
  </w:num>
  <w:num w:numId="53">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4CE5"/>
    <w:rsid w:val="000178CE"/>
    <w:rsid w:val="0002147A"/>
    <w:rsid w:val="00024F11"/>
    <w:rsid w:val="0002536D"/>
    <w:rsid w:val="00027B88"/>
    <w:rsid w:val="000330C6"/>
    <w:rsid w:val="000362B8"/>
    <w:rsid w:val="00054158"/>
    <w:rsid w:val="00054F4B"/>
    <w:rsid w:val="00056ED1"/>
    <w:rsid w:val="00057050"/>
    <w:rsid w:val="00075F31"/>
    <w:rsid w:val="000828F9"/>
    <w:rsid w:val="000829DC"/>
    <w:rsid w:val="000853A5"/>
    <w:rsid w:val="000856B7"/>
    <w:rsid w:val="000875B5"/>
    <w:rsid w:val="00091999"/>
    <w:rsid w:val="0009232E"/>
    <w:rsid w:val="0009271D"/>
    <w:rsid w:val="0009541F"/>
    <w:rsid w:val="0009635A"/>
    <w:rsid w:val="000A6439"/>
    <w:rsid w:val="000A656C"/>
    <w:rsid w:val="000A6F40"/>
    <w:rsid w:val="000B1609"/>
    <w:rsid w:val="000B1918"/>
    <w:rsid w:val="000B3EE3"/>
    <w:rsid w:val="000B6726"/>
    <w:rsid w:val="000C0E19"/>
    <w:rsid w:val="000C3205"/>
    <w:rsid w:val="000C3F49"/>
    <w:rsid w:val="000C7A55"/>
    <w:rsid w:val="000D1BE8"/>
    <w:rsid w:val="000D30DE"/>
    <w:rsid w:val="000D3855"/>
    <w:rsid w:val="000D7BC5"/>
    <w:rsid w:val="000E373B"/>
    <w:rsid w:val="000E4DBE"/>
    <w:rsid w:val="000E594F"/>
    <w:rsid w:val="000F131E"/>
    <w:rsid w:val="000F49CE"/>
    <w:rsid w:val="00101408"/>
    <w:rsid w:val="00105370"/>
    <w:rsid w:val="001073C8"/>
    <w:rsid w:val="00112479"/>
    <w:rsid w:val="00123A28"/>
    <w:rsid w:val="00124262"/>
    <w:rsid w:val="00124C49"/>
    <w:rsid w:val="00125B80"/>
    <w:rsid w:val="00136093"/>
    <w:rsid w:val="00140F1E"/>
    <w:rsid w:val="00145538"/>
    <w:rsid w:val="0015008A"/>
    <w:rsid w:val="00152E5D"/>
    <w:rsid w:val="001534F5"/>
    <w:rsid w:val="0016140E"/>
    <w:rsid w:val="0017202F"/>
    <w:rsid w:val="001759D2"/>
    <w:rsid w:val="00176B3E"/>
    <w:rsid w:val="00180BAC"/>
    <w:rsid w:val="001842BE"/>
    <w:rsid w:val="00190C4C"/>
    <w:rsid w:val="001962E7"/>
    <w:rsid w:val="0019631F"/>
    <w:rsid w:val="001A1AB8"/>
    <w:rsid w:val="001A6EB0"/>
    <w:rsid w:val="001B1300"/>
    <w:rsid w:val="001B3003"/>
    <w:rsid w:val="001B58F5"/>
    <w:rsid w:val="001B6292"/>
    <w:rsid w:val="001B6745"/>
    <w:rsid w:val="001C2B6F"/>
    <w:rsid w:val="001C3DC0"/>
    <w:rsid w:val="001C49CB"/>
    <w:rsid w:val="001C5872"/>
    <w:rsid w:val="001D17E8"/>
    <w:rsid w:val="001D49C5"/>
    <w:rsid w:val="001D49CF"/>
    <w:rsid w:val="001E0FF2"/>
    <w:rsid w:val="001F2EFC"/>
    <w:rsid w:val="001F6FB0"/>
    <w:rsid w:val="00202788"/>
    <w:rsid w:val="002054FC"/>
    <w:rsid w:val="0021082B"/>
    <w:rsid w:val="00210AC7"/>
    <w:rsid w:val="00213555"/>
    <w:rsid w:val="00213FD4"/>
    <w:rsid w:val="00215F04"/>
    <w:rsid w:val="00216B08"/>
    <w:rsid w:val="00221954"/>
    <w:rsid w:val="0023178B"/>
    <w:rsid w:val="00232AAA"/>
    <w:rsid w:val="00233C0E"/>
    <w:rsid w:val="00240C0E"/>
    <w:rsid w:val="002476A8"/>
    <w:rsid w:val="00255D19"/>
    <w:rsid w:val="00257824"/>
    <w:rsid w:val="00260326"/>
    <w:rsid w:val="002603E9"/>
    <w:rsid w:val="00260FD7"/>
    <w:rsid w:val="0026190F"/>
    <w:rsid w:val="0026327C"/>
    <w:rsid w:val="00264D1A"/>
    <w:rsid w:val="00266635"/>
    <w:rsid w:val="00270442"/>
    <w:rsid w:val="00272912"/>
    <w:rsid w:val="00274B56"/>
    <w:rsid w:val="00276E19"/>
    <w:rsid w:val="00284915"/>
    <w:rsid w:val="00290D71"/>
    <w:rsid w:val="00291D3C"/>
    <w:rsid w:val="00296FC2"/>
    <w:rsid w:val="002A4E84"/>
    <w:rsid w:val="002A62C7"/>
    <w:rsid w:val="002A7561"/>
    <w:rsid w:val="002B0FE2"/>
    <w:rsid w:val="002B4E23"/>
    <w:rsid w:val="002B53DF"/>
    <w:rsid w:val="002C0282"/>
    <w:rsid w:val="002C1CB0"/>
    <w:rsid w:val="002C20C8"/>
    <w:rsid w:val="002D402C"/>
    <w:rsid w:val="002D4B9E"/>
    <w:rsid w:val="002D5C14"/>
    <w:rsid w:val="002D6588"/>
    <w:rsid w:val="002D6F42"/>
    <w:rsid w:val="002E49AA"/>
    <w:rsid w:val="002E69FF"/>
    <w:rsid w:val="002F6AD9"/>
    <w:rsid w:val="0030099E"/>
    <w:rsid w:val="00300CEE"/>
    <w:rsid w:val="00303670"/>
    <w:rsid w:val="003069EE"/>
    <w:rsid w:val="003159DA"/>
    <w:rsid w:val="00325AF7"/>
    <w:rsid w:val="003260E9"/>
    <w:rsid w:val="00327B08"/>
    <w:rsid w:val="00333492"/>
    <w:rsid w:val="00333748"/>
    <w:rsid w:val="00344262"/>
    <w:rsid w:val="00345D35"/>
    <w:rsid w:val="0034746E"/>
    <w:rsid w:val="00353EE4"/>
    <w:rsid w:val="003612A7"/>
    <w:rsid w:val="00362CA0"/>
    <w:rsid w:val="00367667"/>
    <w:rsid w:val="0037089C"/>
    <w:rsid w:val="003727F8"/>
    <w:rsid w:val="00374564"/>
    <w:rsid w:val="003774D2"/>
    <w:rsid w:val="0038334F"/>
    <w:rsid w:val="00384418"/>
    <w:rsid w:val="003922A1"/>
    <w:rsid w:val="00394AE0"/>
    <w:rsid w:val="00395868"/>
    <w:rsid w:val="00396031"/>
    <w:rsid w:val="003A2697"/>
    <w:rsid w:val="003A4CBC"/>
    <w:rsid w:val="003A6500"/>
    <w:rsid w:val="003A7929"/>
    <w:rsid w:val="003A7FE2"/>
    <w:rsid w:val="003B2BDF"/>
    <w:rsid w:val="003B3B35"/>
    <w:rsid w:val="003B4C27"/>
    <w:rsid w:val="003C025A"/>
    <w:rsid w:val="003C04AF"/>
    <w:rsid w:val="003C3271"/>
    <w:rsid w:val="003C69B0"/>
    <w:rsid w:val="003D50A7"/>
    <w:rsid w:val="003E0AE3"/>
    <w:rsid w:val="00404ECF"/>
    <w:rsid w:val="004057C8"/>
    <w:rsid w:val="00416A4B"/>
    <w:rsid w:val="004207FA"/>
    <w:rsid w:val="00424303"/>
    <w:rsid w:val="00430D1D"/>
    <w:rsid w:val="00433358"/>
    <w:rsid w:val="00434098"/>
    <w:rsid w:val="00434F61"/>
    <w:rsid w:val="0044137C"/>
    <w:rsid w:val="00442F4B"/>
    <w:rsid w:val="004539B5"/>
    <w:rsid w:val="0045676A"/>
    <w:rsid w:val="004575C6"/>
    <w:rsid w:val="00463CE2"/>
    <w:rsid w:val="00466039"/>
    <w:rsid w:val="004674D8"/>
    <w:rsid w:val="00472B98"/>
    <w:rsid w:val="004775A5"/>
    <w:rsid w:val="00481F8C"/>
    <w:rsid w:val="00483FFA"/>
    <w:rsid w:val="00484358"/>
    <w:rsid w:val="004858E0"/>
    <w:rsid w:val="00486C75"/>
    <w:rsid w:val="00487017"/>
    <w:rsid w:val="00490F36"/>
    <w:rsid w:val="00492F5E"/>
    <w:rsid w:val="00494E6A"/>
    <w:rsid w:val="00496526"/>
    <w:rsid w:val="004A0C3D"/>
    <w:rsid w:val="004A4DFA"/>
    <w:rsid w:val="004A6074"/>
    <w:rsid w:val="004B0F11"/>
    <w:rsid w:val="004B1A0B"/>
    <w:rsid w:val="004B45D0"/>
    <w:rsid w:val="004B4859"/>
    <w:rsid w:val="004B4939"/>
    <w:rsid w:val="004B75B7"/>
    <w:rsid w:val="004C1461"/>
    <w:rsid w:val="004D1C69"/>
    <w:rsid w:val="004D345F"/>
    <w:rsid w:val="004D394F"/>
    <w:rsid w:val="004D5520"/>
    <w:rsid w:val="004D71CB"/>
    <w:rsid w:val="004E4047"/>
    <w:rsid w:val="004E4194"/>
    <w:rsid w:val="004F1696"/>
    <w:rsid w:val="004F531B"/>
    <w:rsid w:val="004F5425"/>
    <w:rsid w:val="00503F11"/>
    <w:rsid w:val="00506ECF"/>
    <w:rsid w:val="00507E76"/>
    <w:rsid w:val="00511617"/>
    <w:rsid w:val="005251A9"/>
    <w:rsid w:val="0053240D"/>
    <w:rsid w:val="005341AC"/>
    <w:rsid w:val="00535AC0"/>
    <w:rsid w:val="00540434"/>
    <w:rsid w:val="00540530"/>
    <w:rsid w:val="00541D39"/>
    <w:rsid w:val="005427B3"/>
    <w:rsid w:val="0054318D"/>
    <w:rsid w:val="00554184"/>
    <w:rsid w:val="00557A3B"/>
    <w:rsid w:val="00561650"/>
    <w:rsid w:val="00562C0F"/>
    <w:rsid w:val="0056442A"/>
    <w:rsid w:val="00564C96"/>
    <w:rsid w:val="0056710B"/>
    <w:rsid w:val="00570C51"/>
    <w:rsid w:val="00571C64"/>
    <w:rsid w:val="00572B42"/>
    <w:rsid w:val="005814D6"/>
    <w:rsid w:val="00582A44"/>
    <w:rsid w:val="00584CBD"/>
    <w:rsid w:val="00584ECC"/>
    <w:rsid w:val="00586894"/>
    <w:rsid w:val="00586AA5"/>
    <w:rsid w:val="00587538"/>
    <w:rsid w:val="00592C39"/>
    <w:rsid w:val="00592D80"/>
    <w:rsid w:val="005937F9"/>
    <w:rsid w:val="005A6986"/>
    <w:rsid w:val="005B496D"/>
    <w:rsid w:val="005B7A11"/>
    <w:rsid w:val="005C6EC2"/>
    <w:rsid w:val="005C77F5"/>
    <w:rsid w:val="005D026A"/>
    <w:rsid w:val="005D2B01"/>
    <w:rsid w:val="005D2B8D"/>
    <w:rsid w:val="005D2C9C"/>
    <w:rsid w:val="005D49A8"/>
    <w:rsid w:val="005D7848"/>
    <w:rsid w:val="005E2B26"/>
    <w:rsid w:val="005E40E9"/>
    <w:rsid w:val="005F1E2F"/>
    <w:rsid w:val="005F219E"/>
    <w:rsid w:val="005F38E3"/>
    <w:rsid w:val="005F5705"/>
    <w:rsid w:val="005F6F5D"/>
    <w:rsid w:val="00602408"/>
    <w:rsid w:val="00602DF7"/>
    <w:rsid w:val="006035E9"/>
    <w:rsid w:val="0060672D"/>
    <w:rsid w:val="00623266"/>
    <w:rsid w:val="00626C1F"/>
    <w:rsid w:val="00630CD1"/>
    <w:rsid w:val="00630E72"/>
    <w:rsid w:val="00631D39"/>
    <w:rsid w:val="00632C3B"/>
    <w:rsid w:val="00635618"/>
    <w:rsid w:val="00640665"/>
    <w:rsid w:val="00646BB7"/>
    <w:rsid w:val="00652B00"/>
    <w:rsid w:val="00654D87"/>
    <w:rsid w:val="0065579A"/>
    <w:rsid w:val="0065586D"/>
    <w:rsid w:val="00666AAB"/>
    <w:rsid w:val="0066753A"/>
    <w:rsid w:val="0066787A"/>
    <w:rsid w:val="006745FF"/>
    <w:rsid w:val="00682809"/>
    <w:rsid w:val="00683100"/>
    <w:rsid w:val="00691E69"/>
    <w:rsid w:val="0069370D"/>
    <w:rsid w:val="00695682"/>
    <w:rsid w:val="00695E13"/>
    <w:rsid w:val="006A106E"/>
    <w:rsid w:val="006A3B29"/>
    <w:rsid w:val="006A4A08"/>
    <w:rsid w:val="006A7503"/>
    <w:rsid w:val="006B267A"/>
    <w:rsid w:val="006C273F"/>
    <w:rsid w:val="006C72CA"/>
    <w:rsid w:val="006D3575"/>
    <w:rsid w:val="006D6012"/>
    <w:rsid w:val="006D6758"/>
    <w:rsid w:val="006E1CCE"/>
    <w:rsid w:val="006E32FC"/>
    <w:rsid w:val="006E4D75"/>
    <w:rsid w:val="006E54F2"/>
    <w:rsid w:val="006E63EC"/>
    <w:rsid w:val="006E6919"/>
    <w:rsid w:val="006E6C65"/>
    <w:rsid w:val="006F2600"/>
    <w:rsid w:val="006F505C"/>
    <w:rsid w:val="006F6334"/>
    <w:rsid w:val="006F6CC3"/>
    <w:rsid w:val="007053AD"/>
    <w:rsid w:val="007102BE"/>
    <w:rsid w:val="00717861"/>
    <w:rsid w:val="00720F3A"/>
    <w:rsid w:val="007225CF"/>
    <w:rsid w:val="0072606A"/>
    <w:rsid w:val="00733E39"/>
    <w:rsid w:val="00740504"/>
    <w:rsid w:val="0074235D"/>
    <w:rsid w:val="00744651"/>
    <w:rsid w:val="007500D3"/>
    <w:rsid w:val="00753F11"/>
    <w:rsid w:val="007546AE"/>
    <w:rsid w:val="007546C9"/>
    <w:rsid w:val="007548D8"/>
    <w:rsid w:val="007576C6"/>
    <w:rsid w:val="00761959"/>
    <w:rsid w:val="00762877"/>
    <w:rsid w:val="00763931"/>
    <w:rsid w:val="00767F96"/>
    <w:rsid w:val="00770E00"/>
    <w:rsid w:val="00775666"/>
    <w:rsid w:val="00776515"/>
    <w:rsid w:val="0078336E"/>
    <w:rsid w:val="007864AB"/>
    <w:rsid w:val="00791571"/>
    <w:rsid w:val="0079350D"/>
    <w:rsid w:val="00794375"/>
    <w:rsid w:val="007A58F9"/>
    <w:rsid w:val="007A6EF0"/>
    <w:rsid w:val="007B058F"/>
    <w:rsid w:val="007B0863"/>
    <w:rsid w:val="007C28E3"/>
    <w:rsid w:val="007C39C8"/>
    <w:rsid w:val="007C645A"/>
    <w:rsid w:val="007D1608"/>
    <w:rsid w:val="007D2C50"/>
    <w:rsid w:val="007D2C6A"/>
    <w:rsid w:val="007D4C43"/>
    <w:rsid w:val="007F067C"/>
    <w:rsid w:val="007F1623"/>
    <w:rsid w:val="007F1A54"/>
    <w:rsid w:val="007F218C"/>
    <w:rsid w:val="008006D0"/>
    <w:rsid w:val="00801004"/>
    <w:rsid w:val="00807D37"/>
    <w:rsid w:val="008113FA"/>
    <w:rsid w:val="00814EF4"/>
    <w:rsid w:val="008203FB"/>
    <w:rsid w:val="008209C2"/>
    <w:rsid w:val="008249AE"/>
    <w:rsid w:val="00824E03"/>
    <w:rsid w:val="00825FDD"/>
    <w:rsid w:val="00826C41"/>
    <w:rsid w:val="008274C2"/>
    <w:rsid w:val="008332CA"/>
    <w:rsid w:val="0083647A"/>
    <w:rsid w:val="008368CA"/>
    <w:rsid w:val="00837784"/>
    <w:rsid w:val="00843F48"/>
    <w:rsid w:val="0084641A"/>
    <w:rsid w:val="00846827"/>
    <w:rsid w:val="00847D79"/>
    <w:rsid w:val="0085286D"/>
    <w:rsid w:val="008579FD"/>
    <w:rsid w:val="008627CC"/>
    <w:rsid w:val="00871D38"/>
    <w:rsid w:val="0087599B"/>
    <w:rsid w:val="008775D1"/>
    <w:rsid w:val="00880262"/>
    <w:rsid w:val="008806DE"/>
    <w:rsid w:val="00883EBA"/>
    <w:rsid w:val="008912D4"/>
    <w:rsid w:val="008944B4"/>
    <w:rsid w:val="00896B2E"/>
    <w:rsid w:val="008D107D"/>
    <w:rsid w:val="008D1491"/>
    <w:rsid w:val="008D6D1A"/>
    <w:rsid w:val="008E6B1D"/>
    <w:rsid w:val="008F2ACC"/>
    <w:rsid w:val="0090360D"/>
    <w:rsid w:val="00905FBB"/>
    <w:rsid w:val="00907B1B"/>
    <w:rsid w:val="00910DE0"/>
    <w:rsid w:val="00912CC8"/>
    <w:rsid w:val="0091496E"/>
    <w:rsid w:val="00921574"/>
    <w:rsid w:val="00923F5D"/>
    <w:rsid w:val="0093067B"/>
    <w:rsid w:val="00930DE7"/>
    <w:rsid w:val="00931A79"/>
    <w:rsid w:val="009323F1"/>
    <w:rsid w:val="00933FD7"/>
    <w:rsid w:val="00936B09"/>
    <w:rsid w:val="00937CEB"/>
    <w:rsid w:val="00941CE1"/>
    <w:rsid w:val="0094349E"/>
    <w:rsid w:val="009470AC"/>
    <w:rsid w:val="00951B63"/>
    <w:rsid w:val="00952C5B"/>
    <w:rsid w:val="00954872"/>
    <w:rsid w:val="00954CF1"/>
    <w:rsid w:val="0096211B"/>
    <w:rsid w:val="00962201"/>
    <w:rsid w:val="00966190"/>
    <w:rsid w:val="00966563"/>
    <w:rsid w:val="00967E71"/>
    <w:rsid w:val="00971BA5"/>
    <w:rsid w:val="00972080"/>
    <w:rsid w:val="0097237E"/>
    <w:rsid w:val="00975091"/>
    <w:rsid w:val="009777E1"/>
    <w:rsid w:val="00977F6D"/>
    <w:rsid w:val="0098082B"/>
    <w:rsid w:val="00981A95"/>
    <w:rsid w:val="00982379"/>
    <w:rsid w:val="00983E39"/>
    <w:rsid w:val="00992B8D"/>
    <w:rsid w:val="00996E91"/>
    <w:rsid w:val="009A13BA"/>
    <w:rsid w:val="009A4537"/>
    <w:rsid w:val="009A4D96"/>
    <w:rsid w:val="009B6BC6"/>
    <w:rsid w:val="009B7C4C"/>
    <w:rsid w:val="009C0F77"/>
    <w:rsid w:val="009C30D4"/>
    <w:rsid w:val="009C373D"/>
    <w:rsid w:val="009C57FB"/>
    <w:rsid w:val="009D118F"/>
    <w:rsid w:val="009D37F7"/>
    <w:rsid w:val="009D3B78"/>
    <w:rsid w:val="009E3918"/>
    <w:rsid w:val="009E6074"/>
    <w:rsid w:val="009E6D18"/>
    <w:rsid w:val="009E6E89"/>
    <w:rsid w:val="009F306A"/>
    <w:rsid w:val="009F4361"/>
    <w:rsid w:val="009F4ECB"/>
    <w:rsid w:val="009F5599"/>
    <w:rsid w:val="009F7B3A"/>
    <w:rsid w:val="00A01B42"/>
    <w:rsid w:val="00A0321D"/>
    <w:rsid w:val="00A0399A"/>
    <w:rsid w:val="00A04734"/>
    <w:rsid w:val="00A07B5E"/>
    <w:rsid w:val="00A155C9"/>
    <w:rsid w:val="00A15761"/>
    <w:rsid w:val="00A206E9"/>
    <w:rsid w:val="00A2204D"/>
    <w:rsid w:val="00A2308B"/>
    <w:rsid w:val="00A25F61"/>
    <w:rsid w:val="00A30010"/>
    <w:rsid w:val="00A3346A"/>
    <w:rsid w:val="00A34C76"/>
    <w:rsid w:val="00A35BB5"/>
    <w:rsid w:val="00A40A4D"/>
    <w:rsid w:val="00A44819"/>
    <w:rsid w:val="00A52E22"/>
    <w:rsid w:val="00A53529"/>
    <w:rsid w:val="00A53CDF"/>
    <w:rsid w:val="00A573CA"/>
    <w:rsid w:val="00A5758D"/>
    <w:rsid w:val="00A63604"/>
    <w:rsid w:val="00A63C99"/>
    <w:rsid w:val="00A65656"/>
    <w:rsid w:val="00A67518"/>
    <w:rsid w:val="00A7030F"/>
    <w:rsid w:val="00A70D18"/>
    <w:rsid w:val="00A7525B"/>
    <w:rsid w:val="00A76C27"/>
    <w:rsid w:val="00A84924"/>
    <w:rsid w:val="00A8560C"/>
    <w:rsid w:val="00A87030"/>
    <w:rsid w:val="00A87D0F"/>
    <w:rsid w:val="00A93AD7"/>
    <w:rsid w:val="00A9470E"/>
    <w:rsid w:val="00A95567"/>
    <w:rsid w:val="00A957B7"/>
    <w:rsid w:val="00AA228F"/>
    <w:rsid w:val="00AA7940"/>
    <w:rsid w:val="00AB01A1"/>
    <w:rsid w:val="00AB71E0"/>
    <w:rsid w:val="00AC07CF"/>
    <w:rsid w:val="00AC493E"/>
    <w:rsid w:val="00AD0DAC"/>
    <w:rsid w:val="00AD3ABE"/>
    <w:rsid w:val="00AE1C1F"/>
    <w:rsid w:val="00AE3F8B"/>
    <w:rsid w:val="00AE749D"/>
    <w:rsid w:val="00AE7A86"/>
    <w:rsid w:val="00AF0AA6"/>
    <w:rsid w:val="00AF1049"/>
    <w:rsid w:val="00AF17A6"/>
    <w:rsid w:val="00AF78D3"/>
    <w:rsid w:val="00AF7DA5"/>
    <w:rsid w:val="00B0109B"/>
    <w:rsid w:val="00B144E5"/>
    <w:rsid w:val="00B14CD2"/>
    <w:rsid w:val="00B2139B"/>
    <w:rsid w:val="00B24F59"/>
    <w:rsid w:val="00B261E0"/>
    <w:rsid w:val="00B26219"/>
    <w:rsid w:val="00B35331"/>
    <w:rsid w:val="00B36063"/>
    <w:rsid w:val="00B404A4"/>
    <w:rsid w:val="00B4272B"/>
    <w:rsid w:val="00B43EF7"/>
    <w:rsid w:val="00B502A3"/>
    <w:rsid w:val="00B51ACB"/>
    <w:rsid w:val="00B5320C"/>
    <w:rsid w:val="00B6183A"/>
    <w:rsid w:val="00B631D9"/>
    <w:rsid w:val="00B65A3B"/>
    <w:rsid w:val="00B70374"/>
    <w:rsid w:val="00B7202B"/>
    <w:rsid w:val="00B741A1"/>
    <w:rsid w:val="00B76D3C"/>
    <w:rsid w:val="00B777A5"/>
    <w:rsid w:val="00B826D7"/>
    <w:rsid w:val="00B864DD"/>
    <w:rsid w:val="00B87C21"/>
    <w:rsid w:val="00B945AD"/>
    <w:rsid w:val="00B94F2A"/>
    <w:rsid w:val="00B952BF"/>
    <w:rsid w:val="00B966A8"/>
    <w:rsid w:val="00B96AE0"/>
    <w:rsid w:val="00B9748D"/>
    <w:rsid w:val="00BA22BA"/>
    <w:rsid w:val="00BB3767"/>
    <w:rsid w:val="00BB7662"/>
    <w:rsid w:val="00BB79D6"/>
    <w:rsid w:val="00BB7FD5"/>
    <w:rsid w:val="00BC0B5C"/>
    <w:rsid w:val="00BC3D7B"/>
    <w:rsid w:val="00BD136D"/>
    <w:rsid w:val="00BD4917"/>
    <w:rsid w:val="00BD5090"/>
    <w:rsid w:val="00BD662B"/>
    <w:rsid w:val="00BE173D"/>
    <w:rsid w:val="00BE1F3F"/>
    <w:rsid w:val="00BE2EE4"/>
    <w:rsid w:val="00BF308C"/>
    <w:rsid w:val="00BF645D"/>
    <w:rsid w:val="00C002D1"/>
    <w:rsid w:val="00C04501"/>
    <w:rsid w:val="00C057BF"/>
    <w:rsid w:val="00C06D82"/>
    <w:rsid w:val="00C07E6B"/>
    <w:rsid w:val="00C110B5"/>
    <w:rsid w:val="00C15067"/>
    <w:rsid w:val="00C16CC1"/>
    <w:rsid w:val="00C22662"/>
    <w:rsid w:val="00C23CAC"/>
    <w:rsid w:val="00C32807"/>
    <w:rsid w:val="00C339D6"/>
    <w:rsid w:val="00C42FD0"/>
    <w:rsid w:val="00C511DF"/>
    <w:rsid w:val="00C51E0C"/>
    <w:rsid w:val="00C53A13"/>
    <w:rsid w:val="00C5505A"/>
    <w:rsid w:val="00C57FAA"/>
    <w:rsid w:val="00C6356C"/>
    <w:rsid w:val="00C63FDD"/>
    <w:rsid w:val="00C652C4"/>
    <w:rsid w:val="00C70809"/>
    <w:rsid w:val="00C76FEB"/>
    <w:rsid w:val="00C77160"/>
    <w:rsid w:val="00C81D94"/>
    <w:rsid w:val="00C841C2"/>
    <w:rsid w:val="00C87E89"/>
    <w:rsid w:val="00C904CD"/>
    <w:rsid w:val="00CA2EB1"/>
    <w:rsid w:val="00CA4354"/>
    <w:rsid w:val="00CB39D6"/>
    <w:rsid w:val="00CB603A"/>
    <w:rsid w:val="00CB7B15"/>
    <w:rsid w:val="00CC3B2F"/>
    <w:rsid w:val="00CC5263"/>
    <w:rsid w:val="00CD1975"/>
    <w:rsid w:val="00CD5039"/>
    <w:rsid w:val="00CE2FEA"/>
    <w:rsid w:val="00CE38A3"/>
    <w:rsid w:val="00CE4140"/>
    <w:rsid w:val="00CF6B3C"/>
    <w:rsid w:val="00D04FB5"/>
    <w:rsid w:val="00D1007B"/>
    <w:rsid w:val="00D12915"/>
    <w:rsid w:val="00D14B14"/>
    <w:rsid w:val="00D1508C"/>
    <w:rsid w:val="00D158BC"/>
    <w:rsid w:val="00D201BF"/>
    <w:rsid w:val="00D2050B"/>
    <w:rsid w:val="00D20A6B"/>
    <w:rsid w:val="00D25FC7"/>
    <w:rsid w:val="00D26F59"/>
    <w:rsid w:val="00D27C35"/>
    <w:rsid w:val="00D30E16"/>
    <w:rsid w:val="00D34DF6"/>
    <w:rsid w:val="00D35569"/>
    <w:rsid w:val="00D4582D"/>
    <w:rsid w:val="00D51332"/>
    <w:rsid w:val="00D541B8"/>
    <w:rsid w:val="00D6471D"/>
    <w:rsid w:val="00D75B6E"/>
    <w:rsid w:val="00D77849"/>
    <w:rsid w:val="00D85366"/>
    <w:rsid w:val="00D9073E"/>
    <w:rsid w:val="00D935CA"/>
    <w:rsid w:val="00D93BC3"/>
    <w:rsid w:val="00D97DB2"/>
    <w:rsid w:val="00DA012E"/>
    <w:rsid w:val="00DA06FE"/>
    <w:rsid w:val="00DA1392"/>
    <w:rsid w:val="00DA3F8A"/>
    <w:rsid w:val="00DA44EB"/>
    <w:rsid w:val="00DC11CB"/>
    <w:rsid w:val="00DC1888"/>
    <w:rsid w:val="00DD139F"/>
    <w:rsid w:val="00DD2BFC"/>
    <w:rsid w:val="00DD34C2"/>
    <w:rsid w:val="00DD43B9"/>
    <w:rsid w:val="00DE14F3"/>
    <w:rsid w:val="00DE33AF"/>
    <w:rsid w:val="00DF01C4"/>
    <w:rsid w:val="00DF029A"/>
    <w:rsid w:val="00DF4904"/>
    <w:rsid w:val="00E00A37"/>
    <w:rsid w:val="00E011A1"/>
    <w:rsid w:val="00E069AC"/>
    <w:rsid w:val="00E107C9"/>
    <w:rsid w:val="00E116B4"/>
    <w:rsid w:val="00E11CD2"/>
    <w:rsid w:val="00E131B4"/>
    <w:rsid w:val="00E14F94"/>
    <w:rsid w:val="00E214CC"/>
    <w:rsid w:val="00E23241"/>
    <w:rsid w:val="00E2663F"/>
    <w:rsid w:val="00E2775F"/>
    <w:rsid w:val="00E30692"/>
    <w:rsid w:val="00E33621"/>
    <w:rsid w:val="00E34264"/>
    <w:rsid w:val="00E36AAB"/>
    <w:rsid w:val="00E439FB"/>
    <w:rsid w:val="00E43DEA"/>
    <w:rsid w:val="00E44E53"/>
    <w:rsid w:val="00E46095"/>
    <w:rsid w:val="00E52F48"/>
    <w:rsid w:val="00E54227"/>
    <w:rsid w:val="00E61BB3"/>
    <w:rsid w:val="00E62D9D"/>
    <w:rsid w:val="00E62E23"/>
    <w:rsid w:val="00E74BD5"/>
    <w:rsid w:val="00E805A1"/>
    <w:rsid w:val="00E815C8"/>
    <w:rsid w:val="00E82D62"/>
    <w:rsid w:val="00E8320F"/>
    <w:rsid w:val="00E844EA"/>
    <w:rsid w:val="00E9270B"/>
    <w:rsid w:val="00E95FF8"/>
    <w:rsid w:val="00E9782A"/>
    <w:rsid w:val="00E978D4"/>
    <w:rsid w:val="00E97B6E"/>
    <w:rsid w:val="00EA34EF"/>
    <w:rsid w:val="00EB14BD"/>
    <w:rsid w:val="00EB18B0"/>
    <w:rsid w:val="00EB247F"/>
    <w:rsid w:val="00EB7398"/>
    <w:rsid w:val="00EC34E4"/>
    <w:rsid w:val="00EC523F"/>
    <w:rsid w:val="00EC57B8"/>
    <w:rsid w:val="00EC7ABB"/>
    <w:rsid w:val="00ED0B70"/>
    <w:rsid w:val="00ED7489"/>
    <w:rsid w:val="00EE0272"/>
    <w:rsid w:val="00EE173A"/>
    <w:rsid w:val="00EE2211"/>
    <w:rsid w:val="00EE274A"/>
    <w:rsid w:val="00EF21F4"/>
    <w:rsid w:val="00EF2247"/>
    <w:rsid w:val="00F0355F"/>
    <w:rsid w:val="00F03D2D"/>
    <w:rsid w:val="00F05491"/>
    <w:rsid w:val="00F0595F"/>
    <w:rsid w:val="00F0598F"/>
    <w:rsid w:val="00F060A3"/>
    <w:rsid w:val="00F06830"/>
    <w:rsid w:val="00F06F88"/>
    <w:rsid w:val="00F15AEE"/>
    <w:rsid w:val="00F346F2"/>
    <w:rsid w:val="00F3700C"/>
    <w:rsid w:val="00F4258D"/>
    <w:rsid w:val="00F46737"/>
    <w:rsid w:val="00F524CE"/>
    <w:rsid w:val="00F52595"/>
    <w:rsid w:val="00F53092"/>
    <w:rsid w:val="00F530FC"/>
    <w:rsid w:val="00F61DCA"/>
    <w:rsid w:val="00F66D25"/>
    <w:rsid w:val="00F67677"/>
    <w:rsid w:val="00F73235"/>
    <w:rsid w:val="00F74517"/>
    <w:rsid w:val="00F84DB6"/>
    <w:rsid w:val="00F85FFB"/>
    <w:rsid w:val="00F90D56"/>
    <w:rsid w:val="00FA2194"/>
    <w:rsid w:val="00FA5114"/>
    <w:rsid w:val="00FA6897"/>
    <w:rsid w:val="00FA7C26"/>
    <w:rsid w:val="00FB2DC0"/>
    <w:rsid w:val="00FB3AB3"/>
    <w:rsid w:val="00FB649C"/>
    <w:rsid w:val="00FC2C8B"/>
    <w:rsid w:val="00FC2DC0"/>
    <w:rsid w:val="00FC4F38"/>
    <w:rsid w:val="00FC7FF0"/>
    <w:rsid w:val="00FD2788"/>
    <w:rsid w:val="00FD2F7A"/>
    <w:rsid w:val="00FD77AF"/>
    <w:rsid w:val="00FE53D4"/>
    <w:rsid w:val="00FE78B3"/>
    <w:rsid w:val="00FE7C98"/>
    <w:rsid w:val="00FF038A"/>
    <w:rsid w:val="00FF087B"/>
    <w:rsid w:val="00FF3CCB"/>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59399DDE-6C86-BC41-8925-B150F36D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0362B8"/>
    <w:pPr>
      <w:keepNext/>
      <w:keepLines/>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362B8"/>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554184"/>
  </w:style>
  <w:style w:type="table" w:styleId="ListTable6Colorful">
    <w:name w:val="List Table 6 Colorful"/>
    <w:basedOn w:val="TableNormal"/>
    <w:uiPriority w:val="51"/>
    <w:rsid w:val="00CC52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text">
    <w:name w:val="title-text"/>
    <w:basedOn w:val="DefaultParagraphFont"/>
    <w:rsid w:val="00036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398">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2321531">
      <w:bodyDiv w:val="1"/>
      <w:marLeft w:val="0"/>
      <w:marRight w:val="0"/>
      <w:marTop w:val="0"/>
      <w:marBottom w:val="0"/>
      <w:divBdr>
        <w:top w:val="none" w:sz="0" w:space="0" w:color="auto"/>
        <w:left w:val="none" w:sz="0" w:space="0" w:color="auto"/>
        <w:bottom w:val="none" w:sz="0" w:space="0" w:color="auto"/>
        <w:right w:val="none" w:sz="0" w:space="0" w:color="auto"/>
      </w:divBdr>
    </w:div>
    <w:div w:id="342050184">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83214250">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67555084">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695540917">
      <w:bodyDiv w:val="1"/>
      <w:marLeft w:val="0"/>
      <w:marRight w:val="0"/>
      <w:marTop w:val="0"/>
      <w:marBottom w:val="0"/>
      <w:divBdr>
        <w:top w:val="none" w:sz="0" w:space="0" w:color="auto"/>
        <w:left w:val="none" w:sz="0" w:space="0" w:color="auto"/>
        <w:bottom w:val="none" w:sz="0" w:space="0" w:color="auto"/>
        <w:right w:val="none" w:sz="0" w:space="0" w:color="auto"/>
      </w:divBdr>
    </w:div>
    <w:div w:id="728962814">
      <w:bodyDiv w:val="1"/>
      <w:marLeft w:val="0"/>
      <w:marRight w:val="0"/>
      <w:marTop w:val="0"/>
      <w:marBottom w:val="0"/>
      <w:divBdr>
        <w:top w:val="none" w:sz="0" w:space="0" w:color="auto"/>
        <w:left w:val="none" w:sz="0" w:space="0" w:color="auto"/>
        <w:bottom w:val="none" w:sz="0" w:space="0" w:color="auto"/>
        <w:right w:val="none" w:sz="0" w:space="0" w:color="auto"/>
      </w:divBdr>
    </w:div>
    <w:div w:id="745810491">
      <w:bodyDiv w:val="1"/>
      <w:marLeft w:val="0"/>
      <w:marRight w:val="0"/>
      <w:marTop w:val="0"/>
      <w:marBottom w:val="0"/>
      <w:divBdr>
        <w:top w:val="none" w:sz="0" w:space="0" w:color="auto"/>
        <w:left w:val="none" w:sz="0" w:space="0" w:color="auto"/>
        <w:bottom w:val="none" w:sz="0" w:space="0" w:color="auto"/>
        <w:right w:val="none" w:sz="0" w:space="0" w:color="auto"/>
      </w:divBdr>
    </w:div>
    <w:div w:id="768429089">
      <w:bodyDiv w:val="1"/>
      <w:marLeft w:val="0"/>
      <w:marRight w:val="0"/>
      <w:marTop w:val="0"/>
      <w:marBottom w:val="0"/>
      <w:divBdr>
        <w:top w:val="none" w:sz="0" w:space="0" w:color="auto"/>
        <w:left w:val="none" w:sz="0" w:space="0" w:color="auto"/>
        <w:bottom w:val="none" w:sz="0" w:space="0" w:color="auto"/>
        <w:right w:val="none" w:sz="0" w:space="0" w:color="auto"/>
      </w:divBdr>
      <w:divsChild>
        <w:div w:id="1546673303">
          <w:marLeft w:val="480"/>
          <w:marRight w:val="0"/>
          <w:marTop w:val="0"/>
          <w:marBottom w:val="0"/>
          <w:divBdr>
            <w:top w:val="none" w:sz="0" w:space="0" w:color="auto"/>
            <w:left w:val="none" w:sz="0" w:space="0" w:color="auto"/>
            <w:bottom w:val="none" w:sz="0" w:space="0" w:color="auto"/>
            <w:right w:val="none" w:sz="0" w:space="0" w:color="auto"/>
          </w:divBdr>
          <w:divsChild>
            <w:div w:id="12435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0802543">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26629253">
      <w:bodyDiv w:val="1"/>
      <w:marLeft w:val="0"/>
      <w:marRight w:val="0"/>
      <w:marTop w:val="0"/>
      <w:marBottom w:val="0"/>
      <w:divBdr>
        <w:top w:val="none" w:sz="0" w:space="0" w:color="auto"/>
        <w:left w:val="none" w:sz="0" w:space="0" w:color="auto"/>
        <w:bottom w:val="none" w:sz="0" w:space="0" w:color="auto"/>
        <w:right w:val="none" w:sz="0" w:space="0" w:color="auto"/>
      </w:divBdr>
    </w:div>
    <w:div w:id="926773395">
      <w:bodyDiv w:val="1"/>
      <w:marLeft w:val="0"/>
      <w:marRight w:val="0"/>
      <w:marTop w:val="0"/>
      <w:marBottom w:val="0"/>
      <w:divBdr>
        <w:top w:val="none" w:sz="0" w:space="0" w:color="auto"/>
        <w:left w:val="none" w:sz="0" w:space="0" w:color="auto"/>
        <w:bottom w:val="none" w:sz="0" w:space="0" w:color="auto"/>
        <w:right w:val="none" w:sz="0" w:space="0" w:color="auto"/>
      </w:divBdr>
      <w:divsChild>
        <w:div w:id="395396646">
          <w:marLeft w:val="0"/>
          <w:marRight w:val="0"/>
          <w:marTop w:val="0"/>
          <w:marBottom w:val="0"/>
          <w:divBdr>
            <w:top w:val="none" w:sz="0" w:space="0" w:color="auto"/>
            <w:left w:val="none" w:sz="0" w:space="0" w:color="auto"/>
            <w:bottom w:val="none" w:sz="0" w:space="0" w:color="auto"/>
            <w:right w:val="none" w:sz="0" w:space="0" w:color="auto"/>
          </w:divBdr>
          <w:divsChild>
            <w:div w:id="385956855">
              <w:marLeft w:val="0"/>
              <w:marRight w:val="0"/>
              <w:marTop w:val="0"/>
              <w:marBottom w:val="0"/>
              <w:divBdr>
                <w:top w:val="none" w:sz="0" w:space="0" w:color="auto"/>
                <w:left w:val="none" w:sz="0" w:space="0" w:color="auto"/>
                <w:bottom w:val="none" w:sz="0" w:space="0" w:color="auto"/>
                <w:right w:val="none" w:sz="0" w:space="0" w:color="auto"/>
              </w:divBdr>
              <w:divsChild>
                <w:div w:id="4367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54629998">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187673681">
      <w:bodyDiv w:val="1"/>
      <w:marLeft w:val="0"/>
      <w:marRight w:val="0"/>
      <w:marTop w:val="0"/>
      <w:marBottom w:val="0"/>
      <w:divBdr>
        <w:top w:val="none" w:sz="0" w:space="0" w:color="auto"/>
        <w:left w:val="none" w:sz="0" w:space="0" w:color="auto"/>
        <w:bottom w:val="none" w:sz="0" w:space="0" w:color="auto"/>
        <w:right w:val="none" w:sz="0" w:space="0" w:color="auto"/>
      </w:divBdr>
    </w:div>
    <w:div w:id="125620549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84134762">
      <w:bodyDiv w:val="1"/>
      <w:marLeft w:val="0"/>
      <w:marRight w:val="0"/>
      <w:marTop w:val="0"/>
      <w:marBottom w:val="0"/>
      <w:divBdr>
        <w:top w:val="none" w:sz="0" w:space="0" w:color="auto"/>
        <w:left w:val="none" w:sz="0" w:space="0" w:color="auto"/>
        <w:bottom w:val="none" w:sz="0" w:space="0" w:color="auto"/>
        <w:right w:val="none" w:sz="0" w:space="0" w:color="auto"/>
      </w:divBdr>
    </w:div>
    <w:div w:id="1438480724">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04026165">
      <w:bodyDiv w:val="1"/>
      <w:marLeft w:val="0"/>
      <w:marRight w:val="0"/>
      <w:marTop w:val="0"/>
      <w:marBottom w:val="0"/>
      <w:divBdr>
        <w:top w:val="none" w:sz="0" w:space="0" w:color="auto"/>
        <w:left w:val="none" w:sz="0" w:space="0" w:color="auto"/>
        <w:bottom w:val="none" w:sz="0" w:space="0" w:color="auto"/>
        <w:right w:val="none" w:sz="0" w:space="0" w:color="auto"/>
      </w:divBdr>
      <w:divsChild>
        <w:div w:id="1035274617">
          <w:marLeft w:val="0"/>
          <w:marRight w:val="0"/>
          <w:marTop w:val="0"/>
          <w:marBottom w:val="0"/>
          <w:divBdr>
            <w:top w:val="none" w:sz="0" w:space="0" w:color="auto"/>
            <w:left w:val="none" w:sz="0" w:space="0" w:color="auto"/>
            <w:bottom w:val="none" w:sz="0" w:space="0" w:color="auto"/>
            <w:right w:val="none" w:sz="0" w:space="0" w:color="auto"/>
          </w:divBdr>
          <w:divsChild>
            <w:div w:id="1999653548">
              <w:marLeft w:val="0"/>
              <w:marRight w:val="0"/>
              <w:marTop w:val="0"/>
              <w:marBottom w:val="0"/>
              <w:divBdr>
                <w:top w:val="none" w:sz="0" w:space="0" w:color="auto"/>
                <w:left w:val="none" w:sz="0" w:space="0" w:color="auto"/>
                <w:bottom w:val="none" w:sz="0" w:space="0" w:color="auto"/>
                <w:right w:val="none" w:sz="0" w:space="0" w:color="auto"/>
              </w:divBdr>
              <w:divsChild>
                <w:div w:id="11594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26241559">
      <w:bodyDiv w:val="1"/>
      <w:marLeft w:val="0"/>
      <w:marRight w:val="0"/>
      <w:marTop w:val="0"/>
      <w:marBottom w:val="0"/>
      <w:divBdr>
        <w:top w:val="none" w:sz="0" w:space="0" w:color="auto"/>
        <w:left w:val="none" w:sz="0" w:space="0" w:color="auto"/>
        <w:bottom w:val="none" w:sz="0" w:space="0" w:color="auto"/>
        <w:right w:val="none" w:sz="0" w:space="0" w:color="auto"/>
      </w:divBdr>
    </w:div>
    <w:div w:id="1880510548">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0765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image" Target="media/image3.png"/><Relationship Id="rId26" Type="http://schemas.openxmlformats.org/officeDocument/2006/relationships/chart" Target="charts/chart3.xml"/><Relationship Id="rId39" Type="http://schemas.openxmlformats.org/officeDocument/2006/relationships/hyperlink" Target="http://www.irena.org/DocumentDownloads/Publications/RE_Technologies_Cost_Analysis-WIND_POWER.pdf" TargetMode="External"/><Relationship Id="rId21" Type="http://schemas.openxmlformats.org/officeDocument/2006/relationships/image" Target="media/image6.jpeg"/><Relationship Id="rId34" Type="http://schemas.openxmlformats.org/officeDocument/2006/relationships/hyperlink" Target="https://www.iea.org/publications/freepublications/publication/Wind_2013_Roadmap.pdf" TargetMode="External"/><Relationship Id="rId42" Type="http://schemas.openxmlformats.org/officeDocument/2006/relationships/hyperlink" Target="http://www.nrel.gov/docs/fy07osti/42005.pdf" TargetMode="External"/><Relationship Id="rId47" Type="http://schemas.openxmlformats.org/officeDocument/2006/relationships/hyperlink" Target="http://dx.doi.org/10.1080/15435075.2013.769878" TargetMode="External"/><Relationship Id="rId50" Type="http://schemas.openxmlformats.org/officeDocument/2006/relationships/hyperlink" Target="http://www.windustry.org/how_much_do_wind_turbines_cos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carbontracker.org/reports/expect-the-unexpected-the-disruptive-power-of-low-carbon-technology/" TargetMode="External"/><Relationship Id="rId11" Type="http://schemas.openxmlformats.org/officeDocument/2006/relationships/hyperlink" Target="http://www.drawdown.org" TargetMode="External"/><Relationship Id="rId24" Type="http://schemas.openxmlformats.org/officeDocument/2006/relationships/chart" Target="charts/chart1.xml"/><Relationship Id="rId32" Type="http://schemas.openxmlformats.org/officeDocument/2006/relationships/hyperlink" Target="http://www.ewea.org/wind-energy-basics/faq/" TargetMode="External"/><Relationship Id="rId37" Type="http://schemas.openxmlformats.org/officeDocument/2006/relationships/hyperlink" Target="https://webstore.iea.org/world-energy-outlook-2018" TargetMode="External"/><Relationship Id="rId40" Type="http://schemas.openxmlformats.org/officeDocument/2006/relationships/hyperlink" Target="https://www.lazard.com/media/2390/lazards-levelized-cost-of-energy-analysis-90.pdf" TargetMode="External"/><Relationship Id="rId45" Type="http://schemas.openxmlformats.org/officeDocument/2006/relationships/hyperlink" Target="http://www.ragheb.co/NPRE%20475%20Wind%20Power%20Systems/Wind%20Turbines%20in%20the%20Urban%20Environment.pdf"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drawdown.org" TargetMode="External"/><Relationship Id="rId28" Type="http://schemas.openxmlformats.org/officeDocument/2006/relationships/hyperlink" Target="https://doi.org/10.1016/j.jweia.2015.06.017" TargetMode="External"/><Relationship Id="rId36" Type="http://schemas.openxmlformats.org/officeDocument/2006/relationships/hyperlink" Target="https://www.iea.org/etp/" TargetMode="External"/><Relationship Id="rId49" Type="http://schemas.openxmlformats.org/officeDocument/2006/relationships/hyperlink" Target="https://doi.org/10.1016/j.renene.2012.08.038" TargetMode="External"/><Relationship Id="rId10" Type="http://schemas.openxmlformats.org/officeDocument/2006/relationships/hyperlink" Target="mailto:info@drawdown.org" TargetMode="External"/><Relationship Id="rId19" Type="http://schemas.openxmlformats.org/officeDocument/2006/relationships/image" Target="media/image4.png"/><Relationship Id="rId31" Type="http://schemas.openxmlformats.org/officeDocument/2006/relationships/hyperlink" Target="https://www.equinor.com/en/news/07jun2018-energy-perspectives.html" TargetMode="External"/><Relationship Id="rId44" Type="http://schemas.openxmlformats.org/officeDocument/2006/relationships/hyperlink" Target="http://smallwindconference.com/wp-content/uploads/2016/08/Global-Small-Wind-Market-and-Opportunities-MV-Petersen.pdf"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image" Target="media/image7.jpeg"/><Relationship Id="rId27" Type="http://schemas.openxmlformats.org/officeDocument/2006/relationships/hyperlink" Target="http://e360.yale.edu/images/digest/2010_AWEA_Small_Wind_Turbine_Global_Market_Study-1.pdf" TargetMode="External"/><Relationship Id="rId30" Type="http://schemas.openxmlformats.org/officeDocument/2006/relationships/hyperlink" Target="https://www.navigant.com/-/media/www/site/downloads/energy/2018/navigant2018energytransitionwithin15c.pdf" TargetMode="External"/><Relationship Id="rId35" Type="http://schemas.openxmlformats.org/officeDocument/2006/relationships/hyperlink" Target="http://www.worldenergyoutlook.org/media/weowebsite/energymodel/ProjectedCostsofGeneratingElectricity2010.pdf" TargetMode="External"/><Relationship Id="rId43" Type="http://schemas.openxmlformats.org/officeDocument/2006/relationships/hyperlink" Target="https://doi.org/10.1016/j.enbuild.2007.12.004" TargetMode="External"/><Relationship Id="rId48" Type="http://schemas.openxmlformats.org/officeDocument/2006/relationships/hyperlink" Target="https://www.shell.com/energy-and-innovation/the-energy-future/scenarios/shell-scenario-sky.html"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10.jpg"/><Relationship Id="rId17" Type="http://schemas.openxmlformats.org/officeDocument/2006/relationships/image" Target="media/image2.png"/><Relationship Id="rId25" Type="http://schemas.openxmlformats.org/officeDocument/2006/relationships/chart" Target="charts/chart2.xml"/><Relationship Id="rId33" Type="http://schemas.openxmlformats.org/officeDocument/2006/relationships/hyperlink" Target="https://www.imperial.ac.uk/media/imperial-college/grantham-institute/public/publications/collaborative-publications/Expect-the-Unexpected_CTI_Imperial.pdf" TargetMode="External"/><Relationship Id="rId38" Type="http://schemas.openxmlformats.org/officeDocument/2006/relationships/hyperlink" Target="https://eneken.ieej.or.jp/data/8122.pdf" TargetMode="External"/><Relationship Id="rId46" Type="http://schemas.openxmlformats.org/officeDocument/2006/relationships/hyperlink" Target="http://energywatchgroup.org/wp-content/uploads/EWG_LUT_100RE_All_Sectors_Global_Report_2019.pdf" TargetMode="External"/><Relationship Id="rId20" Type="http://schemas.openxmlformats.org/officeDocument/2006/relationships/image" Target="media/image5.png"/><Relationship Id="rId41" Type="http://schemas.openxmlformats.org/officeDocument/2006/relationships/hyperlink" Target="http://www.nrel.gov/docs/gen/fy02/31958.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MicroWind_RRS_ELECGEN_v1.1b_26Jun2020.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MicroWind_RRS_ELECGEN_v1.1b_26Jun2020.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MicroWind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AutoResults!$AH$8</c:f>
          <c:strCache>
            <c:ptCount val="1"/>
            <c:pt idx="0">
              <c:v>World Adoption in Functional Units (TWh)</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AutoResults!$AI$10</c:f>
              <c:strCache>
                <c:ptCount val="1"/>
                <c:pt idx="0">
                  <c:v>Indicative REF</c:v>
                </c:pt>
              </c:strCache>
            </c:strRef>
          </c:tx>
          <c:spPr>
            <a:ln>
              <a:solidFill>
                <a:schemeClr val="tx1"/>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AutoResults!$AI$12:$AI$57</c:f>
              <c:numCache>
                <c:formatCode>_-* #\ ##0_-;\-* #\ ##0_-;_-* "-"??_-;_-@_-</c:formatCode>
                <c:ptCount val="46"/>
                <c:pt idx="0">
                  <c:v>1.4039999999999999</c:v>
                </c:pt>
                <c:pt idx="1">
                  <c:v>1.9039999999999999</c:v>
                </c:pt>
                <c:pt idx="2">
                  <c:v>2.4957132766514061</c:v>
                </c:pt>
                <c:pt idx="3">
                  <c:v>2.1779999999999973</c:v>
                </c:pt>
                <c:pt idx="4">
                  <c:v>2.2541143730057343</c:v>
                </c:pt>
                <c:pt idx="5">
                  <c:v>2.3302287460114997</c:v>
                </c:pt>
                <c:pt idx="6">
                  <c:v>2.4063431190172651</c:v>
                </c:pt>
                <c:pt idx="7">
                  <c:v>2.482457492023002</c:v>
                </c:pt>
                <c:pt idx="8">
                  <c:v>2.5585718650287674</c:v>
                </c:pt>
                <c:pt idx="9">
                  <c:v>2.6346862380345044</c:v>
                </c:pt>
                <c:pt idx="10">
                  <c:v>2.7108006110402698</c:v>
                </c:pt>
                <c:pt idx="11">
                  <c:v>2.7869149840460352</c:v>
                </c:pt>
                <c:pt idx="12">
                  <c:v>2.8630293570517722</c:v>
                </c:pt>
                <c:pt idx="13">
                  <c:v>2.9391437300575376</c:v>
                </c:pt>
                <c:pt idx="14">
                  <c:v>3.015258103063303</c:v>
                </c:pt>
                <c:pt idx="15">
                  <c:v>3.09137247606904</c:v>
                </c:pt>
                <c:pt idx="16">
                  <c:v>3.1674868490748054</c:v>
                </c:pt>
                <c:pt idx="17">
                  <c:v>3.2436012220805424</c:v>
                </c:pt>
                <c:pt idx="18">
                  <c:v>3.3197155950863078</c:v>
                </c:pt>
                <c:pt idx="19">
                  <c:v>3.3958299680920732</c:v>
                </c:pt>
                <c:pt idx="20">
                  <c:v>3.4719443410978101</c:v>
                </c:pt>
                <c:pt idx="21">
                  <c:v>3.5480587141035755</c:v>
                </c:pt>
                <c:pt idx="22">
                  <c:v>3.6241730871093125</c:v>
                </c:pt>
                <c:pt idx="23">
                  <c:v>3.7002874601150779</c:v>
                </c:pt>
                <c:pt idx="24">
                  <c:v>3.7764018331208433</c:v>
                </c:pt>
                <c:pt idx="25">
                  <c:v>3.8525162061265803</c:v>
                </c:pt>
                <c:pt idx="26">
                  <c:v>3.9286305791323457</c:v>
                </c:pt>
                <c:pt idx="27">
                  <c:v>4.0047449521380827</c:v>
                </c:pt>
                <c:pt idx="28">
                  <c:v>4.0808593251438481</c:v>
                </c:pt>
                <c:pt idx="29">
                  <c:v>4.1569736981496135</c:v>
                </c:pt>
                <c:pt idx="30">
                  <c:v>4.2330880711553505</c:v>
                </c:pt>
                <c:pt idx="31">
                  <c:v>4.3092024441611159</c:v>
                </c:pt>
                <c:pt idx="32">
                  <c:v>4.3853168171668528</c:v>
                </c:pt>
                <c:pt idx="33">
                  <c:v>4.4614311901726182</c:v>
                </c:pt>
                <c:pt idx="34">
                  <c:v>4.5375455631783836</c:v>
                </c:pt>
                <c:pt idx="35">
                  <c:v>4.6136599361841206</c:v>
                </c:pt>
                <c:pt idx="36">
                  <c:v>4.689774309189886</c:v>
                </c:pt>
                <c:pt idx="37">
                  <c:v>4.765888682195623</c:v>
                </c:pt>
                <c:pt idx="38">
                  <c:v>4.8420030552013884</c:v>
                </c:pt>
                <c:pt idx="39">
                  <c:v>4.9181174282071538</c:v>
                </c:pt>
                <c:pt idx="40">
                  <c:v>4.9942318012128908</c:v>
                </c:pt>
                <c:pt idx="41">
                  <c:v>5.0703461742186562</c:v>
                </c:pt>
                <c:pt idx="42">
                  <c:v>5.1464605472243932</c:v>
                </c:pt>
                <c:pt idx="43">
                  <c:v>5.2225749202301586</c:v>
                </c:pt>
                <c:pt idx="44">
                  <c:v>5.298689293235924</c:v>
                </c:pt>
                <c:pt idx="45">
                  <c:v>5.3748036662416609</c:v>
                </c:pt>
              </c:numCache>
            </c:numRef>
          </c:val>
          <c:smooth val="1"/>
          <c:extLst>
            <c:ext xmlns:c16="http://schemas.microsoft.com/office/drawing/2014/chart" uri="{C3380CC4-5D6E-409C-BE32-E72D297353CC}">
              <c16:uniqueId val="{00000000-3688-2646-9119-93E8684D289F}"/>
            </c:ext>
          </c:extLst>
        </c:ser>
        <c:ser>
          <c:idx val="1"/>
          <c:order val="1"/>
          <c:tx>
            <c:strRef>
              <c:f>AutoResults!$AJ$10</c:f>
              <c:strCache>
                <c:ptCount val="1"/>
                <c:pt idx="0">
                  <c:v>Plausible</c:v>
                </c:pt>
              </c:strCache>
            </c:strRef>
          </c:tx>
          <c:spPr>
            <a:ln>
              <a:solidFill>
                <a:srgbClr val="3571B6"/>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AutoResults!$AJ$12:$AJ$57</c:f>
              <c:numCache>
                <c:formatCode>_-* #\ ##0_-;\-* #\ ##0_-;_-* "-"??_-;_-@_-</c:formatCode>
                <c:ptCount val="46"/>
                <c:pt idx="0">
                  <c:v>1.6184312447029576</c:v>
                </c:pt>
                <c:pt idx="1">
                  <c:v>1.9216451560336836</c:v>
                </c:pt>
                <c:pt idx="2">
                  <c:v>2.2390720312694361</c:v>
                </c:pt>
                <c:pt idx="3">
                  <c:v>2.5705089491190494</c:v>
                </c:pt>
                <c:pt idx="4">
                  <c:v>2.9157529882913584</c:v>
                </c:pt>
                <c:pt idx="5">
                  <c:v>3.2746012274951966</c:v>
                </c:pt>
                <c:pt idx="6">
                  <c:v>3.6468507454393992</c:v>
                </c:pt>
                <c:pt idx="7">
                  <c:v>4.0322986208328002</c:v>
                </c:pt>
                <c:pt idx="8">
                  <c:v>4.4307419323842341</c:v>
                </c:pt>
                <c:pt idx="9">
                  <c:v>4.8419777588025354</c:v>
                </c:pt>
                <c:pt idx="10">
                  <c:v>5.2658031787965376</c:v>
                </c:pt>
                <c:pt idx="11">
                  <c:v>5.7020152710750764</c:v>
                </c:pt>
                <c:pt idx="12">
                  <c:v>6.1504111143469844</c:v>
                </c:pt>
                <c:pt idx="13">
                  <c:v>6.6107877873210983</c:v>
                </c:pt>
                <c:pt idx="14">
                  <c:v>7.0829423687062514</c:v>
                </c:pt>
                <c:pt idx="15">
                  <c:v>7.566671937211277</c:v>
                </c:pt>
                <c:pt idx="16">
                  <c:v>8.061773571545011</c:v>
                </c:pt>
                <c:pt idx="17">
                  <c:v>8.5680443504162866</c:v>
                </c:pt>
                <c:pt idx="18">
                  <c:v>9.08528135253394</c:v>
                </c:pt>
                <c:pt idx="19">
                  <c:v>9.6132816566068016</c:v>
                </c:pt>
                <c:pt idx="20">
                  <c:v>10.151842341343709</c:v>
                </c:pt>
                <c:pt idx="21">
                  <c:v>10.7007604854535</c:v>
                </c:pt>
                <c:pt idx="22">
                  <c:v>11.259833167645002</c:v>
                </c:pt>
                <c:pt idx="23">
                  <c:v>11.828857466627053</c:v>
                </c:pt>
                <c:pt idx="24">
                  <c:v>12.407630461108486</c:v>
                </c:pt>
                <c:pt idx="25">
                  <c:v>12.995949229798136</c:v>
                </c:pt>
                <c:pt idx="26">
                  <c:v>13.59361085140484</c:v>
                </c:pt>
                <c:pt idx="27">
                  <c:v>14.200412404637426</c:v>
                </c:pt>
                <c:pt idx="28">
                  <c:v>14.816150968204735</c:v>
                </c:pt>
                <c:pt idx="29">
                  <c:v>15.440623620815597</c:v>
                </c:pt>
                <c:pt idx="30">
                  <c:v>16.07362744117885</c:v>
                </c:pt>
                <c:pt idx="31">
                  <c:v>16.714959508003325</c:v>
                </c:pt>
                <c:pt idx="32">
                  <c:v>17.364416899997856</c:v>
                </c:pt>
                <c:pt idx="33">
                  <c:v>18.021796695871281</c:v>
                </c:pt>
                <c:pt idx="34">
                  <c:v>18.686895974332437</c:v>
                </c:pt>
                <c:pt idx="35">
                  <c:v>19.359511814090148</c:v>
                </c:pt>
                <c:pt idx="36">
                  <c:v>20.039441293853255</c:v>
                </c:pt>
                <c:pt idx="37">
                  <c:v>20.726481492330592</c:v>
                </c:pt>
                <c:pt idx="38">
                  <c:v>21.420429488230994</c:v>
                </c:pt>
                <c:pt idx="39">
                  <c:v>22.121082360263294</c:v>
                </c:pt>
                <c:pt idx="40">
                  <c:v>22.828237187136324</c:v>
                </c:pt>
                <c:pt idx="41">
                  <c:v>23.541691047558924</c:v>
                </c:pt>
                <c:pt idx="42">
                  <c:v>24.261241020239925</c:v>
                </c:pt>
                <c:pt idx="43">
                  <c:v>24.986684183888162</c:v>
                </c:pt>
                <c:pt idx="44">
                  <c:v>25.717817617212468</c:v>
                </c:pt>
                <c:pt idx="45">
                  <c:v>26.454438398921681</c:v>
                </c:pt>
              </c:numCache>
            </c:numRef>
          </c:val>
          <c:smooth val="0"/>
          <c:extLst>
            <c:ext xmlns:c16="http://schemas.microsoft.com/office/drawing/2014/chart" uri="{C3380CC4-5D6E-409C-BE32-E72D297353CC}">
              <c16:uniqueId val="{00000001-3688-2646-9119-93E8684D289F}"/>
            </c:ext>
          </c:extLst>
        </c:ser>
        <c:ser>
          <c:idx val="2"/>
          <c:order val="2"/>
          <c:tx>
            <c:strRef>
              <c:f>AutoResults!$AK$10</c:f>
              <c:strCache>
                <c:ptCount val="1"/>
                <c:pt idx="0">
                  <c:v>Drawdown</c:v>
                </c:pt>
              </c:strCache>
            </c:strRef>
          </c:tx>
          <c:spPr>
            <a:ln>
              <a:solidFill>
                <a:srgbClr val="6A9FDD"/>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AutoResults!$AK$12:$AK$57</c:f>
              <c:numCache>
                <c:formatCode>_-* #\ ##0_-;\-* #\ ##0_-;_-* "-"??_-;_-@_-</c:formatCode>
                <c:ptCount val="46"/>
                <c:pt idx="0">
                  <c:v>1.7512721230456743</c:v>
                </c:pt>
                <c:pt idx="1">
                  <c:v>2.0994122766249652</c:v>
                </c:pt>
                <c:pt idx="2">
                  <c:v>2.4662148830817285</c:v>
                </c:pt>
                <c:pt idx="3">
                  <c:v>2.8516907598087045</c:v>
                </c:pt>
                <c:pt idx="4">
                  <c:v>3.2558507241986341</c:v>
                </c:pt>
                <c:pt idx="5">
                  <c:v>3.6787055936442572</c:v>
                </c:pt>
                <c:pt idx="6">
                  <c:v>4.1202661855383145</c:v>
                </c:pt>
                <c:pt idx="7">
                  <c:v>4.5805433172735457</c:v>
                </c:pt>
                <c:pt idx="8">
                  <c:v>5.0595478062426906</c:v>
                </c:pt>
                <c:pt idx="9">
                  <c:v>5.5572904698384917</c:v>
                </c:pt>
                <c:pt idx="10">
                  <c:v>6.073782125453687</c:v>
                </c:pt>
                <c:pt idx="11">
                  <c:v>6.6090335904810189</c:v>
                </c:pt>
                <c:pt idx="12">
                  <c:v>7.1630556823132254</c:v>
                </c:pt>
                <c:pt idx="13">
                  <c:v>7.735859218343049</c:v>
                </c:pt>
                <c:pt idx="14">
                  <c:v>8.3274550159632295</c:v>
                </c:pt>
                <c:pt idx="15">
                  <c:v>8.9378538925665065</c:v>
                </c:pt>
                <c:pt idx="16">
                  <c:v>9.5670666655456209</c:v>
                </c:pt>
                <c:pt idx="17">
                  <c:v>10.215104152293314</c:v>
                </c:pt>
                <c:pt idx="18">
                  <c:v>10.881977170202322</c:v>
                </c:pt>
                <c:pt idx="19">
                  <c:v>11.567696536665391</c:v>
                </c:pt>
                <c:pt idx="20">
                  <c:v>12.272273069075258</c:v>
                </c:pt>
                <c:pt idx="21">
                  <c:v>12.995717584824661</c:v>
                </c:pt>
                <c:pt idx="22">
                  <c:v>13.738040901306347</c:v>
                </c:pt>
                <c:pt idx="23">
                  <c:v>14.49925383591305</c:v>
                </c:pt>
                <c:pt idx="24">
                  <c:v>15.279367206037513</c:v>
                </c:pt>
                <c:pt idx="25">
                  <c:v>16.078391829072476</c:v>
                </c:pt>
                <c:pt idx="26">
                  <c:v>16.896338522410684</c:v>
                </c:pt>
                <c:pt idx="27">
                  <c:v>17.733218103444869</c:v>
                </c:pt>
                <c:pt idx="28">
                  <c:v>18.589041389567775</c:v>
                </c:pt>
                <c:pt idx="29">
                  <c:v>19.463819198172146</c:v>
                </c:pt>
                <c:pt idx="30">
                  <c:v>20.357562346650713</c:v>
                </c:pt>
                <c:pt idx="31">
                  <c:v>21.270281652396228</c:v>
                </c:pt>
                <c:pt idx="32">
                  <c:v>22.201987932801423</c:v>
                </c:pt>
                <c:pt idx="33">
                  <c:v>23.152692005259041</c:v>
                </c:pt>
                <c:pt idx="34">
                  <c:v>24.122404687161819</c:v>
                </c:pt>
                <c:pt idx="35">
                  <c:v>25.111136795902503</c:v>
                </c:pt>
                <c:pt idx="36">
                  <c:v>26.118899148873833</c:v>
                </c:pt>
                <c:pt idx="37">
                  <c:v>27.145702563468546</c:v>
                </c:pt>
                <c:pt idx="38">
                  <c:v>28.191557857079381</c:v>
                </c:pt>
                <c:pt idx="39">
                  <c:v>29.256475847099086</c:v>
                </c:pt>
                <c:pt idx="40">
                  <c:v>30.340467350920392</c:v>
                </c:pt>
                <c:pt idx="41">
                  <c:v>31.443543185936047</c:v>
                </c:pt>
                <c:pt idx="42">
                  <c:v>32.565714169538779</c:v>
                </c:pt>
                <c:pt idx="43">
                  <c:v>33.706991119121348</c:v>
                </c:pt>
                <c:pt idx="44">
                  <c:v>34.867384852076484</c:v>
                </c:pt>
                <c:pt idx="45">
                  <c:v>36.046906185796921</c:v>
                </c:pt>
              </c:numCache>
            </c:numRef>
          </c:val>
          <c:smooth val="0"/>
          <c:extLst>
            <c:ext xmlns:c16="http://schemas.microsoft.com/office/drawing/2014/chart" uri="{C3380CC4-5D6E-409C-BE32-E72D297353CC}">
              <c16:uniqueId val="{00000002-3688-2646-9119-93E8684D289F}"/>
            </c:ext>
          </c:extLst>
        </c:ser>
        <c:ser>
          <c:idx val="3"/>
          <c:order val="3"/>
          <c:tx>
            <c:strRef>
              <c:f>AutoResults!$AL$10</c:f>
              <c:strCache>
                <c:ptCount val="1"/>
                <c:pt idx="0">
                  <c:v>Optimum</c:v>
                </c:pt>
              </c:strCache>
            </c:strRef>
          </c:tx>
          <c:spPr>
            <a:ln>
              <a:solidFill>
                <a:srgbClr val="B5D5FA"/>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AutoResults!$AL$12:$AL$57</c:f>
              <c:numCache>
                <c:formatCode>_-* #\ ##0_-;\-* #\ ##0_-;_-* "-"??_-;_-@_-</c:formatCode>
                <c:ptCount val="46"/>
                <c:pt idx="0">
                  <c:v>1.4039999999999999</c:v>
                </c:pt>
                <c:pt idx="1">
                  <c:v>1.9039999999999999</c:v>
                </c:pt>
                <c:pt idx="2">
                  <c:v>2.4957132766514061</c:v>
                </c:pt>
                <c:pt idx="3">
                  <c:v>3.2304139960758662</c:v>
                </c:pt>
                <c:pt idx="4">
                  <c:v>4.1130970568999343</c:v>
                </c:pt>
                <c:pt idx="5">
                  <c:v>5.1501999999999999</c:v>
                </c:pt>
                <c:pt idx="6">
                  <c:v>5.550704713505807</c:v>
                </c:pt>
                <c:pt idx="7">
                  <c:v>6.4380190717381609</c:v>
                </c:pt>
                <c:pt idx="8">
                  <c:v>7.3953901577039991</c:v>
                </c:pt>
                <c:pt idx="9">
                  <c:v>8.4228179714033224</c:v>
                </c:pt>
                <c:pt idx="10">
                  <c:v>9.5203025128361318</c:v>
                </c:pt>
                <c:pt idx="11">
                  <c:v>10.687843782002425</c:v>
                </c:pt>
                <c:pt idx="12">
                  <c:v>11.925441778902201</c:v>
                </c:pt>
                <c:pt idx="13">
                  <c:v>13.233096503535464</c:v>
                </c:pt>
                <c:pt idx="14">
                  <c:v>14.610807955902214</c:v>
                </c:pt>
                <c:pt idx="15">
                  <c:v>16.058576136002443</c:v>
                </c:pt>
                <c:pt idx="16">
                  <c:v>17.57640104383616</c:v>
                </c:pt>
                <c:pt idx="17">
                  <c:v>19.164282679403364</c:v>
                </c:pt>
                <c:pt idx="18">
                  <c:v>20.822221042704051</c:v>
                </c:pt>
                <c:pt idx="19">
                  <c:v>22.550216133738221</c:v>
                </c:pt>
                <c:pt idx="20">
                  <c:v>24.314400000000003</c:v>
                </c:pt>
                <c:pt idx="21">
                  <c:v>26.216376499007019</c:v>
                </c:pt>
                <c:pt idx="22">
                  <c:v>28.154541773241643</c:v>
                </c:pt>
                <c:pt idx="23">
                  <c:v>30.162763775209758</c:v>
                </c:pt>
                <c:pt idx="24">
                  <c:v>32.241042504911356</c:v>
                </c:pt>
                <c:pt idx="25">
                  <c:v>34.389377962346437</c:v>
                </c:pt>
                <c:pt idx="26">
                  <c:v>36.607770147514998</c:v>
                </c:pt>
                <c:pt idx="27">
                  <c:v>38.896219060417053</c:v>
                </c:pt>
                <c:pt idx="28">
                  <c:v>41.254724701052588</c:v>
                </c:pt>
                <c:pt idx="29">
                  <c:v>43.683287069421603</c:v>
                </c:pt>
                <c:pt idx="30">
                  <c:v>46.181906165524104</c:v>
                </c:pt>
                <c:pt idx="31">
                  <c:v>48.7505819893601</c:v>
                </c:pt>
                <c:pt idx="32">
                  <c:v>51.389314540929568</c:v>
                </c:pt>
                <c:pt idx="33">
                  <c:v>54.098103820232531</c:v>
                </c:pt>
                <c:pt idx="34">
                  <c:v>56.876949827268973</c:v>
                </c:pt>
                <c:pt idx="35">
                  <c:v>59.725852562038902</c:v>
                </c:pt>
                <c:pt idx="36">
                  <c:v>62.644812024542311</c:v>
                </c:pt>
                <c:pt idx="37">
                  <c:v>65.6338282147792</c:v>
                </c:pt>
                <c:pt idx="38">
                  <c:v>68.692901132749597</c:v>
                </c:pt>
                <c:pt idx="39">
                  <c:v>71.822030778453453</c:v>
                </c:pt>
                <c:pt idx="40">
                  <c:v>75.021217151890809</c:v>
                </c:pt>
                <c:pt idx="41">
                  <c:v>78.290460253061639</c:v>
                </c:pt>
                <c:pt idx="42">
                  <c:v>81.629760081965969</c:v>
                </c:pt>
                <c:pt idx="43">
                  <c:v>85.039116638603772</c:v>
                </c:pt>
                <c:pt idx="44">
                  <c:v>88.518529922975077</c:v>
                </c:pt>
                <c:pt idx="45">
                  <c:v>92.06799993507984</c:v>
                </c:pt>
              </c:numCache>
            </c:numRef>
          </c:val>
          <c:smooth val="0"/>
          <c:extLst>
            <c:ext xmlns:c16="http://schemas.microsoft.com/office/drawing/2014/chart" uri="{C3380CC4-5D6E-409C-BE32-E72D297353CC}">
              <c16:uniqueId val="{00000003-3688-2646-9119-93E8684D289F}"/>
            </c:ext>
          </c:extLst>
        </c:ser>
        <c:dLbls>
          <c:showLegendKey val="0"/>
          <c:showVal val="0"/>
          <c:showCatName val="0"/>
          <c:showSerName val="0"/>
          <c:showPercent val="0"/>
          <c:showBubbleSize val="0"/>
        </c:dLbls>
        <c:smooth val="0"/>
        <c:axId val="-878609392"/>
        <c:axId val="-878606128"/>
        <c:extLst/>
      </c:lineChart>
      <c:catAx>
        <c:axId val="-8786093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78606128"/>
        <c:crossesAt val="0"/>
        <c:auto val="1"/>
        <c:lblAlgn val="ctr"/>
        <c:lblOffset val="100"/>
        <c:tickLblSkip val="5"/>
        <c:tickMarkSkip val="5"/>
        <c:noMultiLvlLbl val="0"/>
      </c:catAx>
      <c:valAx>
        <c:axId val="-878606128"/>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78609392"/>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AutoResults!$AZ$8</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AutoResults!$BB$10</c:f>
              <c:strCache>
                <c:ptCount val="1"/>
                <c:pt idx="0">
                  <c:v>Plausible</c:v>
                </c:pt>
              </c:strCache>
            </c:strRef>
          </c:tx>
          <c:spPr>
            <a:ln>
              <a:solidFill>
                <a:srgbClr val="3571B6"/>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AutoResults!$BB$12:$BB$57</c:f>
              <c:numCache>
                <c:formatCode>_-* #\ ##0_-;\-* #\ ##0_-;_-* "-"??_-;_-@_-</c:formatCode>
                <c:ptCount val="45"/>
                <c:pt idx="0">
                  <c:v>0</c:v>
                </c:pt>
                <c:pt idx="1">
                  <c:v>0</c:v>
                </c:pt>
                <c:pt idx="2">
                  <c:v>0.20864720703538928</c:v>
                </c:pt>
                <c:pt idx="3">
                  <c:v>0.34965527876567271</c:v>
                </c:pt>
                <c:pt idx="4">
                  <c:v>0.49557468099687046</c:v>
                </c:pt>
                <c:pt idx="5">
                  <c:v>0.64659637157084715</c:v>
                </c:pt>
                <c:pt idx="6">
                  <c:v>0.80244773619725607</c:v>
                </c:pt>
                <c:pt idx="7">
                  <c:v>0.96298882194642932</c:v>
                </c:pt>
                <c:pt idx="8">
                  <c:v>1.1280471432740777</c:v>
                </c:pt>
                <c:pt idx="9">
                  <c:v>1.2982808540697808</c:v>
                </c:pt>
                <c:pt idx="10">
                  <c:v>1.4710235711127466</c:v>
                </c:pt>
                <c:pt idx="11">
                  <c:v>1.6485936656591194</c:v>
                </c:pt>
                <c:pt idx="12">
                  <c:v>1.8299843413551069</c:v>
                </c:pt>
                <c:pt idx="13">
                  <c:v>2.0150181718865765</c:v>
                </c:pt>
                <c:pt idx="14">
                  <c:v>2.2040933624347483</c:v>
                </c:pt>
                <c:pt idx="15">
                  <c:v>2.3952961504298327</c:v>
                </c:pt>
                <c:pt idx="16">
                  <c:v>2.5901753317897511</c:v>
                </c:pt>
                <c:pt idx="17">
                  <c:v>2.7879673253531627</c:v>
                </c:pt>
                <c:pt idx="18">
                  <c:v>2.9884833584867705</c:v>
                </c:pt>
                <c:pt idx="19">
                  <c:v>3.1910038589183625</c:v>
                </c:pt>
                <c:pt idx="20">
                  <c:v>3.3967976737582779</c:v>
                </c:pt>
                <c:pt idx="21">
                  <c:v>3.6042177083437323</c:v>
                </c:pt>
                <c:pt idx="22">
                  <c:v>3.813553202660815</c:v>
                </c:pt>
                <c:pt idx="23">
                  <c:v>4.0244816758136039</c:v>
                </c:pt>
                <c:pt idx="24">
                  <c:v>4.2350079621769208</c:v>
                </c:pt>
                <c:pt idx="25">
                  <c:v>4.450702630946326</c:v>
                </c:pt>
                <c:pt idx="26">
                  <c:v>4.6655565139173696</c:v>
                </c:pt>
                <c:pt idx="27">
                  <c:v>4.8812503973903603</c:v>
                </c:pt>
                <c:pt idx="28">
                  <c:v>5.0975575693347785</c:v>
                </c:pt>
                <c:pt idx="29">
                  <c:v>5.3130005113891725</c:v>
                </c:pt>
                <c:pt idx="30">
                  <c:v>5.5310831576093227</c:v>
                </c:pt>
                <c:pt idx="31">
                  <c:v>5.7478259930572442</c:v>
                </c:pt>
                <c:pt idx="32">
                  <c:v>5.9642306974287438</c:v>
                </c:pt>
                <c:pt idx="33">
                  <c:v>6.186543936125017</c:v>
                </c:pt>
                <c:pt idx="34">
                  <c:v>6.4219644355814438</c:v>
                </c:pt>
                <c:pt idx="35">
                  <c:v>6.6556729430319859</c:v>
                </c:pt>
                <c:pt idx="36">
                  <c:v>6.891288719916691</c:v>
                </c:pt>
                <c:pt idx="37">
                  <c:v>7.1269983163259445</c:v>
                </c:pt>
                <c:pt idx="38">
                  <c:v>7.3625720283735614</c:v>
                </c:pt>
                <c:pt idx="39">
                  <c:v>7.5970461102961355</c:v>
                </c:pt>
                <c:pt idx="40">
                  <c:v>7.8323785653845999</c:v>
                </c:pt>
                <c:pt idx="41">
                  <c:v>8.0661382647949171</c:v>
                </c:pt>
                <c:pt idx="42">
                  <c:v>8.2988163155230925</c:v>
                </c:pt>
                <c:pt idx="43">
                  <c:v>8.5301707553336463</c:v>
                </c:pt>
                <c:pt idx="44">
                  <c:v>8.7632991043067534</c:v>
                </c:pt>
              </c:numCache>
              <c:extLst/>
            </c:numRef>
          </c:val>
          <c:smooth val="0"/>
          <c:extLst>
            <c:ext xmlns:c16="http://schemas.microsoft.com/office/drawing/2014/chart" uri="{C3380CC4-5D6E-409C-BE32-E72D297353CC}">
              <c16:uniqueId val="{00000000-FF7C-5540-A8E2-7ACBAC342F5A}"/>
            </c:ext>
          </c:extLst>
        </c:ser>
        <c:ser>
          <c:idx val="2"/>
          <c:order val="1"/>
          <c:tx>
            <c:strRef>
              <c:f>AutoResults!$BC$10</c:f>
              <c:strCache>
                <c:ptCount val="1"/>
                <c:pt idx="0">
                  <c:v>Drawdown</c:v>
                </c:pt>
              </c:strCache>
            </c:strRef>
          </c:tx>
          <c:spPr>
            <a:ln>
              <a:solidFill>
                <a:srgbClr val="6A9FDD"/>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AutoResults!$BC$12:$BC$57</c:f>
              <c:numCache>
                <c:formatCode>_-* #\ ##0_-;\-* #\ ##0_-;_-* "-"??_-;_-@_-</c:formatCode>
                <c:ptCount val="45"/>
                <c:pt idx="0">
                  <c:v>0</c:v>
                </c:pt>
                <c:pt idx="1">
                  <c:v>0</c:v>
                </c:pt>
                <c:pt idx="2">
                  <c:v>0.35811589966322421</c:v>
                </c:pt>
                <c:pt idx="3">
                  <c:v>0.52938627678926464</c:v>
                </c:pt>
                <c:pt idx="4">
                  <c:v>0.70763496046322061</c:v>
                </c:pt>
                <c:pt idx="5">
                  <c:v>0.89335721309541849</c:v>
                </c:pt>
                <c:pt idx="6">
                  <c:v>1.0863076153571791</c:v>
                </c:pt>
                <c:pt idx="7">
                  <c:v>1.2864279358701423</c:v>
                </c:pt>
                <c:pt idx="8">
                  <c:v>1.4936112079387134</c:v>
                </c:pt>
                <c:pt idx="9">
                  <c:v>1.7088415361506735</c:v>
                </c:pt>
                <c:pt idx="10">
                  <c:v>1.928724917860245</c:v>
                </c:pt>
                <c:pt idx="11">
                  <c:v>2.1564262033948154</c:v>
                </c:pt>
                <c:pt idx="12">
                  <c:v>2.3907312627793482</c:v>
                </c:pt>
                <c:pt idx="13">
                  <c:v>2.6315152831659603</c:v>
                </c:pt>
                <c:pt idx="14">
                  <c:v>2.8794030423186943</c:v>
                </c:pt>
                <c:pt idx="15">
                  <c:v>3.1319965028579939</c:v>
                </c:pt>
                <c:pt idx="16">
                  <c:v>3.3914184976901569</c:v>
                </c:pt>
                <c:pt idx="17">
                  <c:v>3.656768314534081</c:v>
                </c:pt>
                <c:pt idx="18">
                  <c:v>3.9278933671601624</c:v>
                </c:pt>
                <c:pt idx="19">
                  <c:v>4.203938881954846</c:v>
                </c:pt>
                <c:pt idx="20">
                  <c:v>4.4866662556896282</c:v>
                </c:pt>
                <c:pt idx="21">
                  <c:v>4.7739921750444516</c:v>
                </c:pt>
                <c:pt idx="22">
                  <c:v>5.0663810208755855</c:v>
                </c:pt>
                <c:pt idx="23">
                  <c:v>5.3634859364876757</c:v>
                </c:pt>
                <c:pt idx="24">
                  <c:v>5.6627177640734336</c:v>
                </c:pt>
                <c:pt idx="25">
                  <c:v>5.9716016209645142</c:v>
                </c:pt>
                <c:pt idx="26">
                  <c:v>6.2821750155766205</c:v>
                </c:pt>
                <c:pt idx="27">
                  <c:v>6.596753197027172</c:v>
                </c:pt>
                <c:pt idx="28">
                  <c:v>6.9150963275225683</c:v>
                </c:pt>
                <c:pt idx="29">
                  <c:v>7.2352565533016255</c:v>
                </c:pt>
                <c:pt idx="30">
                  <c:v>7.5620648591430548</c:v>
                </c:pt>
                <c:pt idx="31">
                  <c:v>7.8901560735834568</c:v>
                </c:pt>
                <c:pt idx="32">
                  <c:v>8.2209429738554665</c:v>
                </c:pt>
                <c:pt idx="33">
                  <c:v>8.5631204212618073</c:v>
                </c:pt>
                <c:pt idx="34">
                  <c:v>8.9268540401856846</c:v>
                </c:pt>
                <c:pt idx="35">
                  <c:v>9.2917485787048815</c:v>
                </c:pt>
                <c:pt idx="36">
                  <c:v>9.6629091906860616</c:v>
                </c:pt>
                <c:pt idx="37">
                  <c:v>10.037878952636762</c:v>
                </c:pt>
                <c:pt idx="38">
                  <c:v>10.416397267517208</c:v>
                </c:pt>
                <c:pt idx="39">
                  <c:v>10.797154987154029</c:v>
                </c:pt>
                <c:pt idx="40">
                  <c:v>11.182989890106809</c:v>
                </c:pt>
                <c:pt idx="41">
                  <c:v>11.570495991167169</c:v>
                </c:pt>
                <c:pt idx="42">
                  <c:v>11.960414442970816</c:v>
                </c:pt>
                <c:pt idx="43">
                  <c:v>12.352438269033101</c:v>
                </c:pt>
                <c:pt idx="44">
                  <c:v>12.751113192683405</c:v>
                </c:pt>
              </c:numCache>
              <c:extLst/>
            </c:numRef>
          </c:val>
          <c:smooth val="0"/>
          <c:extLst>
            <c:ext xmlns:c16="http://schemas.microsoft.com/office/drawing/2014/chart" uri="{C3380CC4-5D6E-409C-BE32-E72D297353CC}">
              <c16:uniqueId val="{00000001-FF7C-5540-A8E2-7ACBAC342F5A}"/>
            </c:ext>
          </c:extLst>
        </c:ser>
        <c:ser>
          <c:idx val="3"/>
          <c:order val="2"/>
          <c:tx>
            <c:strRef>
              <c:f>AutoResults!$BD$10</c:f>
              <c:strCache>
                <c:ptCount val="1"/>
                <c:pt idx="0">
                  <c:v>Optimum</c:v>
                </c:pt>
              </c:strCache>
            </c:strRef>
          </c:tx>
          <c:spPr>
            <a:ln>
              <a:solidFill>
                <a:srgbClr val="B5D5FA"/>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AutoResults!$BD$12:$BD$57</c:f>
              <c:numCache>
                <c:formatCode>_-* #\ ##0_-;\-* #\ ##0_-;_-* "-"??_-;_-@_-</c:formatCode>
                <c:ptCount val="45"/>
                <c:pt idx="0">
                  <c:v>0</c:v>
                </c:pt>
                <c:pt idx="1">
                  <c:v>0</c:v>
                </c:pt>
                <c:pt idx="2">
                  <c:v>0.55943499229512161</c:v>
                </c:pt>
                <c:pt idx="3">
                  <c:v>0.98241410573804511</c:v>
                </c:pt>
                <c:pt idx="4">
                  <c:v>1.4798253676558679</c:v>
                </c:pt>
                <c:pt idx="5">
                  <c:v>1.6389522761476012</c:v>
                </c:pt>
                <c:pt idx="6">
                  <c:v>2.0480366510010279</c:v>
                </c:pt>
                <c:pt idx="7">
                  <c:v>2.4879160450480002</c:v>
                </c:pt>
                <c:pt idx="8">
                  <c:v>2.9580530733198551</c:v>
                </c:pt>
                <c:pt idx="9">
                  <c:v>3.4601319217526023</c:v>
                </c:pt>
                <c:pt idx="10">
                  <c:v>3.986982042159005</c:v>
                </c:pt>
                <c:pt idx="11">
                  <c:v>4.5447218538274186</c:v>
                </c:pt>
                <c:pt idx="12">
                  <c:v>5.1306096376218937</c:v>
                </c:pt>
                <c:pt idx="13">
                  <c:v>5.7441143757980324</c:v>
                </c:pt>
                <c:pt idx="14">
                  <c:v>6.3863720773009538</c:v>
                </c:pt>
                <c:pt idx="15">
                  <c:v>7.0518174883645166</c:v>
                </c:pt>
                <c:pt idx="16">
                  <c:v>7.7449144224270441</c:v>
                </c:pt>
                <c:pt idx="17">
                  <c:v>8.4634215188234645</c:v>
                </c:pt>
                <c:pt idx="18">
                  <c:v>9.2067565886848506</c:v>
                </c:pt>
                <c:pt idx="19">
                  <c:v>9.956492813878814</c:v>
                </c:pt>
                <c:pt idx="20">
                  <c:v>10.765119472504068</c:v>
                </c:pt>
                <c:pt idx="21">
                  <c:v>11.578932047555998</c:v>
                </c:pt>
                <c:pt idx="22">
                  <c:v>12.41498335142826</c:v>
                </c:pt>
                <c:pt idx="23">
                  <c:v>13.27220373015979</c:v>
                </c:pt>
                <c:pt idx="24">
                  <c:v>14.143905504932203</c:v>
                </c:pt>
                <c:pt idx="25">
                  <c:v>15.048673495105319</c:v>
                </c:pt>
                <c:pt idx="26">
                  <c:v>15.966403873456532</c:v>
                </c:pt>
                <c:pt idx="27">
                  <c:v>16.902656320099112</c:v>
                </c:pt>
                <c:pt idx="28">
                  <c:v>17.856603075649176</c:v>
                </c:pt>
                <c:pt idx="29">
                  <c:v>18.822967858356119</c:v>
                </c:pt>
                <c:pt idx="30">
                  <c:v>19.814104422519105</c:v>
                </c:pt>
                <c:pt idx="31">
                  <c:v>20.815834547083419</c:v>
                </c:pt>
                <c:pt idx="32">
                  <c:v>21.831606713994066</c:v>
                </c:pt>
                <c:pt idx="33">
                  <c:v>22.884444491186759</c:v>
                </c:pt>
                <c:pt idx="34">
                  <c:v>24.001905345356874</c:v>
                </c:pt>
                <c:pt idx="35">
                  <c:v>25.129520843668569</c:v>
                </c:pt>
                <c:pt idx="36">
                  <c:v>26.280887564471193</c:v>
                </c:pt>
                <c:pt idx="37">
                  <c:v>27.449242238572651</c:v>
                </c:pt>
                <c:pt idx="38">
                  <c:v>28.633719999240675</c:v>
                </c:pt>
                <c:pt idx="39">
                  <c:v>29.830552652745293</c:v>
                </c:pt>
                <c:pt idx="40">
                  <c:v>31.047422697080428</c:v>
                </c:pt>
                <c:pt idx="41">
                  <c:v>32.27475564607542</c:v>
                </c:pt>
                <c:pt idx="42">
                  <c:v>33.514428089053816</c:v>
                </c:pt>
                <c:pt idx="43">
                  <c:v>34.765414053927721</c:v>
                </c:pt>
                <c:pt idx="44">
                  <c:v>36.040397229198582</c:v>
                </c:pt>
              </c:numCache>
              <c:extLst/>
            </c:numRef>
          </c:val>
          <c:smooth val="0"/>
          <c:extLst>
            <c:ext xmlns:c16="http://schemas.microsoft.com/office/drawing/2014/chart" uri="{C3380CC4-5D6E-409C-BE32-E72D297353CC}">
              <c16:uniqueId val="{00000002-FF7C-5540-A8E2-7ACBAC342F5A}"/>
            </c:ext>
          </c:extLst>
        </c:ser>
        <c:dLbls>
          <c:showLegendKey val="0"/>
          <c:showVal val="0"/>
          <c:showCatName val="0"/>
          <c:showSerName val="0"/>
          <c:showPercent val="0"/>
          <c:showBubbleSize val="0"/>
        </c:dLbls>
        <c:smooth val="0"/>
        <c:axId val="-878612112"/>
        <c:axId val="-878595248"/>
        <c:extLst/>
      </c:lineChart>
      <c:catAx>
        <c:axId val="-87861211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352726681298461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78595248"/>
        <c:crossesAt val="0"/>
        <c:auto val="1"/>
        <c:lblAlgn val="ctr"/>
        <c:lblOffset val="100"/>
        <c:tickLblSkip val="5"/>
        <c:tickMarkSkip val="5"/>
        <c:noMultiLvlLbl val="0"/>
      </c:catAx>
      <c:valAx>
        <c:axId val="-878595248"/>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78612112"/>
        <c:crosses val="autoZero"/>
        <c:crossBetween val="between"/>
      </c:valAx>
    </c:plotArea>
    <c:legend>
      <c:legendPos val="r"/>
      <c:layout>
        <c:manualLayout>
          <c:xMode val="edge"/>
          <c:yMode val="edge"/>
          <c:x val="0.78304604933986044"/>
          <c:y val="0.22976191292267054"/>
          <c:w val="0.21695395066013964"/>
          <c:h val="0.447667457281655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AutoResults!$BH$12:$BH$57</c:f>
              <c:numCache>
                <c:formatCode>_-* #\ ##0_-;\-* #\ ##0_-;_-* "-"??_-;_-@_-</c:formatCode>
                <c:ptCount val="45"/>
                <c:pt idx="0">
                  <c:v>0</c:v>
                </c:pt>
                <c:pt idx="1">
                  <c:v>0</c:v>
                </c:pt>
                <c:pt idx="2">
                  <c:v>-20741381.063089818</c:v>
                </c:pt>
                <c:pt idx="3">
                  <c:v>-34963021.038105756</c:v>
                </c:pt>
                <c:pt idx="4">
                  <c:v>-49903548.818215519</c:v>
                </c:pt>
                <c:pt idx="5">
                  <c:v>-65552241.417778224</c:v>
                </c:pt>
                <c:pt idx="6">
                  <c:v>-81898375.85115315</c:v>
                </c:pt>
                <c:pt idx="7">
                  <c:v>-98931229.132694945</c:v>
                </c:pt>
                <c:pt idx="8">
                  <c:v>-116640078.2767643</c:v>
                </c:pt>
                <c:pt idx="9">
                  <c:v>-135014200.2977159</c:v>
                </c:pt>
                <c:pt idx="10">
                  <c:v>-154042872.20990902</c:v>
                </c:pt>
                <c:pt idx="11">
                  <c:v>-173715371.02770269</c:v>
                </c:pt>
                <c:pt idx="12">
                  <c:v>-194020973.76545167</c:v>
                </c:pt>
                <c:pt idx="13">
                  <c:v>-214948957.43751532</c:v>
                </c:pt>
                <c:pt idx="14">
                  <c:v>-236488599.05825263</c:v>
                </c:pt>
                <c:pt idx="15">
                  <c:v>-258629175.64201838</c:v>
                </c:pt>
                <c:pt idx="16">
                  <c:v>-281359964.20317328</c:v>
                </c:pt>
                <c:pt idx="17">
                  <c:v>-304670241.75607193</c:v>
                </c:pt>
                <c:pt idx="18">
                  <c:v>-328549285.31507343</c:v>
                </c:pt>
                <c:pt idx="19">
                  <c:v>-352986371.89453721</c:v>
                </c:pt>
                <c:pt idx="20">
                  <c:v>-377970778.50881809</c:v>
                </c:pt>
                <c:pt idx="21">
                  <c:v>-403491782.17227626</c:v>
                </c:pt>
                <c:pt idx="22">
                  <c:v>-429538659.89926696</c:v>
                </c:pt>
                <c:pt idx="23">
                  <c:v>-456100688.70414889</c:v>
                </c:pt>
                <c:pt idx="24">
                  <c:v>-483167145.60128164</c:v>
                </c:pt>
                <c:pt idx="25">
                  <c:v>-510727307.60501969</c:v>
                </c:pt>
                <c:pt idx="26">
                  <c:v>-538770451.72972381</c:v>
                </c:pt>
                <c:pt idx="27">
                  <c:v>-567285854.98974872</c:v>
                </c:pt>
                <c:pt idx="28">
                  <c:v>-596262794.3994534</c:v>
                </c:pt>
                <c:pt idx="29">
                  <c:v>-625690546.97319734</c:v>
                </c:pt>
                <c:pt idx="30">
                  <c:v>-655558389.72533488</c:v>
                </c:pt>
                <c:pt idx="31">
                  <c:v>-685855599.67022681</c:v>
                </c:pt>
                <c:pt idx="32">
                  <c:v>-716571453.82222831</c:v>
                </c:pt>
                <c:pt idx="33">
                  <c:v>-747695229.19569826</c:v>
                </c:pt>
                <c:pt idx="34">
                  <c:v>-771308854.02507937</c:v>
                </c:pt>
                <c:pt idx="35">
                  <c:v>-748957487.44938886</c:v>
                </c:pt>
                <c:pt idx="36">
                  <c:v>-726019738.53403962</c:v>
                </c:pt>
                <c:pt idx="37">
                  <c:v>-702506330.26467574</c:v>
                </c:pt>
                <c:pt idx="38">
                  <c:v>-678427985.62693751</c:v>
                </c:pt>
                <c:pt idx="39">
                  <c:v>-653795427.60646772</c:v>
                </c:pt>
                <c:pt idx="40">
                  <c:v>-628619379.18890917</c:v>
                </c:pt>
                <c:pt idx="41">
                  <c:v>-588095291.17198241</c:v>
                </c:pt>
                <c:pt idx="42">
                  <c:v>-545780007.77413654</c:v>
                </c:pt>
                <c:pt idx="43">
                  <c:v>-504302694.81479681</c:v>
                </c:pt>
                <c:pt idx="44">
                  <c:v>-461613554.8713001</c:v>
                </c:pt>
              </c:numCache>
              <c:extLst/>
            </c:numRef>
          </c:val>
          <c:smooth val="0"/>
          <c:extLst>
            <c:ext xmlns:c16="http://schemas.microsoft.com/office/drawing/2014/chart" uri="{C3380CC4-5D6E-409C-BE32-E72D297353CC}">
              <c16:uniqueId val="{00000000-2005-B24B-9267-53EF9BEABBF9}"/>
            </c:ext>
          </c:extLst>
        </c:ser>
        <c:ser>
          <c:idx val="2"/>
          <c:order val="1"/>
          <c:tx>
            <c:strRef>
              <c:f>AutoResults!$BI$10</c:f>
              <c:strCache>
                <c:ptCount val="1"/>
                <c:pt idx="0">
                  <c:v>Drawdown</c:v>
                </c:pt>
              </c:strCache>
            </c:strRef>
          </c:tx>
          <c:spPr>
            <a:ln>
              <a:solidFill>
                <a:srgbClr val="6A9FDD"/>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AutoResults!$BI$12:$BI$57</c:f>
              <c:numCache>
                <c:formatCode>_-* #\ ##0_-;\-* #\ ##0_-;_-* "-"??_-;_-@_-</c:formatCode>
                <c:ptCount val="45"/>
                <c:pt idx="0">
                  <c:v>0</c:v>
                </c:pt>
                <c:pt idx="1">
                  <c:v>0</c:v>
                </c:pt>
                <c:pt idx="2">
                  <c:v>-35599893.452713758</c:v>
                </c:pt>
                <c:pt idx="3">
                  <c:v>-52934832.266815558</c:v>
                </c:pt>
                <c:pt idx="4">
                  <c:v>-71257667.409314871</c:v>
                </c:pt>
                <c:pt idx="5">
                  <c:v>-90568970.504542708</c:v>
                </c:pt>
                <c:pt idx="6">
                  <c:v>-110869313.17683038</c:v>
                </c:pt>
                <c:pt idx="7">
                  <c:v>-132159267.05050445</c:v>
                </c:pt>
                <c:pt idx="8">
                  <c:v>-154439403.74989766</c:v>
                </c:pt>
                <c:pt idx="9">
                  <c:v>-177710294.89933679</c:v>
                </c:pt>
                <c:pt idx="10">
                  <c:v>-201972512.12315288</c:v>
                </c:pt>
                <c:pt idx="11">
                  <c:v>-227226627.04567716</c:v>
                </c:pt>
                <c:pt idx="12">
                  <c:v>-253473211.2912364</c:v>
                </c:pt>
                <c:pt idx="13">
                  <c:v>-280712836.48416173</c:v>
                </c:pt>
                <c:pt idx="14">
                  <c:v>-308946074.24878442</c:v>
                </c:pt>
                <c:pt idx="15">
                  <c:v>-338173496.20943105</c:v>
                </c:pt>
                <c:pt idx="16">
                  <c:v>-368395673.99043441</c:v>
                </c:pt>
                <c:pt idx="17">
                  <c:v>-399613179.21612084</c:v>
                </c:pt>
                <c:pt idx="18">
                  <c:v>-431826583.51082194</c:v>
                </c:pt>
                <c:pt idx="19">
                  <c:v>-465036458.4988687</c:v>
                </c:pt>
                <c:pt idx="20">
                  <c:v>-499243375.80458808</c:v>
                </c:pt>
                <c:pt idx="21">
                  <c:v>-534447907.05231214</c:v>
                </c:pt>
                <c:pt idx="22">
                  <c:v>-570650623.86636817</c:v>
                </c:pt>
                <c:pt idx="23">
                  <c:v>-607852097.87108707</c:v>
                </c:pt>
                <c:pt idx="24">
                  <c:v>-646052900.69080019</c:v>
                </c:pt>
                <c:pt idx="25">
                  <c:v>-685253603.94983435</c:v>
                </c:pt>
                <c:pt idx="26">
                  <c:v>-725454779.27252173</c:v>
                </c:pt>
                <c:pt idx="27">
                  <c:v>-766656998.28318954</c:v>
                </c:pt>
                <c:pt idx="28">
                  <c:v>-808860832.60616863</c:v>
                </c:pt>
                <c:pt idx="29">
                  <c:v>-852066853.86579037</c:v>
                </c:pt>
                <c:pt idx="30">
                  <c:v>-896275633.68638146</c:v>
                </c:pt>
                <c:pt idx="31">
                  <c:v>-941487743.69227433</c:v>
                </c:pt>
                <c:pt idx="32">
                  <c:v>-987703755.50779629</c:v>
                </c:pt>
                <c:pt idx="33">
                  <c:v>-1034924240.7572775</c:v>
                </c:pt>
                <c:pt idx="34">
                  <c:v>-1072711406.0791047</c:v>
                </c:pt>
                <c:pt idx="35">
                  <c:v>-1043128714.182616</c:v>
                </c:pt>
                <c:pt idx="36">
                  <c:v>-1012551062.3142259</c:v>
                </c:pt>
                <c:pt idx="37">
                  <c:v>-980977878.84960556</c:v>
                </c:pt>
                <c:pt idx="38">
                  <c:v>-948408592.16442394</c:v>
                </c:pt>
                <c:pt idx="39">
                  <c:v>-914842630.63435173</c:v>
                </c:pt>
                <c:pt idx="40">
                  <c:v>-880279422.63505912</c:v>
                </c:pt>
                <c:pt idx="41">
                  <c:v>-819289901.21884871</c:v>
                </c:pt>
                <c:pt idx="42">
                  <c:v>-760176988.12585044</c:v>
                </c:pt>
                <c:pt idx="43">
                  <c:v>-704578031.92424798</c:v>
                </c:pt>
                <c:pt idx="44">
                  <c:v>-646991238.12461472</c:v>
                </c:pt>
              </c:numCache>
              <c:extLst/>
            </c:numRef>
          </c:val>
          <c:smooth val="0"/>
          <c:extLst>
            <c:ext xmlns:c16="http://schemas.microsoft.com/office/drawing/2014/chart" uri="{C3380CC4-5D6E-409C-BE32-E72D297353CC}">
              <c16:uniqueId val="{00000001-2005-B24B-9267-53EF9BEABBF9}"/>
            </c:ext>
          </c:extLst>
        </c:ser>
        <c:ser>
          <c:idx val="3"/>
          <c:order val="2"/>
          <c:tx>
            <c:strRef>
              <c:f>AutoResults!$BJ$10</c:f>
              <c:strCache>
                <c:ptCount val="1"/>
                <c:pt idx="0">
                  <c:v>Optimum</c:v>
                </c:pt>
              </c:strCache>
            </c:strRef>
          </c:tx>
          <c:spPr>
            <a:ln>
              <a:solidFill>
                <a:srgbClr val="B5D5FA"/>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AutoResults!$BJ$12:$BJ$57</c:f>
              <c:numCache>
                <c:formatCode>_-* #\ ##0_-;\-* #\ ##0_-;_-* "-"??_-;_-@_-</c:formatCode>
                <c:ptCount val="45"/>
                <c:pt idx="0">
                  <c:v>0</c:v>
                </c:pt>
                <c:pt idx="1">
                  <c:v>0</c:v>
                </c:pt>
                <c:pt idx="2">
                  <c:v>-55612795.014561273</c:v>
                </c:pt>
                <c:pt idx="3">
                  <c:v>-98234367.198185861</c:v>
                </c:pt>
                <c:pt idx="4">
                  <c:v>-149015961.28498465</c:v>
                </c:pt>
                <c:pt idx="5">
                  <c:v>-166157745.39104855</c:v>
                </c:pt>
                <c:pt idx="6">
                  <c:v>-209024049.58543965</c:v>
                </c:pt>
                <c:pt idx="7">
                  <c:v>-255592366.916637</c:v>
                </c:pt>
                <c:pt idx="8">
                  <c:v>-305862697.38464373</c:v>
                </c:pt>
                <c:pt idx="9">
                  <c:v>-359835040.98945677</c:v>
                </c:pt>
                <c:pt idx="10">
                  <c:v>-417509397.73107725</c:v>
                </c:pt>
                <c:pt idx="11">
                  <c:v>-478885767.60950732</c:v>
                </c:pt>
                <c:pt idx="12">
                  <c:v>-543964150.62474322</c:v>
                </c:pt>
                <c:pt idx="13">
                  <c:v>-612744546.77678728</c:v>
                </c:pt>
                <c:pt idx="14">
                  <c:v>-685226956.06564045</c:v>
                </c:pt>
                <c:pt idx="15">
                  <c:v>-761411378.49129987</c:v>
                </c:pt>
                <c:pt idx="16">
                  <c:v>-841297814.05376887</c:v>
                </c:pt>
                <c:pt idx="17">
                  <c:v>-924886262.75304377</c:v>
                </c:pt>
                <c:pt idx="18">
                  <c:v>-1012176724.5891263</c:v>
                </c:pt>
                <c:pt idx="19">
                  <c:v>-1101379512.7018137</c:v>
                </c:pt>
                <c:pt idx="20">
                  <c:v>-1197863687.6717167</c:v>
                </c:pt>
                <c:pt idx="21">
                  <c:v>-1296260188.9182243</c:v>
                </c:pt>
                <c:pt idx="22">
                  <c:v>-1398358703.3015382</c:v>
                </c:pt>
                <c:pt idx="23">
                  <c:v>-1504159230.8216603</c:v>
                </c:pt>
                <c:pt idx="24">
                  <c:v>-1613661771.4785912</c:v>
                </c:pt>
                <c:pt idx="25">
                  <c:v>-1726866325.2723279</c:v>
                </c:pt>
                <c:pt idx="26">
                  <c:v>-1843772892.2028747</c:v>
                </c:pt>
                <c:pt idx="27">
                  <c:v>-1964381472.2702274</c:v>
                </c:pt>
                <c:pt idx="28">
                  <c:v>-2088692065.4743876</c:v>
                </c:pt>
                <c:pt idx="29">
                  <c:v>-2216704671.8153572</c:v>
                </c:pt>
                <c:pt idx="30">
                  <c:v>-2348419291.2931333</c:v>
                </c:pt>
                <c:pt idx="31">
                  <c:v>-2483835923.9077182</c:v>
                </c:pt>
                <c:pt idx="32">
                  <c:v>-2622954569.6591096</c:v>
                </c:pt>
                <c:pt idx="33">
                  <c:v>-2765775228.5473094</c:v>
                </c:pt>
                <c:pt idx="34">
                  <c:v>-2885089178.2774382</c:v>
                </c:pt>
                <c:pt idx="35">
                  <c:v>-2807582608.3029184</c:v>
                </c:pt>
                <c:pt idx="36">
                  <c:v>-2726374025.1915903</c:v>
                </c:pt>
                <c:pt idx="37">
                  <c:v>-2641463428.9434547</c:v>
                </c:pt>
                <c:pt idx="38">
                  <c:v>-2553489993.4371548</c:v>
                </c:pt>
                <c:pt idx="39">
                  <c:v>-2461686710.0183196</c:v>
                </c:pt>
                <c:pt idx="40">
                  <c:v>-2364519561.3782005</c:v>
                </c:pt>
                <c:pt idx="41">
                  <c:v>-2225077487.572432</c:v>
                </c:pt>
                <c:pt idx="42">
                  <c:v>-2075323475.5049372</c:v>
                </c:pt>
                <c:pt idx="43">
                  <c:v>-1919750641.1786351</c:v>
                </c:pt>
                <c:pt idx="44">
                  <c:v>-1782172794.5865715</c:v>
                </c:pt>
              </c:numCache>
              <c:extLst/>
            </c:numRef>
          </c:val>
          <c:smooth val="0"/>
          <c:extLst>
            <c:ext xmlns:c16="http://schemas.microsoft.com/office/drawing/2014/chart" uri="{C3380CC4-5D6E-409C-BE32-E72D297353CC}">
              <c16:uniqueId val="{00000002-2005-B24B-9267-53EF9BEABBF9}"/>
            </c:ext>
          </c:extLst>
        </c:ser>
        <c:dLbls>
          <c:showLegendKey val="0"/>
          <c:showVal val="0"/>
          <c:showCatName val="0"/>
          <c:showSerName val="0"/>
          <c:showPercent val="0"/>
          <c:showBubbleSize val="0"/>
        </c:dLbls>
        <c:smooth val="0"/>
        <c:axId val="-878620816"/>
        <c:axId val="-878599056"/>
        <c:extLst/>
      </c:lineChart>
      <c:catAx>
        <c:axId val="-878620816"/>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78599056"/>
        <c:crossesAt val="0"/>
        <c:auto val="1"/>
        <c:lblAlgn val="ctr"/>
        <c:lblOffset val="100"/>
        <c:tickLblSkip val="5"/>
        <c:tickMarkSkip val="5"/>
        <c:noMultiLvlLbl val="0"/>
      </c:catAx>
      <c:valAx>
        <c:axId val="-878599056"/>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78620816"/>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35B989D-D14C-2E42-8B42-7A090A84F535}">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1394</TotalTime>
  <Pages>12</Pages>
  <Words>17192</Words>
  <Characters>98000</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28</cp:revision>
  <cp:lastPrinted>2018-07-24T17:02:00Z</cp:lastPrinted>
  <dcterms:created xsi:type="dcterms:W3CDTF">2019-03-31T23:16:00Z</dcterms:created>
  <dcterms:modified xsi:type="dcterms:W3CDTF">2021-11-30T18:58:00Z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