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E069AC" w:rsidRDefault="00630CD1" w:rsidP="00EB247F">
      <w:pPr>
        <w:pStyle w:val="TableofFigures"/>
        <w:tabs>
          <w:tab w:val="right" w:leader="dot" w:pos="9350"/>
        </w:tabs>
        <w:rPr>
          <w:rStyle w:val="Hyperlink"/>
          <w:noProof/>
        </w:rPr>
      </w:pPr>
      <w:r w:rsidRPr="00E069A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D03FA0" w:rsidRPr="00EB247F" w:rsidRDefault="00D03FA0"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3F39D4A4" w:rsidR="00D03FA0" w:rsidRPr="00EB247F" w:rsidRDefault="00D03FA0"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Offshore Wind Turbines</w:t>
                            </w:r>
                          </w:p>
                          <w:p w14:paraId="51BC3A26" w14:textId="77777777" w:rsidR="00D03FA0" w:rsidRDefault="00D03FA0" w:rsidP="00EB247F">
                            <w:pPr>
                              <w:spacing w:line="240" w:lineRule="auto"/>
                              <w:jc w:val="center"/>
                              <w:rPr>
                                <w:rFonts w:cs="Times New Roman"/>
                                <w:smallCaps/>
                                <w:color w:val="404040" w:themeColor="text1" w:themeTint="BF"/>
                                <w:sz w:val="36"/>
                                <w:szCs w:val="36"/>
                              </w:rPr>
                            </w:pPr>
                          </w:p>
                          <w:p w14:paraId="1B870FF6" w14:textId="77777777" w:rsidR="00D03FA0" w:rsidRDefault="00D03FA0" w:rsidP="00EB247F">
                            <w:pPr>
                              <w:spacing w:line="240" w:lineRule="auto"/>
                              <w:jc w:val="center"/>
                              <w:rPr>
                                <w:rFonts w:cs="Times New Roman"/>
                                <w:smallCaps/>
                                <w:color w:val="404040" w:themeColor="text1" w:themeTint="BF"/>
                                <w:sz w:val="36"/>
                                <w:szCs w:val="36"/>
                              </w:rPr>
                            </w:pPr>
                          </w:p>
                          <w:p w14:paraId="30E4023E" w14:textId="3D0FA057" w:rsidR="00D03FA0" w:rsidRPr="00EB247F" w:rsidRDefault="00D03FA0"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5E723A8B" w:rsidR="00D03FA0" w:rsidRPr="00EB247F" w:rsidRDefault="00D03FA0"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2F571097" w:rsidR="00D03FA0" w:rsidRPr="00EB247F" w:rsidRDefault="00D03FA0"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Wind</w:t>
                            </w:r>
                            <w:r w:rsidRPr="00EB247F">
                              <w:rPr>
                                <w:rFonts w:cs="Times New Roman"/>
                                <w:smallCaps/>
                                <w:color w:val="404040" w:themeColor="text1" w:themeTint="BF"/>
                                <w:sz w:val="36"/>
                                <w:szCs w:val="36"/>
                              </w:rPr>
                              <w:t xml:space="preserve"> Energy, Electricity Generation, Grid, Renewable Energy Source</w:t>
                            </w:r>
                          </w:p>
                          <w:p w14:paraId="5943CD2B" w14:textId="77777777" w:rsidR="00D03FA0" w:rsidRPr="00EB247F" w:rsidRDefault="00D03FA0" w:rsidP="00EB247F">
                            <w:pPr>
                              <w:spacing w:line="240" w:lineRule="auto"/>
                              <w:rPr>
                                <w:rFonts w:cs="Times New Roman"/>
                                <w:smallCaps/>
                                <w:color w:val="404040" w:themeColor="text1" w:themeTint="BF"/>
                                <w:sz w:val="36"/>
                                <w:szCs w:val="36"/>
                              </w:rPr>
                            </w:pPr>
                          </w:p>
                          <w:p w14:paraId="1922C9C8" w14:textId="77777777" w:rsidR="00D03FA0" w:rsidRPr="00EB247F" w:rsidRDefault="00D03FA0" w:rsidP="00EB247F">
                            <w:pPr>
                              <w:spacing w:line="240" w:lineRule="auto"/>
                              <w:rPr>
                                <w:rFonts w:cs="Times New Roman"/>
                                <w:smallCaps/>
                                <w:color w:val="404040" w:themeColor="text1" w:themeTint="BF"/>
                                <w:sz w:val="36"/>
                                <w:szCs w:val="36"/>
                              </w:rPr>
                            </w:pPr>
                          </w:p>
                          <w:p w14:paraId="66A3CB5B" w14:textId="77777777" w:rsidR="00D03FA0" w:rsidRPr="00EB247F" w:rsidRDefault="00D03FA0" w:rsidP="00EB247F">
                            <w:pPr>
                              <w:spacing w:line="240" w:lineRule="auto"/>
                              <w:rPr>
                                <w:rFonts w:cs="Times New Roman"/>
                                <w:smallCaps/>
                                <w:color w:val="404040" w:themeColor="text1" w:themeTint="BF"/>
                                <w:sz w:val="36"/>
                                <w:szCs w:val="36"/>
                              </w:rPr>
                            </w:pPr>
                          </w:p>
                          <w:p w14:paraId="0B02E81E" w14:textId="77777777" w:rsidR="00D03FA0" w:rsidRPr="00EB247F" w:rsidRDefault="00D03FA0" w:rsidP="00EB247F">
                            <w:pPr>
                              <w:spacing w:line="240" w:lineRule="auto"/>
                              <w:rPr>
                                <w:rFonts w:cs="Times New Roman"/>
                                <w:smallCaps/>
                                <w:color w:val="404040" w:themeColor="text1" w:themeTint="BF"/>
                                <w:sz w:val="36"/>
                                <w:szCs w:val="36"/>
                              </w:rPr>
                            </w:pPr>
                          </w:p>
                          <w:p w14:paraId="596D7C93" w14:textId="4585F261" w:rsidR="00D03FA0" w:rsidRPr="00EB247F" w:rsidRDefault="00D03FA0"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3 (June 2020)</w:t>
                            </w:r>
                          </w:p>
                          <w:p w14:paraId="5850EC6A" w14:textId="77777777" w:rsidR="00D03FA0" w:rsidRPr="00EB247F" w:rsidRDefault="00D03FA0" w:rsidP="00EB247F">
                            <w:pPr>
                              <w:spacing w:after="0" w:line="240" w:lineRule="auto"/>
                              <w:rPr>
                                <w:rFonts w:cs="Times New Roman"/>
                                <w:smallCaps/>
                                <w:color w:val="404040" w:themeColor="text1" w:themeTint="BF"/>
                                <w:sz w:val="36"/>
                                <w:szCs w:val="36"/>
                              </w:rPr>
                            </w:pPr>
                          </w:p>
                          <w:p w14:paraId="338A969E" w14:textId="77777777" w:rsidR="00D03FA0" w:rsidRPr="00EB247F" w:rsidRDefault="00D03FA0" w:rsidP="00EB247F">
                            <w:pPr>
                              <w:spacing w:after="0" w:line="240" w:lineRule="auto"/>
                              <w:rPr>
                                <w:rFonts w:cs="Times New Roman"/>
                                <w:smallCaps/>
                                <w:color w:val="404040" w:themeColor="text1" w:themeTint="BF"/>
                                <w:sz w:val="36"/>
                                <w:szCs w:val="36"/>
                              </w:rPr>
                            </w:pPr>
                          </w:p>
                          <w:p w14:paraId="392B7194" w14:textId="77777777" w:rsidR="00D03FA0" w:rsidRPr="00EB247F" w:rsidRDefault="00D03FA0" w:rsidP="00EB247F">
                            <w:pPr>
                              <w:spacing w:after="0" w:line="240" w:lineRule="auto"/>
                              <w:rPr>
                                <w:rFonts w:cs="Times New Roman"/>
                                <w:smallCaps/>
                                <w:color w:val="404040" w:themeColor="text1" w:themeTint="BF"/>
                                <w:sz w:val="36"/>
                                <w:szCs w:val="36"/>
                              </w:rPr>
                            </w:pPr>
                          </w:p>
                          <w:p w14:paraId="0EF4437F" w14:textId="77777777" w:rsidR="00D03FA0" w:rsidRPr="00EB247F" w:rsidRDefault="00D03FA0" w:rsidP="00EB247F">
                            <w:pPr>
                              <w:spacing w:after="0" w:line="240" w:lineRule="auto"/>
                              <w:rPr>
                                <w:rFonts w:cs="Times New Roman"/>
                                <w:smallCaps/>
                                <w:color w:val="404040" w:themeColor="text1" w:themeTint="BF"/>
                                <w:sz w:val="36"/>
                                <w:szCs w:val="36"/>
                              </w:rPr>
                            </w:pPr>
                          </w:p>
                          <w:p w14:paraId="66C10BC1" w14:textId="77777777" w:rsidR="00D03FA0" w:rsidRPr="00EB247F" w:rsidRDefault="00D03FA0"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6C4588F0" w14:textId="307F7A8B" w:rsidR="00D03FA0" w:rsidRDefault="00D03FA0" w:rsidP="006B3BC7">
                            <w:pPr>
                              <w:spacing w:after="0" w:line="240" w:lineRule="auto"/>
                              <w:rPr>
                                <w:rFonts w:cs="Times New Roman"/>
                                <w:smallCaps/>
                                <w:color w:val="404040" w:themeColor="text1" w:themeTint="BF"/>
                                <w:sz w:val="28"/>
                                <w:szCs w:val="28"/>
                              </w:rPr>
                            </w:pPr>
                            <w:r w:rsidRPr="00A94106">
                              <w:rPr>
                                <w:rFonts w:cs="Times New Roman"/>
                                <w:smallCaps/>
                                <w:color w:val="404040" w:themeColor="text1" w:themeTint="BF"/>
                                <w:sz w:val="28"/>
                                <w:szCs w:val="28"/>
                              </w:rPr>
                              <w:t>Abdulmutalib Yussuff</w:t>
                            </w:r>
                            <w:r>
                              <w:rPr>
                                <w:rFonts w:cs="Times New Roman"/>
                                <w:smallCaps/>
                                <w:color w:val="404040" w:themeColor="text1" w:themeTint="BF"/>
                                <w:sz w:val="28"/>
                                <w:szCs w:val="28"/>
                              </w:rPr>
                              <w:t>, research fellow</w:t>
                            </w:r>
                          </w:p>
                          <w:p w14:paraId="2C7DFE7C" w14:textId="77777777" w:rsidR="00D03FA0" w:rsidRPr="00C34CCC" w:rsidRDefault="00D03FA0" w:rsidP="00F33675">
                            <w:pPr>
                              <w:spacing w:after="0" w:line="240" w:lineRule="auto"/>
                              <w:rPr>
                                <w:rFonts w:cs="Times New Roman"/>
                                <w:smallCaps/>
                                <w:color w:val="404040" w:themeColor="text1" w:themeTint="BF"/>
                                <w:sz w:val="28"/>
                                <w:szCs w:val="28"/>
                                <w:lang w:val="pt-PT"/>
                              </w:rPr>
                            </w:pPr>
                            <w:r w:rsidRPr="00C34CCC">
                              <w:rPr>
                                <w:rFonts w:cs="Times New Roman"/>
                                <w:smallCaps/>
                                <w:color w:val="404040" w:themeColor="text1" w:themeTint="BF"/>
                                <w:sz w:val="28"/>
                                <w:szCs w:val="28"/>
                                <w:lang w:val="pt-PT"/>
                              </w:rPr>
                              <w:t>João Pedro Gouveia, Senior Research Fellow</w:t>
                            </w:r>
                          </w:p>
                          <w:p w14:paraId="258CFACB" w14:textId="77777777" w:rsidR="00D03FA0" w:rsidRPr="00C34CCC" w:rsidRDefault="00D03FA0" w:rsidP="006B3BC7">
                            <w:pPr>
                              <w:spacing w:after="0" w:line="240" w:lineRule="auto"/>
                              <w:rPr>
                                <w:rFonts w:cs="Times New Roman"/>
                                <w:smallCaps/>
                                <w:color w:val="404040" w:themeColor="text1" w:themeTint="BF"/>
                                <w:lang w:val="pt-PT"/>
                              </w:rPr>
                            </w:pPr>
                          </w:p>
                          <w:p w14:paraId="1C3CFB47" w14:textId="61C09C3A" w:rsidR="00D03FA0" w:rsidRPr="00C34CCC" w:rsidRDefault="00D03FA0" w:rsidP="007864AB">
                            <w:pPr>
                              <w:rPr>
                                <w:rFonts w:cs="Times New Roman"/>
                                <w:smallCaps/>
                                <w:color w:val="404040" w:themeColor="text1" w:themeTint="BF"/>
                                <w:lang w:val="pt-PT"/>
                              </w:rPr>
                            </w:pPr>
                          </w:p>
                          <w:p w14:paraId="3F995F95" w14:textId="77777777" w:rsidR="00D03FA0" w:rsidRPr="00C34CCC" w:rsidRDefault="00D03FA0" w:rsidP="007864AB">
                            <w:pPr>
                              <w:rPr>
                                <w:rFonts w:cs="Times New Roman"/>
                                <w:smallCaps/>
                                <w:color w:val="404040" w:themeColor="text1" w:themeTint="BF"/>
                                <w:lang w:val="pt-PT"/>
                              </w:rPr>
                            </w:pPr>
                          </w:p>
                          <w:p w14:paraId="4481356F" w14:textId="6C098178" w:rsidR="00D03FA0" w:rsidRPr="00EB247F" w:rsidRDefault="00D03FA0"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62EC9026" w:rsidR="00D03FA0" w:rsidRPr="00F33675" w:rsidRDefault="00726209" w:rsidP="007864AB">
                            <w:pPr>
                              <w:rPr>
                                <w:rFonts w:asciiTheme="minorHAnsi" w:hAnsiTheme="minorHAnsi"/>
                                <w:smallCaps/>
                                <w:color w:val="808080" w:themeColor="background1" w:themeShade="80"/>
                                <w:sz w:val="20"/>
                                <w:szCs w:val="20"/>
                              </w:rPr>
                            </w:pPr>
                            <w:hyperlink r:id="rId10" w:history="1">
                              <w:r w:rsidR="00D03FA0" w:rsidRPr="00F33675">
                                <w:rPr>
                                  <w:rFonts w:asciiTheme="minorHAnsi" w:hAnsiTheme="minorHAnsi"/>
                                  <w:color w:val="808080" w:themeColor="background1" w:themeShade="80"/>
                                </w:rPr>
                                <w:t>info@drawdown.org</w:t>
                              </w:r>
                            </w:hyperlink>
                            <w:r w:rsidR="00D03FA0" w:rsidRPr="00F33675">
                              <w:rPr>
                                <w:rFonts w:asciiTheme="minorHAnsi" w:hAnsiTheme="minorHAnsi"/>
                                <w:smallCaps/>
                                <w:color w:val="808080" w:themeColor="background1" w:themeShade="80"/>
                                <w:sz w:val="20"/>
                                <w:szCs w:val="20"/>
                              </w:rPr>
                              <w:t xml:space="preserve">             </w:t>
                            </w:r>
                            <w:hyperlink r:id="rId11" w:history="1">
                              <w:r w:rsidR="00D03FA0" w:rsidRPr="00F33675">
                                <w:rPr>
                                  <w:rFonts w:asciiTheme="minorHAnsi" w:hAnsiTheme="minorHAnsi"/>
                                  <w:color w:val="808080" w:themeColor="background1" w:themeShade="80"/>
                                </w:rPr>
                                <w:t>www.drawdown.org</w:t>
                              </w:r>
                            </w:hyperlink>
                            <w:r w:rsidR="00D03FA0" w:rsidRPr="00F33675">
                              <w:rPr>
                                <w:rFonts w:asciiTheme="minorHAnsi" w:hAnsiTheme="minorHAnsi"/>
                                <w:smallCaps/>
                                <w:color w:val="808080" w:themeColor="background1" w:themeShade="80"/>
                                <w:sz w:val="20"/>
                                <w:szCs w:val="20"/>
                              </w:rPr>
                              <w:t xml:space="preserve">  </w:t>
                            </w:r>
                          </w:p>
                          <w:p w14:paraId="05DAFFE7" w14:textId="77777777" w:rsidR="00D03FA0" w:rsidRPr="00F33675" w:rsidRDefault="00D03FA0" w:rsidP="00C81D94">
                            <w:pPr>
                              <w:rPr>
                                <w:rFonts w:cs="Times New Roman"/>
                                <w:smallCaps/>
                                <w:color w:val="404040" w:themeColor="text1" w:themeTint="BF"/>
                                <w:sz w:val="36"/>
                                <w:szCs w:val="36"/>
                              </w:rPr>
                            </w:pPr>
                          </w:p>
                          <w:p w14:paraId="3D97FBF6" w14:textId="77777777" w:rsidR="00D03FA0" w:rsidRPr="00F33675" w:rsidRDefault="00D03FA0"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D03FA0" w:rsidRPr="00EB247F" w:rsidRDefault="00D03FA0"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3F39D4A4" w:rsidR="00D03FA0" w:rsidRPr="00EB247F" w:rsidRDefault="00D03FA0"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Offshore Wind Turbines</w:t>
                      </w:r>
                    </w:p>
                    <w:p w14:paraId="51BC3A26" w14:textId="77777777" w:rsidR="00D03FA0" w:rsidRDefault="00D03FA0" w:rsidP="00EB247F">
                      <w:pPr>
                        <w:spacing w:line="240" w:lineRule="auto"/>
                        <w:jc w:val="center"/>
                        <w:rPr>
                          <w:rFonts w:cs="Times New Roman"/>
                          <w:smallCaps/>
                          <w:color w:val="404040" w:themeColor="text1" w:themeTint="BF"/>
                          <w:sz w:val="36"/>
                          <w:szCs w:val="36"/>
                        </w:rPr>
                      </w:pPr>
                    </w:p>
                    <w:p w14:paraId="1B870FF6" w14:textId="77777777" w:rsidR="00D03FA0" w:rsidRDefault="00D03FA0" w:rsidP="00EB247F">
                      <w:pPr>
                        <w:spacing w:line="240" w:lineRule="auto"/>
                        <w:jc w:val="center"/>
                        <w:rPr>
                          <w:rFonts w:cs="Times New Roman"/>
                          <w:smallCaps/>
                          <w:color w:val="404040" w:themeColor="text1" w:themeTint="BF"/>
                          <w:sz w:val="36"/>
                          <w:szCs w:val="36"/>
                        </w:rPr>
                      </w:pPr>
                    </w:p>
                    <w:p w14:paraId="30E4023E" w14:textId="3D0FA057" w:rsidR="00D03FA0" w:rsidRPr="00EB247F" w:rsidRDefault="00D03FA0"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5E723A8B" w:rsidR="00D03FA0" w:rsidRPr="00EB247F" w:rsidRDefault="00D03FA0"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2F571097" w:rsidR="00D03FA0" w:rsidRPr="00EB247F" w:rsidRDefault="00D03FA0"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Wind</w:t>
                      </w:r>
                      <w:r w:rsidRPr="00EB247F">
                        <w:rPr>
                          <w:rFonts w:cs="Times New Roman"/>
                          <w:smallCaps/>
                          <w:color w:val="404040" w:themeColor="text1" w:themeTint="BF"/>
                          <w:sz w:val="36"/>
                          <w:szCs w:val="36"/>
                        </w:rPr>
                        <w:t xml:space="preserve"> Energy, Electricity Generation, Grid, Renewable Energy Source</w:t>
                      </w:r>
                    </w:p>
                    <w:p w14:paraId="5943CD2B" w14:textId="77777777" w:rsidR="00D03FA0" w:rsidRPr="00EB247F" w:rsidRDefault="00D03FA0" w:rsidP="00EB247F">
                      <w:pPr>
                        <w:spacing w:line="240" w:lineRule="auto"/>
                        <w:rPr>
                          <w:rFonts w:cs="Times New Roman"/>
                          <w:smallCaps/>
                          <w:color w:val="404040" w:themeColor="text1" w:themeTint="BF"/>
                          <w:sz w:val="36"/>
                          <w:szCs w:val="36"/>
                        </w:rPr>
                      </w:pPr>
                    </w:p>
                    <w:p w14:paraId="1922C9C8" w14:textId="77777777" w:rsidR="00D03FA0" w:rsidRPr="00EB247F" w:rsidRDefault="00D03FA0" w:rsidP="00EB247F">
                      <w:pPr>
                        <w:spacing w:line="240" w:lineRule="auto"/>
                        <w:rPr>
                          <w:rFonts w:cs="Times New Roman"/>
                          <w:smallCaps/>
                          <w:color w:val="404040" w:themeColor="text1" w:themeTint="BF"/>
                          <w:sz w:val="36"/>
                          <w:szCs w:val="36"/>
                        </w:rPr>
                      </w:pPr>
                    </w:p>
                    <w:p w14:paraId="66A3CB5B" w14:textId="77777777" w:rsidR="00D03FA0" w:rsidRPr="00EB247F" w:rsidRDefault="00D03FA0" w:rsidP="00EB247F">
                      <w:pPr>
                        <w:spacing w:line="240" w:lineRule="auto"/>
                        <w:rPr>
                          <w:rFonts w:cs="Times New Roman"/>
                          <w:smallCaps/>
                          <w:color w:val="404040" w:themeColor="text1" w:themeTint="BF"/>
                          <w:sz w:val="36"/>
                          <w:szCs w:val="36"/>
                        </w:rPr>
                      </w:pPr>
                    </w:p>
                    <w:p w14:paraId="0B02E81E" w14:textId="77777777" w:rsidR="00D03FA0" w:rsidRPr="00EB247F" w:rsidRDefault="00D03FA0" w:rsidP="00EB247F">
                      <w:pPr>
                        <w:spacing w:line="240" w:lineRule="auto"/>
                        <w:rPr>
                          <w:rFonts w:cs="Times New Roman"/>
                          <w:smallCaps/>
                          <w:color w:val="404040" w:themeColor="text1" w:themeTint="BF"/>
                          <w:sz w:val="36"/>
                          <w:szCs w:val="36"/>
                        </w:rPr>
                      </w:pPr>
                    </w:p>
                    <w:p w14:paraId="596D7C93" w14:textId="4585F261" w:rsidR="00D03FA0" w:rsidRPr="00EB247F" w:rsidRDefault="00D03FA0"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3 (June 2020)</w:t>
                      </w:r>
                    </w:p>
                    <w:p w14:paraId="5850EC6A" w14:textId="77777777" w:rsidR="00D03FA0" w:rsidRPr="00EB247F" w:rsidRDefault="00D03FA0" w:rsidP="00EB247F">
                      <w:pPr>
                        <w:spacing w:after="0" w:line="240" w:lineRule="auto"/>
                        <w:rPr>
                          <w:rFonts w:cs="Times New Roman"/>
                          <w:smallCaps/>
                          <w:color w:val="404040" w:themeColor="text1" w:themeTint="BF"/>
                          <w:sz w:val="36"/>
                          <w:szCs w:val="36"/>
                        </w:rPr>
                      </w:pPr>
                    </w:p>
                    <w:p w14:paraId="338A969E" w14:textId="77777777" w:rsidR="00D03FA0" w:rsidRPr="00EB247F" w:rsidRDefault="00D03FA0" w:rsidP="00EB247F">
                      <w:pPr>
                        <w:spacing w:after="0" w:line="240" w:lineRule="auto"/>
                        <w:rPr>
                          <w:rFonts w:cs="Times New Roman"/>
                          <w:smallCaps/>
                          <w:color w:val="404040" w:themeColor="text1" w:themeTint="BF"/>
                          <w:sz w:val="36"/>
                          <w:szCs w:val="36"/>
                        </w:rPr>
                      </w:pPr>
                    </w:p>
                    <w:p w14:paraId="392B7194" w14:textId="77777777" w:rsidR="00D03FA0" w:rsidRPr="00EB247F" w:rsidRDefault="00D03FA0" w:rsidP="00EB247F">
                      <w:pPr>
                        <w:spacing w:after="0" w:line="240" w:lineRule="auto"/>
                        <w:rPr>
                          <w:rFonts w:cs="Times New Roman"/>
                          <w:smallCaps/>
                          <w:color w:val="404040" w:themeColor="text1" w:themeTint="BF"/>
                          <w:sz w:val="36"/>
                          <w:szCs w:val="36"/>
                        </w:rPr>
                      </w:pPr>
                    </w:p>
                    <w:p w14:paraId="0EF4437F" w14:textId="77777777" w:rsidR="00D03FA0" w:rsidRPr="00EB247F" w:rsidRDefault="00D03FA0" w:rsidP="00EB247F">
                      <w:pPr>
                        <w:spacing w:after="0" w:line="240" w:lineRule="auto"/>
                        <w:rPr>
                          <w:rFonts w:cs="Times New Roman"/>
                          <w:smallCaps/>
                          <w:color w:val="404040" w:themeColor="text1" w:themeTint="BF"/>
                          <w:sz w:val="36"/>
                          <w:szCs w:val="36"/>
                        </w:rPr>
                      </w:pPr>
                    </w:p>
                    <w:p w14:paraId="66C10BC1" w14:textId="77777777" w:rsidR="00D03FA0" w:rsidRPr="00EB247F" w:rsidRDefault="00D03FA0"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6C4588F0" w14:textId="307F7A8B" w:rsidR="00D03FA0" w:rsidRDefault="00D03FA0" w:rsidP="006B3BC7">
                      <w:pPr>
                        <w:spacing w:after="0" w:line="240" w:lineRule="auto"/>
                        <w:rPr>
                          <w:rFonts w:cs="Times New Roman"/>
                          <w:smallCaps/>
                          <w:color w:val="404040" w:themeColor="text1" w:themeTint="BF"/>
                          <w:sz w:val="28"/>
                          <w:szCs w:val="28"/>
                        </w:rPr>
                      </w:pPr>
                      <w:r w:rsidRPr="00A94106">
                        <w:rPr>
                          <w:rFonts w:cs="Times New Roman"/>
                          <w:smallCaps/>
                          <w:color w:val="404040" w:themeColor="text1" w:themeTint="BF"/>
                          <w:sz w:val="28"/>
                          <w:szCs w:val="28"/>
                        </w:rPr>
                        <w:t>Abdulmutalib Yussuff</w:t>
                      </w:r>
                      <w:r>
                        <w:rPr>
                          <w:rFonts w:cs="Times New Roman"/>
                          <w:smallCaps/>
                          <w:color w:val="404040" w:themeColor="text1" w:themeTint="BF"/>
                          <w:sz w:val="28"/>
                          <w:szCs w:val="28"/>
                        </w:rPr>
                        <w:t>, research fellow</w:t>
                      </w:r>
                    </w:p>
                    <w:p w14:paraId="2C7DFE7C" w14:textId="77777777" w:rsidR="00D03FA0" w:rsidRPr="00C34CCC" w:rsidRDefault="00D03FA0" w:rsidP="00F33675">
                      <w:pPr>
                        <w:spacing w:after="0" w:line="240" w:lineRule="auto"/>
                        <w:rPr>
                          <w:rFonts w:cs="Times New Roman"/>
                          <w:smallCaps/>
                          <w:color w:val="404040" w:themeColor="text1" w:themeTint="BF"/>
                          <w:sz w:val="28"/>
                          <w:szCs w:val="28"/>
                          <w:lang w:val="pt-PT"/>
                        </w:rPr>
                      </w:pPr>
                      <w:r w:rsidRPr="00C34CCC">
                        <w:rPr>
                          <w:rFonts w:cs="Times New Roman"/>
                          <w:smallCaps/>
                          <w:color w:val="404040" w:themeColor="text1" w:themeTint="BF"/>
                          <w:sz w:val="28"/>
                          <w:szCs w:val="28"/>
                          <w:lang w:val="pt-PT"/>
                        </w:rPr>
                        <w:t>João Pedro Gouveia, Senior Research Fellow</w:t>
                      </w:r>
                    </w:p>
                    <w:p w14:paraId="258CFACB" w14:textId="77777777" w:rsidR="00D03FA0" w:rsidRPr="00C34CCC" w:rsidRDefault="00D03FA0" w:rsidP="006B3BC7">
                      <w:pPr>
                        <w:spacing w:after="0" w:line="240" w:lineRule="auto"/>
                        <w:rPr>
                          <w:rFonts w:cs="Times New Roman"/>
                          <w:smallCaps/>
                          <w:color w:val="404040" w:themeColor="text1" w:themeTint="BF"/>
                          <w:lang w:val="pt-PT"/>
                        </w:rPr>
                      </w:pPr>
                    </w:p>
                    <w:p w14:paraId="1C3CFB47" w14:textId="61C09C3A" w:rsidR="00D03FA0" w:rsidRPr="00C34CCC" w:rsidRDefault="00D03FA0" w:rsidP="007864AB">
                      <w:pPr>
                        <w:rPr>
                          <w:rFonts w:cs="Times New Roman"/>
                          <w:smallCaps/>
                          <w:color w:val="404040" w:themeColor="text1" w:themeTint="BF"/>
                          <w:lang w:val="pt-PT"/>
                        </w:rPr>
                      </w:pPr>
                    </w:p>
                    <w:p w14:paraId="3F995F95" w14:textId="77777777" w:rsidR="00D03FA0" w:rsidRPr="00C34CCC" w:rsidRDefault="00D03FA0" w:rsidP="007864AB">
                      <w:pPr>
                        <w:rPr>
                          <w:rFonts w:cs="Times New Roman"/>
                          <w:smallCaps/>
                          <w:color w:val="404040" w:themeColor="text1" w:themeTint="BF"/>
                          <w:lang w:val="pt-PT"/>
                        </w:rPr>
                      </w:pPr>
                    </w:p>
                    <w:p w14:paraId="4481356F" w14:textId="6C098178" w:rsidR="00D03FA0" w:rsidRPr="00EB247F" w:rsidRDefault="00D03FA0"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62EC9026" w:rsidR="00D03FA0" w:rsidRPr="00F33675" w:rsidRDefault="00D03FA0" w:rsidP="007864AB">
                      <w:pPr>
                        <w:rPr>
                          <w:rFonts w:asciiTheme="minorHAnsi" w:hAnsiTheme="minorHAnsi"/>
                          <w:smallCaps/>
                          <w:color w:val="808080" w:themeColor="background1" w:themeShade="80"/>
                          <w:sz w:val="20"/>
                          <w:szCs w:val="20"/>
                        </w:rPr>
                      </w:pPr>
                      <w:hyperlink r:id="rId13" w:history="1">
                        <w:r w:rsidRPr="00F33675">
                          <w:rPr>
                            <w:rFonts w:asciiTheme="minorHAnsi" w:hAnsiTheme="minorHAnsi"/>
                            <w:color w:val="808080" w:themeColor="background1" w:themeShade="80"/>
                          </w:rPr>
                          <w:t>info@drawdown.org</w:t>
                        </w:r>
                      </w:hyperlink>
                      <w:r w:rsidRPr="00F33675">
                        <w:rPr>
                          <w:rFonts w:asciiTheme="minorHAnsi" w:hAnsiTheme="minorHAnsi"/>
                          <w:smallCaps/>
                          <w:color w:val="808080" w:themeColor="background1" w:themeShade="80"/>
                          <w:sz w:val="20"/>
                          <w:szCs w:val="20"/>
                        </w:rPr>
                        <w:t xml:space="preserve">             </w:t>
                      </w:r>
                      <w:hyperlink r:id="rId14" w:history="1">
                        <w:r w:rsidRPr="00F33675">
                          <w:rPr>
                            <w:rFonts w:asciiTheme="minorHAnsi" w:hAnsiTheme="minorHAnsi"/>
                            <w:color w:val="808080" w:themeColor="background1" w:themeShade="80"/>
                          </w:rPr>
                          <w:t>www.drawdown.org</w:t>
                        </w:r>
                      </w:hyperlink>
                      <w:r w:rsidRPr="00F33675">
                        <w:rPr>
                          <w:rFonts w:asciiTheme="minorHAnsi" w:hAnsiTheme="minorHAnsi"/>
                          <w:smallCaps/>
                          <w:color w:val="808080" w:themeColor="background1" w:themeShade="80"/>
                          <w:sz w:val="20"/>
                          <w:szCs w:val="20"/>
                        </w:rPr>
                        <w:t xml:space="preserve">  </w:t>
                      </w:r>
                    </w:p>
                    <w:p w14:paraId="05DAFFE7" w14:textId="77777777" w:rsidR="00D03FA0" w:rsidRPr="00F33675" w:rsidRDefault="00D03FA0" w:rsidP="00C81D94">
                      <w:pPr>
                        <w:rPr>
                          <w:rFonts w:cs="Times New Roman"/>
                          <w:smallCaps/>
                          <w:color w:val="404040" w:themeColor="text1" w:themeTint="BF"/>
                          <w:sz w:val="36"/>
                          <w:szCs w:val="36"/>
                        </w:rPr>
                      </w:pPr>
                    </w:p>
                    <w:p w14:paraId="3D97FBF6" w14:textId="77777777" w:rsidR="00D03FA0" w:rsidRPr="00F33675" w:rsidRDefault="00D03FA0"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E069AC" w:rsidRDefault="551A77D0" w:rsidP="00EB247F">
          <w:pPr>
            <w:rPr>
              <w:rStyle w:val="Heading1Char"/>
            </w:rPr>
          </w:pPr>
          <w:r w:rsidRPr="00E069AC">
            <w:rPr>
              <w:rStyle w:val="Heading1Char"/>
            </w:rPr>
            <w:t>Table of Contents</w:t>
          </w:r>
        </w:p>
        <w:p w14:paraId="52243AA5" w14:textId="3B1748A0" w:rsidR="00254A8D" w:rsidRDefault="00640665">
          <w:pPr>
            <w:pStyle w:val="TOC1"/>
            <w:tabs>
              <w:tab w:val="right" w:leader="dot" w:pos="9350"/>
            </w:tabs>
            <w:rPr>
              <w:rFonts w:asciiTheme="minorHAnsi" w:hAnsiTheme="minorHAnsi"/>
              <w:noProof/>
              <w:sz w:val="24"/>
              <w:szCs w:val="24"/>
              <w:lang w:eastAsia="en-US"/>
            </w:rPr>
          </w:pPr>
          <w:r w:rsidRPr="00E069AC">
            <w:fldChar w:fldCharType="begin"/>
          </w:r>
          <w:r w:rsidRPr="00E069AC">
            <w:instrText xml:space="preserve"> TOC \o "1-3" \h \z \u </w:instrText>
          </w:r>
          <w:r w:rsidRPr="00E069AC">
            <w:fldChar w:fldCharType="separate"/>
          </w:r>
          <w:hyperlink w:anchor="_Toc18619497" w:history="1">
            <w:r w:rsidR="00254A8D" w:rsidRPr="00DF7AD3">
              <w:rPr>
                <w:rStyle w:val="Hyperlink"/>
                <w:noProof/>
              </w:rPr>
              <w:t>List of Figures</w:t>
            </w:r>
            <w:r w:rsidR="00254A8D">
              <w:rPr>
                <w:noProof/>
                <w:webHidden/>
              </w:rPr>
              <w:tab/>
            </w:r>
            <w:r w:rsidR="00254A8D">
              <w:rPr>
                <w:noProof/>
                <w:webHidden/>
              </w:rPr>
              <w:fldChar w:fldCharType="begin"/>
            </w:r>
            <w:r w:rsidR="00254A8D">
              <w:rPr>
                <w:noProof/>
                <w:webHidden/>
              </w:rPr>
              <w:instrText xml:space="preserve"> PAGEREF _Toc18619497 \h </w:instrText>
            </w:r>
            <w:r w:rsidR="00254A8D">
              <w:rPr>
                <w:noProof/>
                <w:webHidden/>
              </w:rPr>
            </w:r>
            <w:r w:rsidR="00254A8D">
              <w:rPr>
                <w:noProof/>
                <w:webHidden/>
              </w:rPr>
              <w:fldChar w:fldCharType="separate"/>
            </w:r>
            <w:r w:rsidR="00254A8D">
              <w:rPr>
                <w:noProof/>
                <w:webHidden/>
              </w:rPr>
              <w:t>4</w:t>
            </w:r>
            <w:r w:rsidR="00254A8D">
              <w:rPr>
                <w:noProof/>
                <w:webHidden/>
              </w:rPr>
              <w:fldChar w:fldCharType="end"/>
            </w:r>
          </w:hyperlink>
        </w:p>
        <w:p w14:paraId="52EAA63B" w14:textId="6B768801" w:rsidR="00254A8D" w:rsidRDefault="00726209">
          <w:pPr>
            <w:pStyle w:val="TOC1"/>
            <w:tabs>
              <w:tab w:val="right" w:leader="dot" w:pos="9350"/>
            </w:tabs>
            <w:rPr>
              <w:rFonts w:asciiTheme="minorHAnsi" w:hAnsiTheme="minorHAnsi"/>
              <w:noProof/>
              <w:sz w:val="24"/>
              <w:szCs w:val="24"/>
              <w:lang w:eastAsia="en-US"/>
            </w:rPr>
          </w:pPr>
          <w:hyperlink w:anchor="_Toc18619498" w:history="1">
            <w:r w:rsidR="00254A8D" w:rsidRPr="00DF7AD3">
              <w:rPr>
                <w:rStyle w:val="Hyperlink"/>
                <w:noProof/>
              </w:rPr>
              <w:t>List of Tables</w:t>
            </w:r>
            <w:r w:rsidR="00254A8D">
              <w:rPr>
                <w:noProof/>
                <w:webHidden/>
              </w:rPr>
              <w:tab/>
            </w:r>
            <w:r w:rsidR="00254A8D">
              <w:rPr>
                <w:noProof/>
                <w:webHidden/>
              </w:rPr>
              <w:fldChar w:fldCharType="begin"/>
            </w:r>
            <w:r w:rsidR="00254A8D">
              <w:rPr>
                <w:noProof/>
                <w:webHidden/>
              </w:rPr>
              <w:instrText xml:space="preserve"> PAGEREF _Toc18619498 \h </w:instrText>
            </w:r>
            <w:r w:rsidR="00254A8D">
              <w:rPr>
                <w:noProof/>
                <w:webHidden/>
              </w:rPr>
            </w:r>
            <w:r w:rsidR="00254A8D">
              <w:rPr>
                <w:noProof/>
                <w:webHidden/>
              </w:rPr>
              <w:fldChar w:fldCharType="separate"/>
            </w:r>
            <w:r w:rsidR="00254A8D">
              <w:rPr>
                <w:noProof/>
                <w:webHidden/>
              </w:rPr>
              <w:t>4</w:t>
            </w:r>
            <w:r w:rsidR="00254A8D">
              <w:rPr>
                <w:noProof/>
                <w:webHidden/>
              </w:rPr>
              <w:fldChar w:fldCharType="end"/>
            </w:r>
          </w:hyperlink>
        </w:p>
        <w:p w14:paraId="0EF7FA8E" w14:textId="2FCD1D09" w:rsidR="00254A8D" w:rsidRDefault="00726209">
          <w:pPr>
            <w:pStyle w:val="TOC1"/>
            <w:tabs>
              <w:tab w:val="right" w:leader="dot" w:pos="9350"/>
            </w:tabs>
            <w:rPr>
              <w:rFonts w:asciiTheme="minorHAnsi" w:hAnsiTheme="minorHAnsi"/>
              <w:noProof/>
              <w:sz w:val="24"/>
              <w:szCs w:val="24"/>
              <w:lang w:eastAsia="en-US"/>
            </w:rPr>
          </w:pPr>
          <w:hyperlink w:anchor="_Toc18619499" w:history="1">
            <w:r w:rsidR="00254A8D" w:rsidRPr="00DF7AD3">
              <w:rPr>
                <w:rStyle w:val="Hyperlink"/>
                <w:noProof/>
              </w:rPr>
              <w:t>Acronyms and Symbols Used</w:t>
            </w:r>
            <w:r w:rsidR="00254A8D">
              <w:rPr>
                <w:noProof/>
                <w:webHidden/>
              </w:rPr>
              <w:tab/>
            </w:r>
            <w:r w:rsidR="00254A8D">
              <w:rPr>
                <w:noProof/>
                <w:webHidden/>
              </w:rPr>
              <w:fldChar w:fldCharType="begin"/>
            </w:r>
            <w:r w:rsidR="00254A8D">
              <w:rPr>
                <w:noProof/>
                <w:webHidden/>
              </w:rPr>
              <w:instrText xml:space="preserve"> PAGEREF _Toc18619499 \h </w:instrText>
            </w:r>
            <w:r w:rsidR="00254A8D">
              <w:rPr>
                <w:noProof/>
                <w:webHidden/>
              </w:rPr>
            </w:r>
            <w:r w:rsidR="00254A8D">
              <w:rPr>
                <w:noProof/>
                <w:webHidden/>
              </w:rPr>
              <w:fldChar w:fldCharType="separate"/>
            </w:r>
            <w:r w:rsidR="00254A8D">
              <w:rPr>
                <w:noProof/>
                <w:webHidden/>
              </w:rPr>
              <w:t>5</w:t>
            </w:r>
            <w:r w:rsidR="00254A8D">
              <w:rPr>
                <w:noProof/>
                <w:webHidden/>
              </w:rPr>
              <w:fldChar w:fldCharType="end"/>
            </w:r>
          </w:hyperlink>
        </w:p>
        <w:p w14:paraId="5A53DA3F" w14:textId="28BFB44B" w:rsidR="00254A8D" w:rsidRDefault="00726209">
          <w:pPr>
            <w:pStyle w:val="TOC1"/>
            <w:tabs>
              <w:tab w:val="right" w:leader="dot" w:pos="9350"/>
            </w:tabs>
            <w:rPr>
              <w:rFonts w:asciiTheme="minorHAnsi" w:hAnsiTheme="minorHAnsi"/>
              <w:noProof/>
              <w:sz w:val="24"/>
              <w:szCs w:val="24"/>
              <w:lang w:eastAsia="en-US"/>
            </w:rPr>
          </w:pPr>
          <w:hyperlink w:anchor="_Toc18619500" w:history="1">
            <w:r w:rsidR="00254A8D" w:rsidRPr="00DF7AD3">
              <w:rPr>
                <w:rStyle w:val="Hyperlink"/>
                <w:noProof/>
              </w:rPr>
              <w:t>Executive Summary</w:t>
            </w:r>
            <w:r w:rsidR="00254A8D">
              <w:rPr>
                <w:noProof/>
                <w:webHidden/>
              </w:rPr>
              <w:tab/>
            </w:r>
            <w:r w:rsidR="00254A8D">
              <w:rPr>
                <w:noProof/>
                <w:webHidden/>
              </w:rPr>
              <w:fldChar w:fldCharType="begin"/>
            </w:r>
            <w:r w:rsidR="00254A8D">
              <w:rPr>
                <w:noProof/>
                <w:webHidden/>
              </w:rPr>
              <w:instrText xml:space="preserve"> PAGEREF _Toc18619500 \h </w:instrText>
            </w:r>
            <w:r w:rsidR="00254A8D">
              <w:rPr>
                <w:noProof/>
                <w:webHidden/>
              </w:rPr>
            </w:r>
            <w:r w:rsidR="00254A8D">
              <w:rPr>
                <w:noProof/>
                <w:webHidden/>
              </w:rPr>
              <w:fldChar w:fldCharType="separate"/>
            </w:r>
            <w:r w:rsidR="00254A8D">
              <w:rPr>
                <w:noProof/>
                <w:webHidden/>
              </w:rPr>
              <w:t>7</w:t>
            </w:r>
            <w:r w:rsidR="00254A8D">
              <w:rPr>
                <w:noProof/>
                <w:webHidden/>
              </w:rPr>
              <w:fldChar w:fldCharType="end"/>
            </w:r>
          </w:hyperlink>
        </w:p>
        <w:p w14:paraId="5DE899B9" w14:textId="503F8BFF" w:rsidR="00254A8D" w:rsidRDefault="00726209">
          <w:pPr>
            <w:pStyle w:val="TOC1"/>
            <w:tabs>
              <w:tab w:val="left" w:pos="440"/>
              <w:tab w:val="right" w:leader="dot" w:pos="9350"/>
            </w:tabs>
            <w:rPr>
              <w:rFonts w:asciiTheme="minorHAnsi" w:hAnsiTheme="minorHAnsi"/>
              <w:noProof/>
              <w:sz w:val="24"/>
              <w:szCs w:val="24"/>
              <w:lang w:eastAsia="en-US"/>
            </w:rPr>
          </w:pPr>
          <w:hyperlink w:anchor="_Toc18619501" w:history="1">
            <w:r w:rsidR="00254A8D" w:rsidRPr="00DF7AD3">
              <w:rPr>
                <w:rStyle w:val="Hyperlink"/>
                <w:noProof/>
              </w:rPr>
              <w:t>1</w:t>
            </w:r>
            <w:r w:rsidR="00254A8D">
              <w:rPr>
                <w:rFonts w:asciiTheme="minorHAnsi" w:hAnsiTheme="minorHAnsi"/>
                <w:noProof/>
                <w:sz w:val="24"/>
                <w:szCs w:val="24"/>
                <w:lang w:eastAsia="en-US"/>
              </w:rPr>
              <w:tab/>
            </w:r>
            <w:r w:rsidR="00254A8D" w:rsidRPr="00DF7AD3">
              <w:rPr>
                <w:rStyle w:val="Hyperlink"/>
                <w:noProof/>
              </w:rPr>
              <w:t>Literature Review</w:t>
            </w:r>
            <w:r w:rsidR="00254A8D">
              <w:rPr>
                <w:noProof/>
                <w:webHidden/>
              </w:rPr>
              <w:tab/>
            </w:r>
            <w:r w:rsidR="00254A8D">
              <w:rPr>
                <w:noProof/>
                <w:webHidden/>
              </w:rPr>
              <w:fldChar w:fldCharType="begin"/>
            </w:r>
            <w:r w:rsidR="00254A8D">
              <w:rPr>
                <w:noProof/>
                <w:webHidden/>
              </w:rPr>
              <w:instrText xml:space="preserve"> PAGEREF _Toc18619501 \h </w:instrText>
            </w:r>
            <w:r w:rsidR="00254A8D">
              <w:rPr>
                <w:noProof/>
                <w:webHidden/>
              </w:rPr>
            </w:r>
            <w:r w:rsidR="00254A8D">
              <w:rPr>
                <w:noProof/>
                <w:webHidden/>
              </w:rPr>
              <w:fldChar w:fldCharType="separate"/>
            </w:r>
            <w:r w:rsidR="00254A8D">
              <w:rPr>
                <w:noProof/>
                <w:webHidden/>
              </w:rPr>
              <w:t>8</w:t>
            </w:r>
            <w:r w:rsidR="00254A8D">
              <w:rPr>
                <w:noProof/>
                <w:webHidden/>
              </w:rPr>
              <w:fldChar w:fldCharType="end"/>
            </w:r>
          </w:hyperlink>
        </w:p>
        <w:p w14:paraId="3F5E2B32" w14:textId="2BC34EF6" w:rsidR="00254A8D" w:rsidRDefault="00726209">
          <w:pPr>
            <w:pStyle w:val="TOC2"/>
            <w:tabs>
              <w:tab w:val="left" w:pos="960"/>
              <w:tab w:val="right" w:leader="dot" w:pos="9350"/>
            </w:tabs>
            <w:rPr>
              <w:rFonts w:asciiTheme="minorHAnsi" w:hAnsiTheme="minorHAnsi"/>
              <w:noProof/>
              <w:sz w:val="24"/>
              <w:szCs w:val="24"/>
              <w:lang w:eastAsia="en-US"/>
            </w:rPr>
          </w:pPr>
          <w:hyperlink w:anchor="_Toc18619502" w:history="1">
            <w:r w:rsidR="00254A8D" w:rsidRPr="00DF7AD3">
              <w:rPr>
                <w:rStyle w:val="Hyperlink"/>
                <w:noProof/>
              </w:rPr>
              <w:t>1.1.</w:t>
            </w:r>
            <w:r w:rsidR="00254A8D">
              <w:rPr>
                <w:rFonts w:asciiTheme="minorHAnsi" w:hAnsiTheme="minorHAnsi"/>
                <w:noProof/>
                <w:sz w:val="24"/>
                <w:szCs w:val="24"/>
                <w:lang w:eastAsia="en-US"/>
              </w:rPr>
              <w:tab/>
            </w:r>
            <w:r w:rsidR="00254A8D" w:rsidRPr="00DF7AD3">
              <w:rPr>
                <w:rStyle w:val="Hyperlink"/>
                <w:noProof/>
              </w:rPr>
              <w:t>State of Offshore Wind Energy technologies</w:t>
            </w:r>
            <w:r w:rsidR="00254A8D">
              <w:rPr>
                <w:noProof/>
                <w:webHidden/>
              </w:rPr>
              <w:tab/>
            </w:r>
            <w:r w:rsidR="00254A8D">
              <w:rPr>
                <w:noProof/>
                <w:webHidden/>
              </w:rPr>
              <w:fldChar w:fldCharType="begin"/>
            </w:r>
            <w:r w:rsidR="00254A8D">
              <w:rPr>
                <w:noProof/>
                <w:webHidden/>
              </w:rPr>
              <w:instrText xml:space="preserve"> PAGEREF _Toc18619502 \h </w:instrText>
            </w:r>
            <w:r w:rsidR="00254A8D">
              <w:rPr>
                <w:noProof/>
                <w:webHidden/>
              </w:rPr>
            </w:r>
            <w:r w:rsidR="00254A8D">
              <w:rPr>
                <w:noProof/>
                <w:webHidden/>
              </w:rPr>
              <w:fldChar w:fldCharType="separate"/>
            </w:r>
            <w:r w:rsidR="00254A8D">
              <w:rPr>
                <w:noProof/>
                <w:webHidden/>
              </w:rPr>
              <w:t>8</w:t>
            </w:r>
            <w:r w:rsidR="00254A8D">
              <w:rPr>
                <w:noProof/>
                <w:webHidden/>
              </w:rPr>
              <w:fldChar w:fldCharType="end"/>
            </w:r>
          </w:hyperlink>
        </w:p>
        <w:p w14:paraId="1AABE09A" w14:textId="500F0FB2" w:rsidR="00254A8D" w:rsidRDefault="00726209">
          <w:pPr>
            <w:pStyle w:val="TOC2"/>
            <w:tabs>
              <w:tab w:val="left" w:pos="960"/>
              <w:tab w:val="right" w:leader="dot" w:pos="9350"/>
            </w:tabs>
            <w:rPr>
              <w:rFonts w:asciiTheme="minorHAnsi" w:hAnsiTheme="minorHAnsi"/>
              <w:noProof/>
              <w:sz w:val="24"/>
              <w:szCs w:val="24"/>
              <w:lang w:eastAsia="en-US"/>
            </w:rPr>
          </w:pPr>
          <w:hyperlink w:anchor="_Toc18619503" w:history="1">
            <w:r w:rsidR="00254A8D" w:rsidRPr="00DF7AD3">
              <w:rPr>
                <w:rStyle w:val="Hyperlink"/>
                <w:noProof/>
              </w:rPr>
              <w:t>1.2.</w:t>
            </w:r>
            <w:r w:rsidR="00254A8D">
              <w:rPr>
                <w:rFonts w:asciiTheme="minorHAnsi" w:hAnsiTheme="minorHAnsi"/>
                <w:noProof/>
                <w:sz w:val="24"/>
                <w:szCs w:val="24"/>
                <w:lang w:eastAsia="en-US"/>
              </w:rPr>
              <w:tab/>
            </w:r>
            <w:r w:rsidR="00254A8D" w:rsidRPr="00DF7AD3">
              <w:rPr>
                <w:rStyle w:val="Hyperlink"/>
                <w:noProof/>
              </w:rPr>
              <w:t>Adoption Path</w:t>
            </w:r>
            <w:r w:rsidR="00254A8D">
              <w:rPr>
                <w:noProof/>
                <w:webHidden/>
              </w:rPr>
              <w:tab/>
            </w:r>
            <w:r w:rsidR="00254A8D">
              <w:rPr>
                <w:noProof/>
                <w:webHidden/>
              </w:rPr>
              <w:fldChar w:fldCharType="begin"/>
            </w:r>
            <w:r w:rsidR="00254A8D">
              <w:rPr>
                <w:noProof/>
                <w:webHidden/>
              </w:rPr>
              <w:instrText xml:space="preserve"> PAGEREF _Toc18619503 \h </w:instrText>
            </w:r>
            <w:r w:rsidR="00254A8D">
              <w:rPr>
                <w:noProof/>
                <w:webHidden/>
              </w:rPr>
            </w:r>
            <w:r w:rsidR="00254A8D">
              <w:rPr>
                <w:noProof/>
                <w:webHidden/>
              </w:rPr>
              <w:fldChar w:fldCharType="separate"/>
            </w:r>
            <w:r w:rsidR="00254A8D">
              <w:rPr>
                <w:noProof/>
                <w:webHidden/>
              </w:rPr>
              <w:t>10</w:t>
            </w:r>
            <w:r w:rsidR="00254A8D">
              <w:rPr>
                <w:noProof/>
                <w:webHidden/>
              </w:rPr>
              <w:fldChar w:fldCharType="end"/>
            </w:r>
          </w:hyperlink>
        </w:p>
        <w:p w14:paraId="4ED439B4" w14:textId="01FE92C0" w:rsidR="00254A8D" w:rsidRDefault="00726209">
          <w:pPr>
            <w:pStyle w:val="TOC3"/>
            <w:tabs>
              <w:tab w:val="left" w:pos="1200"/>
              <w:tab w:val="right" w:leader="dot" w:pos="9350"/>
            </w:tabs>
            <w:rPr>
              <w:rFonts w:asciiTheme="minorHAnsi" w:hAnsiTheme="minorHAnsi"/>
              <w:noProof/>
              <w:sz w:val="24"/>
              <w:szCs w:val="24"/>
              <w:lang w:eastAsia="en-US"/>
            </w:rPr>
          </w:pPr>
          <w:hyperlink w:anchor="_Toc18619504" w:history="1">
            <w:r w:rsidR="00254A8D" w:rsidRPr="00DF7AD3">
              <w:rPr>
                <w:rStyle w:val="Hyperlink"/>
                <w:noProof/>
              </w:rPr>
              <w:t>1.2.1</w:t>
            </w:r>
            <w:r w:rsidR="00254A8D">
              <w:rPr>
                <w:rFonts w:asciiTheme="minorHAnsi" w:hAnsiTheme="minorHAnsi"/>
                <w:noProof/>
                <w:sz w:val="24"/>
                <w:szCs w:val="24"/>
                <w:lang w:eastAsia="en-US"/>
              </w:rPr>
              <w:tab/>
            </w:r>
            <w:r w:rsidR="00254A8D" w:rsidRPr="00DF7AD3">
              <w:rPr>
                <w:rStyle w:val="Hyperlink"/>
                <w:noProof/>
              </w:rPr>
              <w:t>Current Adoption</w:t>
            </w:r>
            <w:r w:rsidR="00254A8D">
              <w:rPr>
                <w:noProof/>
                <w:webHidden/>
              </w:rPr>
              <w:tab/>
            </w:r>
            <w:r w:rsidR="00254A8D">
              <w:rPr>
                <w:noProof/>
                <w:webHidden/>
              </w:rPr>
              <w:fldChar w:fldCharType="begin"/>
            </w:r>
            <w:r w:rsidR="00254A8D">
              <w:rPr>
                <w:noProof/>
                <w:webHidden/>
              </w:rPr>
              <w:instrText xml:space="preserve"> PAGEREF _Toc18619504 \h </w:instrText>
            </w:r>
            <w:r w:rsidR="00254A8D">
              <w:rPr>
                <w:noProof/>
                <w:webHidden/>
              </w:rPr>
            </w:r>
            <w:r w:rsidR="00254A8D">
              <w:rPr>
                <w:noProof/>
                <w:webHidden/>
              </w:rPr>
              <w:fldChar w:fldCharType="separate"/>
            </w:r>
            <w:r w:rsidR="00254A8D">
              <w:rPr>
                <w:noProof/>
                <w:webHidden/>
              </w:rPr>
              <w:t>10</w:t>
            </w:r>
            <w:r w:rsidR="00254A8D">
              <w:rPr>
                <w:noProof/>
                <w:webHidden/>
              </w:rPr>
              <w:fldChar w:fldCharType="end"/>
            </w:r>
          </w:hyperlink>
        </w:p>
        <w:p w14:paraId="3EB68C5A" w14:textId="17828B38" w:rsidR="00254A8D" w:rsidRDefault="00726209">
          <w:pPr>
            <w:pStyle w:val="TOC3"/>
            <w:tabs>
              <w:tab w:val="left" w:pos="1200"/>
              <w:tab w:val="right" w:leader="dot" w:pos="9350"/>
            </w:tabs>
            <w:rPr>
              <w:rFonts w:asciiTheme="minorHAnsi" w:hAnsiTheme="minorHAnsi"/>
              <w:noProof/>
              <w:sz w:val="24"/>
              <w:szCs w:val="24"/>
              <w:lang w:eastAsia="en-US"/>
            </w:rPr>
          </w:pPr>
          <w:hyperlink w:anchor="_Toc18619505" w:history="1">
            <w:r w:rsidR="00254A8D" w:rsidRPr="00DF7AD3">
              <w:rPr>
                <w:rStyle w:val="Hyperlink"/>
                <w:noProof/>
              </w:rPr>
              <w:t>1.2.2</w:t>
            </w:r>
            <w:r w:rsidR="00254A8D">
              <w:rPr>
                <w:rFonts w:asciiTheme="minorHAnsi" w:hAnsiTheme="minorHAnsi"/>
                <w:noProof/>
                <w:sz w:val="24"/>
                <w:szCs w:val="24"/>
                <w:lang w:eastAsia="en-US"/>
              </w:rPr>
              <w:tab/>
            </w:r>
            <w:r w:rsidR="00254A8D" w:rsidRPr="00DF7AD3">
              <w:rPr>
                <w:rStyle w:val="Hyperlink"/>
                <w:noProof/>
              </w:rPr>
              <w:t>Trends to Accelerate Adoption</w:t>
            </w:r>
            <w:r w:rsidR="00254A8D">
              <w:rPr>
                <w:noProof/>
                <w:webHidden/>
              </w:rPr>
              <w:tab/>
            </w:r>
            <w:r w:rsidR="00254A8D">
              <w:rPr>
                <w:noProof/>
                <w:webHidden/>
              </w:rPr>
              <w:fldChar w:fldCharType="begin"/>
            </w:r>
            <w:r w:rsidR="00254A8D">
              <w:rPr>
                <w:noProof/>
                <w:webHidden/>
              </w:rPr>
              <w:instrText xml:space="preserve"> PAGEREF _Toc18619505 \h </w:instrText>
            </w:r>
            <w:r w:rsidR="00254A8D">
              <w:rPr>
                <w:noProof/>
                <w:webHidden/>
              </w:rPr>
            </w:r>
            <w:r w:rsidR="00254A8D">
              <w:rPr>
                <w:noProof/>
                <w:webHidden/>
              </w:rPr>
              <w:fldChar w:fldCharType="separate"/>
            </w:r>
            <w:r w:rsidR="00254A8D">
              <w:rPr>
                <w:noProof/>
                <w:webHidden/>
              </w:rPr>
              <w:t>11</w:t>
            </w:r>
            <w:r w:rsidR="00254A8D">
              <w:rPr>
                <w:noProof/>
                <w:webHidden/>
              </w:rPr>
              <w:fldChar w:fldCharType="end"/>
            </w:r>
          </w:hyperlink>
        </w:p>
        <w:p w14:paraId="7C3329FD" w14:textId="2ABD4CEE" w:rsidR="00254A8D" w:rsidRDefault="00726209">
          <w:pPr>
            <w:pStyle w:val="TOC3"/>
            <w:tabs>
              <w:tab w:val="left" w:pos="1200"/>
              <w:tab w:val="right" w:leader="dot" w:pos="9350"/>
            </w:tabs>
            <w:rPr>
              <w:rFonts w:asciiTheme="minorHAnsi" w:hAnsiTheme="minorHAnsi"/>
              <w:noProof/>
              <w:sz w:val="24"/>
              <w:szCs w:val="24"/>
              <w:lang w:eastAsia="en-US"/>
            </w:rPr>
          </w:pPr>
          <w:hyperlink w:anchor="_Toc18619506" w:history="1">
            <w:r w:rsidR="00254A8D" w:rsidRPr="00DF7AD3">
              <w:rPr>
                <w:rStyle w:val="Hyperlink"/>
                <w:noProof/>
              </w:rPr>
              <w:t>1.2.3</w:t>
            </w:r>
            <w:r w:rsidR="00254A8D">
              <w:rPr>
                <w:rFonts w:asciiTheme="minorHAnsi" w:hAnsiTheme="minorHAnsi"/>
                <w:noProof/>
                <w:sz w:val="24"/>
                <w:szCs w:val="24"/>
                <w:lang w:eastAsia="en-US"/>
              </w:rPr>
              <w:tab/>
            </w:r>
            <w:r w:rsidR="00254A8D" w:rsidRPr="00DF7AD3">
              <w:rPr>
                <w:rStyle w:val="Hyperlink"/>
                <w:noProof/>
              </w:rPr>
              <w:t>Barriers to Adoption</w:t>
            </w:r>
            <w:r w:rsidR="00254A8D">
              <w:rPr>
                <w:noProof/>
                <w:webHidden/>
              </w:rPr>
              <w:tab/>
            </w:r>
            <w:r w:rsidR="00254A8D">
              <w:rPr>
                <w:noProof/>
                <w:webHidden/>
              </w:rPr>
              <w:fldChar w:fldCharType="begin"/>
            </w:r>
            <w:r w:rsidR="00254A8D">
              <w:rPr>
                <w:noProof/>
                <w:webHidden/>
              </w:rPr>
              <w:instrText xml:space="preserve"> PAGEREF _Toc18619506 \h </w:instrText>
            </w:r>
            <w:r w:rsidR="00254A8D">
              <w:rPr>
                <w:noProof/>
                <w:webHidden/>
              </w:rPr>
            </w:r>
            <w:r w:rsidR="00254A8D">
              <w:rPr>
                <w:noProof/>
                <w:webHidden/>
              </w:rPr>
              <w:fldChar w:fldCharType="separate"/>
            </w:r>
            <w:r w:rsidR="00254A8D">
              <w:rPr>
                <w:noProof/>
                <w:webHidden/>
              </w:rPr>
              <w:t>11</w:t>
            </w:r>
            <w:r w:rsidR="00254A8D">
              <w:rPr>
                <w:noProof/>
                <w:webHidden/>
              </w:rPr>
              <w:fldChar w:fldCharType="end"/>
            </w:r>
          </w:hyperlink>
        </w:p>
        <w:p w14:paraId="51DED22F" w14:textId="20DBB7DB" w:rsidR="00254A8D" w:rsidRDefault="00726209">
          <w:pPr>
            <w:pStyle w:val="TOC3"/>
            <w:tabs>
              <w:tab w:val="left" w:pos="1200"/>
              <w:tab w:val="right" w:leader="dot" w:pos="9350"/>
            </w:tabs>
            <w:rPr>
              <w:rFonts w:asciiTheme="minorHAnsi" w:hAnsiTheme="minorHAnsi"/>
              <w:noProof/>
              <w:sz w:val="24"/>
              <w:szCs w:val="24"/>
              <w:lang w:eastAsia="en-US"/>
            </w:rPr>
          </w:pPr>
          <w:hyperlink w:anchor="_Toc18619507" w:history="1">
            <w:r w:rsidR="00254A8D" w:rsidRPr="00DF7AD3">
              <w:rPr>
                <w:rStyle w:val="Hyperlink"/>
                <w:noProof/>
              </w:rPr>
              <w:t>1.2.4</w:t>
            </w:r>
            <w:r w:rsidR="00254A8D">
              <w:rPr>
                <w:rFonts w:asciiTheme="minorHAnsi" w:hAnsiTheme="minorHAnsi"/>
                <w:noProof/>
                <w:sz w:val="24"/>
                <w:szCs w:val="24"/>
                <w:lang w:eastAsia="en-US"/>
              </w:rPr>
              <w:tab/>
            </w:r>
            <w:r w:rsidR="00254A8D" w:rsidRPr="00DF7AD3">
              <w:rPr>
                <w:rStyle w:val="Hyperlink"/>
                <w:noProof/>
              </w:rPr>
              <w:t>Adoption Potential</w:t>
            </w:r>
            <w:r w:rsidR="00254A8D">
              <w:rPr>
                <w:noProof/>
                <w:webHidden/>
              </w:rPr>
              <w:tab/>
            </w:r>
            <w:r w:rsidR="00254A8D">
              <w:rPr>
                <w:noProof/>
                <w:webHidden/>
              </w:rPr>
              <w:fldChar w:fldCharType="begin"/>
            </w:r>
            <w:r w:rsidR="00254A8D">
              <w:rPr>
                <w:noProof/>
                <w:webHidden/>
              </w:rPr>
              <w:instrText xml:space="preserve"> PAGEREF _Toc18619507 \h </w:instrText>
            </w:r>
            <w:r w:rsidR="00254A8D">
              <w:rPr>
                <w:noProof/>
                <w:webHidden/>
              </w:rPr>
            </w:r>
            <w:r w:rsidR="00254A8D">
              <w:rPr>
                <w:noProof/>
                <w:webHidden/>
              </w:rPr>
              <w:fldChar w:fldCharType="separate"/>
            </w:r>
            <w:r w:rsidR="00254A8D">
              <w:rPr>
                <w:noProof/>
                <w:webHidden/>
              </w:rPr>
              <w:t>12</w:t>
            </w:r>
            <w:r w:rsidR="00254A8D">
              <w:rPr>
                <w:noProof/>
                <w:webHidden/>
              </w:rPr>
              <w:fldChar w:fldCharType="end"/>
            </w:r>
          </w:hyperlink>
        </w:p>
        <w:p w14:paraId="6C3237E7" w14:textId="52136B32" w:rsidR="00254A8D" w:rsidRDefault="00726209">
          <w:pPr>
            <w:pStyle w:val="TOC2"/>
            <w:tabs>
              <w:tab w:val="left" w:pos="960"/>
              <w:tab w:val="right" w:leader="dot" w:pos="9350"/>
            </w:tabs>
            <w:rPr>
              <w:rFonts w:asciiTheme="minorHAnsi" w:hAnsiTheme="minorHAnsi"/>
              <w:noProof/>
              <w:sz w:val="24"/>
              <w:szCs w:val="24"/>
              <w:lang w:eastAsia="en-US"/>
            </w:rPr>
          </w:pPr>
          <w:hyperlink w:anchor="_Toc18619508" w:history="1">
            <w:r w:rsidR="00254A8D" w:rsidRPr="00DF7AD3">
              <w:rPr>
                <w:rStyle w:val="Hyperlink"/>
                <w:noProof/>
              </w:rPr>
              <w:t>1.3</w:t>
            </w:r>
            <w:r w:rsidR="00254A8D">
              <w:rPr>
                <w:rFonts w:asciiTheme="minorHAnsi" w:hAnsiTheme="minorHAnsi"/>
                <w:noProof/>
                <w:sz w:val="24"/>
                <w:szCs w:val="24"/>
                <w:lang w:eastAsia="en-US"/>
              </w:rPr>
              <w:tab/>
            </w:r>
            <w:r w:rsidR="00254A8D" w:rsidRPr="00DF7AD3">
              <w:rPr>
                <w:rStyle w:val="Hyperlink"/>
                <w:noProof/>
              </w:rPr>
              <w:t>Advantages  and disadvantages of Wind Offshore</w:t>
            </w:r>
            <w:r w:rsidR="00254A8D">
              <w:rPr>
                <w:noProof/>
                <w:webHidden/>
              </w:rPr>
              <w:tab/>
            </w:r>
            <w:r w:rsidR="00254A8D">
              <w:rPr>
                <w:noProof/>
                <w:webHidden/>
              </w:rPr>
              <w:fldChar w:fldCharType="begin"/>
            </w:r>
            <w:r w:rsidR="00254A8D">
              <w:rPr>
                <w:noProof/>
                <w:webHidden/>
              </w:rPr>
              <w:instrText xml:space="preserve"> PAGEREF _Toc18619508 \h </w:instrText>
            </w:r>
            <w:r w:rsidR="00254A8D">
              <w:rPr>
                <w:noProof/>
                <w:webHidden/>
              </w:rPr>
            </w:r>
            <w:r w:rsidR="00254A8D">
              <w:rPr>
                <w:noProof/>
                <w:webHidden/>
              </w:rPr>
              <w:fldChar w:fldCharType="separate"/>
            </w:r>
            <w:r w:rsidR="00254A8D">
              <w:rPr>
                <w:noProof/>
                <w:webHidden/>
              </w:rPr>
              <w:t>16</w:t>
            </w:r>
            <w:r w:rsidR="00254A8D">
              <w:rPr>
                <w:noProof/>
                <w:webHidden/>
              </w:rPr>
              <w:fldChar w:fldCharType="end"/>
            </w:r>
          </w:hyperlink>
        </w:p>
        <w:p w14:paraId="5D978929" w14:textId="3B1FCAC7" w:rsidR="00254A8D" w:rsidRDefault="00726209">
          <w:pPr>
            <w:pStyle w:val="TOC3"/>
            <w:tabs>
              <w:tab w:val="left" w:pos="1200"/>
              <w:tab w:val="right" w:leader="dot" w:pos="9350"/>
            </w:tabs>
            <w:rPr>
              <w:rFonts w:asciiTheme="minorHAnsi" w:hAnsiTheme="minorHAnsi"/>
              <w:noProof/>
              <w:sz w:val="24"/>
              <w:szCs w:val="24"/>
              <w:lang w:eastAsia="en-US"/>
            </w:rPr>
          </w:pPr>
          <w:hyperlink w:anchor="_Toc18619509" w:history="1">
            <w:r w:rsidR="00254A8D" w:rsidRPr="00DF7AD3">
              <w:rPr>
                <w:rStyle w:val="Hyperlink"/>
                <w:noProof/>
              </w:rPr>
              <w:t>1.3.1</w:t>
            </w:r>
            <w:r w:rsidR="00254A8D">
              <w:rPr>
                <w:rFonts w:asciiTheme="minorHAnsi" w:hAnsiTheme="minorHAnsi"/>
                <w:noProof/>
                <w:sz w:val="24"/>
                <w:szCs w:val="24"/>
                <w:lang w:eastAsia="en-US"/>
              </w:rPr>
              <w:tab/>
            </w:r>
            <w:r w:rsidR="00254A8D" w:rsidRPr="00DF7AD3">
              <w:rPr>
                <w:rStyle w:val="Hyperlink"/>
                <w:noProof/>
              </w:rPr>
              <w:t>Similar Solution</w:t>
            </w:r>
            <w:r w:rsidR="00254A8D">
              <w:rPr>
                <w:noProof/>
                <w:webHidden/>
              </w:rPr>
              <w:tab/>
            </w:r>
            <w:r w:rsidR="00254A8D">
              <w:rPr>
                <w:noProof/>
                <w:webHidden/>
              </w:rPr>
              <w:fldChar w:fldCharType="begin"/>
            </w:r>
            <w:r w:rsidR="00254A8D">
              <w:rPr>
                <w:noProof/>
                <w:webHidden/>
              </w:rPr>
              <w:instrText xml:space="preserve"> PAGEREF _Toc18619509 \h </w:instrText>
            </w:r>
            <w:r w:rsidR="00254A8D">
              <w:rPr>
                <w:noProof/>
                <w:webHidden/>
              </w:rPr>
            </w:r>
            <w:r w:rsidR="00254A8D">
              <w:rPr>
                <w:noProof/>
                <w:webHidden/>
              </w:rPr>
              <w:fldChar w:fldCharType="separate"/>
            </w:r>
            <w:r w:rsidR="00254A8D">
              <w:rPr>
                <w:noProof/>
                <w:webHidden/>
              </w:rPr>
              <w:t>16</w:t>
            </w:r>
            <w:r w:rsidR="00254A8D">
              <w:rPr>
                <w:noProof/>
                <w:webHidden/>
              </w:rPr>
              <w:fldChar w:fldCharType="end"/>
            </w:r>
          </w:hyperlink>
        </w:p>
        <w:p w14:paraId="1975C7A2" w14:textId="076FF860" w:rsidR="00254A8D" w:rsidRDefault="00726209">
          <w:pPr>
            <w:pStyle w:val="TOC3"/>
            <w:tabs>
              <w:tab w:val="left" w:pos="1200"/>
              <w:tab w:val="right" w:leader="dot" w:pos="9350"/>
            </w:tabs>
            <w:rPr>
              <w:rFonts w:asciiTheme="minorHAnsi" w:hAnsiTheme="minorHAnsi"/>
              <w:noProof/>
              <w:sz w:val="24"/>
              <w:szCs w:val="24"/>
              <w:lang w:eastAsia="en-US"/>
            </w:rPr>
          </w:pPr>
          <w:hyperlink w:anchor="_Toc18619510" w:history="1">
            <w:r w:rsidR="00254A8D" w:rsidRPr="00DF7AD3">
              <w:rPr>
                <w:rStyle w:val="Hyperlink"/>
                <w:noProof/>
              </w:rPr>
              <w:t>1.3.2</w:t>
            </w:r>
            <w:r w:rsidR="00254A8D">
              <w:rPr>
                <w:rFonts w:asciiTheme="minorHAnsi" w:hAnsiTheme="minorHAnsi"/>
                <w:noProof/>
                <w:sz w:val="24"/>
                <w:szCs w:val="24"/>
                <w:lang w:eastAsia="en-US"/>
              </w:rPr>
              <w:tab/>
            </w:r>
            <w:r w:rsidR="00254A8D" w:rsidRPr="00DF7AD3">
              <w:rPr>
                <w:rStyle w:val="Hyperlink"/>
                <w:noProof/>
              </w:rPr>
              <w:t>Arguments for Adoption</w:t>
            </w:r>
            <w:r w:rsidR="00254A8D">
              <w:rPr>
                <w:noProof/>
                <w:webHidden/>
              </w:rPr>
              <w:tab/>
            </w:r>
            <w:r w:rsidR="00254A8D">
              <w:rPr>
                <w:noProof/>
                <w:webHidden/>
              </w:rPr>
              <w:fldChar w:fldCharType="begin"/>
            </w:r>
            <w:r w:rsidR="00254A8D">
              <w:rPr>
                <w:noProof/>
                <w:webHidden/>
              </w:rPr>
              <w:instrText xml:space="preserve"> PAGEREF _Toc18619510 \h </w:instrText>
            </w:r>
            <w:r w:rsidR="00254A8D">
              <w:rPr>
                <w:noProof/>
                <w:webHidden/>
              </w:rPr>
            </w:r>
            <w:r w:rsidR="00254A8D">
              <w:rPr>
                <w:noProof/>
                <w:webHidden/>
              </w:rPr>
              <w:fldChar w:fldCharType="separate"/>
            </w:r>
            <w:r w:rsidR="00254A8D">
              <w:rPr>
                <w:noProof/>
                <w:webHidden/>
              </w:rPr>
              <w:t>16</w:t>
            </w:r>
            <w:r w:rsidR="00254A8D">
              <w:rPr>
                <w:noProof/>
                <w:webHidden/>
              </w:rPr>
              <w:fldChar w:fldCharType="end"/>
            </w:r>
          </w:hyperlink>
        </w:p>
        <w:p w14:paraId="56784E3E" w14:textId="06C1EDF1" w:rsidR="00254A8D" w:rsidRDefault="00726209">
          <w:pPr>
            <w:pStyle w:val="TOC3"/>
            <w:tabs>
              <w:tab w:val="left" w:pos="1200"/>
              <w:tab w:val="right" w:leader="dot" w:pos="9350"/>
            </w:tabs>
            <w:rPr>
              <w:rFonts w:asciiTheme="minorHAnsi" w:hAnsiTheme="minorHAnsi"/>
              <w:noProof/>
              <w:sz w:val="24"/>
              <w:szCs w:val="24"/>
              <w:lang w:eastAsia="en-US"/>
            </w:rPr>
          </w:pPr>
          <w:hyperlink w:anchor="_Toc18619511" w:history="1">
            <w:r w:rsidR="00254A8D" w:rsidRPr="00DF7AD3">
              <w:rPr>
                <w:rStyle w:val="Hyperlink"/>
                <w:noProof/>
              </w:rPr>
              <w:t>1.3.3</w:t>
            </w:r>
            <w:r w:rsidR="00254A8D">
              <w:rPr>
                <w:rFonts w:asciiTheme="minorHAnsi" w:hAnsiTheme="minorHAnsi"/>
                <w:noProof/>
                <w:sz w:val="24"/>
                <w:szCs w:val="24"/>
                <w:lang w:eastAsia="en-US"/>
              </w:rPr>
              <w:tab/>
            </w:r>
            <w:r w:rsidR="00254A8D" w:rsidRPr="00DF7AD3">
              <w:rPr>
                <w:rStyle w:val="Hyperlink"/>
                <w:noProof/>
              </w:rPr>
              <w:t>Additional Benefits and Burdens</w:t>
            </w:r>
            <w:r w:rsidR="00254A8D">
              <w:rPr>
                <w:noProof/>
                <w:webHidden/>
              </w:rPr>
              <w:tab/>
            </w:r>
            <w:r w:rsidR="00254A8D">
              <w:rPr>
                <w:noProof/>
                <w:webHidden/>
              </w:rPr>
              <w:fldChar w:fldCharType="begin"/>
            </w:r>
            <w:r w:rsidR="00254A8D">
              <w:rPr>
                <w:noProof/>
                <w:webHidden/>
              </w:rPr>
              <w:instrText xml:space="preserve"> PAGEREF _Toc18619511 \h </w:instrText>
            </w:r>
            <w:r w:rsidR="00254A8D">
              <w:rPr>
                <w:noProof/>
                <w:webHidden/>
              </w:rPr>
            </w:r>
            <w:r w:rsidR="00254A8D">
              <w:rPr>
                <w:noProof/>
                <w:webHidden/>
              </w:rPr>
              <w:fldChar w:fldCharType="separate"/>
            </w:r>
            <w:r w:rsidR="00254A8D">
              <w:rPr>
                <w:noProof/>
                <w:webHidden/>
              </w:rPr>
              <w:t>17</w:t>
            </w:r>
            <w:r w:rsidR="00254A8D">
              <w:rPr>
                <w:noProof/>
                <w:webHidden/>
              </w:rPr>
              <w:fldChar w:fldCharType="end"/>
            </w:r>
          </w:hyperlink>
        </w:p>
        <w:p w14:paraId="605E89CC" w14:textId="26616456" w:rsidR="00254A8D" w:rsidRDefault="00726209">
          <w:pPr>
            <w:pStyle w:val="TOC1"/>
            <w:tabs>
              <w:tab w:val="left" w:pos="440"/>
              <w:tab w:val="right" w:leader="dot" w:pos="9350"/>
            </w:tabs>
            <w:rPr>
              <w:rFonts w:asciiTheme="minorHAnsi" w:hAnsiTheme="minorHAnsi"/>
              <w:noProof/>
              <w:sz w:val="24"/>
              <w:szCs w:val="24"/>
              <w:lang w:eastAsia="en-US"/>
            </w:rPr>
          </w:pPr>
          <w:hyperlink w:anchor="_Toc18619512" w:history="1">
            <w:r w:rsidR="00254A8D" w:rsidRPr="00DF7AD3">
              <w:rPr>
                <w:rStyle w:val="Hyperlink"/>
                <w:noProof/>
              </w:rPr>
              <w:t>2</w:t>
            </w:r>
            <w:r w:rsidR="00254A8D">
              <w:rPr>
                <w:rFonts w:asciiTheme="minorHAnsi" w:hAnsiTheme="minorHAnsi"/>
                <w:noProof/>
                <w:sz w:val="24"/>
                <w:szCs w:val="24"/>
                <w:lang w:eastAsia="en-US"/>
              </w:rPr>
              <w:tab/>
            </w:r>
            <w:r w:rsidR="00254A8D" w:rsidRPr="00DF7AD3">
              <w:rPr>
                <w:rStyle w:val="Hyperlink"/>
                <w:noProof/>
              </w:rPr>
              <w:t>Methodology</w:t>
            </w:r>
            <w:r w:rsidR="00254A8D">
              <w:rPr>
                <w:noProof/>
                <w:webHidden/>
              </w:rPr>
              <w:tab/>
            </w:r>
            <w:r w:rsidR="00254A8D">
              <w:rPr>
                <w:noProof/>
                <w:webHidden/>
              </w:rPr>
              <w:fldChar w:fldCharType="begin"/>
            </w:r>
            <w:r w:rsidR="00254A8D">
              <w:rPr>
                <w:noProof/>
                <w:webHidden/>
              </w:rPr>
              <w:instrText xml:space="preserve"> PAGEREF _Toc18619512 \h </w:instrText>
            </w:r>
            <w:r w:rsidR="00254A8D">
              <w:rPr>
                <w:noProof/>
                <w:webHidden/>
              </w:rPr>
            </w:r>
            <w:r w:rsidR="00254A8D">
              <w:rPr>
                <w:noProof/>
                <w:webHidden/>
              </w:rPr>
              <w:fldChar w:fldCharType="separate"/>
            </w:r>
            <w:r w:rsidR="00254A8D">
              <w:rPr>
                <w:noProof/>
                <w:webHidden/>
              </w:rPr>
              <w:t>20</w:t>
            </w:r>
            <w:r w:rsidR="00254A8D">
              <w:rPr>
                <w:noProof/>
                <w:webHidden/>
              </w:rPr>
              <w:fldChar w:fldCharType="end"/>
            </w:r>
          </w:hyperlink>
        </w:p>
        <w:p w14:paraId="25D938D1" w14:textId="4F87CF97" w:rsidR="00254A8D" w:rsidRDefault="00726209">
          <w:pPr>
            <w:pStyle w:val="TOC2"/>
            <w:tabs>
              <w:tab w:val="left" w:pos="960"/>
              <w:tab w:val="right" w:leader="dot" w:pos="9350"/>
            </w:tabs>
            <w:rPr>
              <w:rFonts w:asciiTheme="minorHAnsi" w:hAnsiTheme="minorHAnsi"/>
              <w:noProof/>
              <w:sz w:val="24"/>
              <w:szCs w:val="24"/>
              <w:lang w:eastAsia="en-US"/>
            </w:rPr>
          </w:pPr>
          <w:hyperlink w:anchor="_Toc18619513" w:history="1">
            <w:r w:rsidR="00254A8D" w:rsidRPr="00DF7AD3">
              <w:rPr>
                <w:rStyle w:val="Hyperlink"/>
                <w:noProof/>
              </w:rPr>
              <w:t>2.1</w:t>
            </w:r>
            <w:r w:rsidR="00254A8D">
              <w:rPr>
                <w:rFonts w:asciiTheme="minorHAnsi" w:hAnsiTheme="minorHAnsi"/>
                <w:noProof/>
                <w:sz w:val="24"/>
                <w:szCs w:val="24"/>
                <w:lang w:eastAsia="en-US"/>
              </w:rPr>
              <w:tab/>
            </w:r>
            <w:r w:rsidR="00254A8D" w:rsidRPr="00DF7AD3">
              <w:rPr>
                <w:rStyle w:val="Hyperlink"/>
                <w:noProof/>
              </w:rPr>
              <w:t>Introduction</w:t>
            </w:r>
            <w:r w:rsidR="00254A8D">
              <w:rPr>
                <w:noProof/>
                <w:webHidden/>
              </w:rPr>
              <w:tab/>
            </w:r>
            <w:r w:rsidR="00254A8D">
              <w:rPr>
                <w:noProof/>
                <w:webHidden/>
              </w:rPr>
              <w:fldChar w:fldCharType="begin"/>
            </w:r>
            <w:r w:rsidR="00254A8D">
              <w:rPr>
                <w:noProof/>
                <w:webHidden/>
              </w:rPr>
              <w:instrText xml:space="preserve"> PAGEREF _Toc18619513 \h </w:instrText>
            </w:r>
            <w:r w:rsidR="00254A8D">
              <w:rPr>
                <w:noProof/>
                <w:webHidden/>
              </w:rPr>
            </w:r>
            <w:r w:rsidR="00254A8D">
              <w:rPr>
                <w:noProof/>
                <w:webHidden/>
              </w:rPr>
              <w:fldChar w:fldCharType="separate"/>
            </w:r>
            <w:r w:rsidR="00254A8D">
              <w:rPr>
                <w:noProof/>
                <w:webHidden/>
              </w:rPr>
              <w:t>20</w:t>
            </w:r>
            <w:r w:rsidR="00254A8D">
              <w:rPr>
                <w:noProof/>
                <w:webHidden/>
              </w:rPr>
              <w:fldChar w:fldCharType="end"/>
            </w:r>
          </w:hyperlink>
        </w:p>
        <w:p w14:paraId="19657E5F" w14:textId="608524F4" w:rsidR="00254A8D" w:rsidRDefault="00726209">
          <w:pPr>
            <w:pStyle w:val="TOC2"/>
            <w:tabs>
              <w:tab w:val="left" w:pos="960"/>
              <w:tab w:val="right" w:leader="dot" w:pos="9350"/>
            </w:tabs>
            <w:rPr>
              <w:rFonts w:asciiTheme="minorHAnsi" w:hAnsiTheme="minorHAnsi"/>
              <w:noProof/>
              <w:sz w:val="24"/>
              <w:szCs w:val="24"/>
              <w:lang w:eastAsia="en-US"/>
            </w:rPr>
          </w:pPr>
          <w:hyperlink w:anchor="_Toc18619514" w:history="1">
            <w:r w:rsidR="00254A8D" w:rsidRPr="00DF7AD3">
              <w:rPr>
                <w:rStyle w:val="Hyperlink"/>
                <w:noProof/>
              </w:rPr>
              <w:t>2.2</w:t>
            </w:r>
            <w:r w:rsidR="00254A8D">
              <w:rPr>
                <w:rFonts w:asciiTheme="minorHAnsi" w:hAnsiTheme="minorHAnsi"/>
                <w:noProof/>
                <w:sz w:val="24"/>
                <w:szCs w:val="24"/>
                <w:lang w:eastAsia="en-US"/>
              </w:rPr>
              <w:tab/>
            </w:r>
            <w:r w:rsidR="00254A8D" w:rsidRPr="00DF7AD3">
              <w:rPr>
                <w:rStyle w:val="Hyperlink"/>
                <w:noProof/>
              </w:rPr>
              <w:t>Data Sources</w:t>
            </w:r>
            <w:r w:rsidR="00254A8D">
              <w:rPr>
                <w:noProof/>
                <w:webHidden/>
              </w:rPr>
              <w:tab/>
            </w:r>
            <w:r w:rsidR="00254A8D">
              <w:rPr>
                <w:noProof/>
                <w:webHidden/>
              </w:rPr>
              <w:fldChar w:fldCharType="begin"/>
            </w:r>
            <w:r w:rsidR="00254A8D">
              <w:rPr>
                <w:noProof/>
                <w:webHidden/>
              </w:rPr>
              <w:instrText xml:space="preserve"> PAGEREF _Toc18619514 \h </w:instrText>
            </w:r>
            <w:r w:rsidR="00254A8D">
              <w:rPr>
                <w:noProof/>
                <w:webHidden/>
              </w:rPr>
            </w:r>
            <w:r w:rsidR="00254A8D">
              <w:rPr>
                <w:noProof/>
                <w:webHidden/>
              </w:rPr>
              <w:fldChar w:fldCharType="separate"/>
            </w:r>
            <w:r w:rsidR="00254A8D">
              <w:rPr>
                <w:noProof/>
                <w:webHidden/>
              </w:rPr>
              <w:t>21</w:t>
            </w:r>
            <w:r w:rsidR="00254A8D">
              <w:rPr>
                <w:noProof/>
                <w:webHidden/>
              </w:rPr>
              <w:fldChar w:fldCharType="end"/>
            </w:r>
          </w:hyperlink>
        </w:p>
        <w:p w14:paraId="65ADD12F" w14:textId="72DBF713" w:rsidR="00254A8D" w:rsidRDefault="00726209">
          <w:pPr>
            <w:pStyle w:val="TOC2"/>
            <w:tabs>
              <w:tab w:val="left" w:pos="960"/>
              <w:tab w:val="right" w:leader="dot" w:pos="9350"/>
            </w:tabs>
            <w:rPr>
              <w:rFonts w:asciiTheme="minorHAnsi" w:hAnsiTheme="minorHAnsi"/>
              <w:noProof/>
              <w:sz w:val="24"/>
              <w:szCs w:val="24"/>
              <w:lang w:eastAsia="en-US"/>
            </w:rPr>
          </w:pPr>
          <w:hyperlink w:anchor="_Toc18619515" w:history="1">
            <w:r w:rsidR="00254A8D" w:rsidRPr="00DF7AD3">
              <w:rPr>
                <w:rStyle w:val="Hyperlink"/>
                <w:noProof/>
              </w:rPr>
              <w:t>2.3</w:t>
            </w:r>
            <w:r w:rsidR="00254A8D">
              <w:rPr>
                <w:rFonts w:asciiTheme="minorHAnsi" w:hAnsiTheme="minorHAnsi"/>
                <w:noProof/>
                <w:sz w:val="24"/>
                <w:szCs w:val="24"/>
                <w:lang w:eastAsia="en-US"/>
              </w:rPr>
              <w:tab/>
            </w:r>
            <w:r w:rsidR="00254A8D" w:rsidRPr="00DF7AD3">
              <w:rPr>
                <w:rStyle w:val="Hyperlink"/>
                <w:noProof/>
              </w:rPr>
              <w:t>Total Addressable Market</w:t>
            </w:r>
            <w:r w:rsidR="00254A8D">
              <w:rPr>
                <w:noProof/>
                <w:webHidden/>
              </w:rPr>
              <w:tab/>
            </w:r>
            <w:r w:rsidR="00254A8D">
              <w:rPr>
                <w:noProof/>
                <w:webHidden/>
              </w:rPr>
              <w:fldChar w:fldCharType="begin"/>
            </w:r>
            <w:r w:rsidR="00254A8D">
              <w:rPr>
                <w:noProof/>
                <w:webHidden/>
              </w:rPr>
              <w:instrText xml:space="preserve"> PAGEREF _Toc18619515 \h </w:instrText>
            </w:r>
            <w:r w:rsidR="00254A8D">
              <w:rPr>
                <w:noProof/>
                <w:webHidden/>
              </w:rPr>
            </w:r>
            <w:r w:rsidR="00254A8D">
              <w:rPr>
                <w:noProof/>
                <w:webHidden/>
              </w:rPr>
              <w:fldChar w:fldCharType="separate"/>
            </w:r>
            <w:r w:rsidR="00254A8D">
              <w:rPr>
                <w:noProof/>
                <w:webHidden/>
              </w:rPr>
              <w:t>23</w:t>
            </w:r>
            <w:r w:rsidR="00254A8D">
              <w:rPr>
                <w:noProof/>
                <w:webHidden/>
              </w:rPr>
              <w:fldChar w:fldCharType="end"/>
            </w:r>
          </w:hyperlink>
        </w:p>
        <w:p w14:paraId="583EEDA3" w14:textId="4C129B10" w:rsidR="00254A8D" w:rsidRDefault="00726209">
          <w:pPr>
            <w:pStyle w:val="TOC2"/>
            <w:tabs>
              <w:tab w:val="left" w:pos="960"/>
              <w:tab w:val="right" w:leader="dot" w:pos="9350"/>
            </w:tabs>
            <w:rPr>
              <w:rFonts w:asciiTheme="minorHAnsi" w:hAnsiTheme="minorHAnsi"/>
              <w:noProof/>
              <w:sz w:val="24"/>
              <w:szCs w:val="24"/>
              <w:lang w:eastAsia="en-US"/>
            </w:rPr>
          </w:pPr>
          <w:hyperlink w:anchor="_Toc18619516" w:history="1">
            <w:r w:rsidR="00254A8D" w:rsidRPr="00DF7AD3">
              <w:rPr>
                <w:rStyle w:val="Hyperlink"/>
                <w:noProof/>
              </w:rPr>
              <w:t>2.4</w:t>
            </w:r>
            <w:r w:rsidR="00254A8D">
              <w:rPr>
                <w:rFonts w:asciiTheme="minorHAnsi" w:hAnsiTheme="minorHAnsi"/>
                <w:noProof/>
                <w:sz w:val="24"/>
                <w:szCs w:val="24"/>
                <w:lang w:eastAsia="en-US"/>
              </w:rPr>
              <w:tab/>
            </w:r>
            <w:r w:rsidR="00254A8D" w:rsidRPr="00DF7AD3">
              <w:rPr>
                <w:rStyle w:val="Hyperlink"/>
                <w:noProof/>
              </w:rPr>
              <w:t>Adoption Scenarios</w:t>
            </w:r>
            <w:r w:rsidR="00254A8D">
              <w:rPr>
                <w:noProof/>
                <w:webHidden/>
              </w:rPr>
              <w:tab/>
            </w:r>
            <w:r w:rsidR="00254A8D">
              <w:rPr>
                <w:noProof/>
                <w:webHidden/>
              </w:rPr>
              <w:fldChar w:fldCharType="begin"/>
            </w:r>
            <w:r w:rsidR="00254A8D">
              <w:rPr>
                <w:noProof/>
                <w:webHidden/>
              </w:rPr>
              <w:instrText xml:space="preserve"> PAGEREF _Toc18619516 \h </w:instrText>
            </w:r>
            <w:r w:rsidR="00254A8D">
              <w:rPr>
                <w:noProof/>
                <w:webHidden/>
              </w:rPr>
            </w:r>
            <w:r w:rsidR="00254A8D">
              <w:rPr>
                <w:noProof/>
                <w:webHidden/>
              </w:rPr>
              <w:fldChar w:fldCharType="separate"/>
            </w:r>
            <w:r w:rsidR="00254A8D">
              <w:rPr>
                <w:noProof/>
                <w:webHidden/>
              </w:rPr>
              <w:t>24</w:t>
            </w:r>
            <w:r w:rsidR="00254A8D">
              <w:rPr>
                <w:noProof/>
                <w:webHidden/>
              </w:rPr>
              <w:fldChar w:fldCharType="end"/>
            </w:r>
          </w:hyperlink>
        </w:p>
        <w:p w14:paraId="012F5FD5" w14:textId="0E4147DE" w:rsidR="00254A8D" w:rsidRDefault="00726209">
          <w:pPr>
            <w:pStyle w:val="TOC3"/>
            <w:tabs>
              <w:tab w:val="left" w:pos="1200"/>
              <w:tab w:val="right" w:leader="dot" w:pos="9350"/>
            </w:tabs>
            <w:rPr>
              <w:rFonts w:asciiTheme="minorHAnsi" w:hAnsiTheme="minorHAnsi"/>
              <w:noProof/>
              <w:sz w:val="24"/>
              <w:szCs w:val="24"/>
              <w:lang w:eastAsia="en-US"/>
            </w:rPr>
          </w:pPr>
          <w:hyperlink w:anchor="_Toc18619517" w:history="1">
            <w:r w:rsidR="00254A8D" w:rsidRPr="00DF7AD3">
              <w:rPr>
                <w:rStyle w:val="Hyperlink"/>
                <w:noProof/>
              </w:rPr>
              <w:t>2.4.1</w:t>
            </w:r>
            <w:r w:rsidR="00254A8D">
              <w:rPr>
                <w:rFonts w:asciiTheme="minorHAnsi" w:hAnsiTheme="minorHAnsi"/>
                <w:noProof/>
                <w:sz w:val="24"/>
                <w:szCs w:val="24"/>
                <w:lang w:eastAsia="en-US"/>
              </w:rPr>
              <w:tab/>
            </w:r>
            <w:r w:rsidR="00254A8D" w:rsidRPr="00DF7AD3">
              <w:rPr>
                <w:rStyle w:val="Hyperlink"/>
                <w:noProof/>
              </w:rPr>
              <w:t>Reference Case / Current Adoption</w:t>
            </w:r>
            <w:r w:rsidR="00254A8D">
              <w:rPr>
                <w:noProof/>
                <w:webHidden/>
              </w:rPr>
              <w:tab/>
            </w:r>
            <w:r w:rsidR="00254A8D">
              <w:rPr>
                <w:noProof/>
                <w:webHidden/>
              </w:rPr>
              <w:fldChar w:fldCharType="begin"/>
            </w:r>
            <w:r w:rsidR="00254A8D">
              <w:rPr>
                <w:noProof/>
                <w:webHidden/>
              </w:rPr>
              <w:instrText xml:space="preserve"> PAGEREF _Toc18619517 \h </w:instrText>
            </w:r>
            <w:r w:rsidR="00254A8D">
              <w:rPr>
                <w:noProof/>
                <w:webHidden/>
              </w:rPr>
            </w:r>
            <w:r w:rsidR="00254A8D">
              <w:rPr>
                <w:noProof/>
                <w:webHidden/>
              </w:rPr>
              <w:fldChar w:fldCharType="separate"/>
            </w:r>
            <w:r w:rsidR="00254A8D">
              <w:rPr>
                <w:noProof/>
                <w:webHidden/>
              </w:rPr>
              <w:t>24</w:t>
            </w:r>
            <w:r w:rsidR="00254A8D">
              <w:rPr>
                <w:noProof/>
                <w:webHidden/>
              </w:rPr>
              <w:fldChar w:fldCharType="end"/>
            </w:r>
          </w:hyperlink>
        </w:p>
        <w:p w14:paraId="117C2B26" w14:textId="5AF794BE" w:rsidR="00254A8D" w:rsidRDefault="00726209">
          <w:pPr>
            <w:pStyle w:val="TOC3"/>
            <w:tabs>
              <w:tab w:val="left" w:pos="1200"/>
              <w:tab w:val="right" w:leader="dot" w:pos="9350"/>
            </w:tabs>
            <w:rPr>
              <w:rFonts w:asciiTheme="minorHAnsi" w:hAnsiTheme="minorHAnsi"/>
              <w:noProof/>
              <w:sz w:val="24"/>
              <w:szCs w:val="24"/>
              <w:lang w:eastAsia="en-US"/>
            </w:rPr>
          </w:pPr>
          <w:hyperlink w:anchor="_Toc18619518" w:history="1">
            <w:r w:rsidR="00254A8D" w:rsidRPr="00DF7AD3">
              <w:rPr>
                <w:rStyle w:val="Hyperlink"/>
                <w:noProof/>
              </w:rPr>
              <w:t>2.4.2</w:t>
            </w:r>
            <w:r w:rsidR="00254A8D">
              <w:rPr>
                <w:rFonts w:asciiTheme="minorHAnsi" w:hAnsiTheme="minorHAnsi"/>
                <w:noProof/>
                <w:sz w:val="24"/>
                <w:szCs w:val="24"/>
                <w:lang w:eastAsia="en-US"/>
              </w:rPr>
              <w:tab/>
            </w:r>
            <w:r w:rsidR="00254A8D" w:rsidRPr="00DF7AD3">
              <w:rPr>
                <w:rStyle w:val="Hyperlink"/>
                <w:noProof/>
              </w:rPr>
              <w:t>Project Drawdown Scenarios</w:t>
            </w:r>
            <w:r w:rsidR="00254A8D">
              <w:rPr>
                <w:noProof/>
                <w:webHidden/>
              </w:rPr>
              <w:tab/>
            </w:r>
            <w:r w:rsidR="00254A8D">
              <w:rPr>
                <w:noProof/>
                <w:webHidden/>
              </w:rPr>
              <w:fldChar w:fldCharType="begin"/>
            </w:r>
            <w:r w:rsidR="00254A8D">
              <w:rPr>
                <w:noProof/>
                <w:webHidden/>
              </w:rPr>
              <w:instrText xml:space="preserve"> PAGEREF _Toc18619518 \h </w:instrText>
            </w:r>
            <w:r w:rsidR="00254A8D">
              <w:rPr>
                <w:noProof/>
                <w:webHidden/>
              </w:rPr>
            </w:r>
            <w:r w:rsidR="00254A8D">
              <w:rPr>
                <w:noProof/>
                <w:webHidden/>
              </w:rPr>
              <w:fldChar w:fldCharType="separate"/>
            </w:r>
            <w:r w:rsidR="00254A8D">
              <w:rPr>
                <w:noProof/>
                <w:webHidden/>
              </w:rPr>
              <w:t>24</w:t>
            </w:r>
            <w:r w:rsidR="00254A8D">
              <w:rPr>
                <w:noProof/>
                <w:webHidden/>
              </w:rPr>
              <w:fldChar w:fldCharType="end"/>
            </w:r>
          </w:hyperlink>
        </w:p>
        <w:p w14:paraId="63901031" w14:textId="6BEAD4E8" w:rsidR="00254A8D" w:rsidRDefault="00726209">
          <w:pPr>
            <w:pStyle w:val="TOC2"/>
            <w:tabs>
              <w:tab w:val="left" w:pos="960"/>
              <w:tab w:val="right" w:leader="dot" w:pos="9350"/>
            </w:tabs>
            <w:rPr>
              <w:rFonts w:asciiTheme="minorHAnsi" w:hAnsiTheme="minorHAnsi"/>
              <w:noProof/>
              <w:sz w:val="24"/>
              <w:szCs w:val="24"/>
              <w:lang w:eastAsia="en-US"/>
            </w:rPr>
          </w:pPr>
          <w:hyperlink w:anchor="_Toc18619519" w:history="1">
            <w:r w:rsidR="00254A8D" w:rsidRPr="00DF7AD3">
              <w:rPr>
                <w:rStyle w:val="Hyperlink"/>
                <w:noProof/>
              </w:rPr>
              <w:t>2.5</w:t>
            </w:r>
            <w:r w:rsidR="00254A8D">
              <w:rPr>
                <w:rFonts w:asciiTheme="minorHAnsi" w:hAnsiTheme="minorHAnsi"/>
                <w:noProof/>
                <w:sz w:val="24"/>
                <w:szCs w:val="24"/>
                <w:lang w:eastAsia="en-US"/>
              </w:rPr>
              <w:tab/>
            </w:r>
            <w:r w:rsidR="00254A8D" w:rsidRPr="00DF7AD3">
              <w:rPr>
                <w:rStyle w:val="Hyperlink"/>
                <w:noProof/>
              </w:rPr>
              <w:t>Inputs</w:t>
            </w:r>
            <w:r w:rsidR="00254A8D">
              <w:rPr>
                <w:noProof/>
                <w:webHidden/>
              </w:rPr>
              <w:tab/>
            </w:r>
            <w:r w:rsidR="00254A8D">
              <w:rPr>
                <w:noProof/>
                <w:webHidden/>
              </w:rPr>
              <w:fldChar w:fldCharType="begin"/>
            </w:r>
            <w:r w:rsidR="00254A8D">
              <w:rPr>
                <w:noProof/>
                <w:webHidden/>
              </w:rPr>
              <w:instrText xml:space="preserve"> PAGEREF _Toc18619519 \h </w:instrText>
            </w:r>
            <w:r w:rsidR="00254A8D">
              <w:rPr>
                <w:noProof/>
                <w:webHidden/>
              </w:rPr>
            </w:r>
            <w:r w:rsidR="00254A8D">
              <w:rPr>
                <w:noProof/>
                <w:webHidden/>
              </w:rPr>
              <w:fldChar w:fldCharType="separate"/>
            </w:r>
            <w:r w:rsidR="00254A8D">
              <w:rPr>
                <w:noProof/>
                <w:webHidden/>
              </w:rPr>
              <w:t>25</w:t>
            </w:r>
            <w:r w:rsidR="00254A8D">
              <w:rPr>
                <w:noProof/>
                <w:webHidden/>
              </w:rPr>
              <w:fldChar w:fldCharType="end"/>
            </w:r>
          </w:hyperlink>
        </w:p>
        <w:p w14:paraId="28CA26C5" w14:textId="3798B0C6" w:rsidR="00254A8D" w:rsidRDefault="00726209">
          <w:pPr>
            <w:pStyle w:val="TOC3"/>
            <w:tabs>
              <w:tab w:val="left" w:pos="1200"/>
              <w:tab w:val="right" w:leader="dot" w:pos="9350"/>
            </w:tabs>
            <w:rPr>
              <w:rFonts w:asciiTheme="minorHAnsi" w:hAnsiTheme="minorHAnsi"/>
              <w:noProof/>
              <w:sz w:val="24"/>
              <w:szCs w:val="24"/>
              <w:lang w:eastAsia="en-US"/>
            </w:rPr>
          </w:pPr>
          <w:hyperlink w:anchor="_Toc18619520" w:history="1">
            <w:r w:rsidR="00254A8D" w:rsidRPr="00DF7AD3">
              <w:rPr>
                <w:rStyle w:val="Hyperlink"/>
                <w:noProof/>
              </w:rPr>
              <w:t>2.5.1</w:t>
            </w:r>
            <w:r w:rsidR="00254A8D">
              <w:rPr>
                <w:rFonts w:asciiTheme="minorHAnsi" w:hAnsiTheme="minorHAnsi"/>
                <w:noProof/>
                <w:sz w:val="24"/>
                <w:szCs w:val="24"/>
                <w:lang w:eastAsia="en-US"/>
              </w:rPr>
              <w:tab/>
            </w:r>
            <w:r w:rsidR="00254A8D" w:rsidRPr="00DF7AD3">
              <w:rPr>
                <w:rStyle w:val="Hyperlink"/>
                <w:noProof/>
              </w:rPr>
              <w:t>Climate Inputs</w:t>
            </w:r>
            <w:r w:rsidR="00254A8D">
              <w:rPr>
                <w:noProof/>
                <w:webHidden/>
              </w:rPr>
              <w:tab/>
            </w:r>
            <w:r w:rsidR="00254A8D">
              <w:rPr>
                <w:noProof/>
                <w:webHidden/>
              </w:rPr>
              <w:fldChar w:fldCharType="begin"/>
            </w:r>
            <w:r w:rsidR="00254A8D">
              <w:rPr>
                <w:noProof/>
                <w:webHidden/>
              </w:rPr>
              <w:instrText xml:space="preserve"> PAGEREF _Toc18619520 \h </w:instrText>
            </w:r>
            <w:r w:rsidR="00254A8D">
              <w:rPr>
                <w:noProof/>
                <w:webHidden/>
              </w:rPr>
            </w:r>
            <w:r w:rsidR="00254A8D">
              <w:rPr>
                <w:noProof/>
                <w:webHidden/>
              </w:rPr>
              <w:fldChar w:fldCharType="separate"/>
            </w:r>
            <w:r w:rsidR="00254A8D">
              <w:rPr>
                <w:noProof/>
                <w:webHidden/>
              </w:rPr>
              <w:t>25</w:t>
            </w:r>
            <w:r w:rsidR="00254A8D">
              <w:rPr>
                <w:noProof/>
                <w:webHidden/>
              </w:rPr>
              <w:fldChar w:fldCharType="end"/>
            </w:r>
          </w:hyperlink>
        </w:p>
        <w:p w14:paraId="6E3E1234" w14:textId="5D40196D" w:rsidR="00254A8D" w:rsidRDefault="00726209">
          <w:pPr>
            <w:pStyle w:val="TOC3"/>
            <w:tabs>
              <w:tab w:val="left" w:pos="1200"/>
              <w:tab w:val="right" w:leader="dot" w:pos="9350"/>
            </w:tabs>
            <w:rPr>
              <w:rFonts w:asciiTheme="minorHAnsi" w:hAnsiTheme="minorHAnsi"/>
              <w:noProof/>
              <w:sz w:val="24"/>
              <w:szCs w:val="24"/>
              <w:lang w:eastAsia="en-US"/>
            </w:rPr>
          </w:pPr>
          <w:hyperlink w:anchor="_Toc18619521" w:history="1">
            <w:r w:rsidR="00254A8D" w:rsidRPr="00DF7AD3">
              <w:rPr>
                <w:rStyle w:val="Hyperlink"/>
                <w:noProof/>
              </w:rPr>
              <w:t>2.5.2</w:t>
            </w:r>
            <w:r w:rsidR="00254A8D">
              <w:rPr>
                <w:rFonts w:asciiTheme="minorHAnsi" w:hAnsiTheme="minorHAnsi"/>
                <w:noProof/>
                <w:sz w:val="24"/>
                <w:szCs w:val="24"/>
                <w:lang w:eastAsia="en-US"/>
              </w:rPr>
              <w:tab/>
            </w:r>
            <w:r w:rsidR="00254A8D" w:rsidRPr="00DF7AD3">
              <w:rPr>
                <w:rStyle w:val="Hyperlink"/>
                <w:noProof/>
              </w:rPr>
              <w:t>Financial Inputs</w:t>
            </w:r>
            <w:r w:rsidR="00254A8D">
              <w:rPr>
                <w:noProof/>
                <w:webHidden/>
              </w:rPr>
              <w:tab/>
            </w:r>
            <w:r w:rsidR="00254A8D">
              <w:rPr>
                <w:noProof/>
                <w:webHidden/>
              </w:rPr>
              <w:fldChar w:fldCharType="begin"/>
            </w:r>
            <w:r w:rsidR="00254A8D">
              <w:rPr>
                <w:noProof/>
                <w:webHidden/>
              </w:rPr>
              <w:instrText xml:space="preserve"> PAGEREF _Toc18619521 \h </w:instrText>
            </w:r>
            <w:r w:rsidR="00254A8D">
              <w:rPr>
                <w:noProof/>
                <w:webHidden/>
              </w:rPr>
            </w:r>
            <w:r w:rsidR="00254A8D">
              <w:rPr>
                <w:noProof/>
                <w:webHidden/>
              </w:rPr>
              <w:fldChar w:fldCharType="separate"/>
            </w:r>
            <w:r w:rsidR="00254A8D">
              <w:rPr>
                <w:noProof/>
                <w:webHidden/>
              </w:rPr>
              <w:t>26</w:t>
            </w:r>
            <w:r w:rsidR="00254A8D">
              <w:rPr>
                <w:noProof/>
                <w:webHidden/>
              </w:rPr>
              <w:fldChar w:fldCharType="end"/>
            </w:r>
          </w:hyperlink>
        </w:p>
        <w:p w14:paraId="5E4D4F66" w14:textId="10F5BCCA" w:rsidR="00254A8D" w:rsidRDefault="00726209">
          <w:pPr>
            <w:pStyle w:val="TOC3"/>
            <w:tabs>
              <w:tab w:val="left" w:pos="1200"/>
              <w:tab w:val="right" w:leader="dot" w:pos="9350"/>
            </w:tabs>
            <w:rPr>
              <w:rFonts w:asciiTheme="minorHAnsi" w:hAnsiTheme="minorHAnsi"/>
              <w:noProof/>
              <w:sz w:val="24"/>
              <w:szCs w:val="24"/>
              <w:lang w:eastAsia="en-US"/>
            </w:rPr>
          </w:pPr>
          <w:hyperlink w:anchor="_Toc18619522" w:history="1">
            <w:r w:rsidR="00254A8D" w:rsidRPr="00DF7AD3">
              <w:rPr>
                <w:rStyle w:val="Hyperlink"/>
                <w:noProof/>
              </w:rPr>
              <w:t>2.5.3</w:t>
            </w:r>
            <w:r w:rsidR="00254A8D">
              <w:rPr>
                <w:rFonts w:asciiTheme="minorHAnsi" w:hAnsiTheme="minorHAnsi"/>
                <w:noProof/>
                <w:sz w:val="24"/>
                <w:szCs w:val="24"/>
                <w:lang w:eastAsia="en-US"/>
              </w:rPr>
              <w:tab/>
            </w:r>
            <w:r w:rsidR="00254A8D" w:rsidRPr="00DF7AD3">
              <w:rPr>
                <w:rStyle w:val="Hyperlink"/>
                <w:noProof/>
              </w:rPr>
              <w:t>Technical Inputs</w:t>
            </w:r>
            <w:r w:rsidR="00254A8D">
              <w:rPr>
                <w:noProof/>
                <w:webHidden/>
              </w:rPr>
              <w:tab/>
            </w:r>
            <w:r w:rsidR="00254A8D">
              <w:rPr>
                <w:noProof/>
                <w:webHidden/>
              </w:rPr>
              <w:fldChar w:fldCharType="begin"/>
            </w:r>
            <w:r w:rsidR="00254A8D">
              <w:rPr>
                <w:noProof/>
                <w:webHidden/>
              </w:rPr>
              <w:instrText xml:space="preserve"> PAGEREF _Toc18619522 \h </w:instrText>
            </w:r>
            <w:r w:rsidR="00254A8D">
              <w:rPr>
                <w:noProof/>
                <w:webHidden/>
              </w:rPr>
            </w:r>
            <w:r w:rsidR="00254A8D">
              <w:rPr>
                <w:noProof/>
                <w:webHidden/>
              </w:rPr>
              <w:fldChar w:fldCharType="separate"/>
            </w:r>
            <w:r w:rsidR="00254A8D">
              <w:rPr>
                <w:noProof/>
                <w:webHidden/>
              </w:rPr>
              <w:t>28</w:t>
            </w:r>
            <w:r w:rsidR="00254A8D">
              <w:rPr>
                <w:noProof/>
                <w:webHidden/>
              </w:rPr>
              <w:fldChar w:fldCharType="end"/>
            </w:r>
          </w:hyperlink>
        </w:p>
        <w:p w14:paraId="56EBD54B" w14:textId="246B4C9A" w:rsidR="00254A8D" w:rsidRDefault="00726209">
          <w:pPr>
            <w:pStyle w:val="TOC2"/>
            <w:tabs>
              <w:tab w:val="left" w:pos="960"/>
              <w:tab w:val="right" w:leader="dot" w:pos="9350"/>
            </w:tabs>
            <w:rPr>
              <w:rFonts w:asciiTheme="minorHAnsi" w:hAnsiTheme="minorHAnsi"/>
              <w:noProof/>
              <w:sz w:val="24"/>
              <w:szCs w:val="24"/>
              <w:lang w:eastAsia="en-US"/>
            </w:rPr>
          </w:pPr>
          <w:hyperlink w:anchor="_Toc18619523" w:history="1">
            <w:r w:rsidR="00254A8D" w:rsidRPr="00DF7AD3">
              <w:rPr>
                <w:rStyle w:val="Hyperlink"/>
                <w:noProof/>
              </w:rPr>
              <w:t>2.6</w:t>
            </w:r>
            <w:r w:rsidR="00254A8D">
              <w:rPr>
                <w:rFonts w:asciiTheme="minorHAnsi" w:hAnsiTheme="minorHAnsi"/>
                <w:noProof/>
                <w:sz w:val="24"/>
                <w:szCs w:val="24"/>
                <w:lang w:eastAsia="en-US"/>
              </w:rPr>
              <w:tab/>
            </w:r>
            <w:r w:rsidR="00254A8D" w:rsidRPr="00DF7AD3">
              <w:rPr>
                <w:rStyle w:val="Hyperlink"/>
                <w:noProof/>
              </w:rPr>
              <w:t>Assumptions</w:t>
            </w:r>
            <w:r w:rsidR="00254A8D">
              <w:rPr>
                <w:noProof/>
                <w:webHidden/>
              </w:rPr>
              <w:tab/>
            </w:r>
            <w:r w:rsidR="00254A8D">
              <w:rPr>
                <w:noProof/>
                <w:webHidden/>
              </w:rPr>
              <w:fldChar w:fldCharType="begin"/>
            </w:r>
            <w:r w:rsidR="00254A8D">
              <w:rPr>
                <w:noProof/>
                <w:webHidden/>
              </w:rPr>
              <w:instrText xml:space="preserve"> PAGEREF _Toc18619523 \h </w:instrText>
            </w:r>
            <w:r w:rsidR="00254A8D">
              <w:rPr>
                <w:noProof/>
                <w:webHidden/>
              </w:rPr>
            </w:r>
            <w:r w:rsidR="00254A8D">
              <w:rPr>
                <w:noProof/>
                <w:webHidden/>
              </w:rPr>
              <w:fldChar w:fldCharType="separate"/>
            </w:r>
            <w:r w:rsidR="00254A8D">
              <w:rPr>
                <w:noProof/>
                <w:webHidden/>
              </w:rPr>
              <w:t>29</w:t>
            </w:r>
            <w:r w:rsidR="00254A8D">
              <w:rPr>
                <w:noProof/>
                <w:webHidden/>
              </w:rPr>
              <w:fldChar w:fldCharType="end"/>
            </w:r>
          </w:hyperlink>
        </w:p>
        <w:p w14:paraId="306284E6" w14:textId="4874F728" w:rsidR="00254A8D" w:rsidRDefault="00726209">
          <w:pPr>
            <w:pStyle w:val="TOC2"/>
            <w:tabs>
              <w:tab w:val="left" w:pos="960"/>
              <w:tab w:val="right" w:leader="dot" w:pos="9350"/>
            </w:tabs>
            <w:rPr>
              <w:rFonts w:asciiTheme="minorHAnsi" w:hAnsiTheme="minorHAnsi"/>
              <w:noProof/>
              <w:sz w:val="24"/>
              <w:szCs w:val="24"/>
              <w:lang w:eastAsia="en-US"/>
            </w:rPr>
          </w:pPr>
          <w:hyperlink w:anchor="_Toc18619524" w:history="1">
            <w:r w:rsidR="00254A8D" w:rsidRPr="00DF7AD3">
              <w:rPr>
                <w:rStyle w:val="Hyperlink"/>
                <w:noProof/>
              </w:rPr>
              <w:t>2.7</w:t>
            </w:r>
            <w:r w:rsidR="00254A8D">
              <w:rPr>
                <w:rFonts w:asciiTheme="minorHAnsi" w:hAnsiTheme="minorHAnsi"/>
                <w:noProof/>
                <w:sz w:val="24"/>
                <w:szCs w:val="24"/>
                <w:lang w:eastAsia="en-US"/>
              </w:rPr>
              <w:tab/>
            </w:r>
            <w:r w:rsidR="00254A8D" w:rsidRPr="00DF7AD3">
              <w:rPr>
                <w:rStyle w:val="Hyperlink"/>
                <w:noProof/>
              </w:rPr>
              <w:t>Integration</w:t>
            </w:r>
            <w:r w:rsidR="00254A8D">
              <w:rPr>
                <w:noProof/>
                <w:webHidden/>
              </w:rPr>
              <w:tab/>
            </w:r>
            <w:r w:rsidR="00254A8D">
              <w:rPr>
                <w:noProof/>
                <w:webHidden/>
              </w:rPr>
              <w:fldChar w:fldCharType="begin"/>
            </w:r>
            <w:r w:rsidR="00254A8D">
              <w:rPr>
                <w:noProof/>
                <w:webHidden/>
              </w:rPr>
              <w:instrText xml:space="preserve"> PAGEREF _Toc18619524 \h </w:instrText>
            </w:r>
            <w:r w:rsidR="00254A8D">
              <w:rPr>
                <w:noProof/>
                <w:webHidden/>
              </w:rPr>
            </w:r>
            <w:r w:rsidR="00254A8D">
              <w:rPr>
                <w:noProof/>
                <w:webHidden/>
              </w:rPr>
              <w:fldChar w:fldCharType="separate"/>
            </w:r>
            <w:r w:rsidR="00254A8D">
              <w:rPr>
                <w:noProof/>
                <w:webHidden/>
              </w:rPr>
              <w:t>29</w:t>
            </w:r>
            <w:r w:rsidR="00254A8D">
              <w:rPr>
                <w:noProof/>
                <w:webHidden/>
              </w:rPr>
              <w:fldChar w:fldCharType="end"/>
            </w:r>
          </w:hyperlink>
        </w:p>
        <w:p w14:paraId="4E913F8C" w14:textId="5A038301" w:rsidR="00254A8D" w:rsidRDefault="00726209">
          <w:pPr>
            <w:pStyle w:val="TOC2"/>
            <w:tabs>
              <w:tab w:val="left" w:pos="960"/>
              <w:tab w:val="right" w:leader="dot" w:pos="9350"/>
            </w:tabs>
            <w:rPr>
              <w:rFonts w:asciiTheme="minorHAnsi" w:hAnsiTheme="minorHAnsi"/>
              <w:noProof/>
              <w:sz w:val="24"/>
              <w:szCs w:val="24"/>
              <w:lang w:eastAsia="en-US"/>
            </w:rPr>
          </w:pPr>
          <w:hyperlink w:anchor="_Toc18619525" w:history="1">
            <w:r w:rsidR="00254A8D" w:rsidRPr="00DF7AD3">
              <w:rPr>
                <w:rStyle w:val="Hyperlink"/>
                <w:noProof/>
              </w:rPr>
              <w:t>2.8</w:t>
            </w:r>
            <w:r w:rsidR="00254A8D">
              <w:rPr>
                <w:rFonts w:asciiTheme="minorHAnsi" w:hAnsiTheme="minorHAnsi"/>
                <w:noProof/>
                <w:sz w:val="24"/>
                <w:szCs w:val="24"/>
                <w:lang w:eastAsia="en-US"/>
              </w:rPr>
              <w:tab/>
            </w:r>
            <w:r w:rsidR="00254A8D" w:rsidRPr="00DF7AD3">
              <w:rPr>
                <w:rStyle w:val="Hyperlink"/>
                <w:noProof/>
              </w:rPr>
              <w:t>Limitations / Further Developments</w:t>
            </w:r>
            <w:r w:rsidR="00254A8D">
              <w:rPr>
                <w:noProof/>
                <w:webHidden/>
              </w:rPr>
              <w:tab/>
            </w:r>
            <w:r w:rsidR="00254A8D">
              <w:rPr>
                <w:noProof/>
                <w:webHidden/>
              </w:rPr>
              <w:fldChar w:fldCharType="begin"/>
            </w:r>
            <w:r w:rsidR="00254A8D">
              <w:rPr>
                <w:noProof/>
                <w:webHidden/>
              </w:rPr>
              <w:instrText xml:space="preserve"> PAGEREF _Toc18619525 \h </w:instrText>
            </w:r>
            <w:r w:rsidR="00254A8D">
              <w:rPr>
                <w:noProof/>
                <w:webHidden/>
              </w:rPr>
            </w:r>
            <w:r w:rsidR="00254A8D">
              <w:rPr>
                <w:noProof/>
                <w:webHidden/>
              </w:rPr>
              <w:fldChar w:fldCharType="separate"/>
            </w:r>
            <w:r w:rsidR="00254A8D">
              <w:rPr>
                <w:noProof/>
                <w:webHidden/>
              </w:rPr>
              <w:t>30</w:t>
            </w:r>
            <w:r w:rsidR="00254A8D">
              <w:rPr>
                <w:noProof/>
                <w:webHidden/>
              </w:rPr>
              <w:fldChar w:fldCharType="end"/>
            </w:r>
          </w:hyperlink>
        </w:p>
        <w:p w14:paraId="353FCF74" w14:textId="2895780C" w:rsidR="00254A8D" w:rsidRDefault="00726209">
          <w:pPr>
            <w:pStyle w:val="TOC1"/>
            <w:tabs>
              <w:tab w:val="left" w:pos="440"/>
              <w:tab w:val="right" w:leader="dot" w:pos="9350"/>
            </w:tabs>
            <w:rPr>
              <w:rFonts w:asciiTheme="minorHAnsi" w:hAnsiTheme="minorHAnsi"/>
              <w:noProof/>
              <w:sz w:val="24"/>
              <w:szCs w:val="24"/>
              <w:lang w:eastAsia="en-US"/>
            </w:rPr>
          </w:pPr>
          <w:hyperlink w:anchor="_Toc18619526" w:history="1">
            <w:r w:rsidR="00254A8D" w:rsidRPr="00DF7AD3">
              <w:rPr>
                <w:rStyle w:val="Hyperlink"/>
                <w:noProof/>
              </w:rPr>
              <w:t>3</w:t>
            </w:r>
            <w:r w:rsidR="00254A8D">
              <w:rPr>
                <w:rFonts w:asciiTheme="minorHAnsi" w:hAnsiTheme="minorHAnsi"/>
                <w:noProof/>
                <w:sz w:val="24"/>
                <w:szCs w:val="24"/>
                <w:lang w:eastAsia="en-US"/>
              </w:rPr>
              <w:tab/>
            </w:r>
            <w:r w:rsidR="00254A8D" w:rsidRPr="00DF7AD3">
              <w:rPr>
                <w:rStyle w:val="Hyperlink"/>
                <w:noProof/>
              </w:rPr>
              <w:t>Results</w:t>
            </w:r>
            <w:r w:rsidR="00254A8D">
              <w:rPr>
                <w:noProof/>
                <w:webHidden/>
              </w:rPr>
              <w:tab/>
            </w:r>
            <w:r w:rsidR="00254A8D">
              <w:rPr>
                <w:noProof/>
                <w:webHidden/>
              </w:rPr>
              <w:fldChar w:fldCharType="begin"/>
            </w:r>
            <w:r w:rsidR="00254A8D">
              <w:rPr>
                <w:noProof/>
                <w:webHidden/>
              </w:rPr>
              <w:instrText xml:space="preserve"> PAGEREF _Toc18619526 \h </w:instrText>
            </w:r>
            <w:r w:rsidR="00254A8D">
              <w:rPr>
                <w:noProof/>
                <w:webHidden/>
              </w:rPr>
            </w:r>
            <w:r w:rsidR="00254A8D">
              <w:rPr>
                <w:noProof/>
                <w:webHidden/>
              </w:rPr>
              <w:fldChar w:fldCharType="separate"/>
            </w:r>
            <w:r w:rsidR="00254A8D">
              <w:rPr>
                <w:noProof/>
                <w:webHidden/>
              </w:rPr>
              <w:t>31</w:t>
            </w:r>
            <w:r w:rsidR="00254A8D">
              <w:rPr>
                <w:noProof/>
                <w:webHidden/>
              </w:rPr>
              <w:fldChar w:fldCharType="end"/>
            </w:r>
          </w:hyperlink>
        </w:p>
        <w:p w14:paraId="6C0656B3" w14:textId="2797008B" w:rsidR="00254A8D" w:rsidRDefault="00726209">
          <w:pPr>
            <w:pStyle w:val="TOC2"/>
            <w:tabs>
              <w:tab w:val="left" w:pos="960"/>
              <w:tab w:val="right" w:leader="dot" w:pos="9350"/>
            </w:tabs>
            <w:rPr>
              <w:rFonts w:asciiTheme="minorHAnsi" w:hAnsiTheme="minorHAnsi"/>
              <w:noProof/>
              <w:sz w:val="24"/>
              <w:szCs w:val="24"/>
              <w:lang w:eastAsia="en-US"/>
            </w:rPr>
          </w:pPr>
          <w:hyperlink w:anchor="_Toc18619527" w:history="1">
            <w:r w:rsidR="00254A8D" w:rsidRPr="00DF7AD3">
              <w:rPr>
                <w:rStyle w:val="Hyperlink"/>
                <w:noProof/>
              </w:rPr>
              <w:t>3.1</w:t>
            </w:r>
            <w:r w:rsidR="00254A8D">
              <w:rPr>
                <w:rFonts w:asciiTheme="minorHAnsi" w:hAnsiTheme="minorHAnsi"/>
                <w:noProof/>
                <w:sz w:val="24"/>
                <w:szCs w:val="24"/>
                <w:lang w:eastAsia="en-US"/>
              </w:rPr>
              <w:tab/>
            </w:r>
            <w:r w:rsidR="00254A8D" w:rsidRPr="00DF7AD3">
              <w:rPr>
                <w:rStyle w:val="Hyperlink"/>
                <w:noProof/>
              </w:rPr>
              <w:t>Adoption</w:t>
            </w:r>
            <w:r w:rsidR="00254A8D">
              <w:rPr>
                <w:noProof/>
                <w:webHidden/>
              </w:rPr>
              <w:tab/>
            </w:r>
            <w:r w:rsidR="00254A8D">
              <w:rPr>
                <w:noProof/>
                <w:webHidden/>
              </w:rPr>
              <w:fldChar w:fldCharType="begin"/>
            </w:r>
            <w:r w:rsidR="00254A8D">
              <w:rPr>
                <w:noProof/>
                <w:webHidden/>
              </w:rPr>
              <w:instrText xml:space="preserve"> PAGEREF _Toc18619527 \h </w:instrText>
            </w:r>
            <w:r w:rsidR="00254A8D">
              <w:rPr>
                <w:noProof/>
                <w:webHidden/>
              </w:rPr>
            </w:r>
            <w:r w:rsidR="00254A8D">
              <w:rPr>
                <w:noProof/>
                <w:webHidden/>
              </w:rPr>
              <w:fldChar w:fldCharType="separate"/>
            </w:r>
            <w:r w:rsidR="00254A8D">
              <w:rPr>
                <w:noProof/>
                <w:webHidden/>
              </w:rPr>
              <w:t>31</w:t>
            </w:r>
            <w:r w:rsidR="00254A8D">
              <w:rPr>
                <w:noProof/>
                <w:webHidden/>
              </w:rPr>
              <w:fldChar w:fldCharType="end"/>
            </w:r>
          </w:hyperlink>
        </w:p>
        <w:p w14:paraId="4A390EC2" w14:textId="6C528176" w:rsidR="00254A8D" w:rsidRDefault="00726209">
          <w:pPr>
            <w:pStyle w:val="TOC2"/>
            <w:tabs>
              <w:tab w:val="left" w:pos="960"/>
              <w:tab w:val="right" w:leader="dot" w:pos="9350"/>
            </w:tabs>
            <w:rPr>
              <w:rFonts w:asciiTheme="minorHAnsi" w:hAnsiTheme="minorHAnsi"/>
              <w:noProof/>
              <w:sz w:val="24"/>
              <w:szCs w:val="24"/>
              <w:lang w:eastAsia="en-US"/>
            </w:rPr>
          </w:pPr>
          <w:hyperlink w:anchor="_Toc18619528" w:history="1">
            <w:r w:rsidR="00254A8D" w:rsidRPr="00DF7AD3">
              <w:rPr>
                <w:rStyle w:val="Hyperlink"/>
                <w:noProof/>
              </w:rPr>
              <w:t>3.2</w:t>
            </w:r>
            <w:r w:rsidR="00254A8D">
              <w:rPr>
                <w:rFonts w:asciiTheme="minorHAnsi" w:hAnsiTheme="minorHAnsi"/>
                <w:noProof/>
                <w:sz w:val="24"/>
                <w:szCs w:val="24"/>
                <w:lang w:eastAsia="en-US"/>
              </w:rPr>
              <w:tab/>
            </w:r>
            <w:r w:rsidR="00254A8D" w:rsidRPr="00DF7AD3">
              <w:rPr>
                <w:rStyle w:val="Hyperlink"/>
                <w:noProof/>
              </w:rPr>
              <w:t>Climate Impacts</w:t>
            </w:r>
            <w:r w:rsidR="00254A8D">
              <w:rPr>
                <w:noProof/>
                <w:webHidden/>
              </w:rPr>
              <w:tab/>
            </w:r>
            <w:r w:rsidR="00254A8D">
              <w:rPr>
                <w:noProof/>
                <w:webHidden/>
              </w:rPr>
              <w:fldChar w:fldCharType="begin"/>
            </w:r>
            <w:r w:rsidR="00254A8D">
              <w:rPr>
                <w:noProof/>
                <w:webHidden/>
              </w:rPr>
              <w:instrText xml:space="preserve"> PAGEREF _Toc18619528 \h </w:instrText>
            </w:r>
            <w:r w:rsidR="00254A8D">
              <w:rPr>
                <w:noProof/>
                <w:webHidden/>
              </w:rPr>
            </w:r>
            <w:r w:rsidR="00254A8D">
              <w:rPr>
                <w:noProof/>
                <w:webHidden/>
              </w:rPr>
              <w:fldChar w:fldCharType="separate"/>
            </w:r>
            <w:r w:rsidR="00254A8D">
              <w:rPr>
                <w:noProof/>
                <w:webHidden/>
              </w:rPr>
              <w:t>32</w:t>
            </w:r>
            <w:r w:rsidR="00254A8D">
              <w:rPr>
                <w:noProof/>
                <w:webHidden/>
              </w:rPr>
              <w:fldChar w:fldCharType="end"/>
            </w:r>
          </w:hyperlink>
        </w:p>
        <w:p w14:paraId="09F7FA87" w14:textId="1E277D0A" w:rsidR="00254A8D" w:rsidRDefault="00726209">
          <w:pPr>
            <w:pStyle w:val="TOC2"/>
            <w:tabs>
              <w:tab w:val="left" w:pos="960"/>
              <w:tab w:val="right" w:leader="dot" w:pos="9350"/>
            </w:tabs>
            <w:rPr>
              <w:rFonts w:asciiTheme="minorHAnsi" w:hAnsiTheme="minorHAnsi"/>
              <w:noProof/>
              <w:sz w:val="24"/>
              <w:szCs w:val="24"/>
              <w:lang w:eastAsia="en-US"/>
            </w:rPr>
          </w:pPr>
          <w:hyperlink w:anchor="_Toc18619529" w:history="1">
            <w:r w:rsidR="00254A8D" w:rsidRPr="00DF7AD3">
              <w:rPr>
                <w:rStyle w:val="Hyperlink"/>
                <w:noProof/>
              </w:rPr>
              <w:t>3.3</w:t>
            </w:r>
            <w:r w:rsidR="00254A8D">
              <w:rPr>
                <w:rFonts w:asciiTheme="minorHAnsi" w:hAnsiTheme="minorHAnsi"/>
                <w:noProof/>
                <w:sz w:val="24"/>
                <w:szCs w:val="24"/>
                <w:lang w:eastAsia="en-US"/>
              </w:rPr>
              <w:tab/>
            </w:r>
            <w:r w:rsidR="00254A8D" w:rsidRPr="00DF7AD3">
              <w:rPr>
                <w:rStyle w:val="Hyperlink"/>
                <w:noProof/>
              </w:rPr>
              <w:t>Financial Impacts</w:t>
            </w:r>
            <w:r w:rsidR="00254A8D">
              <w:rPr>
                <w:noProof/>
                <w:webHidden/>
              </w:rPr>
              <w:tab/>
            </w:r>
            <w:r w:rsidR="00254A8D">
              <w:rPr>
                <w:noProof/>
                <w:webHidden/>
              </w:rPr>
              <w:fldChar w:fldCharType="begin"/>
            </w:r>
            <w:r w:rsidR="00254A8D">
              <w:rPr>
                <w:noProof/>
                <w:webHidden/>
              </w:rPr>
              <w:instrText xml:space="preserve"> PAGEREF _Toc18619529 \h </w:instrText>
            </w:r>
            <w:r w:rsidR="00254A8D">
              <w:rPr>
                <w:noProof/>
                <w:webHidden/>
              </w:rPr>
            </w:r>
            <w:r w:rsidR="00254A8D">
              <w:rPr>
                <w:noProof/>
                <w:webHidden/>
              </w:rPr>
              <w:fldChar w:fldCharType="separate"/>
            </w:r>
            <w:r w:rsidR="00254A8D">
              <w:rPr>
                <w:noProof/>
                <w:webHidden/>
              </w:rPr>
              <w:t>34</w:t>
            </w:r>
            <w:r w:rsidR="00254A8D">
              <w:rPr>
                <w:noProof/>
                <w:webHidden/>
              </w:rPr>
              <w:fldChar w:fldCharType="end"/>
            </w:r>
          </w:hyperlink>
        </w:p>
        <w:p w14:paraId="0952BC8D" w14:textId="266D23A8" w:rsidR="00254A8D" w:rsidRDefault="00726209">
          <w:pPr>
            <w:pStyle w:val="TOC1"/>
            <w:tabs>
              <w:tab w:val="left" w:pos="440"/>
              <w:tab w:val="right" w:leader="dot" w:pos="9350"/>
            </w:tabs>
            <w:rPr>
              <w:rFonts w:asciiTheme="minorHAnsi" w:hAnsiTheme="minorHAnsi"/>
              <w:noProof/>
              <w:sz w:val="24"/>
              <w:szCs w:val="24"/>
              <w:lang w:eastAsia="en-US"/>
            </w:rPr>
          </w:pPr>
          <w:hyperlink w:anchor="_Toc18619530" w:history="1">
            <w:r w:rsidR="00254A8D" w:rsidRPr="00DF7AD3">
              <w:rPr>
                <w:rStyle w:val="Hyperlink"/>
                <w:noProof/>
              </w:rPr>
              <w:t>4</w:t>
            </w:r>
            <w:r w:rsidR="00254A8D">
              <w:rPr>
                <w:rFonts w:asciiTheme="minorHAnsi" w:hAnsiTheme="minorHAnsi"/>
                <w:noProof/>
                <w:sz w:val="24"/>
                <w:szCs w:val="24"/>
                <w:lang w:eastAsia="en-US"/>
              </w:rPr>
              <w:tab/>
            </w:r>
            <w:r w:rsidR="00254A8D" w:rsidRPr="00DF7AD3">
              <w:rPr>
                <w:rStyle w:val="Hyperlink"/>
                <w:noProof/>
              </w:rPr>
              <w:t>Discussion</w:t>
            </w:r>
            <w:r w:rsidR="00254A8D">
              <w:rPr>
                <w:noProof/>
                <w:webHidden/>
              </w:rPr>
              <w:tab/>
            </w:r>
            <w:r w:rsidR="00254A8D">
              <w:rPr>
                <w:noProof/>
                <w:webHidden/>
              </w:rPr>
              <w:fldChar w:fldCharType="begin"/>
            </w:r>
            <w:r w:rsidR="00254A8D">
              <w:rPr>
                <w:noProof/>
                <w:webHidden/>
              </w:rPr>
              <w:instrText xml:space="preserve"> PAGEREF _Toc18619530 \h </w:instrText>
            </w:r>
            <w:r w:rsidR="00254A8D">
              <w:rPr>
                <w:noProof/>
                <w:webHidden/>
              </w:rPr>
            </w:r>
            <w:r w:rsidR="00254A8D">
              <w:rPr>
                <w:noProof/>
                <w:webHidden/>
              </w:rPr>
              <w:fldChar w:fldCharType="separate"/>
            </w:r>
            <w:r w:rsidR="00254A8D">
              <w:rPr>
                <w:noProof/>
                <w:webHidden/>
              </w:rPr>
              <w:t>36</w:t>
            </w:r>
            <w:r w:rsidR="00254A8D">
              <w:rPr>
                <w:noProof/>
                <w:webHidden/>
              </w:rPr>
              <w:fldChar w:fldCharType="end"/>
            </w:r>
          </w:hyperlink>
        </w:p>
        <w:p w14:paraId="461826D8" w14:textId="037BF2A4" w:rsidR="00254A8D" w:rsidRDefault="00726209">
          <w:pPr>
            <w:pStyle w:val="TOC2"/>
            <w:tabs>
              <w:tab w:val="left" w:pos="960"/>
              <w:tab w:val="right" w:leader="dot" w:pos="9350"/>
            </w:tabs>
            <w:rPr>
              <w:rFonts w:asciiTheme="minorHAnsi" w:hAnsiTheme="minorHAnsi"/>
              <w:noProof/>
              <w:sz w:val="24"/>
              <w:szCs w:val="24"/>
              <w:lang w:eastAsia="en-US"/>
            </w:rPr>
          </w:pPr>
          <w:hyperlink w:anchor="_Toc18619531" w:history="1">
            <w:r w:rsidR="00254A8D" w:rsidRPr="00DF7AD3">
              <w:rPr>
                <w:rStyle w:val="Hyperlink"/>
                <w:noProof/>
              </w:rPr>
              <w:t>4.1</w:t>
            </w:r>
            <w:r w:rsidR="00254A8D">
              <w:rPr>
                <w:rFonts w:asciiTheme="minorHAnsi" w:hAnsiTheme="minorHAnsi"/>
                <w:noProof/>
                <w:sz w:val="24"/>
                <w:szCs w:val="24"/>
                <w:lang w:eastAsia="en-US"/>
              </w:rPr>
              <w:tab/>
            </w:r>
            <w:r w:rsidR="00254A8D" w:rsidRPr="00DF7AD3">
              <w:rPr>
                <w:rStyle w:val="Hyperlink"/>
                <w:noProof/>
              </w:rPr>
              <w:t>Limitations</w:t>
            </w:r>
            <w:r w:rsidR="00254A8D">
              <w:rPr>
                <w:noProof/>
                <w:webHidden/>
              </w:rPr>
              <w:tab/>
            </w:r>
            <w:r w:rsidR="00254A8D">
              <w:rPr>
                <w:noProof/>
                <w:webHidden/>
              </w:rPr>
              <w:fldChar w:fldCharType="begin"/>
            </w:r>
            <w:r w:rsidR="00254A8D">
              <w:rPr>
                <w:noProof/>
                <w:webHidden/>
              </w:rPr>
              <w:instrText xml:space="preserve"> PAGEREF _Toc18619531 \h </w:instrText>
            </w:r>
            <w:r w:rsidR="00254A8D">
              <w:rPr>
                <w:noProof/>
                <w:webHidden/>
              </w:rPr>
            </w:r>
            <w:r w:rsidR="00254A8D">
              <w:rPr>
                <w:noProof/>
                <w:webHidden/>
              </w:rPr>
              <w:fldChar w:fldCharType="separate"/>
            </w:r>
            <w:r w:rsidR="00254A8D">
              <w:rPr>
                <w:noProof/>
                <w:webHidden/>
              </w:rPr>
              <w:t>36</w:t>
            </w:r>
            <w:r w:rsidR="00254A8D">
              <w:rPr>
                <w:noProof/>
                <w:webHidden/>
              </w:rPr>
              <w:fldChar w:fldCharType="end"/>
            </w:r>
          </w:hyperlink>
        </w:p>
        <w:p w14:paraId="2796FA19" w14:textId="6CB4827E" w:rsidR="00254A8D" w:rsidRDefault="00726209">
          <w:pPr>
            <w:pStyle w:val="TOC2"/>
            <w:tabs>
              <w:tab w:val="left" w:pos="960"/>
              <w:tab w:val="right" w:leader="dot" w:pos="9350"/>
            </w:tabs>
            <w:rPr>
              <w:rFonts w:asciiTheme="minorHAnsi" w:hAnsiTheme="minorHAnsi"/>
              <w:noProof/>
              <w:sz w:val="24"/>
              <w:szCs w:val="24"/>
              <w:lang w:eastAsia="en-US"/>
            </w:rPr>
          </w:pPr>
          <w:hyperlink w:anchor="_Toc18619532" w:history="1">
            <w:r w:rsidR="00254A8D" w:rsidRPr="00DF7AD3">
              <w:rPr>
                <w:rStyle w:val="Hyperlink"/>
                <w:noProof/>
              </w:rPr>
              <w:t>4.2</w:t>
            </w:r>
            <w:r w:rsidR="00254A8D">
              <w:rPr>
                <w:rFonts w:asciiTheme="minorHAnsi" w:hAnsiTheme="minorHAnsi"/>
                <w:noProof/>
                <w:sz w:val="24"/>
                <w:szCs w:val="24"/>
                <w:lang w:eastAsia="en-US"/>
              </w:rPr>
              <w:tab/>
            </w:r>
            <w:r w:rsidR="00254A8D" w:rsidRPr="00DF7AD3">
              <w:rPr>
                <w:rStyle w:val="Hyperlink"/>
                <w:noProof/>
              </w:rPr>
              <w:t>Benchmarks</w:t>
            </w:r>
            <w:r w:rsidR="00254A8D">
              <w:rPr>
                <w:noProof/>
                <w:webHidden/>
              </w:rPr>
              <w:tab/>
            </w:r>
            <w:r w:rsidR="00254A8D">
              <w:rPr>
                <w:noProof/>
                <w:webHidden/>
              </w:rPr>
              <w:fldChar w:fldCharType="begin"/>
            </w:r>
            <w:r w:rsidR="00254A8D">
              <w:rPr>
                <w:noProof/>
                <w:webHidden/>
              </w:rPr>
              <w:instrText xml:space="preserve"> PAGEREF _Toc18619532 \h </w:instrText>
            </w:r>
            <w:r w:rsidR="00254A8D">
              <w:rPr>
                <w:noProof/>
                <w:webHidden/>
              </w:rPr>
            </w:r>
            <w:r w:rsidR="00254A8D">
              <w:rPr>
                <w:noProof/>
                <w:webHidden/>
              </w:rPr>
              <w:fldChar w:fldCharType="separate"/>
            </w:r>
            <w:r w:rsidR="00254A8D">
              <w:rPr>
                <w:noProof/>
                <w:webHidden/>
              </w:rPr>
              <w:t>37</w:t>
            </w:r>
            <w:r w:rsidR="00254A8D">
              <w:rPr>
                <w:noProof/>
                <w:webHidden/>
              </w:rPr>
              <w:fldChar w:fldCharType="end"/>
            </w:r>
          </w:hyperlink>
        </w:p>
        <w:p w14:paraId="66054B73" w14:textId="3E760816" w:rsidR="00254A8D" w:rsidRDefault="00726209">
          <w:pPr>
            <w:pStyle w:val="TOC1"/>
            <w:tabs>
              <w:tab w:val="left" w:pos="440"/>
              <w:tab w:val="right" w:leader="dot" w:pos="9350"/>
            </w:tabs>
            <w:rPr>
              <w:rFonts w:asciiTheme="minorHAnsi" w:hAnsiTheme="minorHAnsi"/>
              <w:noProof/>
              <w:sz w:val="24"/>
              <w:szCs w:val="24"/>
              <w:lang w:eastAsia="en-US"/>
            </w:rPr>
          </w:pPr>
          <w:hyperlink w:anchor="_Toc18619533" w:history="1">
            <w:r w:rsidR="00254A8D" w:rsidRPr="00DF7AD3">
              <w:rPr>
                <w:rStyle w:val="Hyperlink"/>
                <w:noProof/>
              </w:rPr>
              <w:t>5</w:t>
            </w:r>
            <w:r w:rsidR="00254A8D">
              <w:rPr>
                <w:rFonts w:asciiTheme="minorHAnsi" w:hAnsiTheme="minorHAnsi"/>
                <w:noProof/>
                <w:sz w:val="24"/>
                <w:szCs w:val="24"/>
                <w:lang w:eastAsia="en-US"/>
              </w:rPr>
              <w:tab/>
            </w:r>
            <w:r w:rsidR="00254A8D" w:rsidRPr="00DF7AD3">
              <w:rPr>
                <w:rStyle w:val="Hyperlink"/>
                <w:noProof/>
              </w:rPr>
              <w:t>References</w:t>
            </w:r>
            <w:r w:rsidR="00254A8D">
              <w:rPr>
                <w:noProof/>
                <w:webHidden/>
              </w:rPr>
              <w:tab/>
            </w:r>
            <w:r w:rsidR="00254A8D">
              <w:rPr>
                <w:noProof/>
                <w:webHidden/>
              </w:rPr>
              <w:fldChar w:fldCharType="begin"/>
            </w:r>
            <w:r w:rsidR="00254A8D">
              <w:rPr>
                <w:noProof/>
                <w:webHidden/>
              </w:rPr>
              <w:instrText xml:space="preserve"> PAGEREF _Toc18619533 \h </w:instrText>
            </w:r>
            <w:r w:rsidR="00254A8D">
              <w:rPr>
                <w:noProof/>
                <w:webHidden/>
              </w:rPr>
            </w:r>
            <w:r w:rsidR="00254A8D">
              <w:rPr>
                <w:noProof/>
                <w:webHidden/>
              </w:rPr>
              <w:fldChar w:fldCharType="separate"/>
            </w:r>
            <w:r w:rsidR="00254A8D">
              <w:rPr>
                <w:noProof/>
                <w:webHidden/>
              </w:rPr>
              <w:t>39</w:t>
            </w:r>
            <w:r w:rsidR="00254A8D">
              <w:rPr>
                <w:noProof/>
                <w:webHidden/>
              </w:rPr>
              <w:fldChar w:fldCharType="end"/>
            </w:r>
          </w:hyperlink>
        </w:p>
        <w:p w14:paraId="742C67B8" w14:textId="68C799E5" w:rsidR="00254A8D" w:rsidRDefault="00726209">
          <w:pPr>
            <w:pStyle w:val="TOC1"/>
            <w:tabs>
              <w:tab w:val="left" w:pos="440"/>
              <w:tab w:val="right" w:leader="dot" w:pos="9350"/>
            </w:tabs>
            <w:rPr>
              <w:rFonts w:asciiTheme="minorHAnsi" w:hAnsiTheme="minorHAnsi"/>
              <w:noProof/>
              <w:sz w:val="24"/>
              <w:szCs w:val="24"/>
              <w:lang w:eastAsia="en-US"/>
            </w:rPr>
          </w:pPr>
          <w:hyperlink w:anchor="_Toc18619534" w:history="1">
            <w:r w:rsidR="00254A8D" w:rsidRPr="00DF7AD3">
              <w:rPr>
                <w:rStyle w:val="Hyperlink"/>
                <w:noProof/>
              </w:rPr>
              <w:t>6</w:t>
            </w:r>
            <w:r w:rsidR="00254A8D">
              <w:rPr>
                <w:rFonts w:asciiTheme="minorHAnsi" w:hAnsiTheme="minorHAnsi"/>
                <w:noProof/>
                <w:sz w:val="24"/>
                <w:szCs w:val="24"/>
                <w:lang w:eastAsia="en-US"/>
              </w:rPr>
              <w:tab/>
            </w:r>
            <w:r w:rsidR="00254A8D" w:rsidRPr="00DF7AD3">
              <w:rPr>
                <w:rStyle w:val="Hyperlink"/>
                <w:noProof/>
              </w:rPr>
              <w:t>Glossary</w:t>
            </w:r>
            <w:r w:rsidR="00254A8D">
              <w:rPr>
                <w:noProof/>
                <w:webHidden/>
              </w:rPr>
              <w:tab/>
            </w:r>
            <w:r w:rsidR="00254A8D">
              <w:rPr>
                <w:noProof/>
                <w:webHidden/>
              </w:rPr>
              <w:fldChar w:fldCharType="begin"/>
            </w:r>
            <w:r w:rsidR="00254A8D">
              <w:rPr>
                <w:noProof/>
                <w:webHidden/>
              </w:rPr>
              <w:instrText xml:space="preserve"> PAGEREF _Toc18619534 \h </w:instrText>
            </w:r>
            <w:r w:rsidR="00254A8D">
              <w:rPr>
                <w:noProof/>
                <w:webHidden/>
              </w:rPr>
            </w:r>
            <w:r w:rsidR="00254A8D">
              <w:rPr>
                <w:noProof/>
                <w:webHidden/>
              </w:rPr>
              <w:fldChar w:fldCharType="separate"/>
            </w:r>
            <w:r w:rsidR="00254A8D">
              <w:rPr>
                <w:noProof/>
                <w:webHidden/>
              </w:rPr>
              <w:t>49</w:t>
            </w:r>
            <w:r w:rsidR="00254A8D">
              <w:rPr>
                <w:noProof/>
                <w:webHidden/>
              </w:rPr>
              <w:fldChar w:fldCharType="end"/>
            </w:r>
          </w:hyperlink>
        </w:p>
        <w:p w14:paraId="12C7DAF6" w14:textId="6FACC591" w:rsidR="00640665" w:rsidRPr="00E069AC" w:rsidRDefault="00640665" w:rsidP="00EB247F">
          <w:pPr>
            <w:spacing w:after="0"/>
          </w:pPr>
          <w:r w:rsidRPr="00E069AC">
            <w:rPr>
              <w:b/>
              <w:bCs/>
              <w:noProof/>
            </w:rPr>
            <w:fldChar w:fldCharType="end"/>
          </w:r>
        </w:p>
      </w:sdtContent>
    </w:sdt>
    <w:p w14:paraId="1827C10C" w14:textId="3B09BCA5" w:rsidR="00F15AEE" w:rsidRPr="00E069AC" w:rsidRDefault="00F15AEE" w:rsidP="00EB247F">
      <w:pPr>
        <w:spacing w:after="0"/>
      </w:pPr>
      <w:r w:rsidRPr="00E069AC">
        <w:br w:type="page"/>
      </w:r>
    </w:p>
    <w:p w14:paraId="325B3971" w14:textId="4DF0A92F" w:rsidR="2D56E7D4" w:rsidRPr="00E069AC" w:rsidRDefault="00C23CAC" w:rsidP="00912CC8">
      <w:pPr>
        <w:pStyle w:val="Heading1"/>
        <w:numPr>
          <w:ilvl w:val="0"/>
          <w:numId w:val="0"/>
        </w:numPr>
        <w:rPr>
          <w:noProof/>
        </w:rPr>
      </w:pPr>
      <w:bookmarkStart w:id="0" w:name="_Toc18619497"/>
      <w:r w:rsidRPr="00E069AC">
        <w:rPr>
          <w:noProof/>
        </w:rPr>
        <w:lastRenderedPageBreak/>
        <w:t xml:space="preserve">List of </w:t>
      </w:r>
      <w:r w:rsidR="2D56E7D4" w:rsidRPr="00E069AC">
        <w:rPr>
          <w:noProof/>
        </w:rPr>
        <w:t>Figures</w:t>
      </w:r>
      <w:bookmarkEnd w:id="0"/>
    </w:p>
    <w:p w14:paraId="36D11E84" w14:textId="02AED5A7" w:rsidR="005A0949" w:rsidRDefault="00F15AEE" w:rsidP="005A0949">
      <w:pPr>
        <w:pStyle w:val="TableofFigures"/>
        <w:tabs>
          <w:tab w:val="right" w:leader="dot" w:pos="9350"/>
        </w:tabs>
        <w:spacing w:after="120"/>
        <w:rPr>
          <w:rFonts w:asciiTheme="minorHAnsi" w:hAnsiTheme="minorHAnsi"/>
          <w:noProof/>
          <w:sz w:val="24"/>
          <w:szCs w:val="24"/>
          <w:lang w:eastAsia="en-US"/>
        </w:rPr>
      </w:pPr>
      <w:r w:rsidRPr="00E069AC">
        <w:fldChar w:fldCharType="begin"/>
      </w:r>
      <w:r w:rsidRPr="00E069AC">
        <w:instrText xml:space="preserve"> TOC \h \z \c "Figure" </w:instrText>
      </w:r>
      <w:r w:rsidRPr="00E069AC">
        <w:fldChar w:fldCharType="separate"/>
      </w:r>
      <w:hyperlink w:anchor="_Toc23609245" w:history="1">
        <w:r w:rsidR="005A0949" w:rsidRPr="009B0470">
          <w:rPr>
            <w:rStyle w:val="Hyperlink"/>
            <w:noProof/>
          </w:rPr>
          <w:t>Figure 1.1 – Offshore wind capacity adoption projections in 2DS and B2DS scenarios (Adopted from IEA ETP, 2017)</w:t>
        </w:r>
        <w:r w:rsidR="005A0949">
          <w:rPr>
            <w:noProof/>
            <w:webHidden/>
          </w:rPr>
          <w:tab/>
        </w:r>
        <w:r w:rsidR="005A0949">
          <w:rPr>
            <w:noProof/>
            <w:webHidden/>
          </w:rPr>
          <w:fldChar w:fldCharType="begin"/>
        </w:r>
        <w:r w:rsidR="005A0949">
          <w:rPr>
            <w:noProof/>
            <w:webHidden/>
          </w:rPr>
          <w:instrText xml:space="preserve"> PAGEREF _Toc23609245 \h </w:instrText>
        </w:r>
        <w:r w:rsidR="005A0949">
          <w:rPr>
            <w:noProof/>
            <w:webHidden/>
          </w:rPr>
        </w:r>
        <w:r w:rsidR="005A0949">
          <w:rPr>
            <w:noProof/>
            <w:webHidden/>
          </w:rPr>
          <w:fldChar w:fldCharType="separate"/>
        </w:r>
        <w:r w:rsidR="005A0949">
          <w:rPr>
            <w:noProof/>
            <w:webHidden/>
          </w:rPr>
          <w:t>13</w:t>
        </w:r>
        <w:r w:rsidR="005A0949">
          <w:rPr>
            <w:noProof/>
            <w:webHidden/>
          </w:rPr>
          <w:fldChar w:fldCharType="end"/>
        </w:r>
      </w:hyperlink>
    </w:p>
    <w:p w14:paraId="0F8C7DE8" w14:textId="588F0B2F" w:rsidR="005A0949" w:rsidRDefault="00726209" w:rsidP="005A0949">
      <w:pPr>
        <w:pStyle w:val="TableofFigures"/>
        <w:tabs>
          <w:tab w:val="right" w:leader="dot" w:pos="9350"/>
        </w:tabs>
        <w:spacing w:after="120"/>
        <w:rPr>
          <w:rFonts w:asciiTheme="minorHAnsi" w:hAnsiTheme="minorHAnsi"/>
          <w:noProof/>
          <w:sz w:val="24"/>
          <w:szCs w:val="24"/>
          <w:lang w:eastAsia="en-US"/>
        </w:rPr>
      </w:pPr>
      <w:hyperlink w:anchor="_Toc23609246" w:history="1">
        <w:r w:rsidR="005A0949" w:rsidRPr="009B0470">
          <w:rPr>
            <w:rStyle w:val="Hyperlink"/>
            <w:noProof/>
          </w:rPr>
          <w:t>Figure 1.2 – Offshore wind electricity generation projections in 2DS and B2DS scenarios (Adopted from IEA ETP, 2017)</w:t>
        </w:r>
        <w:r w:rsidR="005A0949">
          <w:rPr>
            <w:noProof/>
            <w:webHidden/>
          </w:rPr>
          <w:tab/>
        </w:r>
        <w:r w:rsidR="005A0949">
          <w:rPr>
            <w:noProof/>
            <w:webHidden/>
          </w:rPr>
          <w:fldChar w:fldCharType="begin"/>
        </w:r>
        <w:r w:rsidR="005A0949">
          <w:rPr>
            <w:noProof/>
            <w:webHidden/>
          </w:rPr>
          <w:instrText xml:space="preserve"> PAGEREF _Toc23609246 \h </w:instrText>
        </w:r>
        <w:r w:rsidR="005A0949">
          <w:rPr>
            <w:noProof/>
            <w:webHidden/>
          </w:rPr>
        </w:r>
        <w:r w:rsidR="005A0949">
          <w:rPr>
            <w:noProof/>
            <w:webHidden/>
          </w:rPr>
          <w:fldChar w:fldCharType="separate"/>
        </w:r>
        <w:r w:rsidR="005A0949">
          <w:rPr>
            <w:noProof/>
            <w:webHidden/>
          </w:rPr>
          <w:t>13</w:t>
        </w:r>
        <w:r w:rsidR="005A0949">
          <w:rPr>
            <w:noProof/>
            <w:webHidden/>
          </w:rPr>
          <w:fldChar w:fldCharType="end"/>
        </w:r>
      </w:hyperlink>
    </w:p>
    <w:p w14:paraId="1BC6D97E" w14:textId="18FAEAEB" w:rsidR="005A0949" w:rsidRDefault="00726209" w:rsidP="005A0949">
      <w:pPr>
        <w:pStyle w:val="TableofFigures"/>
        <w:tabs>
          <w:tab w:val="right" w:leader="dot" w:pos="9350"/>
        </w:tabs>
        <w:spacing w:after="120"/>
        <w:rPr>
          <w:rFonts w:asciiTheme="minorHAnsi" w:hAnsiTheme="minorHAnsi"/>
          <w:noProof/>
          <w:sz w:val="24"/>
          <w:szCs w:val="24"/>
          <w:lang w:eastAsia="en-US"/>
        </w:rPr>
      </w:pPr>
      <w:hyperlink w:anchor="_Toc23609247" w:history="1">
        <w:r w:rsidR="005A0949" w:rsidRPr="009B0470">
          <w:rPr>
            <w:rStyle w:val="Hyperlink"/>
            <w:noProof/>
          </w:rPr>
          <w:t>Figure 1.3 – Wind Power capacity long term market projections until 2030 (Adapted from Greenpeace, 2015)</w:t>
        </w:r>
        <w:r w:rsidR="005A0949">
          <w:rPr>
            <w:noProof/>
            <w:webHidden/>
          </w:rPr>
          <w:tab/>
        </w:r>
        <w:r w:rsidR="005A0949">
          <w:rPr>
            <w:noProof/>
            <w:webHidden/>
          </w:rPr>
          <w:fldChar w:fldCharType="begin"/>
        </w:r>
        <w:r w:rsidR="005A0949">
          <w:rPr>
            <w:noProof/>
            <w:webHidden/>
          </w:rPr>
          <w:instrText xml:space="preserve"> PAGEREF _Toc23609247 \h </w:instrText>
        </w:r>
        <w:r w:rsidR="005A0949">
          <w:rPr>
            <w:noProof/>
            <w:webHidden/>
          </w:rPr>
        </w:r>
        <w:r w:rsidR="005A0949">
          <w:rPr>
            <w:noProof/>
            <w:webHidden/>
          </w:rPr>
          <w:fldChar w:fldCharType="separate"/>
        </w:r>
        <w:r w:rsidR="005A0949">
          <w:rPr>
            <w:noProof/>
            <w:webHidden/>
          </w:rPr>
          <w:t>15</w:t>
        </w:r>
        <w:r w:rsidR="005A0949">
          <w:rPr>
            <w:noProof/>
            <w:webHidden/>
          </w:rPr>
          <w:fldChar w:fldCharType="end"/>
        </w:r>
      </w:hyperlink>
    </w:p>
    <w:p w14:paraId="369270B2" w14:textId="4473395D" w:rsidR="005A0949" w:rsidRDefault="00726209" w:rsidP="005A0949">
      <w:pPr>
        <w:pStyle w:val="TableofFigures"/>
        <w:tabs>
          <w:tab w:val="right" w:leader="dot" w:pos="9350"/>
        </w:tabs>
        <w:spacing w:after="120"/>
        <w:rPr>
          <w:rFonts w:asciiTheme="minorHAnsi" w:hAnsiTheme="minorHAnsi"/>
          <w:noProof/>
          <w:sz w:val="24"/>
          <w:szCs w:val="24"/>
          <w:lang w:eastAsia="en-US"/>
        </w:rPr>
      </w:pPr>
      <w:hyperlink w:anchor="_Toc23609248" w:history="1">
        <w:r w:rsidR="005A0949" w:rsidRPr="009B0470">
          <w:rPr>
            <w:rStyle w:val="Hyperlink"/>
            <w:noProof/>
          </w:rPr>
          <w:t>Figure 3.1 World Annual Adoption 2015-2060</w:t>
        </w:r>
        <w:r w:rsidR="005A0949">
          <w:rPr>
            <w:noProof/>
            <w:webHidden/>
          </w:rPr>
          <w:tab/>
        </w:r>
        <w:r w:rsidR="005A0949">
          <w:rPr>
            <w:noProof/>
            <w:webHidden/>
          </w:rPr>
          <w:fldChar w:fldCharType="begin"/>
        </w:r>
        <w:r w:rsidR="005A0949">
          <w:rPr>
            <w:noProof/>
            <w:webHidden/>
          </w:rPr>
          <w:instrText xml:space="preserve"> PAGEREF _Toc23609248 \h </w:instrText>
        </w:r>
        <w:r w:rsidR="005A0949">
          <w:rPr>
            <w:noProof/>
            <w:webHidden/>
          </w:rPr>
        </w:r>
        <w:r w:rsidR="005A0949">
          <w:rPr>
            <w:noProof/>
            <w:webHidden/>
          </w:rPr>
          <w:fldChar w:fldCharType="separate"/>
        </w:r>
        <w:r w:rsidR="005A0949">
          <w:rPr>
            <w:noProof/>
            <w:webHidden/>
          </w:rPr>
          <w:t>32</w:t>
        </w:r>
        <w:r w:rsidR="005A0949">
          <w:rPr>
            <w:noProof/>
            <w:webHidden/>
          </w:rPr>
          <w:fldChar w:fldCharType="end"/>
        </w:r>
      </w:hyperlink>
    </w:p>
    <w:p w14:paraId="2AFA1FCD" w14:textId="0C60EA31" w:rsidR="005A0949" w:rsidRDefault="00726209" w:rsidP="005A0949">
      <w:pPr>
        <w:pStyle w:val="TableofFigures"/>
        <w:tabs>
          <w:tab w:val="right" w:leader="dot" w:pos="9350"/>
        </w:tabs>
        <w:spacing w:after="120"/>
        <w:rPr>
          <w:rFonts w:asciiTheme="minorHAnsi" w:hAnsiTheme="minorHAnsi"/>
          <w:noProof/>
          <w:sz w:val="24"/>
          <w:szCs w:val="24"/>
          <w:lang w:eastAsia="en-US"/>
        </w:rPr>
      </w:pPr>
      <w:hyperlink w:anchor="_Toc23609249" w:history="1">
        <w:r w:rsidR="005A0949" w:rsidRPr="009B0470">
          <w:rPr>
            <w:rStyle w:val="Hyperlink"/>
            <w:noProof/>
          </w:rPr>
          <w:t>Figure 3.2 World Annual</w:t>
        </w:r>
        <w:r w:rsidR="005A0949" w:rsidRPr="009B0470">
          <w:rPr>
            <w:rStyle w:val="Hyperlink"/>
            <w:noProof/>
            <w:vertAlign w:val="subscript"/>
          </w:rPr>
          <w:t xml:space="preserve"> </w:t>
        </w:r>
        <w:r w:rsidR="005A0949" w:rsidRPr="009B0470">
          <w:rPr>
            <w:rStyle w:val="Hyperlink"/>
            <w:noProof/>
          </w:rPr>
          <w:t>Greenhouse Gas Emissions Reduction (2015-2060)</w:t>
        </w:r>
        <w:r w:rsidR="005A0949">
          <w:rPr>
            <w:noProof/>
            <w:webHidden/>
          </w:rPr>
          <w:tab/>
        </w:r>
        <w:r w:rsidR="005A0949">
          <w:rPr>
            <w:noProof/>
            <w:webHidden/>
          </w:rPr>
          <w:fldChar w:fldCharType="begin"/>
        </w:r>
        <w:r w:rsidR="005A0949">
          <w:rPr>
            <w:noProof/>
            <w:webHidden/>
          </w:rPr>
          <w:instrText xml:space="preserve"> PAGEREF _Toc23609249 \h </w:instrText>
        </w:r>
        <w:r w:rsidR="005A0949">
          <w:rPr>
            <w:noProof/>
            <w:webHidden/>
          </w:rPr>
        </w:r>
        <w:r w:rsidR="005A0949">
          <w:rPr>
            <w:noProof/>
            <w:webHidden/>
          </w:rPr>
          <w:fldChar w:fldCharType="separate"/>
        </w:r>
        <w:r w:rsidR="005A0949">
          <w:rPr>
            <w:noProof/>
            <w:webHidden/>
          </w:rPr>
          <w:t>34</w:t>
        </w:r>
        <w:r w:rsidR="005A0949">
          <w:rPr>
            <w:noProof/>
            <w:webHidden/>
          </w:rPr>
          <w:fldChar w:fldCharType="end"/>
        </w:r>
      </w:hyperlink>
    </w:p>
    <w:p w14:paraId="5AD133BD" w14:textId="4C676D18" w:rsidR="00640665" w:rsidRPr="00E069AC" w:rsidRDefault="00F15AEE" w:rsidP="005A0949">
      <w:r w:rsidRPr="00E069AC">
        <w:fldChar w:fldCharType="end"/>
      </w:r>
    </w:p>
    <w:p w14:paraId="6055DED9" w14:textId="24973E3A" w:rsidR="006A4A08" w:rsidRPr="00E069AC" w:rsidRDefault="00C23CAC" w:rsidP="00912CC8">
      <w:pPr>
        <w:pStyle w:val="Heading1"/>
        <w:numPr>
          <w:ilvl w:val="0"/>
          <w:numId w:val="0"/>
        </w:numPr>
      </w:pPr>
      <w:bookmarkStart w:id="1" w:name="_Toc18619498"/>
      <w:r w:rsidRPr="00E069AC">
        <w:t xml:space="preserve">List of </w:t>
      </w:r>
      <w:r w:rsidR="2D56E7D4" w:rsidRPr="00E069AC">
        <w:t>Tables</w:t>
      </w:r>
      <w:bookmarkEnd w:id="1"/>
    </w:p>
    <w:p w14:paraId="7BB015D1" w14:textId="1F6E975C" w:rsidR="00A94106" w:rsidRDefault="006A4A08" w:rsidP="005A0949">
      <w:pPr>
        <w:pStyle w:val="TableofFigures"/>
        <w:tabs>
          <w:tab w:val="right" w:leader="dot" w:pos="9350"/>
        </w:tabs>
        <w:spacing w:after="120"/>
        <w:rPr>
          <w:rFonts w:asciiTheme="minorHAnsi" w:hAnsiTheme="minorHAnsi"/>
          <w:noProof/>
          <w:sz w:val="24"/>
          <w:szCs w:val="24"/>
          <w:lang w:eastAsia="en-US"/>
        </w:rPr>
      </w:pPr>
      <w:r w:rsidRPr="00E069AC">
        <w:fldChar w:fldCharType="begin"/>
      </w:r>
      <w:r w:rsidRPr="00E069AC">
        <w:instrText xml:space="preserve"> TOC \h \z \c "Table" </w:instrText>
      </w:r>
      <w:r w:rsidRPr="00E069AC">
        <w:fldChar w:fldCharType="separate"/>
      </w:r>
      <w:hyperlink w:anchor="_Toc535272075" w:history="1">
        <w:r w:rsidR="00A94106" w:rsidRPr="00B61EA2">
          <w:rPr>
            <w:rStyle w:val="Hyperlink"/>
            <w:noProof/>
          </w:rPr>
          <w:t>Table 1.1 Wind energy solutions comparison to conventional electricity generation technologies</w:t>
        </w:r>
        <w:r w:rsidR="00A94106">
          <w:rPr>
            <w:noProof/>
            <w:webHidden/>
          </w:rPr>
          <w:tab/>
        </w:r>
        <w:r w:rsidR="00A94106">
          <w:rPr>
            <w:noProof/>
            <w:webHidden/>
          </w:rPr>
          <w:fldChar w:fldCharType="begin"/>
        </w:r>
        <w:r w:rsidR="00A94106">
          <w:rPr>
            <w:noProof/>
            <w:webHidden/>
          </w:rPr>
          <w:instrText xml:space="preserve"> PAGEREF _Toc535272075 \h </w:instrText>
        </w:r>
        <w:r w:rsidR="00A94106">
          <w:rPr>
            <w:noProof/>
            <w:webHidden/>
          </w:rPr>
        </w:r>
        <w:r w:rsidR="00A94106">
          <w:rPr>
            <w:noProof/>
            <w:webHidden/>
          </w:rPr>
          <w:fldChar w:fldCharType="separate"/>
        </w:r>
        <w:r w:rsidR="005A0949">
          <w:rPr>
            <w:noProof/>
            <w:webHidden/>
          </w:rPr>
          <w:t>18</w:t>
        </w:r>
        <w:r w:rsidR="00A94106">
          <w:rPr>
            <w:noProof/>
            <w:webHidden/>
          </w:rPr>
          <w:fldChar w:fldCharType="end"/>
        </w:r>
      </w:hyperlink>
    </w:p>
    <w:p w14:paraId="2D41F454" w14:textId="58EEB480" w:rsidR="00A94106" w:rsidRDefault="00726209" w:rsidP="005A0949">
      <w:pPr>
        <w:pStyle w:val="TableofFigures"/>
        <w:tabs>
          <w:tab w:val="right" w:leader="dot" w:pos="9350"/>
        </w:tabs>
        <w:spacing w:after="120"/>
        <w:rPr>
          <w:rFonts w:asciiTheme="minorHAnsi" w:hAnsiTheme="minorHAnsi"/>
          <w:noProof/>
          <w:sz w:val="24"/>
          <w:szCs w:val="24"/>
          <w:lang w:eastAsia="en-US"/>
        </w:rPr>
      </w:pPr>
      <w:hyperlink w:anchor="_Toc535272076" w:history="1">
        <w:r w:rsidR="00A94106" w:rsidRPr="00B61EA2">
          <w:rPr>
            <w:rStyle w:val="Hyperlink"/>
            <w:noProof/>
          </w:rPr>
          <w:t>Table 2.1 Climate Inputs</w:t>
        </w:r>
        <w:r w:rsidR="00A94106">
          <w:rPr>
            <w:noProof/>
            <w:webHidden/>
          </w:rPr>
          <w:tab/>
        </w:r>
        <w:r w:rsidR="00A94106">
          <w:rPr>
            <w:noProof/>
            <w:webHidden/>
          </w:rPr>
          <w:fldChar w:fldCharType="begin"/>
        </w:r>
        <w:r w:rsidR="00A94106">
          <w:rPr>
            <w:noProof/>
            <w:webHidden/>
          </w:rPr>
          <w:instrText xml:space="preserve"> PAGEREF _Toc535272076 \h </w:instrText>
        </w:r>
        <w:r w:rsidR="00A94106">
          <w:rPr>
            <w:noProof/>
            <w:webHidden/>
          </w:rPr>
        </w:r>
        <w:r w:rsidR="00A94106">
          <w:rPr>
            <w:noProof/>
            <w:webHidden/>
          </w:rPr>
          <w:fldChar w:fldCharType="separate"/>
        </w:r>
        <w:r w:rsidR="005A0949">
          <w:rPr>
            <w:noProof/>
            <w:webHidden/>
          </w:rPr>
          <w:t>25</w:t>
        </w:r>
        <w:r w:rsidR="00A94106">
          <w:rPr>
            <w:noProof/>
            <w:webHidden/>
          </w:rPr>
          <w:fldChar w:fldCharType="end"/>
        </w:r>
      </w:hyperlink>
    </w:p>
    <w:p w14:paraId="564708AA" w14:textId="0FDED94D" w:rsidR="00A94106" w:rsidRDefault="00726209" w:rsidP="005A0949">
      <w:pPr>
        <w:pStyle w:val="TableofFigures"/>
        <w:tabs>
          <w:tab w:val="right" w:leader="dot" w:pos="9350"/>
        </w:tabs>
        <w:spacing w:after="120"/>
        <w:rPr>
          <w:rFonts w:asciiTheme="minorHAnsi" w:hAnsiTheme="minorHAnsi"/>
          <w:noProof/>
          <w:sz w:val="24"/>
          <w:szCs w:val="24"/>
          <w:lang w:eastAsia="en-US"/>
        </w:rPr>
      </w:pPr>
      <w:hyperlink w:anchor="_Toc535272077" w:history="1">
        <w:r w:rsidR="00A94106" w:rsidRPr="00B61EA2">
          <w:rPr>
            <w:rStyle w:val="Hyperlink"/>
            <w:noProof/>
          </w:rPr>
          <w:t>Table 2.2 Financial Inputs for Conventional Technologies</w:t>
        </w:r>
        <w:r w:rsidR="00A94106">
          <w:rPr>
            <w:noProof/>
            <w:webHidden/>
          </w:rPr>
          <w:tab/>
        </w:r>
        <w:r w:rsidR="00A94106">
          <w:rPr>
            <w:noProof/>
            <w:webHidden/>
          </w:rPr>
          <w:fldChar w:fldCharType="begin"/>
        </w:r>
        <w:r w:rsidR="00A94106">
          <w:rPr>
            <w:noProof/>
            <w:webHidden/>
          </w:rPr>
          <w:instrText xml:space="preserve"> PAGEREF _Toc535272077 \h </w:instrText>
        </w:r>
        <w:r w:rsidR="00A94106">
          <w:rPr>
            <w:noProof/>
            <w:webHidden/>
          </w:rPr>
        </w:r>
        <w:r w:rsidR="00A94106">
          <w:rPr>
            <w:noProof/>
            <w:webHidden/>
          </w:rPr>
          <w:fldChar w:fldCharType="separate"/>
        </w:r>
        <w:r w:rsidR="005A0949">
          <w:rPr>
            <w:noProof/>
            <w:webHidden/>
          </w:rPr>
          <w:t>27</w:t>
        </w:r>
        <w:r w:rsidR="00A94106">
          <w:rPr>
            <w:noProof/>
            <w:webHidden/>
          </w:rPr>
          <w:fldChar w:fldCharType="end"/>
        </w:r>
      </w:hyperlink>
    </w:p>
    <w:p w14:paraId="7E244CE7" w14:textId="6C2110D3" w:rsidR="00A94106" w:rsidRDefault="00726209" w:rsidP="005A0949">
      <w:pPr>
        <w:pStyle w:val="TableofFigures"/>
        <w:tabs>
          <w:tab w:val="right" w:leader="dot" w:pos="9350"/>
        </w:tabs>
        <w:spacing w:after="120"/>
        <w:rPr>
          <w:rFonts w:asciiTheme="minorHAnsi" w:hAnsiTheme="minorHAnsi"/>
          <w:noProof/>
          <w:sz w:val="24"/>
          <w:szCs w:val="24"/>
          <w:lang w:eastAsia="en-US"/>
        </w:rPr>
      </w:pPr>
      <w:hyperlink w:anchor="_Toc535272078" w:history="1">
        <w:r w:rsidR="00A94106" w:rsidRPr="00B61EA2">
          <w:rPr>
            <w:rStyle w:val="Hyperlink"/>
            <w:noProof/>
          </w:rPr>
          <w:t>Table 2.3 Financial Inputs for Solution</w:t>
        </w:r>
        <w:r w:rsidR="00A94106">
          <w:rPr>
            <w:noProof/>
            <w:webHidden/>
          </w:rPr>
          <w:tab/>
        </w:r>
        <w:r w:rsidR="00A94106">
          <w:rPr>
            <w:noProof/>
            <w:webHidden/>
          </w:rPr>
          <w:fldChar w:fldCharType="begin"/>
        </w:r>
        <w:r w:rsidR="00A94106">
          <w:rPr>
            <w:noProof/>
            <w:webHidden/>
          </w:rPr>
          <w:instrText xml:space="preserve"> PAGEREF _Toc535272078 \h </w:instrText>
        </w:r>
        <w:r w:rsidR="00A94106">
          <w:rPr>
            <w:noProof/>
            <w:webHidden/>
          </w:rPr>
        </w:r>
        <w:r w:rsidR="00A94106">
          <w:rPr>
            <w:noProof/>
            <w:webHidden/>
          </w:rPr>
          <w:fldChar w:fldCharType="separate"/>
        </w:r>
        <w:r w:rsidR="005A0949">
          <w:rPr>
            <w:noProof/>
            <w:webHidden/>
          </w:rPr>
          <w:t>27</w:t>
        </w:r>
        <w:r w:rsidR="00A94106">
          <w:rPr>
            <w:noProof/>
            <w:webHidden/>
          </w:rPr>
          <w:fldChar w:fldCharType="end"/>
        </w:r>
      </w:hyperlink>
    </w:p>
    <w:p w14:paraId="51A73061" w14:textId="7917ACB0" w:rsidR="00A94106" w:rsidRDefault="00726209" w:rsidP="005A0949">
      <w:pPr>
        <w:pStyle w:val="TableofFigures"/>
        <w:tabs>
          <w:tab w:val="right" w:leader="dot" w:pos="9350"/>
        </w:tabs>
        <w:spacing w:after="120"/>
        <w:rPr>
          <w:rFonts w:asciiTheme="minorHAnsi" w:hAnsiTheme="minorHAnsi"/>
          <w:noProof/>
          <w:sz w:val="24"/>
          <w:szCs w:val="24"/>
          <w:lang w:eastAsia="en-US"/>
        </w:rPr>
      </w:pPr>
      <w:hyperlink w:anchor="_Toc535272079" w:history="1">
        <w:r w:rsidR="00A94106" w:rsidRPr="00B61EA2">
          <w:rPr>
            <w:rStyle w:val="Hyperlink"/>
            <w:noProof/>
          </w:rPr>
          <w:t>Table 2.4 Technical Inputs Conventional Technologies</w:t>
        </w:r>
        <w:r w:rsidR="00A94106">
          <w:rPr>
            <w:noProof/>
            <w:webHidden/>
          </w:rPr>
          <w:tab/>
        </w:r>
        <w:r w:rsidR="00A94106">
          <w:rPr>
            <w:noProof/>
            <w:webHidden/>
          </w:rPr>
          <w:fldChar w:fldCharType="begin"/>
        </w:r>
        <w:r w:rsidR="00A94106">
          <w:rPr>
            <w:noProof/>
            <w:webHidden/>
          </w:rPr>
          <w:instrText xml:space="preserve"> PAGEREF _Toc535272079 \h </w:instrText>
        </w:r>
        <w:r w:rsidR="00A94106">
          <w:rPr>
            <w:noProof/>
            <w:webHidden/>
          </w:rPr>
        </w:r>
        <w:r w:rsidR="00A94106">
          <w:rPr>
            <w:noProof/>
            <w:webHidden/>
          </w:rPr>
          <w:fldChar w:fldCharType="separate"/>
        </w:r>
        <w:r w:rsidR="005A0949">
          <w:rPr>
            <w:noProof/>
            <w:webHidden/>
          </w:rPr>
          <w:t>28</w:t>
        </w:r>
        <w:r w:rsidR="00A94106">
          <w:rPr>
            <w:noProof/>
            <w:webHidden/>
          </w:rPr>
          <w:fldChar w:fldCharType="end"/>
        </w:r>
      </w:hyperlink>
    </w:p>
    <w:p w14:paraId="15F7D9D3" w14:textId="077B66FB" w:rsidR="00A94106" w:rsidRDefault="00726209" w:rsidP="005A0949">
      <w:pPr>
        <w:pStyle w:val="TableofFigures"/>
        <w:tabs>
          <w:tab w:val="right" w:leader="dot" w:pos="9350"/>
        </w:tabs>
        <w:spacing w:after="120"/>
        <w:rPr>
          <w:rFonts w:asciiTheme="minorHAnsi" w:hAnsiTheme="minorHAnsi"/>
          <w:noProof/>
          <w:sz w:val="24"/>
          <w:szCs w:val="24"/>
          <w:lang w:eastAsia="en-US"/>
        </w:rPr>
      </w:pPr>
      <w:hyperlink w:anchor="_Toc535272080" w:history="1">
        <w:r w:rsidR="00A94106" w:rsidRPr="00B61EA2">
          <w:rPr>
            <w:rStyle w:val="Hyperlink"/>
            <w:noProof/>
          </w:rPr>
          <w:t>Table 2.5 Technical Inputs Solution</w:t>
        </w:r>
        <w:r w:rsidR="00A94106">
          <w:rPr>
            <w:noProof/>
            <w:webHidden/>
          </w:rPr>
          <w:tab/>
        </w:r>
        <w:r w:rsidR="00A94106">
          <w:rPr>
            <w:noProof/>
            <w:webHidden/>
          </w:rPr>
          <w:fldChar w:fldCharType="begin"/>
        </w:r>
        <w:r w:rsidR="00A94106">
          <w:rPr>
            <w:noProof/>
            <w:webHidden/>
          </w:rPr>
          <w:instrText xml:space="preserve"> PAGEREF _Toc535272080 \h </w:instrText>
        </w:r>
        <w:r w:rsidR="00A94106">
          <w:rPr>
            <w:noProof/>
            <w:webHidden/>
          </w:rPr>
        </w:r>
        <w:r w:rsidR="00A94106">
          <w:rPr>
            <w:noProof/>
            <w:webHidden/>
          </w:rPr>
          <w:fldChar w:fldCharType="separate"/>
        </w:r>
        <w:r w:rsidR="005A0949">
          <w:rPr>
            <w:noProof/>
            <w:webHidden/>
          </w:rPr>
          <w:t>28</w:t>
        </w:r>
        <w:r w:rsidR="00A94106">
          <w:rPr>
            <w:noProof/>
            <w:webHidden/>
          </w:rPr>
          <w:fldChar w:fldCharType="end"/>
        </w:r>
      </w:hyperlink>
    </w:p>
    <w:p w14:paraId="606C2C4C" w14:textId="42625563" w:rsidR="00A94106" w:rsidRDefault="00726209" w:rsidP="005A0949">
      <w:pPr>
        <w:pStyle w:val="TableofFigures"/>
        <w:tabs>
          <w:tab w:val="right" w:leader="dot" w:pos="9350"/>
        </w:tabs>
        <w:spacing w:after="120"/>
        <w:rPr>
          <w:rFonts w:asciiTheme="minorHAnsi" w:hAnsiTheme="minorHAnsi"/>
          <w:noProof/>
          <w:sz w:val="24"/>
          <w:szCs w:val="24"/>
          <w:lang w:eastAsia="en-US"/>
        </w:rPr>
      </w:pPr>
      <w:hyperlink w:anchor="_Toc535272081" w:history="1">
        <w:r w:rsidR="00A94106" w:rsidRPr="00B61EA2">
          <w:rPr>
            <w:rStyle w:val="Hyperlink"/>
            <w:noProof/>
          </w:rPr>
          <w:t>Table 3.1 World Adoption of the Solution</w:t>
        </w:r>
        <w:r w:rsidR="00A94106">
          <w:rPr>
            <w:noProof/>
            <w:webHidden/>
          </w:rPr>
          <w:tab/>
        </w:r>
        <w:r w:rsidR="00A94106">
          <w:rPr>
            <w:noProof/>
            <w:webHidden/>
          </w:rPr>
          <w:fldChar w:fldCharType="begin"/>
        </w:r>
        <w:r w:rsidR="00A94106">
          <w:rPr>
            <w:noProof/>
            <w:webHidden/>
          </w:rPr>
          <w:instrText xml:space="preserve"> PAGEREF _Toc535272081 \h </w:instrText>
        </w:r>
        <w:r w:rsidR="00A94106">
          <w:rPr>
            <w:noProof/>
            <w:webHidden/>
          </w:rPr>
        </w:r>
        <w:r w:rsidR="00A94106">
          <w:rPr>
            <w:noProof/>
            <w:webHidden/>
          </w:rPr>
          <w:fldChar w:fldCharType="separate"/>
        </w:r>
        <w:r w:rsidR="005A0949">
          <w:rPr>
            <w:noProof/>
            <w:webHidden/>
          </w:rPr>
          <w:t>31</w:t>
        </w:r>
        <w:r w:rsidR="00A94106">
          <w:rPr>
            <w:noProof/>
            <w:webHidden/>
          </w:rPr>
          <w:fldChar w:fldCharType="end"/>
        </w:r>
      </w:hyperlink>
    </w:p>
    <w:p w14:paraId="30EC45BD" w14:textId="2AA71BA1" w:rsidR="00A94106" w:rsidRDefault="00726209" w:rsidP="005A0949">
      <w:pPr>
        <w:pStyle w:val="TableofFigures"/>
        <w:tabs>
          <w:tab w:val="right" w:leader="dot" w:pos="9350"/>
        </w:tabs>
        <w:spacing w:after="120"/>
        <w:rPr>
          <w:rFonts w:asciiTheme="minorHAnsi" w:hAnsiTheme="minorHAnsi"/>
          <w:noProof/>
          <w:sz w:val="24"/>
          <w:szCs w:val="24"/>
          <w:lang w:eastAsia="en-US"/>
        </w:rPr>
      </w:pPr>
      <w:hyperlink w:anchor="_Toc535272082" w:history="1">
        <w:r w:rsidR="00A94106" w:rsidRPr="00B61EA2">
          <w:rPr>
            <w:rStyle w:val="Hyperlink"/>
            <w:noProof/>
          </w:rPr>
          <w:t>Table 3.2 Climate Impacts</w:t>
        </w:r>
        <w:r w:rsidR="00A94106">
          <w:rPr>
            <w:noProof/>
            <w:webHidden/>
          </w:rPr>
          <w:tab/>
        </w:r>
        <w:r w:rsidR="00A94106">
          <w:rPr>
            <w:noProof/>
            <w:webHidden/>
          </w:rPr>
          <w:fldChar w:fldCharType="begin"/>
        </w:r>
        <w:r w:rsidR="00A94106">
          <w:rPr>
            <w:noProof/>
            <w:webHidden/>
          </w:rPr>
          <w:instrText xml:space="preserve"> PAGEREF _Toc535272082 \h </w:instrText>
        </w:r>
        <w:r w:rsidR="00A94106">
          <w:rPr>
            <w:noProof/>
            <w:webHidden/>
          </w:rPr>
        </w:r>
        <w:r w:rsidR="00A94106">
          <w:rPr>
            <w:noProof/>
            <w:webHidden/>
          </w:rPr>
          <w:fldChar w:fldCharType="separate"/>
        </w:r>
        <w:r w:rsidR="005A0949">
          <w:rPr>
            <w:noProof/>
            <w:webHidden/>
          </w:rPr>
          <w:t>33</w:t>
        </w:r>
        <w:r w:rsidR="00A94106">
          <w:rPr>
            <w:noProof/>
            <w:webHidden/>
          </w:rPr>
          <w:fldChar w:fldCharType="end"/>
        </w:r>
      </w:hyperlink>
    </w:p>
    <w:p w14:paraId="733C2D3D" w14:textId="793E31D9" w:rsidR="00A94106" w:rsidRDefault="00726209" w:rsidP="005A0949">
      <w:pPr>
        <w:pStyle w:val="TableofFigures"/>
        <w:tabs>
          <w:tab w:val="right" w:leader="dot" w:pos="9350"/>
        </w:tabs>
        <w:spacing w:after="120"/>
        <w:rPr>
          <w:rFonts w:asciiTheme="minorHAnsi" w:hAnsiTheme="minorHAnsi"/>
          <w:noProof/>
          <w:sz w:val="24"/>
          <w:szCs w:val="24"/>
          <w:lang w:eastAsia="en-US"/>
        </w:rPr>
      </w:pPr>
      <w:hyperlink w:anchor="_Toc535272083" w:history="1">
        <w:r w:rsidR="00A94106" w:rsidRPr="00B61EA2">
          <w:rPr>
            <w:rStyle w:val="Hyperlink"/>
            <w:noProof/>
          </w:rPr>
          <w:t>Table 3.3 Impacts on Atmospheric Concentrations of CO</w:t>
        </w:r>
        <w:r w:rsidR="00A94106" w:rsidRPr="00B61EA2">
          <w:rPr>
            <w:rStyle w:val="Hyperlink"/>
            <w:noProof/>
            <w:vertAlign w:val="subscript"/>
          </w:rPr>
          <w:t>2</w:t>
        </w:r>
        <w:r w:rsidR="00A94106" w:rsidRPr="00B61EA2">
          <w:rPr>
            <w:rStyle w:val="Hyperlink"/>
            <w:noProof/>
          </w:rPr>
          <w:t>-eq</w:t>
        </w:r>
        <w:r w:rsidR="00A94106">
          <w:rPr>
            <w:noProof/>
            <w:webHidden/>
          </w:rPr>
          <w:tab/>
        </w:r>
        <w:r w:rsidR="00A94106">
          <w:rPr>
            <w:noProof/>
            <w:webHidden/>
          </w:rPr>
          <w:fldChar w:fldCharType="begin"/>
        </w:r>
        <w:r w:rsidR="00A94106">
          <w:rPr>
            <w:noProof/>
            <w:webHidden/>
          </w:rPr>
          <w:instrText xml:space="preserve"> PAGEREF _Toc535272083 \h </w:instrText>
        </w:r>
        <w:r w:rsidR="00A94106">
          <w:rPr>
            <w:noProof/>
            <w:webHidden/>
          </w:rPr>
        </w:r>
        <w:r w:rsidR="00A94106">
          <w:rPr>
            <w:noProof/>
            <w:webHidden/>
          </w:rPr>
          <w:fldChar w:fldCharType="separate"/>
        </w:r>
        <w:r w:rsidR="005A0949">
          <w:rPr>
            <w:noProof/>
            <w:webHidden/>
          </w:rPr>
          <w:t>33</w:t>
        </w:r>
        <w:r w:rsidR="00A94106">
          <w:rPr>
            <w:noProof/>
            <w:webHidden/>
          </w:rPr>
          <w:fldChar w:fldCharType="end"/>
        </w:r>
      </w:hyperlink>
    </w:p>
    <w:p w14:paraId="66A0653C" w14:textId="35FE1DCD" w:rsidR="00A94106" w:rsidRDefault="00726209" w:rsidP="005A0949">
      <w:pPr>
        <w:pStyle w:val="TableofFigures"/>
        <w:tabs>
          <w:tab w:val="right" w:leader="dot" w:pos="9350"/>
        </w:tabs>
        <w:spacing w:after="120"/>
        <w:rPr>
          <w:rFonts w:asciiTheme="minorHAnsi" w:hAnsiTheme="minorHAnsi"/>
          <w:noProof/>
          <w:sz w:val="24"/>
          <w:szCs w:val="24"/>
          <w:lang w:eastAsia="en-US"/>
        </w:rPr>
      </w:pPr>
      <w:hyperlink w:anchor="_Toc535272084" w:history="1">
        <w:r w:rsidR="00A94106" w:rsidRPr="00B61EA2">
          <w:rPr>
            <w:rStyle w:val="Hyperlink"/>
            <w:noProof/>
          </w:rPr>
          <w:t>Table 3.4 Financial Impacts</w:t>
        </w:r>
        <w:r w:rsidR="00A94106">
          <w:rPr>
            <w:noProof/>
            <w:webHidden/>
          </w:rPr>
          <w:tab/>
        </w:r>
        <w:r w:rsidR="00A94106">
          <w:rPr>
            <w:noProof/>
            <w:webHidden/>
          </w:rPr>
          <w:fldChar w:fldCharType="begin"/>
        </w:r>
        <w:r w:rsidR="00A94106">
          <w:rPr>
            <w:noProof/>
            <w:webHidden/>
          </w:rPr>
          <w:instrText xml:space="preserve"> PAGEREF _Toc535272084 \h </w:instrText>
        </w:r>
        <w:r w:rsidR="00A94106">
          <w:rPr>
            <w:noProof/>
            <w:webHidden/>
          </w:rPr>
        </w:r>
        <w:r w:rsidR="00A94106">
          <w:rPr>
            <w:noProof/>
            <w:webHidden/>
          </w:rPr>
          <w:fldChar w:fldCharType="separate"/>
        </w:r>
        <w:r w:rsidR="005A0949">
          <w:rPr>
            <w:noProof/>
            <w:webHidden/>
          </w:rPr>
          <w:t>34</w:t>
        </w:r>
        <w:r w:rsidR="00A94106">
          <w:rPr>
            <w:noProof/>
            <w:webHidden/>
          </w:rPr>
          <w:fldChar w:fldCharType="end"/>
        </w:r>
      </w:hyperlink>
    </w:p>
    <w:p w14:paraId="3258942D" w14:textId="0400B8A6" w:rsidR="00A94106" w:rsidRDefault="00726209" w:rsidP="005A0949">
      <w:pPr>
        <w:pStyle w:val="TableofFigures"/>
        <w:tabs>
          <w:tab w:val="right" w:leader="dot" w:pos="9350"/>
        </w:tabs>
        <w:spacing w:after="120"/>
        <w:rPr>
          <w:rFonts w:asciiTheme="minorHAnsi" w:hAnsiTheme="minorHAnsi"/>
          <w:noProof/>
          <w:sz w:val="24"/>
          <w:szCs w:val="24"/>
          <w:lang w:eastAsia="en-US"/>
        </w:rPr>
      </w:pPr>
      <w:hyperlink w:anchor="_Toc535272085" w:history="1">
        <w:r w:rsidR="00A94106" w:rsidRPr="00B61EA2">
          <w:rPr>
            <w:rStyle w:val="Hyperlink"/>
            <w:noProof/>
          </w:rPr>
          <w:t>Table 4.1 Benchmarks</w:t>
        </w:r>
        <w:r w:rsidR="00A94106">
          <w:rPr>
            <w:noProof/>
            <w:webHidden/>
          </w:rPr>
          <w:tab/>
        </w:r>
        <w:r w:rsidR="00A94106">
          <w:rPr>
            <w:noProof/>
            <w:webHidden/>
          </w:rPr>
          <w:fldChar w:fldCharType="begin"/>
        </w:r>
        <w:r w:rsidR="00A94106">
          <w:rPr>
            <w:noProof/>
            <w:webHidden/>
          </w:rPr>
          <w:instrText xml:space="preserve"> PAGEREF _Toc535272085 \h </w:instrText>
        </w:r>
        <w:r w:rsidR="00A94106">
          <w:rPr>
            <w:noProof/>
            <w:webHidden/>
          </w:rPr>
        </w:r>
        <w:r w:rsidR="00A94106">
          <w:rPr>
            <w:noProof/>
            <w:webHidden/>
          </w:rPr>
          <w:fldChar w:fldCharType="separate"/>
        </w:r>
        <w:r w:rsidR="005A0949">
          <w:rPr>
            <w:noProof/>
            <w:webHidden/>
          </w:rPr>
          <w:t>36</w:t>
        </w:r>
        <w:r w:rsidR="00A94106">
          <w:rPr>
            <w:noProof/>
            <w:webHidden/>
          </w:rPr>
          <w:fldChar w:fldCharType="end"/>
        </w:r>
      </w:hyperlink>
    </w:p>
    <w:p w14:paraId="4825AD3F" w14:textId="3B5D5801" w:rsidR="00640665" w:rsidRPr="00E069AC" w:rsidRDefault="006A4A08" w:rsidP="005A0949">
      <w:r w:rsidRPr="00E069AC">
        <w:fldChar w:fldCharType="end"/>
      </w:r>
    </w:p>
    <w:p w14:paraId="314CD877" w14:textId="0A90708E" w:rsidR="00FA6897" w:rsidRPr="00E069AC" w:rsidRDefault="2D56E7D4" w:rsidP="00912CC8">
      <w:pPr>
        <w:pStyle w:val="Heading1"/>
        <w:numPr>
          <w:ilvl w:val="0"/>
          <w:numId w:val="0"/>
        </w:numPr>
        <w:ind w:left="720"/>
      </w:pPr>
      <w:bookmarkStart w:id="2" w:name="_Toc18619499"/>
      <w:r w:rsidRPr="00E069AC">
        <w:lastRenderedPageBreak/>
        <w:t>Acronyms and Symbols Used</w:t>
      </w:r>
      <w:bookmarkEnd w:id="2"/>
    </w:p>
    <w:p w14:paraId="2ED13640" w14:textId="77777777" w:rsidR="00980026" w:rsidRDefault="00980026" w:rsidP="00980026">
      <w:pPr>
        <w:pStyle w:val="ListParagraph"/>
        <w:numPr>
          <w:ilvl w:val="0"/>
          <w:numId w:val="31"/>
        </w:numPr>
        <w:spacing w:after="0"/>
      </w:pPr>
      <w:r>
        <w:t>AMPERE – Assessment of Climate Change Mitigation Pathways and Evaluation of the Robustness of Mitigation Cost Estimates</w:t>
      </w:r>
    </w:p>
    <w:p w14:paraId="2B1B0C51" w14:textId="77777777" w:rsidR="00980026" w:rsidRDefault="00980026" w:rsidP="00980026">
      <w:pPr>
        <w:pStyle w:val="ListParagraph"/>
        <w:numPr>
          <w:ilvl w:val="0"/>
          <w:numId w:val="31"/>
        </w:numPr>
        <w:spacing w:after="0"/>
      </w:pPr>
      <w:r>
        <w:t>BNEF – Bloomberg New Energy Finance</w:t>
      </w:r>
    </w:p>
    <w:p w14:paraId="47B45BD0" w14:textId="77777777" w:rsidR="00980026" w:rsidRDefault="00980026" w:rsidP="00980026">
      <w:pPr>
        <w:pStyle w:val="ListParagraph"/>
        <w:numPr>
          <w:ilvl w:val="0"/>
          <w:numId w:val="31"/>
        </w:numPr>
        <w:spacing w:after="160"/>
      </w:pPr>
      <w:r>
        <w:t>CO</w:t>
      </w:r>
      <w:r w:rsidRPr="00605C3F">
        <w:rPr>
          <w:vertAlign w:val="subscript"/>
        </w:rPr>
        <w:t>2</w:t>
      </w:r>
      <w:r>
        <w:t xml:space="preserve"> – Carbon dioxide</w:t>
      </w:r>
    </w:p>
    <w:p w14:paraId="6D3312FA" w14:textId="77777777" w:rsidR="00980026" w:rsidRPr="00251902" w:rsidRDefault="00980026" w:rsidP="00980026">
      <w:pPr>
        <w:pStyle w:val="ListParagraph"/>
        <w:numPr>
          <w:ilvl w:val="0"/>
          <w:numId w:val="31"/>
        </w:numPr>
        <w:spacing w:after="160"/>
      </w:pPr>
      <w:r w:rsidRPr="00251902">
        <w:t>DOE – Department of Energy</w:t>
      </w:r>
    </w:p>
    <w:p w14:paraId="5B6BE78C" w14:textId="77777777" w:rsidR="00980026" w:rsidRPr="00D04F2D" w:rsidRDefault="00980026" w:rsidP="00980026">
      <w:pPr>
        <w:pStyle w:val="ListParagraph"/>
        <w:numPr>
          <w:ilvl w:val="0"/>
          <w:numId w:val="31"/>
        </w:numPr>
        <w:spacing w:after="0"/>
      </w:pPr>
      <w:r>
        <w:t>DS – Degree Scenario</w:t>
      </w:r>
    </w:p>
    <w:p w14:paraId="559EC0E5" w14:textId="77777777" w:rsidR="00980026" w:rsidRDefault="00980026" w:rsidP="00980026">
      <w:pPr>
        <w:pStyle w:val="ListParagraph"/>
        <w:numPr>
          <w:ilvl w:val="0"/>
          <w:numId w:val="31"/>
        </w:numPr>
        <w:spacing w:after="160"/>
      </w:pPr>
      <w:r>
        <w:t>EDPR – Energias de Portugal - Renováveis</w:t>
      </w:r>
    </w:p>
    <w:p w14:paraId="465B05A1" w14:textId="77777777" w:rsidR="00980026" w:rsidRDefault="00980026" w:rsidP="00980026">
      <w:pPr>
        <w:pStyle w:val="ListParagraph"/>
        <w:numPr>
          <w:ilvl w:val="0"/>
          <w:numId w:val="31"/>
        </w:numPr>
        <w:spacing w:after="0"/>
      </w:pPr>
      <w:r>
        <w:t>ETP – Energy Technology Perspectives</w:t>
      </w:r>
    </w:p>
    <w:p w14:paraId="2CF3D5AB" w14:textId="77777777" w:rsidR="00980026" w:rsidRDefault="00980026" w:rsidP="00980026">
      <w:pPr>
        <w:pStyle w:val="ListParagraph"/>
        <w:numPr>
          <w:ilvl w:val="0"/>
          <w:numId w:val="31"/>
        </w:numPr>
        <w:spacing w:after="160"/>
      </w:pPr>
      <w:r>
        <w:t>EU – European Union</w:t>
      </w:r>
    </w:p>
    <w:p w14:paraId="2158D558" w14:textId="77777777" w:rsidR="00980026" w:rsidRDefault="00980026" w:rsidP="00980026">
      <w:pPr>
        <w:pStyle w:val="ListParagraph"/>
        <w:numPr>
          <w:ilvl w:val="0"/>
          <w:numId w:val="31"/>
        </w:numPr>
        <w:spacing w:after="160"/>
      </w:pPr>
      <w:r>
        <w:t xml:space="preserve">EWG - </w:t>
      </w:r>
      <w:r w:rsidRPr="004E37EC">
        <w:t>Energy Watch Group</w:t>
      </w:r>
    </w:p>
    <w:p w14:paraId="67FD4ABD" w14:textId="77777777" w:rsidR="00980026" w:rsidRDefault="00980026" w:rsidP="00980026">
      <w:pPr>
        <w:pStyle w:val="ListParagraph"/>
        <w:numPr>
          <w:ilvl w:val="0"/>
          <w:numId w:val="31"/>
        </w:numPr>
        <w:spacing w:after="160"/>
      </w:pPr>
      <w:r>
        <w:t>EV – Electric Vehicle</w:t>
      </w:r>
    </w:p>
    <w:p w14:paraId="7B291038" w14:textId="77777777" w:rsidR="00980026" w:rsidRDefault="00980026" w:rsidP="00980026">
      <w:pPr>
        <w:pStyle w:val="ListParagraph"/>
        <w:numPr>
          <w:ilvl w:val="0"/>
          <w:numId w:val="31"/>
        </w:numPr>
        <w:spacing w:after="0"/>
      </w:pPr>
      <w:r>
        <w:t>GEM-</w:t>
      </w:r>
      <w:r w:rsidRPr="008456B5">
        <w:t>E3 – General Equilibrium model for Economy</w:t>
      </w:r>
      <w:r>
        <w:t>,</w:t>
      </w:r>
      <w:r w:rsidRPr="008456B5">
        <w:t xml:space="preserve"> Energy and Environment</w:t>
      </w:r>
    </w:p>
    <w:p w14:paraId="71603332" w14:textId="77777777" w:rsidR="00980026" w:rsidRPr="00251902" w:rsidRDefault="00980026" w:rsidP="00980026">
      <w:pPr>
        <w:pStyle w:val="ListParagraph"/>
        <w:numPr>
          <w:ilvl w:val="0"/>
          <w:numId w:val="31"/>
        </w:numPr>
        <w:spacing w:after="160"/>
      </w:pPr>
      <w:r w:rsidRPr="00251902">
        <w:t>GHG – Greenhouse Gases</w:t>
      </w:r>
    </w:p>
    <w:p w14:paraId="1298F2F0" w14:textId="44F544EA" w:rsidR="00980026" w:rsidRDefault="00980026" w:rsidP="00980026">
      <w:pPr>
        <w:pStyle w:val="ListParagraph"/>
        <w:numPr>
          <w:ilvl w:val="0"/>
          <w:numId w:val="31"/>
        </w:numPr>
        <w:spacing w:after="160"/>
      </w:pPr>
      <w:r>
        <w:t>G</w:t>
      </w:r>
      <w:r w:rsidR="006B3BC7">
        <w:t>t</w:t>
      </w:r>
      <w:r>
        <w:t xml:space="preserve"> – Gigatons </w:t>
      </w:r>
    </w:p>
    <w:p w14:paraId="10AC98B6" w14:textId="77777777" w:rsidR="00980026" w:rsidRPr="00251902" w:rsidRDefault="00980026" w:rsidP="00980026">
      <w:pPr>
        <w:pStyle w:val="ListParagraph"/>
        <w:numPr>
          <w:ilvl w:val="0"/>
          <w:numId w:val="31"/>
        </w:numPr>
        <w:spacing w:after="160"/>
      </w:pPr>
      <w:r w:rsidRPr="00251902">
        <w:t xml:space="preserve">GW - Gigawatts </w:t>
      </w:r>
    </w:p>
    <w:p w14:paraId="486B4872" w14:textId="77777777" w:rsidR="00980026" w:rsidRDefault="00980026" w:rsidP="00980026">
      <w:pPr>
        <w:pStyle w:val="ListParagraph"/>
        <w:numPr>
          <w:ilvl w:val="0"/>
          <w:numId w:val="31"/>
        </w:numPr>
        <w:spacing w:after="0"/>
      </w:pPr>
      <w:r>
        <w:t>IEA – International Energy Agency</w:t>
      </w:r>
    </w:p>
    <w:p w14:paraId="56C71E72" w14:textId="77777777" w:rsidR="00980026" w:rsidRDefault="00980026" w:rsidP="00980026">
      <w:pPr>
        <w:pStyle w:val="ListParagraph"/>
        <w:numPr>
          <w:ilvl w:val="0"/>
          <w:numId w:val="31"/>
        </w:numPr>
        <w:spacing w:after="0"/>
      </w:pPr>
      <w:r>
        <w:t>IEEJ – The Institute of Energy Economics, Japan</w:t>
      </w:r>
    </w:p>
    <w:p w14:paraId="2FE7DDDF" w14:textId="77777777" w:rsidR="00980026" w:rsidRPr="00A91812" w:rsidRDefault="00980026" w:rsidP="00980026">
      <w:pPr>
        <w:pStyle w:val="ListParagraph"/>
        <w:numPr>
          <w:ilvl w:val="0"/>
          <w:numId w:val="31"/>
        </w:numPr>
        <w:spacing w:after="0"/>
      </w:pPr>
      <w:r w:rsidRPr="00A91812">
        <w:t xml:space="preserve">IMAGE/TIMER – </w:t>
      </w:r>
      <w:r w:rsidRPr="00A91812">
        <w:rPr>
          <w:rFonts w:ascii="Times" w:hAnsi="Times" w:cs="Times"/>
        </w:rPr>
        <w:t>Integrated Model to Assess the Global Environment/</w:t>
      </w:r>
      <w:r w:rsidRPr="00A91812">
        <w:t>The Targets IMage Energy Regional model</w:t>
      </w:r>
    </w:p>
    <w:p w14:paraId="6D378169" w14:textId="77777777" w:rsidR="00980026" w:rsidRDefault="00980026" w:rsidP="00980026">
      <w:pPr>
        <w:pStyle w:val="ListParagraph"/>
        <w:numPr>
          <w:ilvl w:val="0"/>
          <w:numId w:val="31"/>
        </w:numPr>
        <w:spacing w:after="160"/>
      </w:pPr>
      <w:r w:rsidRPr="00251902">
        <w:t>IPCC – Intergovernmental Panel for Climate Change</w:t>
      </w:r>
    </w:p>
    <w:p w14:paraId="056C8B57" w14:textId="77777777" w:rsidR="00980026" w:rsidRPr="00251902" w:rsidRDefault="00980026" w:rsidP="00980026">
      <w:pPr>
        <w:pStyle w:val="ListParagraph"/>
        <w:numPr>
          <w:ilvl w:val="0"/>
          <w:numId w:val="31"/>
        </w:numPr>
        <w:spacing w:after="160"/>
      </w:pPr>
      <w:r>
        <w:t>IRENA – International Renewable Energy Agency</w:t>
      </w:r>
    </w:p>
    <w:p w14:paraId="302A3530" w14:textId="77777777" w:rsidR="00980026" w:rsidRPr="00251902" w:rsidRDefault="00980026" w:rsidP="00980026">
      <w:pPr>
        <w:pStyle w:val="ListParagraph"/>
        <w:numPr>
          <w:ilvl w:val="0"/>
          <w:numId w:val="31"/>
        </w:numPr>
        <w:spacing w:after="160"/>
      </w:pPr>
      <w:r w:rsidRPr="00251902">
        <w:t>LCA – Life Cycle Assessment</w:t>
      </w:r>
    </w:p>
    <w:p w14:paraId="5E474F32" w14:textId="77777777" w:rsidR="00980026" w:rsidRDefault="00980026" w:rsidP="00980026">
      <w:pPr>
        <w:pStyle w:val="ListParagraph"/>
        <w:numPr>
          <w:ilvl w:val="0"/>
          <w:numId w:val="31"/>
        </w:numPr>
        <w:spacing w:after="160"/>
      </w:pPr>
      <w:r w:rsidRPr="00251902">
        <w:t>LCOE – Levelized costs of electricity</w:t>
      </w:r>
    </w:p>
    <w:p w14:paraId="70B62C6B" w14:textId="77777777" w:rsidR="00980026" w:rsidRDefault="00980026" w:rsidP="00980026">
      <w:pPr>
        <w:pStyle w:val="ListParagraph"/>
        <w:numPr>
          <w:ilvl w:val="0"/>
          <w:numId w:val="31"/>
        </w:numPr>
        <w:spacing w:after="160"/>
      </w:pPr>
      <w:r>
        <w:t xml:space="preserve">LUT - </w:t>
      </w:r>
      <w:r w:rsidRPr="004E37EC">
        <w:t>Lappeenra</w:t>
      </w:r>
      <w:r>
        <w:t>nta University of Technology</w:t>
      </w:r>
    </w:p>
    <w:p w14:paraId="17D2FD5C" w14:textId="77777777" w:rsidR="00980026" w:rsidRDefault="00980026" w:rsidP="00980026">
      <w:pPr>
        <w:pStyle w:val="ListParagraph"/>
        <w:numPr>
          <w:ilvl w:val="0"/>
          <w:numId w:val="31"/>
        </w:numPr>
        <w:spacing w:after="0"/>
      </w:pPr>
      <w:r w:rsidRPr="00EF6F42">
        <w:t>MESSAGE-MACRO – Model for Energy Supply Strategy Alternatives and their General Environmental impact with macroeconomic feedback</w:t>
      </w:r>
    </w:p>
    <w:p w14:paraId="144E68E6" w14:textId="77777777" w:rsidR="00980026" w:rsidRPr="00EF6F42" w:rsidRDefault="00980026" w:rsidP="00980026">
      <w:pPr>
        <w:pStyle w:val="ListParagraph"/>
        <w:numPr>
          <w:ilvl w:val="0"/>
          <w:numId w:val="31"/>
        </w:numPr>
        <w:spacing w:after="0"/>
      </w:pPr>
      <w:r>
        <w:t>NDC – Nationally Determined Contribution</w:t>
      </w:r>
    </w:p>
    <w:p w14:paraId="1F1AF50E" w14:textId="77777777" w:rsidR="00980026" w:rsidRDefault="00980026" w:rsidP="00980026">
      <w:pPr>
        <w:pStyle w:val="ListParagraph"/>
        <w:numPr>
          <w:ilvl w:val="0"/>
          <w:numId w:val="31"/>
        </w:numPr>
        <w:spacing w:after="160"/>
      </w:pPr>
      <w:r w:rsidRPr="00251902">
        <w:t>O&amp;M</w:t>
      </w:r>
      <w:r>
        <w:t xml:space="preserve"> – Operation and Maintenance</w:t>
      </w:r>
    </w:p>
    <w:p w14:paraId="6837E816" w14:textId="77777777" w:rsidR="00980026" w:rsidRDefault="00980026" w:rsidP="00980026">
      <w:pPr>
        <w:pStyle w:val="ListParagraph"/>
        <w:numPr>
          <w:ilvl w:val="0"/>
          <w:numId w:val="31"/>
        </w:numPr>
        <w:spacing w:after="160"/>
      </w:pPr>
      <w:r>
        <w:t>PPM - parts per million</w:t>
      </w:r>
    </w:p>
    <w:p w14:paraId="43CF7134" w14:textId="77777777" w:rsidR="00980026" w:rsidRPr="00251902" w:rsidRDefault="00980026" w:rsidP="00980026">
      <w:pPr>
        <w:pStyle w:val="ListParagraph"/>
        <w:numPr>
          <w:ilvl w:val="0"/>
          <w:numId w:val="31"/>
        </w:numPr>
        <w:spacing w:after="160"/>
      </w:pPr>
      <w:r>
        <w:t>PV - Photovoltaics</w:t>
      </w:r>
    </w:p>
    <w:p w14:paraId="0836B03C" w14:textId="77777777" w:rsidR="00980026" w:rsidRDefault="00980026" w:rsidP="00980026">
      <w:pPr>
        <w:pStyle w:val="ListParagraph"/>
        <w:numPr>
          <w:ilvl w:val="0"/>
          <w:numId w:val="31"/>
        </w:numPr>
        <w:spacing w:after="160"/>
      </w:pPr>
      <w:r w:rsidRPr="00251902">
        <w:t>R&amp;D – Research and Development</w:t>
      </w:r>
    </w:p>
    <w:p w14:paraId="3513A731" w14:textId="77777777" w:rsidR="00980026" w:rsidRDefault="00980026" w:rsidP="00980026">
      <w:pPr>
        <w:pStyle w:val="ListParagraph"/>
        <w:numPr>
          <w:ilvl w:val="0"/>
          <w:numId w:val="31"/>
        </w:numPr>
        <w:spacing w:after="160"/>
      </w:pPr>
      <w:r>
        <w:lastRenderedPageBreak/>
        <w:t>RES – Renewable Energy Sources</w:t>
      </w:r>
    </w:p>
    <w:p w14:paraId="4E01E1E2" w14:textId="77777777" w:rsidR="00980026" w:rsidRDefault="00980026" w:rsidP="00980026">
      <w:pPr>
        <w:pStyle w:val="ListParagraph"/>
        <w:numPr>
          <w:ilvl w:val="0"/>
          <w:numId w:val="31"/>
        </w:numPr>
        <w:spacing w:after="160"/>
      </w:pPr>
      <w:r>
        <w:t>US – United States</w:t>
      </w:r>
    </w:p>
    <w:p w14:paraId="39438833" w14:textId="77777777" w:rsidR="00980026" w:rsidRDefault="00980026" w:rsidP="00980026">
      <w:pPr>
        <w:pStyle w:val="ListParagraph"/>
        <w:numPr>
          <w:ilvl w:val="0"/>
          <w:numId w:val="31"/>
        </w:numPr>
        <w:spacing w:after="160"/>
      </w:pPr>
      <w:r>
        <w:t>USD – United States Dollar</w:t>
      </w:r>
    </w:p>
    <w:p w14:paraId="6ECCD1FC" w14:textId="77777777" w:rsidR="00980026" w:rsidRPr="00E069AC" w:rsidRDefault="00980026" w:rsidP="00980026">
      <w:pPr>
        <w:pStyle w:val="ListParagraph"/>
        <w:numPr>
          <w:ilvl w:val="0"/>
          <w:numId w:val="31"/>
        </w:numPr>
        <w:rPr>
          <w:bCs/>
        </w:rPr>
      </w:pPr>
      <w:r w:rsidRPr="00E069AC">
        <w:rPr>
          <w:bCs/>
        </w:rPr>
        <w:t>TAM - Total Addressable Market</w:t>
      </w:r>
    </w:p>
    <w:p w14:paraId="42A098FF" w14:textId="77777777" w:rsidR="00980026" w:rsidRPr="00F3570C" w:rsidRDefault="00980026" w:rsidP="00980026">
      <w:pPr>
        <w:pStyle w:val="ListParagraph"/>
        <w:numPr>
          <w:ilvl w:val="0"/>
          <w:numId w:val="31"/>
        </w:numPr>
        <w:rPr>
          <w:bCs/>
        </w:rPr>
      </w:pPr>
      <w:r w:rsidRPr="00F3570C">
        <w:rPr>
          <w:bCs/>
        </w:rPr>
        <w:t>TWh - Terawatt-Hours</w:t>
      </w:r>
    </w:p>
    <w:p w14:paraId="261A5092" w14:textId="77777777" w:rsidR="00980026" w:rsidRPr="00F3570C" w:rsidRDefault="00980026" w:rsidP="00980026">
      <w:pPr>
        <w:pStyle w:val="ListParagraph"/>
        <w:numPr>
          <w:ilvl w:val="0"/>
          <w:numId w:val="31"/>
        </w:numPr>
        <w:sectPr w:rsidR="00980026" w:rsidRPr="00F3570C" w:rsidSect="00EB247F">
          <w:footerReference w:type="even" r:id="rId15"/>
          <w:footerReference w:type="default" r:id="rId16"/>
          <w:pgSz w:w="12240" w:h="15840"/>
          <w:pgMar w:top="1440" w:right="1440" w:bottom="1440" w:left="1440" w:header="720" w:footer="720" w:gutter="0"/>
          <w:cols w:space="720"/>
          <w:titlePg/>
          <w:docGrid w:linePitch="299"/>
        </w:sectPr>
      </w:pPr>
      <w:r w:rsidRPr="00F3570C">
        <w:t>VRES - Variable Renewable Energy Sources</w:t>
      </w:r>
    </w:p>
    <w:p w14:paraId="258D1C7E" w14:textId="324C784B" w:rsidR="00E844EA" w:rsidRPr="00E069AC" w:rsidRDefault="551A77D0" w:rsidP="00912CC8">
      <w:pPr>
        <w:pStyle w:val="Heading1"/>
        <w:numPr>
          <w:ilvl w:val="0"/>
          <w:numId w:val="0"/>
        </w:numPr>
      </w:pPr>
      <w:bookmarkStart w:id="3" w:name="_Toc18619500"/>
      <w:r w:rsidRPr="00E069AC">
        <w:lastRenderedPageBreak/>
        <w:t>Executive Summary</w:t>
      </w:r>
      <w:bookmarkEnd w:id="3"/>
    </w:p>
    <w:p w14:paraId="7B529FF7" w14:textId="2335B8F0" w:rsidR="000C04D3" w:rsidRPr="00660424" w:rsidRDefault="000C04D3" w:rsidP="009715E2">
      <w:pPr>
        <w:tabs>
          <w:tab w:val="left" w:pos="1134"/>
        </w:tabs>
        <w:spacing w:line="240" w:lineRule="auto"/>
        <w:rPr>
          <w:lang w:eastAsia="en-US"/>
        </w:rPr>
      </w:pPr>
      <w:r w:rsidRPr="00660424">
        <w:rPr>
          <w:lang w:eastAsia="en-US"/>
        </w:rPr>
        <w:t xml:space="preserve">Project Drawdown defines </w:t>
      </w:r>
      <w:r w:rsidRPr="00660424">
        <w:rPr>
          <w:i/>
          <w:iCs/>
          <w:lang w:eastAsia="en-US"/>
        </w:rPr>
        <w:t xml:space="preserve">wind turbines (offshore) </w:t>
      </w:r>
      <w:r w:rsidRPr="00660424">
        <w:rPr>
          <w:lang w:eastAsia="en-US"/>
        </w:rPr>
        <w:t>as: offshore utility-scale wind power technologies. This solution replaces conventional electricity-generating technologies such as coal, oil, and natural gas power plants.</w:t>
      </w:r>
    </w:p>
    <w:p w14:paraId="20C5FBD7" w14:textId="1A09835D" w:rsidR="000C04D3" w:rsidRPr="00660424" w:rsidRDefault="00F41119" w:rsidP="00C15551">
      <w:pPr>
        <w:tabs>
          <w:tab w:val="left" w:pos="1134"/>
        </w:tabs>
        <w:spacing w:line="240" w:lineRule="auto"/>
      </w:pPr>
      <w:r>
        <w:t>O</w:t>
      </w:r>
      <w:r w:rsidR="000C04D3" w:rsidRPr="00660424">
        <w:t xml:space="preserve">ffshore solutions are increasingly being adopted where wind is less intermittent and the turbines can harvest more energy. Since the amount of power generated by a wind turbine is primarily determined by its size and the intensity of the wind resources, offshore locations are a growing and attractive prospect for wind power. By  </w:t>
      </w:r>
      <w:r w:rsidR="00C06335">
        <w:t xml:space="preserve">middle of 2018, </w:t>
      </w:r>
      <w:r w:rsidR="000C04D3" w:rsidRPr="00660424">
        <w:t>the</w:t>
      </w:r>
      <w:r w:rsidR="00C06335">
        <w:t xml:space="preserve"> global </w:t>
      </w:r>
      <w:r w:rsidR="00BA08BA">
        <w:t xml:space="preserve">cumulative </w:t>
      </w:r>
      <w:r w:rsidR="00C06335">
        <w:t xml:space="preserve">installed offshore wind capacity </w:t>
      </w:r>
      <w:r w:rsidR="000C04D3" w:rsidRPr="00660424">
        <w:t xml:space="preserve"> was </w:t>
      </w:r>
      <w:r w:rsidR="00C06335">
        <w:t xml:space="preserve"> approximate</w:t>
      </w:r>
      <w:r w:rsidR="00BA08BA">
        <w:t>ly</w:t>
      </w:r>
      <w:r w:rsidR="000C04D3" w:rsidRPr="00660424">
        <w:t xml:space="preserve"> </w:t>
      </w:r>
      <w:r w:rsidR="00BA08BA">
        <w:t>19</w:t>
      </w:r>
      <w:r w:rsidR="00C06335">
        <w:t xml:space="preserve">GW </w:t>
      </w:r>
      <w:r w:rsidR="000C04D3" w:rsidRPr="00660424">
        <w:t xml:space="preserve"> </w:t>
      </w:r>
      <w:r w:rsidR="00BA08BA">
        <w:t xml:space="preserve">with </w:t>
      </w:r>
      <w:r w:rsidR="000C04D3" w:rsidRPr="00660424">
        <w:t>Europe and China</w:t>
      </w:r>
      <w:r w:rsidR="00BA08BA">
        <w:t xml:space="preserve"> holding 84% and 16% shares respectively</w:t>
      </w:r>
      <w:r w:rsidR="005D3EE6">
        <w:t>.</w:t>
      </w:r>
    </w:p>
    <w:p w14:paraId="598256B3" w14:textId="04AB784B" w:rsidR="000C04D3" w:rsidRPr="00C15551" w:rsidRDefault="000C04D3" w:rsidP="00C15551">
      <w:pPr>
        <w:spacing w:line="240" w:lineRule="auto"/>
      </w:pPr>
      <w:r w:rsidRPr="00660424">
        <w:t xml:space="preserve">The total addressable </w:t>
      </w:r>
      <w:r w:rsidRPr="0028022C">
        <w:t>market for wind turbines (offshore) is based on projected global electricity generation in terawatt-hours from 2020-2050, with current adoption </w:t>
      </w:r>
      <w:r w:rsidR="0028022C" w:rsidRPr="0028022C">
        <w:t xml:space="preserve">in 2018 </w:t>
      </w:r>
      <w:r w:rsidRPr="0028022C">
        <w:t>estimated at 0.</w:t>
      </w:r>
      <w:r w:rsidR="0028022C" w:rsidRPr="0028022C">
        <w:t>2</w:t>
      </w:r>
      <w:r w:rsidR="00C15551">
        <w:t>7</w:t>
      </w:r>
      <w:r w:rsidRPr="0028022C">
        <w:t xml:space="preserve"> percent (i.e. </w:t>
      </w:r>
      <w:r w:rsidR="0028022C" w:rsidRPr="0028022C">
        <w:t>62</w:t>
      </w:r>
      <w:r w:rsidRPr="0028022C">
        <w:t xml:space="preserve"> terawatt-hours) of generation.</w:t>
      </w:r>
      <w:r w:rsidR="00F41119" w:rsidRPr="0028022C">
        <w:t xml:space="preserve"> </w:t>
      </w:r>
      <w:r w:rsidRPr="00C15551">
        <w:t xml:space="preserve">Impacts of increased adoption of </w:t>
      </w:r>
      <w:r w:rsidRPr="00C15551">
        <w:rPr>
          <w:rStyle w:val="Emphasis"/>
        </w:rPr>
        <w:t>wind turbines (o</w:t>
      </w:r>
      <w:r w:rsidR="00660424" w:rsidRPr="00C15551">
        <w:rPr>
          <w:rStyle w:val="Emphasis"/>
        </w:rPr>
        <w:t>ff</w:t>
      </w:r>
      <w:r w:rsidRPr="00C15551">
        <w:rPr>
          <w:rStyle w:val="Emphasis"/>
        </w:rPr>
        <w:t xml:space="preserve">shore) </w:t>
      </w:r>
      <w:r w:rsidRPr="00C15551">
        <w:t>from 2020-2050 were generated based on three growth scenarios, which were assessed in comparison to a </w:t>
      </w:r>
      <w:r w:rsidRPr="00C15551">
        <w:rPr>
          <w:rStyle w:val="Emphasis"/>
        </w:rPr>
        <w:t>Reference </w:t>
      </w:r>
      <w:r w:rsidRPr="00C15551">
        <w:t>Scenario where the solution’s market share was fixed at the current levels.</w:t>
      </w:r>
      <w:r w:rsidR="00C15551" w:rsidRPr="00C15551">
        <w:t xml:space="preserve"> </w:t>
      </w:r>
      <w:r w:rsidR="0028022C" w:rsidRPr="00C15551">
        <w:rPr>
          <w:rStyle w:val="Emphasis"/>
          <w:i w:val="0"/>
        </w:rPr>
        <w:t>Project Drawdown</w:t>
      </w:r>
      <w:r w:rsidR="0028022C" w:rsidRPr="00C15551">
        <w:rPr>
          <w:rStyle w:val="Emphasis"/>
        </w:rPr>
        <w:t xml:space="preserve"> </w:t>
      </w:r>
      <w:r w:rsidRPr="00C15551">
        <w:rPr>
          <w:rStyle w:val="Emphasis"/>
        </w:rPr>
        <w:t xml:space="preserve">Plausible </w:t>
      </w:r>
      <w:r w:rsidRPr="00C15551">
        <w:t>Scenario</w:t>
      </w:r>
      <w:r w:rsidR="0028022C" w:rsidRPr="00C15551">
        <w:t xml:space="preserve"> is b</w:t>
      </w:r>
      <w:r w:rsidRPr="00C15551">
        <w:t xml:space="preserve">ased on the evaluation of </w:t>
      </w:r>
      <w:r w:rsidR="00C15551" w:rsidRPr="00C15551">
        <w:t>four optimistic scenarios from IEA (2017) Energy Technology Perspectives 2DS and B2DS scenarios; IEA (2018)</w:t>
      </w:r>
      <w:r w:rsidR="00C15551" w:rsidRPr="00B22ACE">
        <w:t xml:space="preserve"> World Energy Outlook SDS; and Equinor (2018) Renewal Scenario; using</w:t>
      </w:r>
      <w:r w:rsidR="00C15551" w:rsidRPr="00A142FC">
        <w:t xml:space="preserve"> a </w:t>
      </w:r>
      <w:r w:rsidR="00C15551">
        <w:t>medium</w:t>
      </w:r>
      <w:r w:rsidR="00C15551" w:rsidRPr="00A142FC">
        <w:t xml:space="preserve"> growth trajectory</w:t>
      </w:r>
      <w:r w:rsidR="00C15551">
        <w:t xml:space="preserve">, </w:t>
      </w:r>
      <w:r w:rsidR="00C15551" w:rsidRPr="00C15551">
        <w:t>while</w:t>
      </w:r>
      <w:r w:rsidRPr="00C15551">
        <w:t xml:space="preserve"> capturing 4</w:t>
      </w:r>
      <w:r w:rsidR="00985E5D">
        <w:t>.2</w:t>
      </w:r>
      <w:r w:rsidRPr="00C15551">
        <w:t xml:space="preserve"> percent of the electricity generation market share in 2050.</w:t>
      </w:r>
      <w:r w:rsidR="00F41119" w:rsidRPr="00C15551">
        <w:t xml:space="preserve"> </w:t>
      </w:r>
      <w:r w:rsidRPr="00C15551">
        <w:rPr>
          <w:rStyle w:val="Emphasis"/>
        </w:rPr>
        <w:t xml:space="preserve">Drawdown </w:t>
      </w:r>
      <w:r w:rsidRPr="00C15551">
        <w:t xml:space="preserve">Scenario follows </w:t>
      </w:r>
      <w:r w:rsidR="00D03FA0">
        <w:t>the same sources and scenarios but considering a high growth</w:t>
      </w:r>
      <w:r w:rsidR="00C15551" w:rsidRPr="00C15551">
        <w:t>.</w:t>
      </w:r>
      <w:r w:rsidRPr="00C15551">
        <w:t xml:space="preserve"> </w:t>
      </w:r>
      <w:r w:rsidRPr="00C15551">
        <w:rPr>
          <w:rStyle w:val="Emphasis"/>
        </w:rPr>
        <w:t>Optimum</w:t>
      </w:r>
      <w:r w:rsidRPr="00C15551">
        <w:t xml:space="preserve"> Scenario </w:t>
      </w:r>
      <w:r w:rsidR="00C15551" w:rsidRPr="00C15551">
        <w:t>is based upon</w:t>
      </w:r>
      <w:r w:rsidRPr="00C15551">
        <w:t xml:space="preserve"> </w:t>
      </w:r>
      <w:r w:rsidR="00C15551" w:rsidRPr="00C15551">
        <w:rPr>
          <w:rFonts w:cs="Times New Roman"/>
        </w:rPr>
        <w:t xml:space="preserve">three 100% RES scenarios of electricity generation by 2050, being Greenpeace (2015) Advanced Energy [R]evolution Scenario; Ram </w:t>
      </w:r>
      <w:r w:rsidR="00C15551" w:rsidRPr="005A0949">
        <w:rPr>
          <w:rFonts w:cs="Times New Roman"/>
          <w:i/>
        </w:rPr>
        <w:t>et al.</w:t>
      </w:r>
      <w:r w:rsidR="00C15551" w:rsidRPr="00C15551">
        <w:rPr>
          <w:rFonts w:cs="Times New Roman"/>
        </w:rPr>
        <w:t xml:space="preserve"> (2019) scenario and Ecofys (2018) 1.5ºC scenario</w:t>
      </w:r>
      <w:r w:rsidR="00D03FA0">
        <w:t xml:space="preserve"> with a medium growth,</w:t>
      </w:r>
      <w:r w:rsidRPr="00C15551">
        <w:t xml:space="preserve">  resulting in a </w:t>
      </w:r>
      <w:r w:rsidR="00C15551" w:rsidRPr="00C15551">
        <w:t>5.8</w:t>
      </w:r>
      <w:r w:rsidRPr="00C15551">
        <w:t xml:space="preserve"> percent share of the market in 2050.</w:t>
      </w:r>
    </w:p>
    <w:p w14:paraId="4498FA52" w14:textId="01581574" w:rsidR="000C04D3" w:rsidRPr="00C15551" w:rsidRDefault="000C04D3" w:rsidP="00C15551">
      <w:pPr>
        <w:tabs>
          <w:tab w:val="left" w:pos="1134"/>
        </w:tabs>
        <w:spacing w:line="240" w:lineRule="auto"/>
      </w:pPr>
      <w:r w:rsidRPr="00C15551">
        <w:t xml:space="preserve">Through the process of integrating </w:t>
      </w:r>
      <w:r w:rsidRPr="00C15551">
        <w:rPr>
          <w:rStyle w:val="Emphasis"/>
        </w:rPr>
        <w:t>wind turbines (onshore and offshore)</w:t>
      </w:r>
      <w:r w:rsidRPr="00C15551">
        <w:t xml:space="preserve"> with other solutions, the total addressable market for electricity generation technologies was adjusted to account for reduced demand resulting from the growth of more energy-efficient technologies, as well as increased electrification from other solutions like </w:t>
      </w:r>
      <w:r w:rsidRPr="00C15551">
        <w:rPr>
          <w:rStyle w:val="Emphasis"/>
        </w:rPr>
        <w:t>electric vehicles</w:t>
      </w:r>
      <w:r w:rsidRPr="00C15551">
        <w:t xml:space="preserve"> and </w:t>
      </w:r>
      <w:r w:rsidRPr="00C15551">
        <w:rPr>
          <w:rStyle w:val="Emphasis"/>
        </w:rPr>
        <w:t>high-speed rail</w:t>
      </w:r>
      <w:r w:rsidRPr="00C15551">
        <w:t>. Grid emissions factors were calculated based on the annual mix of different electricity generating technologies over time. Emissions factors for each technology were determined through a meta-analysis of multiple sources, accounting for direct and indirect emissions.</w:t>
      </w:r>
    </w:p>
    <w:p w14:paraId="2B3BAC6D" w14:textId="1F82EB7D" w:rsidR="00C15551" w:rsidRPr="00FF3A1A" w:rsidRDefault="00C15551" w:rsidP="009715E2">
      <w:pPr>
        <w:tabs>
          <w:tab w:val="left" w:pos="1134"/>
        </w:tabs>
        <w:spacing w:line="240" w:lineRule="auto"/>
      </w:pPr>
      <w:r w:rsidRPr="00C15551">
        <w:rPr>
          <w:lang w:eastAsia="en-US"/>
        </w:rPr>
        <w:t xml:space="preserve">For offshore wind, growing from current adoption to </w:t>
      </w:r>
      <w:r w:rsidR="00985E5D">
        <w:rPr>
          <w:lang w:eastAsia="en-US"/>
        </w:rPr>
        <w:t>4.2</w:t>
      </w:r>
      <w:r w:rsidRPr="00C15551">
        <w:rPr>
          <w:lang w:eastAsia="en-US"/>
        </w:rPr>
        <w:t xml:space="preserve"> percent could avoid </w:t>
      </w:r>
      <w:r w:rsidR="00985E5D">
        <w:rPr>
          <w:lang w:eastAsia="en-US"/>
        </w:rPr>
        <w:t>10.8</w:t>
      </w:r>
      <w:r w:rsidRPr="00C15551">
        <w:rPr>
          <w:lang w:eastAsia="en-US"/>
        </w:rPr>
        <w:t xml:space="preserve"> gigatons of </w:t>
      </w:r>
      <w:r w:rsidR="005A0949">
        <w:rPr>
          <w:lang w:eastAsia="en-US"/>
        </w:rPr>
        <w:t xml:space="preserve">GHG </w:t>
      </w:r>
      <w:r w:rsidRPr="00C15551">
        <w:rPr>
          <w:lang w:eastAsia="en-US"/>
        </w:rPr>
        <w:t>emissions</w:t>
      </w:r>
      <w:r w:rsidR="005A0949">
        <w:rPr>
          <w:lang w:eastAsia="en-US"/>
        </w:rPr>
        <w:t xml:space="preserve"> in the </w:t>
      </w:r>
      <w:r w:rsidR="005A0949" w:rsidRPr="005A0949">
        <w:rPr>
          <w:i/>
          <w:lang w:eastAsia="en-US"/>
        </w:rPr>
        <w:t>Plausible</w:t>
      </w:r>
      <w:r w:rsidR="005A0949">
        <w:rPr>
          <w:lang w:eastAsia="en-US"/>
        </w:rPr>
        <w:t xml:space="preserve"> scenario</w:t>
      </w:r>
      <w:r w:rsidRPr="00C15551">
        <w:rPr>
          <w:lang w:eastAsia="en-US"/>
        </w:rPr>
        <w:t>. At a cumulative cost of $1.4 trillion, offshore wind turbines can deliver net</w:t>
      </w:r>
      <w:r w:rsidR="00985E5D">
        <w:rPr>
          <w:lang w:eastAsia="en-US"/>
        </w:rPr>
        <w:t xml:space="preserve"> operating</w:t>
      </w:r>
      <w:r w:rsidRPr="00C15551">
        <w:rPr>
          <w:lang w:eastAsia="en-US"/>
        </w:rPr>
        <w:t xml:space="preserve"> savings of $</w:t>
      </w:r>
      <w:r w:rsidR="00985E5D">
        <w:rPr>
          <w:lang w:eastAsia="en-US"/>
        </w:rPr>
        <w:t>324.4</w:t>
      </w:r>
      <w:r w:rsidRPr="00C15551">
        <w:rPr>
          <w:lang w:eastAsia="en-US"/>
        </w:rPr>
        <w:t xml:space="preserve"> billion over three decades of operation (2020-2050). These are conservative estimates, however. Costs are falling annually and new technological improvements are already being installed, increasing capacity to generate more electricity at the same or lower cost</w:t>
      </w:r>
      <w:r w:rsidR="005A0949">
        <w:rPr>
          <w:lang w:eastAsia="en-US"/>
        </w:rPr>
        <w:t xml:space="preserve">. In the </w:t>
      </w:r>
      <w:r w:rsidR="005A0949" w:rsidRPr="005A0949">
        <w:rPr>
          <w:i/>
          <w:lang w:eastAsia="en-US"/>
        </w:rPr>
        <w:t>Drawdown</w:t>
      </w:r>
      <w:r w:rsidR="005A0949">
        <w:rPr>
          <w:lang w:eastAsia="en-US"/>
        </w:rPr>
        <w:t xml:space="preserve"> and </w:t>
      </w:r>
      <w:r w:rsidR="005A0949" w:rsidRPr="005A0949">
        <w:rPr>
          <w:i/>
          <w:lang w:eastAsia="en-US"/>
        </w:rPr>
        <w:t xml:space="preserve">Optimum </w:t>
      </w:r>
      <w:r w:rsidR="005A0949">
        <w:rPr>
          <w:lang w:eastAsia="en-US"/>
        </w:rPr>
        <w:t xml:space="preserve">scenario the emissions reduction are calculated to be </w:t>
      </w:r>
      <w:r w:rsidR="00985E5D">
        <w:rPr>
          <w:lang w:eastAsia="en-US"/>
        </w:rPr>
        <w:t>11.5</w:t>
      </w:r>
      <w:r w:rsidR="005A0949">
        <w:rPr>
          <w:lang w:eastAsia="en-US"/>
        </w:rPr>
        <w:t xml:space="preserve"> and 2</w:t>
      </w:r>
      <w:r w:rsidR="00985E5D">
        <w:rPr>
          <w:lang w:eastAsia="en-US"/>
        </w:rPr>
        <w:t>5</w:t>
      </w:r>
      <w:r w:rsidR="005A0949">
        <w:rPr>
          <w:lang w:eastAsia="en-US"/>
        </w:rPr>
        <w:t>.</w:t>
      </w:r>
      <w:r w:rsidR="00985E5D">
        <w:rPr>
          <w:lang w:eastAsia="en-US"/>
        </w:rPr>
        <w:t>3</w:t>
      </w:r>
      <w:r w:rsidR="005A0949">
        <w:rPr>
          <w:lang w:eastAsia="en-US"/>
        </w:rPr>
        <w:t xml:space="preserve"> gigatons of CO</w:t>
      </w:r>
      <w:r w:rsidR="005A0949" w:rsidRPr="005A0949">
        <w:rPr>
          <w:vertAlign w:val="subscript"/>
          <w:lang w:eastAsia="en-US"/>
        </w:rPr>
        <w:t>2</w:t>
      </w:r>
      <w:r w:rsidR="005A0949" w:rsidRPr="005A0949">
        <w:rPr>
          <w:lang w:eastAsia="en-US"/>
        </w:rPr>
        <w:t>e</w:t>
      </w:r>
      <w:r w:rsidR="005A0949">
        <w:rPr>
          <w:lang w:eastAsia="en-US"/>
        </w:rPr>
        <w:t>.</w:t>
      </w:r>
    </w:p>
    <w:p w14:paraId="536FB063" w14:textId="4472FFC2" w:rsidR="00F52595" w:rsidRPr="00E069AC" w:rsidRDefault="000C04D3" w:rsidP="005A0949">
      <w:pPr>
        <w:tabs>
          <w:tab w:val="left" w:pos="1134"/>
        </w:tabs>
        <w:spacing w:line="240" w:lineRule="auto"/>
        <w:rPr>
          <w:lang w:eastAsia="en-US"/>
        </w:rPr>
        <w:sectPr w:rsidR="00F52595" w:rsidRPr="00E069AC" w:rsidSect="00BB79D6">
          <w:footerReference w:type="even" r:id="rId17"/>
          <w:footerReference w:type="default" r:id="rId18"/>
          <w:pgSz w:w="12240" w:h="15840"/>
          <w:pgMar w:top="1440" w:right="1440" w:bottom="1440" w:left="1440" w:header="720" w:footer="720" w:gutter="0"/>
          <w:cols w:space="720"/>
        </w:sectPr>
      </w:pPr>
      <w:r w:rsidRPr="00FF3A1A">
        <w:rPr>
          <w:lang w:eastAsia="en-US"/>
        </w:rPr>
        <w:t>Wind power plays a large and essential role in any long-term projections towards a low-carbon future. As a renewable resource, wind does not require mining or drilling for fuel, and its costs are therefore not susceptible to fluctuations in fossil fuel prices.</w:t>
      </w:r>
      <w:r w:rsidR="00F41119">
        <w:rPr>
          <w:lang w:eastAsia="en-US"/>
        </w:rPr>
        <w:t xml:space="preserve"> </w:t>
      </w:r>
      <w:r w:rsidRPr="00FF3A1A">
        <w:rPr>
          <w:lang w:eastAsia="en-US"/>
        </w:rPr>
        <w:t xml:space="preserve">One of the concerns with wind electricity is intermittency: wind speeds vary on a seasonal and hourly basis, requiring back-up power or storage at certain times to meet electricity demand. </w:t>
      </w:r>
      <w:r w:rsidR="00FF3A1A" w:rsidRPr="00CA3FF5">
        <w:rPr>
          <w:lang w:eastAsia="en-US"/>
        </w:rPr>
        <w:t>The growth of offshore wind could be aided by renewable energy and portfolio standards that mandate a certain level of renewable use. Wind developers could also benefit from regulatory stability, such as feed-in-tariffs that guarantee a certain rate of return on wind energy, and tax incentives that encourage investment in low-carbon projects like wind by helping offset development costs. Public research and development, particularly for this immature technology, can also help decrease costs. Technology knowledge transfer could help spread wind power across borders.</w:t>
      </w:r>
    </w:p>
    <w:p w14:paraId="34916870" w14:textId="0045908A" w:rsidR="00E815C8" w:rsidRPr="00E069AC" w:rsidRDefault="551A77D0" w:rsidP="00912CC8">
      <w:pPr>
        <w:pStyle w:val="Heading1"/>
      </w:pPr>
      <w:bookmarkStart w:id="4" w:name="_Toc18619501"/>
      <w:r w:rsidRPr="00E069AC">
        <w:lastRenderedPageBreak/>
        <w:t>Literature Review</w:t>
      </w:r>
      <w:bookmarkEnd w:id="4"/>
    </w:p>
    <w:p w14:paraId="450186CD" w14:textId="37951197" w:rsidR="008D0372" w:rsidRDefault="551A77D0" w:rsidP="00FF3A1A">
      <w:pPr>
        <w:pStyle w:val="Heading2"/>
      </w:pPr>
      <w:bookmarkStart w:id="5" w:name="_Toc18619502"/>
      <w:r w:rsidRPr="00E069AC">
        <w:t xml:space="preserve">State of </w:t>
      </w:r>
      <w:r w:rsidR="00FF3A1A">
        <w:t xml:space="preserve">Offshore </w:t>
      </w:r>
      <w:r w:rsidR="00254A8D">
        <w:t>W</w:t>
      </w:r>
      <w:r w:rsidR="00FF3A1A">
        <w:t>ind Energy technologies</w:t>
      </w:r>
      <w:bookmarkEnd w:id="5"/>
    </w:p>
    <w:p w14:paraId="32E187B3" w14:textId="71BD04AE" w:rsidR="000E3CD2" w:rsidRDefault="000E3CD2" w:rsidP="00FF3A1A">
      <w:r>
        <w:t>Offshore wind energy systems include o</w:t>
      </w:r>
      <w:r w:rsidR="008E16AC">
        <w:t>ffshore wind farms built in ocean</w:t>
      </w:r>
      <w:r>
        <w:t xml:space="preserve"> environments, usually in the body of water</w:t>
      </w:r>
      <w:r w:rsidR="008E16AC">
        <w:t>s</w:t>
      </w:r>
      <w:r>
        <w:t xml:space="preserve"> located in the </w:t>
      </w:r>
      <w:r w:rsidR="0072014F">
        <w:t xml:space="preserve">shallowest part of the </w:t>
      </w:r>
      <w:r>
        <w:t xml:space="preserve">continental </w:t>
      </w:r>
      <w:r w:rsidR="0072014F">
        <w:t xml:space="preserve">margin </w:t>
      </w:r>
      <w:r w:rsidR="007A7D1B">
        <w:t xml:space="preserve">(i.e. the continental shelf) which could be </w:t>
      </w:r>
      <w:r w:rsidR="000D2966">
        <w:t xml:space="preserve">up to an </w:t>
      </w:r>
      <w:r w:rsidR="007A7D1B">
        <w:t>average of 60 meters deep and 65 km wide before the continental slope</w:t>
      </w:r>
      <w:r w:rsidR="000D2966">
        <w:t xml:space="preserve"> (NGS, 2011)</w:t>
      </w:r>
      <w:r>
        <w:t>.</w:t>
      </w:r>
      <w:r w:rsidR="008E16AC">
        <w:t xml:space="preserve"> The ocean makes over 70% of the world’s surface area and it remains an abundant reserves of energy resource in the form of offshore wind, marine, and tidal energy.</w:t>
      </w:r>
    </w:p>
    <w:p w14:paraId="43448C59" w14:textId="680ADD86" w:rsidR="007B7B61" w:rsidRDefault="007B7B61" w:rsidP="00FF3A1A">
      <w:r>
        <w:t xml:space="preserve">Just like onshore wind energy, offshore wind energy involves capturing of energy from moving air. However, the underlying mechanism behind the ocean wind resource is much different. </w:t>
      </w:r>
      <w:r w:rsidR="00157B59">
        <w:t xml:space="preserve">In offshore, there are events of land breeze, sea breeze, and prevailing wind depending on the distance of the wind farm from shore. Offshore wind farm situated </w:t>
      </w:r>
      <w:r w:rsidR="007F3083">
        <w:t xml:space="preserve">within about 15km </w:t>
      </w:r>
      <w:r w:rsidR="00157B59">
        <w:t>close to the shore (or nearshore wind farm) takes advantage of</w:t>
      </w:r>
      <w:r w:rsidR="006E4269">
        <w:t xml:space="preserve"> sunrise and sunset</w:t>
      </w:r>
      <w:r w:rsidR="00157B59">
        <w:t xml:space="preserve"> fluctuations between</w:t>
      </w:r>
      <w:r w:rsidR="006E4269">
        <w:t xml:space="preserve"> </w:t>
      </w:r>
      <w:r w:rsidR="001F005B">
        <w:t>land and sea</w:t>
      </w:r>
      <w:r w:rsidR="00157B59">
        <w:t xml:space="preserve"> breeze</w:t>
      </w:r>
      <w:r w:rsidR="006E4269">
        <w:t xml:space="preserve"> respectively</w:t>
      </w:r>
      <w:r w:rsidR="001F005B">
        <w:t xml:space="preserve"> (triggered by differential heating of air over land and sea) </w:t>
      </w:r>
      <w:r w:rsidR="00157B59">
        <w:t xml:space="preserve">to generate energy, while the far-offshore wind farm </w:t>
      </w:r>
      <w:r w:rsidR="001F005B">
        <w:t>relies</w:t>
      </w:r>
      <w:r w:rsidR="00157B59">
        <w:t xml:space="preserve"> predominantly on the prevailing winds.</w:t>
      </w:r>
      <w:r w:rsidR="007F3083">
        <w:t xml:space="preserve"> The former has the benefit of </w:t>
      </w:r>
      <w:r w:rsidR="006E4269">
        <w:t xml:space="preserve">producing cheaper electricity at the expense of visual </w:t>
      </w:r>
      <w:r w:rsidR="00B31546">
        <w:t>impacts</w:t>
      </w:r>
      <w:r w:rsidR="006E4269">
        <w:t>, while the later yield</w:t>
      </w:r>
      <w:r w:rsidR="001F005B">
        <w:t>s</w:t>
      </w:r>
      <w:r w:rsidR="006E4269">
        <w:t xml:space="preserve"> higher capacity factor at the expense of higher </w:t>
      </w:r>
      <w:r w:rsidR="001F005B">
        <w:t xml:space="preserve">foundation and </w:t>
      </w:r>
      <w:r w:rsidR="006E4269">
        <w:t>system integration costs, and the reduced economic life of turbines.</w:t>
      </w:r>
    </w:p>
    <w:p w14:paraId="3951A9B9" w14:textId="08432BD4" w:rsidR="007B7B61" w:rsidRDefault="001F005B" w:rsidP="00FF3A1A">
      <w:r>
        <w:t xml:space="preserve">Offshore wind </w:t>
      </w:r>
      <w:r w:rsidR="00531A73">
        <w:t>farm</w:t>
      </w:r>
      <w:r>
        <w:t xml:space="preserve"> </w:t>
      </w:r>
      <w:r w:rsidR="000538DD">
        <w:t xml:space="preserve">came into spotlight in 1991 when </w:t>
      </w:r>
      <w:hyperlink r:id="rId19" w:history="1">
        <w:r w:rsidR="000538DD" w:rsidRPr="00EB7876">
          <w:t>Ørsted</w:t>
        </w:r>
      </w:hyperlink>
      <w:r w:rsidR="000538DD">
        <w:t xml:space="preserve"> deployed eleven units of 450 kW turbines (or 4.95 MW) about </w:t>
      </w:r>
      <w:r w:rsidR="00531A73">
        <w:t xml:space="preserve">4 meters deep and </w:t>
      </w:r>
      <w:r w:rsidR="000538DD">
        <w:t>2</w:t>
      </w:r>
      <w:r w:rsidR="00531A73">
        <w:t xml:space="preserve"> </w:t>
      </w:r>
      <w:r w:rsidR="000538DD">
        <w:t xml:space="preserve">km away from the shore of Vindeby, Denmark. The Vindeby wind farm (now decommissioned since 2017) </w:t>
      </w:r>
      <w:r w:rsidR="00B55D9B">
        <w:t>lasted for 25 years and</w:t>
      </w:r>
      <w:r w:rsidR="00531A73">
        <w:t xml:space="preserve"> attained a capacity factor of about 22% with the turbines of 35 meters rotor and 35 meters hub height. </w:t>
      </w:r>
      <w:r w:rsidR="00D24983">
        <w:t xml:space="preserve">In other regions, </w:t>
      </w:r>
      <w:r w:rsidR="00F71B62">
        <w:t xml:space="preserve">first </w:t>
      </w:r>
      <w:r w:rsidR="00D24983">
        <w:t>o</w:t>
      </w:r>
      <w:r w:rsidR="00F71B62">
        <w:t xml:space="preserve">ffshore wind farm arrived </w:t>
      </w:r>
      <w:r w:rsidR="00D24983">
        <w:t>United States waters</w:t>
      </w:r>
      <w:r w:rsidR="00F71B62">
        <w:t xml:space="preserve"> in 2016</w:t>
      </w:r>
      <w:r w:rsidR="00D24983">
        <w:t xml:space="preserve"> </w:t>
      </w:r>
      <w:r w:rsidR="00F71B62">
        <w:t>as 30</w:t>
      </w:r>
      <w:r w:rsidR="00B31546">
        <w:t xml:space="preserve"> </w:t>
      </w:r>
      <w:r w:rsidR="00F71B62">
        <w:t>MW Block Island Wind Farm, China’s 102MW</w:t>
      </w:r>
      <w:r w:rsidR="00F71B62" w:rsidRPr="00B31546">
        <w:t> </w:t>
      </w:r>
      <w:hyperlink r:id="rId20" w:tooltip="Donghai Bridge Wind Farm" w:history="1">
        <w:r w:rsidR="00F71B62" w:rsidRPr="00B31546">
          <w:t>Donghai Bridge Wind Farm</w:t>
        </w:r>
      </w:hyperlink>
      <w:r w:rsidR="00F71B62">
        <w:t xml:space="preserve"> in 2010, </w:t>
      </w:r>
      <w:r w:rsidR="006F71CD">
        <w:t xml:space="preserve">UK’s 60MW </w:t>
      </w:r>
      <w:r w:rsidR="006F71CD" w:rsidRPr="00B31546">
        <w:t>North Hoyle Offshore Wind Farm in</w:t>
      </w:r>
      <w:r w:rsidR="006F71CD">
        <w:t xml:space="preserve"> 2003, Germany’s 60</w:t>
      </w:r>
      <w:r w:rsidR="00B31546">
        <w:t xml:space="preserve"> </w:t>
      </w:r>
      <w:r w:rsidR="006F71CD">
        <w:t xml:space="preserve">MW </w:t>
      </w:r>
      <w:r w:rsidR="006F71CD" w:rsidRPr="00B31546">
        <w:t xml:space="preserve">Alpha Ventus Offshore Wind </w:t>
      </w:r>
      <w:r w:rsidR="006F71CD" w:rsidRPr="006F71CD">
        <w:t>Farm</w:t>
      </w:r>
      <w:r w:rsidR="008F0F3F">
        <w:t>, Sweden’s 2.75</w:t>
      </w:r>
      <w:r w:rsidR="00B31546">
        <w:t xml:space="preserve"> </w:t>
      </w:r>
      <w:r w:rsidR="008F0F3F">
        <w:t xml:space="preserve">MW </w:t>
      </w:r>
      <w:hyperlink r:id="rId21" w:tgtFrame="_blank" w:history="1">
        <w:r w:rsidR="008F0F3F" w:rsidRPr="00B31546">
          <w:t>Bockstigen</w:t>
        </w:r>
      </w:hyperlink>
      <w:r w:rsidR="008F0F3F" w:rsidRPr="00B31546">
        <w:t> wind farm </w:t>
      </w:r>
      <w:r w:rsidR="008F0F3F">
        <w:t>in 1998</w:t>
      </w:r>
      <w:r w:rsidR="006F71CD" w:rsidRPr="00B31546">
        <w:t xml:space="preserve"> </w:t>
      </w:r>
      <w:r w:rsidR="008F0F3F">
        <w:t>which is now reputed as the World’s first offshore wind farm re-powering project in 2018.</w:t>
      </w:r>
      <w:r w:rsidR="00A63B16">
        <w:t xml:space="preserve"> </w:t>
      </w:r>
      <w:r w:rsidR="008E16AC">
        <w:t>In October 2017, Scotland played</w:t>
      </w:r>
      <w:r w:rsidR="00A63B16">
        <w:t xml:space="preserve"> host to the </w:t>
      </w:r>
      <w:r w:rsidR="008E16AC">
        <w:t xml:space="preserve">30MW Hywind, the </w:t>
      </w:r>
      <w:r w:rsidR="00A63B16">
        <w:t xml:space="preserve">world’s </w:t>
      </w:r>
      <w:r w:rsidR="008E16AC">
        <w:t>first</w:t>
      </w:r>
      <w:r w:rsidR="00A63B16">
        <w:t xml:space="preserve"> offshore wind farm</w:t>
      </w:r>
      <w:r w:rsidR="008E16AC">
        <w:t xml:space="preserve"> using floating wind turbines </w:t>
      </w:r>
      <w:r w:rsidR="00DA4A53">
        <w:t xml:space="preserve">located 25km from the shore at a water depth of 110 meters </w:t>
      </w:r>
      <w:r w:rsidR="00A63B16">
        <w:t>(REN21, 2018).</w:t>
      </w:r>
      <w:r w:rsidR="0031519D">
        <w:t xml:space="preserve"> In September 2018, a 659</w:t>
      </w:r>
      <w:r w:rsidR="00B31546">
        <w:t xml:space="preserve"> </w:t>
      </w:r>
      <w:r w:rsidR="0031519D">
        <w:t>MW Walney wind farm in the UK located 15</w:t>
      </w:r>
      <w:r w:rsidR="00B31546">
        <w:t xml:space="preserve"> </w:t>
      </w:r>
      <w:r w:rsidR="0031519D">
        <w:t>km from shore and varying water depths averaging 136 meters becomes the world’s largest offshore wind farm.</w:t>
      </w:r>
    </w:p>
    <w:p w14:paraId="6E622252" w14:textId="1F906B49" w:rsidR="007A5989" w:rsidRDefault="007A5989" w:rsidP="00FF3A1A">
      <w:r>
        <w:t>The idea of o</w:t>
      </w:r>
      <w:r w:rsidR="00B31546">
        <w:t>ns</w:t>
      </w:r>
      <w:r>
        <w:t>hore wind power applications has been around for much longer, and this created a</w:t>
      </w:r>
      <w:r w:rsidR="00C478BD">
        <w:t xml:space="preserve"> potentially </w:t>
      </w:r>
      <w:r>
        <w:t>opportunity for knowledge transfer from onshore wind innovation to offshore wind research and development</w:t>
      </w:r>
      <w:r w:rsidR="00182BC2">
        <w:t xml:space="preserve">. </w:t>
      </w:r>
      <w:r w:rsidR="00C478BD">
        <w:t>T</w:t>
      </w:r>
      <w:r w:rsidR="00182BC2">
        <w:t>hough this d</w:t>
      </w:r>
      <w:r w:rsidR="00C478BD">
        <w:t>id</w:t>
      </w:r>
      <w:r w:rsidR="00182BC2">
        <w:t xml:space="preserve"> not </w:t>
      </w:r>
      <w:r w:rsidR="00C478BD">
        <w:t xml:space="preserve">significantly </w:t>
      </w:r>
      <w:r w:rsidR="00182BC2">
        <w:t>impact</w:t>
      </w:r>
      <w:r w:rsidR="00C478BD">
        <w:t>ed</w:t>
      </w:r>
      <w:r w:rsidR="00182BC2">
        <w:t xml:space="preserve"> the offshore </w:t>
      </w:r>
      <w:r w:rsidR="00B30C96">
        <w:t xml:space="preserve">wind </w:t>
      </w:r>
      <w:r>
        <w:t xml:space="preserve">technology learning </w:t>
      </w:r>
      <w:r w:rsidR="00182BC2">
        <w:t xml:space="preserve">rate as </w:t>
      </w:r>
      <w:r w:rsidR="00B30C96">
        <w:t>expected</w:t>
      </w:r>
      <w:r w:rsidR="00C478BD">
        <w:t xml:space="preserve"> because of the difference in cost drivers.</w:t>
      </w:r>
    </w:p>
    <w:p w14:paraId="3E6EFC12" w14:textId="1129CA82" w:rsidR="00B30C96" w:rsidRDefault="00B30C96" w:rsidP="00FF3A1A">
      <w:r>
        <w:t>Technology advancement has led to the sophistication of offshore wind turbines, control systems, foundation, and system integration to enable the exploitation of more abundant and steadier wind resource</w:t>
      </w:r>
      <w:r w:rsidR="00144585">
        <w:t xml:space="preserve"> deeper offshore where higher capacity factors </w:t>
      </w:r>
      <w:r w:rsidR="002B3035">
        <w:t xml:space="preserve">gives a good </w:t>
      </w:r>
      <w:r w:rsidR="00144585">
        <w:t>trade-off with the cost implications.</w:t>
      </w:r>
      <w:r w:rsidR="00912F43">
        <w:t xml:space="preserve"> </w:t>
      </w:r>
      <w:r w:rsidR="00CD5DCA">
        <w:t>There is no major technical disparity between wind turbine blades for onshore applications and the ones for o</w:t>
      </w:r>
      <w:r w:rsidR="00912F43">
        <w:t>ffshore</w:t>
      </w:r>
      <w:r w:rsidR="00CD5DCA">
        <w:t xml:space="preserve"> environment, except that offshore</w:t>
      </w:r>
      <w:r w:rsidR="00912F43">
        <w:t xml:space="preserve"> blades are usually of mega-watt scale </w:t>
      </w:r>
      <w:r w:rsidR="00CD5DCA">
        <w:t>(which means larger size) especially for current generations of offshore wind farms. This is largely due to higher wind resource, and lack of space constraints in offshore sites.</w:t>
      </w:r>
      <w:r w:rsidR="00F74F4E">
        <w:t xml:space="preserve"> Like onshore wind farms, offshore wind space is dominated by horizontal axis wind turbines which are usually heavier and thus lead to higher substructure costs compare to vertical axis wind turbines which have rotational axis perpendicular to the ground. Research and Development effort have been geared towards vertical axis wind turbines as the desire to go deeper offshore grows.</w:t>
      </w:r>
      <w:r w:rsidR="00BF0C67">
        <w:t xml:space="preserve"> Unlike the horizontal axis wind turbines (HAWT), the vertical axis (VAWT) counterparts are insensitive to wind direction and as such allows for larger rotor size to be deployed with increased rated power per turbine. Also, the operating and maintenance (O&amp;M) cost is much lower for VAWT due to relative ease of handling, transportation, and accessibility of the drivetrain</w:t>
      </w:r>
      <w:r w:rsidR="00166C53">
        <w:t xml:space="preserve"> (</w:t>
      </w:r>
      <w:r w:rsidR="00166C53" w:rsidRPr="00166C53">
        <w:t>Griffith</w:t>
      </w:r>
      <w:r w:rsidR="00166C53">
        <w:t>, 2015)</w:t>
      </w:r>
      <w:r w:rsidR="00BF0C67">
        <w:t>.</w:t>
      </w:r>
    </w:p>
    <w:p w14:paraId="49D7136F" w14:textId="27422A59" w:rsidR="00FF3A1A" w:rsidRPr="00251902" w:rsidRDefault="00FF3A1A" w:rsidP="00FF3A1A">
      <w:r w:rsidRPr="00251902">
        <w:t>Foundations represent a</w:t>
      </w:r>
      <w:r w:rsidR="004104B4">
        <w:t xml:space="preserve">n important </w:t>
      </w:r>
      <w:r w:rsidRPr="00251902">
        <w:t>component</w:t>
      </w:r>
      <w:r w:rsidR="004104B4">
        <w:t xml:space="preserve"> of costs (i.e. </w:t>
      </w:r>
      <w:r w:rsidRPr="00251902">
        <w:t>around 18% of total installed costs</w:t>
      </w:r>
      <w:r w:rsidR="004104B4">
        <w:t>)</w:t>
      </w:r>
      <w:r w:rsidRPr="00251902">
        <w:t xml:space="preserve">. </w:t>
      </w:r>
      <w:r w:rsidR="004104B4">
        <w:t>F</w:t>
      </w:r>
      <w:r w:rsidRPr="00251902">
        <w:t>ixed foundations have</w:t>
      </w:r>
      <w:r w:rsidR="004104B4">
        <w:t xml:space="preserve"> mostly</w:t>
      </w:r>
      <w:r w:rsidRPr="00251902">
        <w:t xml:space="preserve"> been used in utility-scale offshore wind farms (IRENA, 2016</w:t>
      </w:r>
      <w:r w:rsidR="00C34CCC">
        <w:t>a</w:t>
      </w:r>
      <w:r w:rsidRPr="00251902">
        <w:t xml:space="preserve">). The majority of substructures currently used area </w:t>
      </w:r>
      <w:r w:rsidR="00F3570C">
        <w:t>monopiles (97%</w:t>
      </w:r>
      <w:r w:rsidR="00AD7415">
        <w:t>),</w:t>
      </w:r>
      <w:r w:rsidR="00F3570C">
        <w:t xml:space="preserve"> and jackets (3</w:t>
      </w:r>
      <w:r w:rsidR="00A275A4">
        <w:t>%).</w:t>
      </w:r>
      <w:r w:rsidR="00F3570C">
        <w:t xml:space="preserve"> </w:t>
      </w:r>
      <w:r w:rsidRPr="00251902">
        <w:rPr>
          <w:color w:val="221E1F"/>
        </w:rPr>
        <w:t>Alternatively</w:t>
      </w:r>
      <w:r w:rsidR="00F3570C">
        <w:rPr>
          <w:color w:val="221E1F"/>
        </w:rPr>
        <w:t>,</w:t>
      </w:r>
      <w:r w:rsidRPr="00251902">
        <w:rPr>
          <w:color w:val="221E1F"/>
        </w:rPr>
        <w:t xml:space="preserve"> floating technologies for deep offshore areas where having turbine foundations in the seabed is not suitable, are currently being tested as prototypes (</w:t>
      </w:r>
      <w:r w:rsidRPr="00251902">
        <w:rPr>
          <w:i/>
          <w:color w:val="221E1F"/>
        </w:rPr>
        <w:t>e.g.</w:t>
      </w:r>
      <w:r w:rsidRPr="00251902">
        <w:rPr>
          <w:color w:val="221E1F"/>
        </w:rPr>
        <w:t xml:space="preserve"> Windfloat project</w:t>
      </w:r>
      <w:r w:rsidR="004104B4">
        <w:rPr>
          <w:color w:val="221E1F"/>
        </w:rPr>
        <w:t xml:space="preserve"> in the coastline of Portugal</w:t>
      </w:r>
      <w:r w:rsidRPr="00251902">
        <w:rPr>
          <w:color w:val="221E1F"/>
        </w:rPr>
        <w:t xml:space="preserve">) with several advantages </w:t>
      </w:r>
      <w:r w:rsidRPr="00251902">
        <w:rPr>
          <w:rFonts w:eastAsia="Times New Roman"/>
        </w:rPr>
        <w:t>such as: “static and dynamic stability provides sufficiently low pitch performance enabling use of commercial offshore wind turbines; second, its design and fabrication methodology allow for onshore assembly of the complete system including the turbine; third, its shallow draft allows for depth independent siting and wet tow (fully assembled and commissioned) to installation site” (Principal Power, 2015).</w:t>
      </w:r>
    </w:p>
    <w:p w14:paraId="31D5F82D" w14:textId="2230E2EA" w:rsidR="00FF3A1A" w:rsidRPr="00D81B0F" w:rsidRDefault="00FF3A1A" w:rsidP="00D81B0F">
      <w:pPr>
        <w:widowControl w:val="0"/>
        <w:autoSpaceDE w:val="0"/>
        <w:autoSpaceDN w:val="0"/>
        <w:adjustRightInd w:val="0"/>
      </w:pPr>
      <w:r w:rsidRPr="00251902">
        <w:t xml:space="preserve">Offshore wind farms that have entered operation since 2010 are reaching capacity factors of 40% to 50%, after hovering around 20-35%, reflecting their increased siting further offshore where wind resources are higher. Projects currently under construction are expected to reach capacity factors of 40% to 55%. </w:t>
      </w:r>
      <w:r w:rsidRPr="00251902">
        <w:rPr>
          <w:color w:val="221E1F"/>
        </w:rPr>
        <w:t>Over the years, offshore wind farms have moved further from shore and into deeper waters, increasing capital costs but also the capacity factor and electricity generation (Hahn and Gilman, 2014).</w:t>
      </w:r>
    </w:p>
    <w:p w14:paraId="1F810583" w14:textId="32146141" w:rsidR="00791619" w:rsidRDefault="00FF3A1A" w:rsidP="00FF3A1A">
      <w:pPr>
        <w:widowControl w:val="0"/>
        <w:autoSpaceDE w:val="0"/>
        <w:autoSpaceDN w:val="0"/>
        <w:adjustRightInd w:val="0"/>
      </w:pPr>
      <w:r w:rsidRPr="00251902">
        <w:t xml:space="preserve">The </w:t>
      </w:r>
      <w:r w:rsidR="00791619">
        <w:t xml:space="preserve">global </w:t>
      </w:r>
      <w:r w:rsidRPr="00251902">
        <w:t>average installed costs for offshore wind infrastructures, between 20</w:t>
      </w:r>
      <w:r w:rsidR="00791619">
        <w:t>14</w:t>
      </w:r>
      <w:r w:rsidRPr="00251902">
        <w:t xml:space="preserve"> and 20</w:t>
      </w:r>
      <w:r w:rsidR="00791619">
        <w:t>18</w:t>
      </w:r>
      <w:r w:rsidRPr="00251902">
        <w:t xml:space="preserve">, for commissioned and proposed projects </w:t>
      </w:r>
      <w:r w:rsidR="00791619">
        <w:t>ranges from US$2,070</w:t>
      </w:r>
      <w:r w:rsidR="00C43694">
        <w:t>/kW</w:t>
      </w:r>
      <w:r w:rsidR="00791619">
        <w:t xml:space="preserve"> to US$5,077</w:t>
      </w:r>
      <w:r w:rsidR="00C43694">
        <w:t xml:space="preserve">/kW </w:t>
      </w:r>
      <w:r w:rsidRPr="00251902">
        <w:t xml:space="preserve">, and approximately U </w:t>
      </w:r>
      <w:r w:rsidR="00791619">
        <w:t>US$</w:t>
      </w:r>
      <w:r w:rsidR="00791619" w:rsidRPr="00791619">
        <w:t>2</w:t>
      </w:r>
      <w:r w:rsidR="00791619">
        <w:t>,</w:t>
      </w:r>
      <w:r w:rsidR="00791619" w:rsidRPr="00791619">
        <w:t>583.5</w:t>
      </w:r>
      <w:r w:rsidR="00791619">
        <w:t xml:space="preserve">/kW </w:t>
      </w:r>
      <w:r w:rsidRPr="00251902">
        <w:t>in China (IRENA, 2015</w:t>
      </w:r>
      <w:r w:rsidR="00B31546">
        <w:t xml:space="preserve">; </w:t>
      </w:r>
      <w:r w:rsidRPr="00251902">
        <w:t>REN21</w:t>
      </w:r>
      <w:r w:rsidR="00791619">
        <w:t>,</w:t>
      </w:r>
      <w:r w:rsidR="00B31546">
        <w:t xml:space="preserve"> </w:t>
      </w:r>
      <w:r w:rsidR="00791619">
        <w:t>2016</w:t>
      </w:r>
      <w:r w:rsidRPr="00251902">
        <w:t>)</w:t>
      </w:r>
      <w:r w:rsidR="00791619">
        <w:t>.</w:t>
      </w:r>
      <w:r w:rsidRPr="00251902">
        <w:t xml:space="preserve"> </w:t>
      </w:r>
      <w:r w:rsidR="00791619">
        <w:t>The average installed cost for</w:t>
      </w:r>
      <w:r w:rsidR="00C43694">
        <w:t xml:space="preserve"> Europe is approximately</w:t>
      </w:r>
      <w:r w:rsidR="00791619">
        <w:t xml:space="preserve"> </w:t>
      </w:r>
      <w:r w:rsidR="00C43694">
        <w:t>US$4,309/kW</w:t>
      </w:r>
      <w:r w:rsidR="00FB539E">
        <w:t xml:space="preserve"> based on 2014 dollar </w:t>
      </w:r>
      <w:r w:rsidR="00C43694">
        <w:t>exchange rate.</w:t>
      </w:r>
    </w:p>
    <w:p w14:paraId="789EB414" w14:textId="4A35E3CF" w:rsidR="00FF3A1A" w:rsidRPr="00251902" w:rsidRDefault="00CB452F" w:rsidP="00FF3A1A">
      <w:pPr>
        <w:widowControl w:val="0"/>
        <w:autoSpaceDE w:val="0"/>
        <w:autoSpaceDN w:val="0"/>
        <w:adjustRightInd w:val="0"/>
      </w:pPr>
      <w:r>
        <w:t xml:space="preserve">The difference in costs among the regions are due in part to </w:t>
      </w:r>
      <w:r w:rsidR="00A03A5C">
        <w:t>the varying installation and system integration requirements of wind farms further from shore, and the degree of complexity of the met-ocean (combined wind climate, ocean’s wave</w:t>
      </w:r>
      <w:r w:rsidR="005A7A64">
        <w:t xml:space="preserve"> and salinity</w:t>
      </w:r>
      <w:r w:rsidR="00A03A5C">
        <w:t xml:space="preserve">) </w:t>
      </w:r>
      <w:r w:rsidR="005A7A64">
        <w:t>condition</w:t>
      </w:r>
      <w:r w:rsidR="00A03A5C">
        <w:t xml:space="preserve">s. </w:t>
      </w:r>
    </w:p>
    <w:p w14:paraId="593FAC4A" w14:textId="15BBBF4D" w:rsidR="00FF3A1A" w:rsidRPr="00A275A4" w:rsidRDefault="00FF3A1A" w:rsidP="00A275A4">
      <w:pPr>
        <w:rPr>
          <w:highlight w:val="green"/>
        </w:rPr>
      </w:pPr>
      <w:r w:rsidRPr="00251902">
        <w:t>Although offshore wind remains significantly more expensive than onshore, the LCOE for offshore wind generation also declined</w:t>
      </w:r>
      <w:r w:rsidR="0088329E">
        <w:t xml:space="preserve"> by 18% </w:t>
      </w:r>
      <w:r w:rsidR="00F03E3B">
        <w:t>between 2010 – 2017 (REN21, 2018).</w:t>
      </w:r>
      <w:r w:rsidRPr="00251902">
        <w:t xml:space="preserve"> Due to the harsher marine environment, O&amp;M costs for offshore wind are expected to be higher than onshore, in the average values ranging of</w:t>
      </w:r>
      <w:r>
        <w:t xml:space="preserve"> US$0.</w:t>
      </w:r>
      <w:r w:rsidRPr="00251902">
        <w:t xml:space="preserve">07/kWh globally (IRENA, 2015). </w:t>
      </w:r>
      <w:r w:rsidR="00D81B0F">
        <w:t>Additionally, floating wind onshore systems could be at the higher end of project costs where ground mounted wind offshore could provide near to medium term cost effectiveness.</w:t>
      </w:r>
      <w:r w:rsidR="00A82E0D">
        <w:t xml:space="preserve"> Floating offshore wind</w:t>
      </w:r>
      <w:r w:rsidR="002D337D">
        <w:t xml:space="preserve"> technology</w:t>
      </w:r>
      <w:r w:rsidR="00A82E0D">
        <w:t xml:space="preserve"> is expected to be more competitive in deep portion of the continental shelve where higher capacity factor is guaranteed.</w:t>
      </w:r>
    </w:p>
    <w:p w14:paraId="111F4010" w14:textId="43A6976C" w:rsidR="00434F61" w:rsidRPr="00E069AC" w:rsidRDefault="551A77D0" w:rsidP="00EB247F">
      <w:pPr>
        <w:pStyle w:val="Heading2"/>
      </w:pPr>
      <w:bookmarkStart w:id="6" w:name="_Toc18619503"/>
      <w:r w:rsidRPr="00E069AC">
        <w:t>Adoption Path</w:t>
      </w:r>
      <w:bookmarkEnd w:id="6"/>
    </w:p>
    <w:p w14:paraId="2027DBA6" w14:textId="2B6436C2" w:rsidR="00D1508C" w:rsidRPr="00E069AC" w:rsidRDefault="551A77D0" w:rsidP="005D49A8">
      <w:pPr>
        <w:pStyle w:val="Heading3"/>
      </w:pPr>
      <w:bookmarkStart w:id="7" w:name="_Toc18619504"/>
      <w:r w:rsidRPr="00E069AC">
        <w:t>Current Adoption</w:t>
      </w:r>
      <w:bookmarkEnd w:id="7"/>
    </w:p>
    <w:p w14:paraId="44C48DDE" w14:textId="6AB97CDB" w:rsidR="0018298D" w:rsidRPr="00251902" w:rsidRDefault="00660424" w:rsidP="0018298D">
      <w:r>
        <w:t>The</w:t>
      </w:r>
      <w:r w:rsidR="0018298D" w:rsidRPr="00251902">
        <w:t xml:space="preserve"> capacity </w:t>
      </w:r>
      <w:r>
        <w:t xml:space="preserve">of </w:t>
      </w:r>
      <w:r w:rsidRPr="00251902">
        <w:t>offshore wind farms</w:t>
      </w:r>
      <w:r w:rsidR="0018298D" w:rsidRPr="00251902">
        <w:t xml:space="preserve"> grew significantly</w:t>
      </w:r>
      <w:r w:rsidR="0018298D">
        <w:t xml:space="preserve"> </w:t>
      </w:r>
      <w:r>
        <w:t xml:space="preserve">in the last years </w:t>
      </w:r>
      <w:r w:rsidR="0018298D">
        <w:t>with an estimated 3.</w:t>
      </w:r>
      <w:r w:rsidR="0018298D" w:rsidRPr="00251902">
        <w:t>4 GW connected to grids, about double the additions in 2014, mostly in Europe (91%), for a world total exceeding 12GW (REN21, 2016). Germany accounted for about two-thirds of g</w:t>
      </w:r>
      <w:r w:rsidR="0018298D">
        <w:t>lobal new offshore (</w:t>
      </w:r>
      <w:r w:rsidR="004104B4">
        <w:t>with a total of</w:t>
      </w:r>
      <w:r w:rsidR="0018298D">
        <w:t xml:space="preserve"> 2.</w:t>
      </w:r>
      <w:r w:rsidR="0018298D" w:rsidRPr="00251902">
        <w:t>2</w:t>
      </w:r>
      <w:r w:rsidR="00FC7036">
        <w:t xml:space="preserve"> </w:t>
      </w:r>
      <w:r w:rsidR="0018298D" w:rsidRPr="00251902">
        <w:t>GW)</w:t>
      </w:r>
      <w:r w:rsidR="004104B4">
        <w:t xml:space="preserve">, </w:t>
      </w:r>
      <w:r w:rsidR="0018298D" w:rsidRPr="00251902">
        <w:t>followed by the United Kingdom (571</w:t>
      </w:r>
      <w:r w:rsidR="00FC7036">
        <w:t xml:space="preserve"> </w:t>
      </w:r>
      <w:r w:rsidR="0018298D" w:rsidRPr="00251902">
        <w:t>MW), China (361</w:t>
      </w:r>
      <w:r w:rsidR="00FC7036">
        <w:t xml:space="preserve"> </w:t>
      </w:r>
      <w:r w:rsidR="0018298D" w:rsidRPr="00251902">
        <w:t>MW), the Netherlands (180</w:t>
      </w:r>
      <w:r w:rsidR="00FC7036">
        <w:t xml:space="preserve"> </w:t>
      </w:r>
      <w:r w:rsidR="0018298D" w:rsidRPr="00251902">
        <w:t>MW) and Japan (3MW), the only other countries to add capacity offshore in 2015.</w:t>
      </w:r>
    </w:p>
    <w:p w14:paraId="438348F4" w14:textId="6D8192C6" w:rsidR="0018298D" w:rsidRPr="00251902" w:rsidRDefault="0018298D" w:rsidP="0018298D">
      <w:r w:rsidRPr="00251902">
        <w:t>The increase in capacity is also reflected in the generation of electricity from wind technologies, growing from 31</w:t>
      </w:r>
      <w:r w:rsidR="00FC7036">
        <w:t xml:space="preserve"> </w:t>
      </w:r>
      <w:r w:rsidRPr="00251902">
        <w:t xml:space="preserve">TWh in 2000 to around </w:t>
      </w:r>
      <w:r w:rsidR="00A82E0D">
        <w:t xml:space="preserve">25 </w:t>
      </w:r>
      <w:r w:rsidRPr="00251902">
        <w:t>TWh in 2014</w:t>
      </w:r>
      <w:r w:rsidR="00A82E0D">
        <w:t>, 36 TWh in 2016, and 42 TWh in 2017</w:t>
      </w:r>
      <w:r w:rsidRPr="00251902">
        <w:t xml:space="preserve">. At a </w:t>
      </w:r>
      <w:r>
        <w:t xml:space="preserve">regional </w:t>
      </w:r>
      <w:r w:rsidRPr="00251902">
        <w:t xml:space="preserve">level </w:t>
      </w:r>
      <w:r w:rsidR="00852036">
        <w:t xml:space="preserve">in 2017, </w:t>
      </w:r>
      <w:r w:rsidRPr="00251902">
        <w:t xml:space="preserve"> </w:t>
      </w:r>
      <w:r w:rsidR="00852036">
        <w:t xml:space="preserve">electricity </w:t>
      </w:r>
      <w:r w:rsidRPr="00251902">
        <w:t xml:space="preserve">generation from </w:t>
      </w:r>
      <w:r w:rsidR="00852036">
        <w:t xml:space="preserve">offshore wind farm </w:t>
      </w:r>
      <w:r w:rsidRPr="00251902">
        <w:t>was the highest in EU (</w:t>
      </w:r>
      <w:r w:rsidRPr="00251902">
        <w:rPr>
          <w:i/>
        </w:rPr>
        <w:t>i.e.</w:t>
      </w:r>
      <w:r w:rsidRPr="00251902">
        <w:t xml:space="preserve"> </w:t>
      </w:r>
      <w:r w:rsidR="00852036">
        <w:t>39</w:t>
      </w:r>
      <w:r w:rsidR="00FC7036">
        <w:t xml:space="preserve"> </w:t>
      </w:r>
      <w:r w:rsidRPr="00251902">
        <w:t xml:space="preserve">TWh); and China with </w:t>
      </w:r>
      <w:r w:rsidR="00852036">
        <w:t xml:space="preserve"> 2.4 </w:t>
      </w:r>
      <w:r w:rsidRPr="00251902">
        <w:t>TWh. Offshore wind technologies generated in 2014, near 25</w:t>
      </w:r>
      <w:r w:rsidR="005D3EE6">
        <w:t xml:space="preserve"> </w:t>
      </w:r>
      <w:r w:rsidRPr="00251902">
        <w:t xml:space="preserve">TWh of electricity, with </w:t>
      </w:r>
      <w:r>
        <w:t>23.</w:t>
      </w:r>
      <w:r w:rsidRPr="00251902">
        <w:t>82</w:t>
      </w:r>
      <w:r w:rsidR="00FC7036">
        <w:t xml:space="preserve"> </w:t>
      </w:r>
      <w:r>
        <w:t>TWh</w:t>
      </w:r>
      <w:r w:rsidRPr="00251902">
        <w:t xml:space="preserve"> in Europe.</w:t>
      </w:r>
    </w:p>
    <w:p w14:paraId="2DE714B4" w14:textId="5340E61F" w:rsidR="00112479" w:rsidRPr="00000C08" w:rsidRDefault="00E97B6E" w:rsidP="00000C08">
      <w:pPr>
        <w:spacing w:after="0"/>
        <w:rPr>
          <w:rFonts w:cs="Times New Roman"/>
          <w:bCs/>
        </w:rPr>
      </w:pPr>
      <w:r w:rsidRPr="0028022C">
        <w:rPr>
          <w:rFonts w:cs="Times New Roman"/>
        </w:rPr>
        <w:t>Current adoption</w:t>
      </w:r>
      <w:r w:rsidR="007864AB" w:rsidRPr="0028022C">
        <w:rPr>
          <w:rStyle w:val="FootnoteReference"/>
          <w:rFonts w:cs="Times New Roman"/>
        </w:rPr>
        <w:footnoteReference w:id="1"/>
      </w:r>
      <w:r w:rsidR="003736CE" w:rsidRPr="0028022C">
        <w:rPr>
          <w:rFonts w:cs="Times New Roman"/>
        </w:rPr>
        <w:t> </w:t>
      </w:r>
      <w:r w:rsidR="00112479" w:rsidRPr="0028022C">
        <w:rPr>
          <w:rFonts w:cs="Times New Roman"/>
        </w:rPr>
        <w:t xml:space="preserve">for </w:t>
      </w:r>
      <w:r w:rsidR="003736CE" w:rsidRPr="0028022C">
        <w:rPr>
          <w:rFonts w:cs="Times New Roman"/>
        </w:rPr>
        <w:t>offshore</w:t>
      </w:r>
      <w:r w:rsidR="00A275A4" w:rsidRPr="0028022C">
        <w:rPr>
          <w:rFonts w:cs="Times New Roman"/>
        </w:rPr>
        <w:t xml:space="preserve"> wind</w:t>
      </w:r>
      <w:r w:rsidR="00112479" w:rsidRPr="0028022C">
        <w:rPr>
          <w:rFonts w:cs="Times New Roman"/>
        </w:rPr>
        <w:t xml:space="preserve"> </w:t>
      </w:r>
      <w:r w:rsidR="00A275A4" w:rsidRPr="0028022C">
        <w:rPr>
          <w:rFonts w:cs="Times New Roman"/>
        </w:rPr>
        <w:t>farms</w:t>
      </w:r>
      <w:r w:rsidR="00112479" w:rsidRPr="0028022C">
        <w:rPr>
          <w:rFonts w:cs="Times New Roman"/>
        </w:rPr>
        <w:t xml:space="preserve"> </w:t>
      </w:r>
      <w:r w:rsidR="00344262" w:rsidRPr="0028022C">
        <w:rPr>
          <w:rFonts w:cs="Times New Roman"/>
        </w:rPr>
        <w:t xml:space="preserve">is </w:t>
      </w:r>
      <w:r w:rsidR="00A275A4" w:rsidRPr="0028022C">
        <w:rPr>
          <w:rFonts w:cs="Times New Roman"/>
        </w:rPr>
        <w:t>estimated at</w:t>
      </w:r>
      <w:r w:rsidR="001F25B9" w:rsidRPr="0028022C">
        <w:rPr>
          <w:rFonts w:cs="Times New Roman"/>
        </w:rPr>
        <w:t xml:space="preserve"> </w:t>
      </w:r>
      <w:r w:rsidR="0028022C" w:rsidRPr="0028022C">
        <w:rPr>
          <w:rFonts w:cs="Times New Roman"/>
        </w:rPr>
        <w:t>6</w:t>
      </w:r>
      <w:r w:rsidR="001F25B9" w:rsidRPr="0028022C">
        <w:rPr>
          <w:rFonts w:cs="Times New Roman"/>
        </w:rPr>
        <w:t>2</w:t>
      </w:r>
      <w:r w:rsidR="00B31546" w:rsidRPr="0028022C">
        <w:rPr>
          <w:rFonts w:cs="Times New Roman"/>
        </w:rPr>
        <w:t xml:space="preserve"> </w:t>
      </w:r>
      <w:r w:rsidR="00852036" w:rsidRPr="0028022C">
        <w:rPr>
          <w:rFonts w:cs="Times New Roman"/>
        </w:rPr>
        <w:t>TWh which represents</w:t>
      </w:r>
      <w:r w:rsidR="00A275A4" w:rsidRPr="0028022C">
        <w:rPr>
          <w:rFonts w:cs="Times New Roman"/>
        </w:rPr>
        <w:t xml:space="preserve"> only</w:t>
      </w:r>
      <w:r w:rsidR="001F25B9" w:rsidRPr="0028022C">
        <w:rPr>
          <w:rFonts w:cs="Times New Roman"/>
        </w:rPr>
        <w:t xml:space="preserve"> 0.</w:t>
      </w:r>
      <w:r w:rsidR="0028022C" w:rsidRPr="0028022C">
        <w:rPr>
          <w:rFonts w:cs="Times New Roman"/>
        </w:rPr>
        <w:t>2</w:t>
      </w:r>
      <w:r w:rsidR="00C15551">
        <w:rPr>
          <w:rFonts w:cs="Times New Roman"/>
        </w:rPr>
        <w:t>7</w:t>
      </w:r>
      <w:r w:rsidR="001F25B9" w:rsidRPr="0028022C">
        <w:rPr>
          <w:rFonts w:cs="Times New Roman"/>
        </w:rPr>
        <w:t xml:space="preserve">% </w:t>
      </w:r>
      <w:r w:rsidRPr="0028022C">
        <w:rPr>
          <w:rFonts w:cs="Times New Roman"/>
        </w:rPr>
        <w:t xml:space="preserve">of </w:t>
      </w:r>
      <w:r w:rsidR="00954CF1" w:rsidRPr="0028022C">
        <w:rPr>
          <w:rFonts w:cs="Times New Roman"/>
        </w:rPr>
        <w:t xml:space="preserve">total electricity </w:t>
      </w:r>
      <w:r w:rsidRPr="0028022C">
        <w:rPr>
          <w:rFonts w:cs="Times New Roman"/>
        </w:rPr>
        <w:t>generation</w:t>
      </w:r>
      <w:r w:rsidR="00A275A4" w:rsidRPr="0028022C">
        <w:rPr>
          <w:rFonts w:cs="Times New Roman"/>
        </w:rPr>
        <w:t>, while wind onshore</w:t>
      </w:r>
      <w:r w:rsidR="001F25B9" w:rsidRPr="0028022C">
        <w:rPr>
          <w:rFonts w:cs="Times New Roman"/>
        </w:rPr>
        <w:t xml:space="preserve"> is about 4</w:t>
      </w:r>
      <w:r w:rsidR="0028022C" w:rsidRPr="0028022C">
        <w:rPr>
          <w:rFonts w:cs="Times New Roman"/>
        </w:rPr>
        <w:t>.4</w:t>
      </w:r>
      <w:r w:rsidR="001F25B9" w:rsidRPr="0028022C">
        <w:rPr>
          <w:rFonts w:cs="Times New Roman"/>
        </w:rPr>
        <w:t>%</w:t>
      </w:r>
      <w:r w:rsidR="00C15551">
        <w:rPr>
          <w:rFonts w:cs="Times New Roman"/>
        </w:rPr>
        <w:t xml:space="preserve"> </w:t>
      </w:r>
      <w:r w:rsidR="001F25B9" w:rsidRPr="0028022C">
        <w:rPr>
          <w:rFonts w:cs="Times New Roman"/>
        </w:rPr>
        <w:t>of total electricity generation in 201</w:t>
      </w:r>
      <w:r w:rsidR="0028022C" w:rsidRPr="0028022C">
        <w:rPr>
          <w:rFonts w:cs="Times New Roman"/>
        </w:rPr>
        <w:t>8</w:t>
      </w:r>
      <w:r w:rsidR="001F25B9" w:rsidRPr="0028022C">
        <w:rPr>
          <w:rFonts w:cs="Times New Roman"/>
        </w:rPr>
        <w:t>.</w:t>
      </w:r>
      <w:r w:rsidR="00A275A4" w:rsidRPr="0028022C">
        <w:rPr>
          <w:rFonts w:cs="Times New Roman"/>
        </w:rPr>
        <w:t xml:space="preserve"> F</w:t>
      </w:r>
      <w:r w:rsidR="00112479" w:rsidRPr="0028022C">
        <w:rPr>
          <w:rFonts w:cs="Times New Roman"/>
        </w:rPr>
        <w:t>ossil fuels still represent the lion share of</w:t>
      </w:r>
      <w:r w:rsidR="00112479" w:rsidRPr="0028022C">
        <w:rPr>
          <w:rFonts w:cs="Times New Roman"/>
          <w:bCs/>
        </w:rPr>
        <w:t xml:space="preserve"> electricity generation (natural gas 22</w:t>
      </w:r>
      <w:r w:rsidR="002D337D" w:rsidRPr="0028022C">
        <w:rPr>
          <w:rFonts w:cs="Times New Roman"/>
          <w:bCs/>
        </w:rPr>
        <w:t>.8</w:t>
      </w:r>
      <w:r w:rsidR="00112479" w:rsidRPr="0028022C">
        <w:rPr>
          <w:rFonts w:cs="Times New Roman"/>
          <w:bCs/>
        </w:rPr>
        <w:t>%, coal 3</w:t>
      </w:r>
      <w:r w:rsidR="002D337D" w:rsidRPr="0028022C">
        <w:rPr>
          <w:rFonts w:cs="Times New Roman"/>
          <w:bCs/>
        </w:rPr>
        <w:t>8%</w:t>
      </w:r>
      <w:r w:rsidR="00112479" w:rsidRPr="0028022C">
        <w:rPr>
          <w:rFonts w:cs="Times New Roman"/>
          <w:bCs/>
        </w:rPr>
        <w:t xml:space="preserve">, and oil </w:t>
      </w:r>
      <w:r w:rsidR="002D337D" w:rsidRPr="0028022C">
        <w:rPr>
          <w:rFonts w:cs="Times New Roman"/>
          <w:bCs/>
        </w:rPr>
        <w:t>3.7%</w:t>
      </w:r>
      <w:r w:rsidR="00112479" w:rsidRPr="0028022C">
        <w:rPr>
          <w:rFonts w:cs="Times New Roman"/>
          <w:bCs/>
        </w:rPr>
        <w:t>)</w:t>
      </w:r>
      <w:r w:rsidR="002D337D" w:rsidRPr="0028022C">
        <w:rPr>
          <w:rFonts w:cs="Times New Roman"/>
          <w:bCs/>
        </w:rPr>
        <w:t xml:space="preserve"> (IEA WEO, 2018)</w:t>
      </w:r>
      <w:r w:rsidR="00112479" w:rsidRPr="0028022C">
        <w:rPr>
          <w:rFonts w:cs="Times New Roman"/>
          <w:bCs/>
        </w:rPr>
        <w:t>.</w:t>
      </w:r>
    </w:p>
    <w:p w14:paraId="4B6E5C96" w14:textId="42AA7908" w:rsidR="00D1508C" w:rsidRDefault="551A77D0" w:rsidP="005D49A8">
      <w:pPr>
        <w:pStyle w:val="Heading3"/>
      </w:pPr>
      <w:bookmarkStart w:id="8" w:name="_Toc18619505"/>
      <w:r w:rsidRPr="00E069AC">
        <w:t>Trends</w:t>
      </w:r>
      <w:r w:rsidR="000C3205" w:rsidRPr="00E069AC">
        <w:t xml:space="preserve"> </w:t>
      </w:r>
      <w:r w:rsidR="00A53CDF" w:rsidRPr="00E069AC">
        <w:t>to Accelerate Adoption</w:t>
      </w:r>
      <w:bookmarkEnd w:id="8"/>
    </w:p>
    <w:p w14:paraId="2EC7D44D" w14:textId="1C9B9DDD" w:rsidR="00A275A4" w:rsidRDefault="009715E2" w:rsidP="00FF3A1A">
      <w:r w:rsidRPr="009715E2">
        <w:t>As offshore wind technology moves from the demonstration stage towards wider commercialization, there is a need to deploy instruments to foster its global scale-up</w:t>
      </w:r>
      <w:r>
        <w:t xml:space="preserve"> (IRENA, 2018</w:t>
      </w:r>
      <w:r w:rsidR="00C34CCC">
        <w:t>a</w:t>
      </w:r>
      <w:r>
        <w:t xml:space="preserve">). </w:t>
      </w:r>
      <w:r w:rsidR="00A275A4" w:rsidRPr="00A275A4">
        <w:t>The growth of offshore wind could be aided by renewable energy and portfolio standards that mandate a certain level of renewable use. Wind developers could also benefit from regulatory stability, such as feed-in-tariffs that guarantee a certain rate of return on wind energy, and tax incentives that encourage investment in low-carbon projects like wind by helping offset development costs. Public research and development, particularly for this immature technology, can also help decrease costs. Technology knowledge transfer could help spread wind power across borders.</w:t>
      </w:r>
    </w:p>
    <w:p w14:paraId="6977B19E" w14:textId="6155BDC2" w:rsidR="00896408" w:rsidRDefault="00896408" w:rsidP="00FF3A1A">
      <w:r>
        <w:t xml:space="preserve">Integration of offshore wind with other hydro-based energy or water management technologies could also improve adoption. For example, integration of offshore wind to hydropower systems could help mitigate curtailment issues by using surplus wind electricity in times of low demand to pump water up to the reservoir and released during times of high electricity demand and low wind. </w:t>
      </w:r>
      <w:r w:rsidR="00B31546">
        <w:t>More so</w:t>
      </w:r>
      <w:r>
        <w:t xml:space="preserve">, offshore wind electricity could be coupled with desalination system </w:t>
      </w:r>
      <w:r w:rsidR="00CA2ED2">
        <w:t xml:space="preserve">for water purification, and hydrogen production systems. Sector coupling has demonstrated potentials for offshore wind adoption in China for example, where the first offshore wind power was actually deployed to power </w:t>
      </w:r>
      <w:r w:rsidR="00C96E49">
        <w:t xml:space="preserve">the 2010 Shanghai World Expo which placed emphasis on future </w:t>
      </w:r>
      <w:r w:rsidR="008C2394">
        <w:t xml:space="preserve">cities </w:t>
      </w:r>
      <w:r w:rsidR="00C96E49">
        <w:t>development anchored on environmental sustainability, resource efficiency, and diversity</w:t>
      </w:r>
      <w:r w:rsidR="00CA2ED2">
        <w:t>.</w:t>
      </w:r>
      <w:r w:rsidR="008C2394">
        <w:t xml:space="preserve"> Similarly, Free Trade </w:t>
      </w:r>
      <w:r w:rsidR="00035415">
        <w:t xml:space="preserve">or Special Economic </w:t>
      </w:r>
      <w:r w:rsidR="008C2394">
        <w:t xml:space="preserve">Zones </w:t>
      </w:r>
      <w:r w:rsidR="00035415">
        <w:t>around seaports could integrate adoption of offshore wind power.</w:t>
      </w:r>
    </w:p>
    <w:p w14:paraId="18664A30" w14:textId="6593CE9D" w:rsidR="00323154" w:rsidRPr="00F41119" w:rsidRDefault="00323154" w:rsidP="00FF3A1A">
      <w:pPr>
        <w:rPr>
          <w:bCs/>
        </w:rPr>
      </w:pPr>
      <w:r w:rsidRPr="00251902">
        <w:t>As discussed earlier, multiple grid modeling studies have found that using renewable energy to meet 80-100% of electricity demand by 2050 is possible with today’s</w:t>
      </w:r>
      <w:r w:rsidRPr="00251902">
        <w:rPr>
          <w:bCs/>
        </w:rPr>
        <w:t xml:space="preserve"> technologies. Yet Loftus </w:t>
      </w:r>
      <w:r w:rsidRPr="00251902">
        <w:rPr>
          <w:bCs/>
          <w:i/>
        </w:rPr>
        <w:t xml:space="preserve">et al. </w:t>
      </w:r>
      <w:r w:rsidRPr="00605C3F">
        <w:rPr>
          <w:bCs/>
        </w:rPr>
        <w:t xml:space="preserve">(2015) </w:t>
      </w:r>
      <w:r w:rsidRPr="00251902">
        <w:rPr>
          <w:bCs/>
        </w:rPr>
        <w:t xml:space="preserve">note that studies aiming for 100% renewable energy throughout the globe by 2050 call for annual wind deployment at </w:t>
      </w:r>
      <w:r w:rsidRPr="00251902">
        <w:t xml:space="preserve">rates roughly 33% to 300% faster than has been demonstrated historically for any single technology (Loftus </w:t>
      </w:r>
      <w:r w:rsidRPr="00251902">
        <w:rPr>
          <w:i/>
        </w:rPr>
        <w:t>et al</w:t>
      </w:r>
      <w:r w:rsidRPr="00251902">
        <w:t>., 2015).</w:t>
      </w:r>
      <w:r w:rsidRPr="00251902">
        <w:rPr>
          <w:bCs/>
        </w:rPr>
        <w:t xml:space="preserve"> Projections aiming for full renewables by 2050 would therefore require much stronger policies and investment than many countries are currently pursuing or even planning—although such policies could put us on the path for a near-zero carbon system that many scientists say is necessary for global climate stability (Hansen </w:t>
      </w:r>
      <w:r w:rsidRPr="00251902">
        <w:rPr>
          <w:bCs/>
          <w:i/>
        </w:rPr>
        <w:t>et al</w:t>
      </w:r>
      <w:r w:rsidRPr="00251902">
        <w:rPr>
          <w:bCs/>
        </w:rPr>
        <w:t>., 2008).</w:t>
      </w:r>
    </w:p>
    <w:p w14:paraId="0B8C3EFB" w14:textId="18C52960" w:rsidR="00D1508C" w:rsidRDefault="551A77D0" w:rsidP="005D49A8">
      <w:pPr>
        <w:pStyle w:val="Heading3"/>
      </w:pPr>
      <w:bookmarkStart w:id="9" w:name="_Toc18619506"/>
      <w:r w:rsidRPr="00E069AC">
        <w:t>Barriers to Adoption</w:t>
      </w:r>
      <w:bookmarkEnd w:id="9"/>
    </w:p>
    <w:p w14:paraId="31BC2F07" w14:textId="0FE53B9D" w:rsidR="00F3570C" w:rsidRPr="00F3570C" w:rsidRDefault="00F3570C" w:rsidP="00F3570C">
      <w:pPr>
        <w:rPr>
          <w:highlight w:val="cyan"/>
        </w:rPr>
      </w:pPr>
      <w:r w:rsidRPr="00F3570C">
        <w:t xml:space="preserve">Increased adoption of wind offshore systems need for extended and improved grid connections, with increased transmission support and storage technologies to allow for increase integration of Variable Renewable Energy Sources (VRES) as wind and solar. This issue could be </w:t>
      </w:r>
      <w:r w:rsidR="004964A7" w:rsidRPr="00F3570C">
        <w:t>overcome</w:t>
      </w:r>
      <w:r w:rsidRPr="00F3570C">
        <w:t xml:space="preserve"> by larger balancing areas and greater transmission capacity that could help avoid curtailment and increase the share of wind generation on the grid. </w:t>
      </w:r>
      <w:r w:rsidR="00AD1DAA">
        <w:t xml:space="preserve">Since offshore wind adds high capacity to the grid, the implication is that more reserve capacity will be needed to support the grid during low power contribution from offshore wind. </w:t>
      </w:r>
      <w:r w:rsidR="00C434A5">
        <w:t>The costs associated with this balancing requirement</w:t>
      </w:r>
      <w:r w:rsidR="00AD1DAA">
        <w:t xml:space="preserve"> calls for electricity market reforms to ensu</w:t>
      </w:r>
      <w:r w:rsidR="00C434A5">
        <w:t xml:space="preserve">re availability of reserve </w:t>
      </w:r>
      <w:r w:rsidR="00AD1DAA">
        <w:t>capacity</w:t>
      </w:r>
      <w:r w:rsidR="00C434A5">
        <w:t xml:space="preserve"> from p</w:t>
      </w:r>
      <w:r w:rsidR="001E3B1E">
        <w:t>ower plants which might have been</w:t>
      </w:r>
      <w:r w:rsidR="00C434A5">
        <w:t xml:space="preserve"> retired by the deployment of offshore wind</w:t>
      </w:r>
      <w:r w:rsidR="00AD1DAA">
        <w:t>.</w:t>
      </w:r>
      <w:r w:rsidR="001E3B1E">
        <w:t xml:space="preserve"> With system integration costs and balancing costs factored-in, offshore wind costs could be much more </w:t>
      </w:r>
      <w:r w:rsidR="001D09CF">
        <w:t xml:space="preserve">expensive at system level </w:t>
      </w:r>
      <w:r w:rsidR="001E3B1E">
        <w:t>than stated at the farm level.</w:t>
      </w:r>
    </w:p>
    <w:p w14:paraId="7BC28DEF" w14:textId="4A743F30" w:rsidR="00000C08" w:rsidRPr="0018298D" w:rsidRDefault="00F3570C" w:rsidP="0018298D">
      <w:r>
        <w:t>H</w:t>
      </w:r>
      <w:r w:rsidRPr="00251902">
        <w:t>igh costs</w:t>
      </w:r>
      <w:r>
        <w:t>,</w:t>
      </w:r>
      <w:r w:rsidRPr="00251902">
        <w:t xml:space="preserve"> challenging environmental conditions and regulatory and technical issues (REN21, 2016)</w:t>
      </w:r>
      <w:r>
        <w:t xml:space="preserve"> are the most relevant barriers to offshore wind adoption. </w:t>
      </w:r>
      <w:r w:rsidR="0018298D">
        <w:t>For wind offshore, a</w:t>
      </w:r>
      <w:r w:rsidR="0018298D" w:rsidRPr="00251902">
        <w:t xml:space="preserve">lthough policy changes have delayed some development, the United Kingdom continued to lead in </w:t>
      </w:r>
      <w:r w:rsidR="00DA4A53">
        <w:t xml:space="preserve">global </w:t>
      </w:r>
      <w:r w:rsidR="0018298D" w:rsidRPr="00251902">
        <w:t xml:space="preserve">total </w:t>
      </w:r>
      <w:r w:rsidR="0018298D">
        <w:t xml:space="preserve">offshore </w:t>
      </w:r>
      <w:r w:rsidR="00DA4A53">
        <w:t xml:space="preserve">wind </w:t>
      </w:r>
      <w:r w:rsidR="0018298D">
        <w:t>capacity</w:t>
      </w:r>
      <w:r w:rsidR="0031519D">
        <w:t xml:space="preserve"> </w:t>
      </w:r>
      <w:r w:rsidR="0018298D">
        <w:t>with</w:t>
      </w:r>
      <w:r w:rsidR="00DA4A53">
        <w:t xml:space="preserve"> over 6.8</w:t>
      </w:r>
      <w:r w:rsidR="00B31546">
        <w:t xml:space="preserve"> </w:t>
      </w:r>
      <w:r w:rsidR="00DA4A53">
        <w:t>GW at the end 2017</w:t>
      </w:r>
      <w:r w:rsidR="0031519D">
        <w:t xml:space="preserve"> (achieving about 50% of its 14GW target for 2020)</w:t>
      </w:r>
      <w:r w:rsidR="0018298D">
        <w:t xml:space="preserve"> </w:t>
      </w:r>
      <w:r w:rsidR="0018298D" w:rsidRPr="00251902">
        <w:t>; followed by G</w:t>
      </w:r>
      <w:r w:rsidR="0018298D">
        <w:t>ermany (</w:t>
      </w:r>
      <w:r w:rsidR="00DA4A53">
        <w:t>5.4</w:t>
      </w:r>
      <w:r w:rsidR="0018298D" w:rsidRPr="00251902">
        <w:t>GW)</w:t>
      </w:r>
      <w:r w:rsidR="00DA4A53">
        <w:t>. China (2.8GW) overtook Denmark (1.3GW) after adding about 1.2GW capacity from 2016-2017.</w:t>
      </w:r>
      <w:r w:rsidR="0018298D" w:rsidRPr="00251902">
        <w:t xml:space="preserve"> </w:t>
      </w:r>
      <w:r w:rsidR="001228B8">
        <w:t xml:space="preserve">Netherland (1.1GW) comes next in the league of countries with gigawatt capacity installed. These regions play host to over 92% of the global installed offshore wind capacity (18.8GW) in 2017. </w:t>
      </w:r>
      <w:r w:rsidR="0018298D" w:rsidRPr="00251902">
        <w:t xml:space="preserve">Despite this global increase, deployment offshore has been relatively slow in </w:t>
      </w:r>
      <w:r w:rsidR="00DA4A53">
        <w:t xml:space="preserve">parts of </w:t>
      </w:r>
      <w:r w:rsidR="0018298D" w:rsidRPr="00251902">
        <w:t>Asia</w:t>
      </w:r>
      <w:r w:rsidR="00DA4A53">
        <w:t>,</w:t>
      </w:r>
      <w:r w:rsidR="0018298D" w:rsidRPr="00251902">
        <w:t xml:space="preserve"> and North America</w:t>
      </w:r>
      <w:r>
        <w:t>.</w:t>
      </w:r>
      <w:r w:rsidR="001228B8">
        <w:t xml:space="preserve"> However, North America’s region of California has seen accelerated deployment of offshore wind, and offshore wind capacity growth outlook for the United States remain promising considering the US government support for the exploitation of outer continental shelve for wind power.</w:t>
      </w:r>
    </w:p>
    <w:p w14:paraId="34222FBE" w14:textId="4EEBECBF" w:rsidR="00D1508C" w:rsidRPr="00E069AC" w:rsidRDefault="551A77D0" w:rsidP="005D49A8">
      <w:pPr>
        <w:pStyle w:val="Heading3"/>
      </w:pPr>
      <w:bookmarkStart w:id="10" w:name="_Toc18619507"/>
      <w:r w:rsidRPr="00E069AC">
        <w:t>Adoption</w:t>
      </w:r>
      <w:r w:rsidR="006E6C65" w:rsidRPr="00E069AC">
        <w:t xml:space="preserve"> </w:t>
      </w:r>
      <w:r w:rsidRPr="00E069AC">
        <w:t>Potential</w:t>
      </w:r>
      <w:bookmarkEnd w:id="10"/>
    </w:p>
    <w:p w14:paraId="0C496C48" w14:textId="77F34B9F" w:rsidR="00033F5F" w:rsidRDefault="00A821E2" w:rsidP="006330C6">
      <w:pPr>
        <w:rPr>
          <w:bCs/>
        </w:rPr>
      </w:pPr>
      <w:r>
        <w:rPr>
          <w:bCs/>
        </w:rPr>
        <w:t>Offshore wind technologies adoptions across the world remain promising as the concerns around visual impacts of onshore wind present a strong case for offshore wind adoption.</w:t>
      </w:r>
      <w:r w:rsidR="00033F5F">
        <w:rPr>
          <w:bCs/>
        </w:rPr>
        <w:t xml:space="preserve"> While most of the climate scenarios in literature do not envisage large adoption from offshore wind power, it is intuitively expected that the large capacity advantage of offshore wind system will need to be leveraged in order to meet the projected wind energy share that is consistent with the Paris agreement target as onshore wind alone, though currently on track to the target, may not hit the target sooner enough.</w:t>
      </w:r>
    </w:p>
    <w:p w14:paraId="576ED340" w14:textId="09139092" w:rsidR="00F30144" w:rsidRDefault="00290222" w:rsidP="006330C6">
      <w:pPr>
        <w:rPr>
          <w:bCs/>
        </w:rPr>
      </w:pPr>
      <w:r>
        <w:rPr>
          <w:bCs/>
        </w:rPr>
        <w:t>Figure 1</w:t>
      </w:r>
      <w:r w:rsidR="00F94A05">
        <w:rPr>
          <w:bCs/>
        </w:rPr>
        <w:t>.1.</w:t>
      </w:r>
      <w:r>
        <w:rPr>
          <w:bCs/>
        </w:rPr>
        <w:t xml:space="preserve"> and Figure </w:t>
      </w:r>
      <w:r w:rsidR="00F94A05">
        <w:rPr>
          <w:bCs/>
        </w:rPr>
        <w:t>1.</w:t>
      </w:r>
      <w:r>
        <w:rPr>
          <w:bCs/>
        </w:rPr>
        <w:t xml:space="preserve">2 show the global capacity adoption and the corresponding global electricity generation projection </w:t>
      </w:r>
      <w:r w:rsidR="00996186">
        <w:rPr>
          <w:bCs/>
        </w:rPr>
        <w:t xml:space="preserve">respectively </w:t>
      </w:r>
      <w:r>
        <w:rPr>
          <w:bCs/>
        </w:rPr>
        <w:t>for both 2DS and B2DS scenario</w:t>
      </w:r>
      <w:r w:rsidR="00996186">
        <w:rPr>
          <w:bCs/>
        </w:rPr>
        <w:t>s</w:t>
      </w:r>
      <w:r>
        <w:rPr>
          <w:bCs/>
        </w:rPr>
        <w:t xml:space="preserve">. </w:t>
      </w:r>
      <w:r w:rsidR="006330C6" w:rsidRPr="00251902">
        <w:rPr>
          <w:bCs/>
        </w:rPr>
        <w:t>The results from International Energy Agency in the</w:t>
      </w:r>
      <w:r w:rsidR="004964A7">
        <w:rPr>
          <w:bCs/>
        </w:rPr>
        <w:t xml:space="preserve"> Energy</w:t>
      </w:r>
      <w:r w:rsidR="006330C6" w:rsidRPr="00251902">
        <w:rPr>
          <w:bCs/>
        </w:rPr>
        <w:t xml:space="preserve"> Technology Perspectives (IEA,</w:t>
      </w:r>
      <w:r w:rsidR="00996186">
        <w:rPr>
          <w:bCs/>
        </w:rPr>
        <w:t xml:space="preserve"> 2017</w:t>
      </w:r>
      <w:r w:rsidR="006330C6" w:rsidRPr="00251902">
        <w:rPr>
          <w:bCs/>
        </w:rPr>
        <w:t xml:space="preserve">) estimate global </w:t>
      </w:r>
      <w:r w:rsidR="00996186">
        <w:rPr>
          <w:bCs/>
        </w:rPr>
        <w:t xml:space="preserve">offshore </w:t>
      </w:r>
      <w:r w:rsidR="006330C6" w:rsidRPr="00251902">
        <w:rPr>
          <w:bCs/>
        </w:rPr>
        <w:t xml:space="preserve">wind power capacity continuing to grow steadily with or without strong </w:t>
      </w:r>
      <w:r w:rsidR="006330C6">
        <w:rPr>
          <w:bCs/>
        </w:rPr>
        <w:t xml:space="preserve">climate policies </w:t>
      </w:r>
      <w:r w:rsidR="00F30144">
        <w:rPr>
          <w:bCs/>
        </w:rPr>
        <w:t>from 18.8</w:t>
      </w:r>
      <w:r w:rsidR="00B31546">
        <w:rPr>
          <w:bCs/>
        </w:rPr>
        <w:t xml:space="preserve"> </w:t>
      </w:r>
      <w:r w:rsidR="00F30144">
        <w:rPr>
          <w:bCs/>
        </w:rPr>
        <w:t>GW in 2017 to</w:t>
      </w:r>
      <w:r w:rsidR="006330C6">
        <w:rPr>
          <w:bCs/>
        </w:rPr>
        <w:t xml:space="preserve"> </w:t>
      </w:r>
      <w:r w:rsidR="00F30144">
        <w:rPr>
          <w:bCs/>
        </w:rPr>
        <w:t>136</w:t>
      </w:r>
      <w:r w:rsidR="00B31546">
        <w:rPr>
          <w:bCs/>
        </w:rPr>
        <w:t xml:space="preserve"> </w:t>
      </w:r>
      <w:r w:rsidR="00996186">
        <w:rPr>
          <w:bCs/>
        </w:rPr>
        <w:t xml:space="preserve">GW </w:t>
      </w:r>
      <w:r w:rsidR="00F30144">
        <w:rPr>
          <w:bCs/>
        </w:rPr>
        <w:t>corresponding to 573</w:t>
      </w:r>
      <w:r w:rsidR="00B31546">
        <w:rPr>
          <w:bCs/>
        </w:rPr>
        <w:t xml:space="preserve"> </w:t>
      </w:r>
      <w:r w:rsidR="00F30144">
        <w:rPr>
          <w:bCs/>
        </w:rPr>
        <w:t xml:space="preserve">TWh electricity generation </w:t>
      </w:r>
      <w:r w:rsidR="006330C6" w:rsidRPr="00251902">
        <w:rPr>
          <w:bCs/>
        </w:rPr>
        <w:t>in 2050 in the lowest</w:t>
      </w:r>
      <w:r w:rsidR="00F30144">
        <w:rPr>
          <w:bCs/>
        </w:rPr>
        <w:t xml:space="preserve"> adoption</w:t>
      </w:r>
      <w:r w:rsidR="006330C6" w:rsidRPr="00251902">
        <w:rPr>
          <w:bCs/>
        </w:rPr>
        <w:t xml:space="preserve">  scenario (</w:t>
      </w:r>
      <w:r w:rsidR="006330C6" w:rsidRPr="00251902">
        <w:rPr>
          <w:bCs/>
          <w:i/>
        </w:rPr>
        <w:t>i.e</w:t>
      </w:r>
      <w:r w:rsidR="00B31546">
        <w:rPr>
          <w:bCs/>
          <w:i/>
        </w:rPr>
        <w:t>.</w:t>
      </w:r>
      <w:r w:rsidR="00F30144">
        <w:rPr>
          <w:bCs/>
          <w:i/>
        </w:rPr>
        <w:t xml:space="preserve"> Reference Technology Scenario</w:t>
      </w:r>
      <w:r w:rsidR="006330C6">
        <w:rPr>
          <w:bCs/>
        </w:rPr>
        <w:t>)</w:t>
      </w:r>
      <w:r w:rsidR="00F30144">
        <w:rPr>
          <w:bCs/>
        </w:rPr>
        <w:t>, 410</w:t>
      </w:r>
      <w:r w:rsidR="00B31546">
        <w:rPr>
          <w:bCs/>
        </w:rPr>
        <w:t xml:space="preserve"> </w:t>
      </w:r>
      <w:r w:rsidR="00F30144">
        <w:rPr>
          <w:bCs/>
        </w:rPr>
        <w:t>GW corresponding to 1</w:t>
      </w:r>
      <w:r w:rsidR="00680C56">
        <w:rPr>
          <w:bCs/>
        </w:rPr>
        <w:t>,</w:t>
      </w:r>
      <w:r w:rsidR="00F30144">
        <w:rPr>
          <w:bCs/>
        </w:rPr>
        <w:t>693</w:t>
      </w:r>
      <w:r w:rsidR="00B31546">
        <w:rPr>
          <w:bCs/>
        </w:rPr>
        <w:t xml:space="preserve"> </w:t>
      </w:r>
      <w:r w:rsidR="00F30144">
        <w:rPr>
          <w:bCs/>
        </w:rPr>
        <w:t xml:space="preserve">TWh electricity generation in 2050 in the 2 </w:t>
      </w:r>
      <w:r w:rsidR="00B31546">
        <w:rPr>
          <w:bCs/>
        </w:rPr>
        <w:t>Degrees</w:t>
      </w:r>
      <w:r w:rsidR="00F30144">
        <w:rPr>
          <w:bCs/>
        </w:rPr>
        <w:t xml:space="preserve"> Scenario (2DS)</w:t>
      </w:r>
      <w:r w:rsidR="006330C6" w:rsidRPr="00251902">
        <w:rPr>
          <w:bCs/>
        </w:rPr>
        <w:t>;</w:t>
      </w:r>
      <w:r w:rsidR="00F30144">
        <w:rPr>
          <w:bCs/>
        </w:rPr>
        <w:t xml:space="preserve"> and 437</w:t>
      </w:r>
      <w:r w:rsidR="00B31546">
        <w:rPr>
          <w:bCs/>
        </w:rPr>
        <w:t xml:space="preserve"> </w:t>
      </w:r>
      <w:r w:rsidR="00F30144">
        <w:rPr>
          <w:bCs/>
        </w:rPr>
        <w:t>GW corresponding to 1</w:t>
      </w:r>
      <w:r w:rsidR="00680C56">
        <w:rPr>
          <w:bCs/>
        </w:rPr>
        <w:t>,</w:t>
      </w:r>
      <w:r w:rsidR="00F30144">
        <w:rPr>
          <w:bCs/>
        </w:rPr>
        <w:t>802</w:t>
      </w:r>
      <w:r w:rsidR="00B31546">
        <w:rPr>
          <w:bCs/>
        </w:rPr>
        <w:t xml:space="preserve"> </w:t>
      </w:r>
      <w:r w:rsidR="00F30144">
        <w:rPr>
          <w:bCs/>
        </w:rPr>
        <w:t>TWh electricity generation in 2050 in the highest mitigation scenario (</w:t>
      </w:r>
      <w:r w:rsidR="00F30144" w:rsidRPr="00B31546">
        <w:rPr>
          <w:bCs/>
          <w:i/>
        </w:rPr>
        <w:t>i.e.</w:t>
      </w:r>
      <w:r w:rsidR="00F30144">
        <w:rPr>
          <w:bCs/>
        </w:rPr>
        <w:t xml:space="preserve"> Beyond 2 Degrees Scenario, B2DS)</w:t>
      </w:r>
      <w:r w:rsidR="00F80C0E">
        <w:rPr>
          <w:bCs/>
        </w:rPr>
        <w:t>. These scenarios represent 1.2%, 4%, and 4.1% respectively of global electricity generation by 2050.</w:t>
      </w:r>
      <w:r w:rsidR="00B31546">
        <w:rPr>
          <w:bCs/>
        </w:rPr>
        <w:t xml:space="preserve"> </w:t>
      </w:r>
      <w:r w:rsidR="00B814C1">
        <w:rPr>
          <w:bCs/>
        </w:rPr>
        <w:t>Figure 1</w:t>
      </w:r>
      <w:r w:rsidR="00F94A05">
        <w:rPr>
          <w:bCs/>
        </w:rPr>
        <w:t>.1</w:t>
      </w:r>
      <w:r w:rsidR="00B814C1">
        <w:rPr>
          <w:bCs/>
        </w:rPr>
        <w:t xml:space="preserve"> shows that the current capacity adoption need be increased by over 20 folds in the next 30 years to put offshore wind on the track to Paris.</w:t>
      </w:r>
    </w:p>
    <w:p w14:paraId="4EB487ED" w14:textId="0D7E31EC" w:rsidR="00745F9C" w:rsidRDefault="00996186" w:rsidP="00F94A05">
      <w:pPr>
        <w:jc w:val="center"/>
        <w:rPr>
          <w:bCs/>
        </w:rPr>
      </w:pPr>
      <w:r>
        <w:rPr>
          <w:noProof/>
        </w:rPr>
        <w:drawing>
          <wp:inline distT="0" distB="0" distL="0" distR="0" wp14:anchorId="3D4DF297" wp14:editId="3D1CFF4F">
            <wp:extent cx="4843281" cy="3165231"/>
            <wp:effectExtent l="12700" t="12700" r="825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6841" cy="3167557"/>
                    </a:xfrm>
                    <a:prstGeom prst="rect">
                      <a:avLst/>
                    </a:prstGeom>
                    <a:ln>
                      <a:solidFill>
                        <a:schemeClr val="tx1"/>
                      </a:solidFill>
                    </a:ln>
                  </pic:spPr>
                </pic:pic>
              </a:graphicData>
            </a:graphic>
          </wp:inline>
        </w:drawing>
      </w:r>
    </w:p>
    <w:p w14:paraId="2105ABA3" w14:textId="2FC51CA0" w:rsidR="00953AFD" w:rsidRPr="00251902" w:rsidRDefault="00953AFD" w:rsidP="00F94A05">
      <w:pPr>
        <w:pStyle w:val="Caption"/>
        <w:jc w:val="center"/>
        <w:rPr>
          <w:bCs/>
        </w:rPr>
      </w:pPr>
      <w:bookmarkStart w:id="11" w:name="_Toc23609245"/>
      <w:r w:rsidRPr="00251902">
        <w:t xml:space="preserve">Figure </w:t>
      </w:r>
      <w:r w:rsidR="00F94A05">
        <w:t>1.</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Offshore wind capacity adoption projections in </w:t>
      </w:r>
      <w:r w:rsidRPr="00251902">
        <w:t>2DS</w:t>
      </w:r>
      <w:r>
        <w:t xml:space="preserve"> and B2DS scenarios (Adopted from IEA ETP, 2017)</w:t>
      </w:r>
      <w:bookmarkEnd w:id="11"/>
    </w:p>
    <w:p w14:paraId="6710D563" w14:textId="3FC4E8A4" w:rsidR="00953AFD" w:rsidRDefault="00996186" w:rsidP="00F94A05">
      <w:pPr>
        <w:jc w:val="center"/>
        <w:rPr>
          <w:bCs/>
        </w:rPr>
      </w:pPr>
      <w:r>
        <w:rPr>
          <w:noProof/>
        </w:rPr>
        <w:drawing>
          <wp:inline distT="0" distB="0" distL="0" distR="0" wp14:anchorId="62468F9A" wp14:editId="589EC1A1">
            <wp:extent cx="4712677" cy="3041679"/>
            <wp:effectExtent l="12700" t="12700" r="1206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5482" cy="3049944"/>
                    </a:xfrm>
                    <a:prstGeom prst="rect">
                      <a:avLst/>
                    </a:prstGeom>
                    <a:ln>
                      <a:solidFill>
                        <a:schemeClr val="tx1"/>
                      </a:solidFill>
                    </a:ln>
                  </pic:spPr>
                </pic:pic>
              </a:graphicData>
            </a:graphic>
          </wp:inline>
        </w:drawing>
      </w:r>
    </w:p>
    <w:p w14:paraId="61B70E98" w14:textId="19A28DA8" w:rsidR="00953AFD" w:rsidRPr="00251902" w:rsidRDefault="005A0949" w:rsidP="00F94A05">
      <w:pPr>
        <w:pStyle w:val="Caption"/>
        <w:jc w:val="center"/>
        <w:rPr>
          <w:bCs/>
        </w:rPr>
      </w:pPr>
      <w:bookmarkStart w:id="12" w:name="_Toc23609246"/>
      <w:r w:rsidRPr="00251902">
        <w:t xml:space="preserve">Figure </w:t>
      </w:r>
      <w:r>
        <w:t>1.</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00953AFD">
        <w:t xml:space="preserve">– </w:t>
      </w:r>
      <w:r w:rsidR="00071651">
        <w:t xml:space="preserve">Offshore wind electricity generation </w:t>
      </w:r>
      <w:r w:rsidR="00953AFD">
        <w:t xml:space="preserve">projections in </w:t>
      </w:r>
      <w:r w:rsidR="00953AFD" w:rsidRPr="00251902">
        <w:t>2DS</w:t>
      </w:r>
      <w:r w:rsidR="00953AFD">
        <w:t xml:space="preserve"> and B2DS scenarios (Adopted from IEA ETP, 2017)</w:t>
      </w:r>
      <w:bookmarkEnd w:id="12"/>
    </w:p>
    <w:p w14:paraId="283B07EC" w14:textId="75879E38" w:rsidR="006330C6" w:rsidRPr="00251902" w:rsidRDefault="006330C6" w:rsidP="00F94A05">
      <w:pPr>
        <w:keepNext/>
      </w:pPr>
    </w:p>
    <w:p w14:paraId="0329E30F" w14:textId="249595A1" w:rsidR="006330C6" w:rsidRDefault="006330C6" w:rsidP="006330C6">
      <w:pPr>
        <w:rPr>
          <w:bCs/>
        </w:rPr>
      </w:pPr>
      <w:r w:rsidRPr="00251902">
        <w:rPr>
          <w:bCs/>
        </w:rPr>
        <w:t>Results from the energy system models MESSAGE/MACRO and IMAGE/TIMER, under the EU AMPERE project (AMPERE, 2014) present very different expectations of wind capacity growth. In IMAGE/TIMER total wind capa</w:t>
      </w:r>
      <w:r w:rsidR="00000C08">
        <w:rPr>
          <w:bCs/>
        </w:rPr>
        <w:t>city might reach 3</w:t>
      </w:r>
      <w:r w:rsidR="00CA3FF5">
        <w:rPr>
          <w:bCs/>
        </w:rPr>
        <w:t>,</w:t>
      </w:r>
      <w:r w:rsidR="00000C08">
        <w:rPr>
          <w:bCs/>
        </w:rPr>
        <w:t>505 GW (in 450</w:t>
      </w:r>
      <w:r w:rsidRPr="00251902">
        <w:rPr>
          <w:bCs/>
        </w:rPr>
        <w:t xml:space="preserve"> scenario) and 3</w:t>
      </w:r>
      <w:r w:rsidR="00CA3FF5">
        <w:rPr>
          <w:bCs/>
        </w:rPr>
        <w:t>,</w:t>
      </w:r>
      <w:r w:rsidRPr="00251902">
        <w:rPr>
          <w:bCs/>
        </w:rPr>
        <w:t>676 GW (REFPol scenario).</w:t>
      </w:r>
    </w:p>
    <w:p w14:paraId="78F863ED" w14:textId="6888EFA8" w:rsidR="006330C6" w:rsidRPr="00251902" w:rsidRDefault="006330C6" w:rsidP="006330C6">
      <w:pPr>
        <w:rPr>
          <w:bCs/>
        </w:rPr>
      </w:pPr>
      <w:r w:rsidRPr="00251902">
        <w:rPr>
          <w:bCs/>
        </w:rPr>
        <w:t>In MESSAGE/MACRO</w:t>
      </w:r>
      <w:r w:rsidR="00F3570C">
        <w:rPr>
          <w:bCs/>
        </w:rPr>
        <w:t>,</w:t>
      </w:r>
      <w:r w:rsidRPr="00251902">
        <w:rPr>
          <w:bCs/>
        </w:rPr>
        <w:t xml:space="preserve"> the expectations are lower in the REFPol scenario with 2</w:t>
      </w:r>
      <w:r w:rsidR="000A4727">
        <w:rPr>
          <w:bCs/>
        </w:rPr>
        <w:t>,</w:t>
      </w:r>
      <w:r w:rsidRPr="00251902">
        <w:rPr>
          <w:bCs/>
        </w:rPr>
        <w:t>523 GW but higher in the 450 scenario with 3</w:t>
      </w:r>
      <w:r w:rsidR="00CA3FF5">
        <w:rPr>
          <w:bCs/>
        </w:rPr>
        <w:t>,</w:t>
      </w:r>
      <w:r w:rsidRPr="00251902">
        <w:rPr>
          <w:bCs/>
        </w:rPr>
        <w:t xml:space="preserve">894 GW (39% from offshore wind). Despite having similar socio economic assumptions that were harmonized </w:t>
      </w:r>
      <w:r>
        <w:rPr>
          <w:bCs/>
        </w:rPr>
        <w:t>in</w:t>
      </w:r>
      <w:r w:rsidRPr="00251902">
        <w:rPr>
          <w:bCs/>
        </w:rPr>
        <w:t xml:space="preserve"> the AMPERE project, these differences are a result of the different characteristics of the models and technological detail available</w:t>
      </w:r>
      <w:r>
        <w:rPr>
          <w:bCs/>
        </w:rPr>
        <w:t xml:space="preserve"> in each of them</w:t>
      </w:r>
      <w:r w:rsidRPr="00251902">
        <w:rPr>
          <w:bCs/>
        </w:rPr>
        <w:t>.</w:t>
      </w:r>
    </w:p>
    <w:p w14:paraId="6C1E851E" w14:textId="1999FDA9" w:rsidR="006330C6" w:rsidRPr="00503A0F" w:rsidRDefault="006330C6" w:rsidP="006330C6">
      <w:pPr>
        <w:rPr>
          <w:bCs/>
        </w:rPr>
      </w:pPr>
      <w:r w:rsidRPr="00251902">
        <w:rPr>
          <w:bCs/>
        </w:rPr>
        <w:t>Greenpeace report</w:t>
      </w:r>
      <w:r>
        <w:rPr>
          <w:bCs/>
        </w:rPr>
        <w:t xml:space="preserve"> from 2015 disclose the most ambitious scenario</w:t>
      </w:r>
      <w:r w:rsidRPr="00251902">
        <w:rPr>
          <w:bCs/>
        </w:rPr>
        <w:t xml:space="preserve"> </w:t>
      </w:r>
      <w:r>
        <w:rPr>
          <w:bCs/>
        </w:rPr>
        <w:t xml:space="preserve">(i.e. Advanced Energy </w:t>
      </w:r>
      <w:r w:rsidR="00000C08">
        <w:rPr>
          <w:bCs/>
        </w:rPr>
        <w:t>[</w:t>
      </w:r>
      <w:r>
        <w:rPr>
          <w:bCs/>
        </w:rPr>
        <w:t>R</w:t>
      </w:r>
      <w:r w:rsidR="00000C08">
        <w:rPr>
          <w:bCs/>
        </w:rPr>
        <w:t>]</w:t>
      </w:r>
      <w:r>
        <w:rPr>
          <w:bCs/>
        </w:rPr>
        <w:t xml:space="preserve">evolution) </w:t>
      </w:r>
      <w:r w:rsidRPr="00251902">
        <w:rPr>
          <w:bCs/>
        </w:rPr>
        <w:t>of all the selected sources for wind cumulative capacity, expl</w:t>
      </w:r>
      <w:r w:rsidR="00000C08">
        <w:rPr>
          <w:bCs/>
        </w:rPr>
        <w:t xml:space="preserve">ained by the main assumption behind </w:t>
      </w:r>
      <w:r>
        <w:rPr>
          <w:bCs/>
        </w:rPr>
        <w:t>it</w:t>
      </w:r>
      <w:r w:rsidRPr="00251902">
        <w:rPr>
          <w:bCs/>
        </w:rPr>
        <w:t xml:space="preserve"> </w:t>
      </w:r>
      <w:r w:rsidR="00000C08">
        <w:rPr>
          <w:bCs/>
        </w:rPr>
        <w:t xml:space="preserve">- </w:t>
      </w:r>
      <w:r w:rsidRPr="00251902">
        <w:rPr>
          <w:bCs/>
        </w:rPr>
        <w:t xml:space="preserve">100% of electricity should be produced by RES in 2050. Figure </w:t>
      </w:r>
      <w:r w:rsidR="00CA3FF5">
        <w:rPr>
          <w:bCs/>
        </w:rPr>
        <w:t>2.1</w:t>
      </w:r>
      <w:r w:rsidRPr="00251902">
        <w:rPr>
          <w:bCs/>
        </w:rPr>
        <w:t xml:space="preserve"> compare the long-term market projections for wind power of reports from 1999 to 2014 where we can see the range of </w:t>
      </w:r>
      <w:r w:rsidR="00000C08">
        <w:rPr>
          <w:bCs/>
        </w:rPr>
        <w:t>projections</w:t>
      </w:r>
      <w:r w:rsidRPr="00251902">
        <w:rPr>
          <w:bCs/>
        </w:rPr>
        <w:t xml:space="preserve"> for wind deployment dependent on the year of publication and scenarios assumptions.</w:t>
      </w:r>
    </w:p>
    <w:tbl>
      <w:tblPr>
        <w:tblStyle w:val="TableGrid"/>
        <w:tblW w:w="0" w:type="auto"/>
        <w:tblLook w:val="04A0" w:firstRow="1" w:lastRow="0" w:firstColumn="1" w:lastColumn="0" w:noHBand="0" w:noVBand="1"/>
      </w:tblPr>
      <w:tblGrid>
        <w:gridCol w:w="9350"/>
      </w:tblGrid>
      <w:tr w:rsidR="006330C6" w:rsidRPr="00251902" w14:paraId="2BBBBD40" w14:textId="77777777" w:rsidTr="005A0949">
        <w:tc>
          <w:tcPr>
            <w:tcW w:w="9350" w:type="dxa"/>
          </w:tcPr>
          <w:p w14:paraId="4D1E9BA9" w14:textId="77777777" w:rsidR="00323154" w:rsidRDefault="00323154" w:rsidP="006330C6">
            <w:pPr>
              <w:pStyle w:val="Caption"/>
              <w:keepNext/>
              <w:jc w:val="center"/>
            </w:pPr>
          </w:p>
          <w:p w14:paraId="69E5B0C7" w14:textId="7D58A77F" w:rsidR="006330C6" w:rsidRPr="00251902" w:rsidRDefault="006330C6" w:rsidP="006330C6">
            <w:pPr>
              <w:pStyle w:val="Caption"/>
              <w:keepNext/>
              <w:jc w:val="center"/>
            </w:pPr>
            <w:r w:rsidRPr="00AC30DD">
              <w:rPr>
                <w:noProof/>
                <w:lang w:val="en-GB" w:eastAsia="en-GB"/>
              </w:rPr>
              <w:drawing>
                <wp:inline distT="0" distB="0" distL="0" distR="0" wp14:anchorId="625FFD20" wp14:editId="7D8BF591">
                  <wp:extent cx="5853883" cy="2553430"/>
                  <wp:effectExtent l="0" t="0" r="1270" b="0"/>
                  <wp:docPr id="11" name="Picture 11" descr="Screen%20Shot%202016-10-28%20at%2016.5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28%20at%2016.54.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8713" cy="2555537"/>
                          </a:xfrm>
                          <a:prstGeom prst="rect">
                            <a:avLst/>
                          </a:prstGeom>
                          <a:noFill/>
                          <a:ln>
                            <a:noFill/>
                          </a:ln>
                        </pic:spPr>
                      </pic:pic>
                    </a:graphicData>
                  </a:graphic>
                </wp:inline>
              </w:drawing>
            </w:r>
            <w:r>
              <w:rPr>
                <w:noProof/>
                <w:lang w:val="en-GB" w:eastAsia="en-GB"/>
              </w:rPr>
              <w:drawing>
                <wp:inline distT="0" distB="0" distL="0" distR="0" wp14:anchorId="71930A34" wp14:editId="30FB6873">
                  <wp:extent cx="5937885" cy="2596445"/>
                  <wp:effectExtent l="0" t="0" r="5715" b="0"/>
                  <wp:docPr id="12" name="Picture 12" descr="Screen%20Shot%202016-10-28%20at%2016.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28%20at%2016.54.5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1710"/>
                          <a:stretch/>
                        </pic:blipFill>
                        <pic:spPr bwMode="auto">
                          <a:xfrm>
                            <a:off x="0" y="0"/>
                            <a:ext cx="5937885" cy="259644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B58113E" w14:textId="1E86D77D" w:rsidR="006330C6" w:rsidRDefault="005A0949" w:rsidP="00000C08">
      <w:pPr>
        <w:pStyle w:val="Caption"/>
        <w:jc w:val="center"/>
      </w:pPr>
      <w:bookmarkStart w:id="13" w:name="_Toc465469885"/>
      <w:bookmarkStart w:id="14" w:name="_Toc23609247"/>
      <w:r w:rsidRPr="00251902">
        <w:t xml:space="preserve">Figure </w:t>
      </w:r>
      <w:r>
        <w:t>1.</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rsidR="006330C6" w:rsidRPr="00251902">
        <w:t>– Wind Power capacity long term market projections until 2030 (Adapted from Greenpeace, 2015)</w:t>
      </w:r>
      <w:bookmarkEnd w:id="13"/>
      <w:bookmarkEnd w:id="14"/>
    </w:p>
    <w:p w14:paraId="299A7204" w14:textId="43A4EA67" w:rsidR="00C2602C" w:rsidRDefault="00C2602C" w:rsidP="00C2602C">
      <w:pPr>
        <w:widowControl w:val="0"/>
        <w:autoSpaceDE w:val="0"/>
        <w:autoSpaceDN w:val="0"/>
        <w:adjustRightInd w:val="0"/>
        <w:rPr>
          <w:bCs/>
        </w:rPr>
      </w:pPr>
      <w:r w:rsidRPr="00251902">
        <w:rPr>
          <w:bCs/>
        </w:rPr>
        <w:t xml:space="preserve">The results presented show </w:t>
      </w:r>
      <w:r>
        <w:rPr>
          <w:bCs/>
        </w:rPr>
        <w:t>that a</w:t>
      </w:r>
      <w:r w:rsidRPr="00251902">
        <w:rPr>
          <w:bCs/>
        </w:rPr>
        <w:t xml:space="preserve"> stronger adoption of wind turbines is possible if specific policies are put in place that put a price on carbon emissions, mitigation targets, as well as regulations that force fossil fuel companies to absorb some of their external costs on public health and the environment.</w:t>
      </w:r>
    </w:p>
    <w:p w14:paraId="2CADFB9D" w14:textId="28C13920" w:rsidR="00C2602C" w:rsidRDefault="00323154" w:rsidP="00323154">
      <w:pPr>
        <w:widowControl w:val="0"/>
        <w:autoSpaceDE w:val="0"/>
        <w:autoSpaceDN w:val="0"/>
        <w:adjustRightInd w:val="0"/>
        <w:rPr>
          <w:bCs/>
        </w:rPr>
      </w:pPr>
      <w:r w:rsidRPr="00251902">
        <w:rPr>
          <w:bCs/>
        </w:rPr>
        <w:t>For IEA (2016</w:t>
      </w:r>
      <w:r>
        <w:rPr>
          <w:bCs/>
        </w:rPr>
        <w:t>b</w:t>
      </w:r>
      <w:r w:rsidRPr="00251902">
        <w:rPr>
          <w:bCs/>
        </w:rPr>
        <w:t>) and MESSAGE/MACRO model (AMPERE, 2014), the deployment of wind may rise 72% to 54% respectively when there is a limit on total carbon emissions. By defining a target 100% RES electricity generation, Greenpeace (2016) widens the scope for wind significantly, considering that it is possible a 561% compared to a Reference scenario in 2050.</w:t>
      </w:r>
    </w:p>
    <w:p w14:paraId="18545947" w14:textId="197CD754" w:rsidR="00323154" w:rsidRPr="00323154" w:rsidRDefault="00323154" w:rsidP="00323154">
      <w:pPr>
        <w:rPr>
          <w:bCs/>
        </w:rPr>
      </w:pPr>
      <w:r w:rsidRPr="00251902">
        <w:rPr>
          <w:bCs/>
        </w:rPr>
        <w:t>Above, we presented several studies showing the</w:t>
      </w:r>
      <w:r>
        <w:rPr>
          <w:bCs/>
        </w:rPr>
        <w:t xml:space="preserve"> role of wind</w:t>
      </w:r>
      <w:r w:rsidRPr="00251902">
        <w:rPr>
          <w:bCs/>
        </w:rPr>
        <w:t xml:space="preserve"> technologies needed to put the world on the path under 2ºC degrees warming, the internationally-agreed threshold for avoiding potentially irreversible climate change; and estimating a range of possibilities for wind energy use</w:t>
      </w:r>
      <w:r>
        <w:rPr>
          <w:bCs/>
        </w:rPr>
        <w:t xml:space="preserve"> and other less ambitious mitigation scenarios.</w:t>
      </w:r>
    </w:p>
    <w:p w14:paraId="12A2F24A" w14:textId="1CF11C02" w:rsidR="001C49CB" w:rsidRPr="00E069AC" w:rsidRDefault="551A77D0" w:rsidP="00483FFA">
      <w:pPr>
        <w:pStyle w:val="Heading2"/>
        <w:numPr>
          <w:ilvl w:val="1"/>
          <w:numId w:val="26"/>
        </w:numPr>
      </w:pPr>
      <w:bookmarkStart w:id="15" w:name="_Toc18619508"/>
      <w:r w:rsidRPr="00E069AC">
        <w:t xml:space="preserve">Advantages  and disadvantages of </w:t>
      </w:r>
      <w:r w:rsidR="00EA7E2F">
        <w:t>Wind Offshore</w:t>
      </w:r>
      <w:bookmarkEnd w:id="15"/>
    </w:p>
    <w:p w14:paraId="473285D3" w14:textId="3CACBF3E" w:rsidR="00202788" w:rsidRPr="00E069AC" w:rsidRDefault="551A77D0" w:rsidP="005D49A8">
      <w:pPr>
        <w:pStyle w:val="Heading3"/>
      </w:pPr>
      <w:bookmarkStart w:id="16" w:name="_Toc18619509"/>
      <w:r w:rsidRPr="00E069AC">
        <w:t>Similar Solution</w:t>
      </w:r>
      <w:bookmarkEnd w:id="16"/>
    </w:p>
    <w:p w14:paraId="42BBE898" w14:textId="144FB494" w:rsidR="00FC7036" w:rsidRPr="00E069AC" w:rsidRDefault="00FC7036" w:rsidP="00FC7036">
      <w:pPr>
        <w:rPr>
          <w:rFonts w:cs="Times New Roman"/>
        </w:rPr>
      </w:pPr>
      <w:r w:rsidRPr="00E069AC">
        <w:rPr>
          <w:rFonts w:cs="Times New Roman"/>
        </w:rPr>
        <w:t xml:space="preserve">There are several solutions in the electricity generation sector that replace conventional electricity-generating technologies such as coal, oil, and natural gas power plants, and that could be considered similar solutions. Herein, it </w:t>
      </w:r>
      <w:r w:rsidR="0087124F">
        <w:rPr>
          <w:rFonts w:cs="Times New Roman"/>
        </w:rPr>
        <w:t>is</w:t>
      </w:r>
      <w:r w:rsidRPr="00E069AC">
        <w:rPr>
          <w:rFonts w:cs="Times New Roman"/>
        </w:rPr>
        <w:t xml:space="preserve"> considered similar solutions the ones that use the same resource: </w:t>
      </w:r>
      <w:r w:rsidRPr="00CA3FF5">
        <w:rPr>
          <w:rFonts w:cs="Times New Roman"/>
          <w:i/>
        </w:rPr>
        <w:t>i.e.</w:t>
      </w:r>
      <w:r w:rsidRPr="00E069AC">
        <w:rPr>
          <w:rFonts w:cs="Times New Roman"/>
        </w:rPr>
        <w:t xml:space="preserve"> </w:t>
      </w:r>
      <w:r>
        <w:rPr>
          <w:rFonts w:cs="Times New Roman"/>
        </w:rPr>
        <w:t>wind</w:t>
      </w:r>
      <w:r w:rsidRPr="00E069AC">
        <w:rPr>
          <w:rFonts w:cs="Times New Roman"/>
        </w:rPr>
        <w:t xml:space="preserve"> energy for electricity generation. </w:t>
      </w:r>
    </w:p>
    <w:p w14:paraId="3DD6E5D6" w14:textId="3D0DDF3D" w:rsidR="00FC7036" w:rsidRPr="00E069AC" w:rsidRDefault="00FC7036" w:rsidP="00FC7036">
      <w:pPr>
        <w:rPr>
          <w:rFonts w:cs="Times New Roman"/>
        </w:rPr>
      </w:pPr>
      <w:r w:rsidRPr="00E069AC">
        <w:rPr>
          <w:rFonts w:cs="Times New Roman"/>
        </w:rPr>
        <w:t xml:space="preserve">Besides </w:t>
      </w:r>
      <w:r>
        <w:rPr>
          <w:rFonts w:cs="Times New Roman"/>
        </w:rPr>
        <w:t>wind o</w:t>
      </w:r>
      <w:r w:rsidR="00C95D0F">
        <w:rPr>
          <w:rFonts w:cs="Times New Roman"/>
        </w:rPr>
        <w:t>ff</w:t>
      </w:r>
      <w:r>
        <w:rPr>
          <w:rFonts w:cs="Times New Roman"/>
        </w:rPr>
        <w:t>shore utility scale</w:t>
      </w:r>
      <w:r w:rsidRPr="00E069AC">
        <w:rPr>
          <w:rFonts w:cs="Times New Roman"/>
        </w:rPr>
        <w:t>, there</w:t>
      </w:r>
      <w:r>
        <w:rPr>
          <w:rFonts w:cs="Times New Roman"/>
        </w:rPr>
        <w:t xml:space="preserve"> are</w:t>
      </w:r>
      <w:r w:rsidRPr="00E069AC">
        <w:rPr>
          <w:rFonts w:cs="Times New Roman"/>
        </w:rPr>
        <w:t xml:space="preserve"> alterna</w:t>
      </w:r>
      <w:r>
        <w:rPr>
          <w:rFonts w:cs="Times New Roman"/>
        </w:rPr>
        <w:t xml:space="preserve">tive renewable energy technology </w:t>
      </w:r>
      <w:r w:rsidRPr="00E069AC">
        <w:rPr>
          <w:rFonts w:cs="Times New Roman"/>
        </w:rPr>
        <w:t xml:space="preserve">with </w:t>
      </w:r>
      <w:r>
        <w:rPr>
          <w:rFonts w:cs="Times New Roman"/>
        </w:rPr>
        <w:t xml:space="preserve">a </w:t>
      </w:r>
      <w:r w:rsidRPr="00E069AC">
        <w:rPr>
          <w:rFonts w:cs="Times New Roman"/>
        </w:rPr>
        <w:t xml:space="preserve">difference on the level of agency (e.g. </w:t>
      </w:r>
      <w:r>
        <w:rPr>
          <w:rFonts w:cs="Times New Roman"/>
        </w:rPr>
        <w:t>buildings level) and location (i.e. onshore).</w:t>
      </w:r>
    </w:p>
    <w:p w14:paraId="536985A5" w14:textId="4907F0C7" w:rsidR="00FC7036" w:rsidRPr="00504415" w:rsidRDefault="00FC7036" w:rsidP="00FC7036">
      <w:pPr>
        <w:pStyle w:val="NormalWeb"/>
        <w:numPr>
          <w:ilvl w:val="0"/>
          <w:numId w:val="34"/>
        </w:numPr>
        <w:rPr>
          <w:rFonts w:eastAsiaTheme="minorEastAsia"/>
          <w:sz w:val="22"/>
          <w:szCs w:val="22"/>
          <w:lang w:eastAsia="ja-JP"/>
        </w:rPr>
      </w:pPr>
      <w:r w:rsidRPr="00680C56">
        <w:rPr>
          <w:rFonts w:eastAsiaTheme="minorEastAsia"/>
          <w:b/>
          <w:sz w:val="22"/>
          <w:szCs w:val="22"/>
          <w:u w:val="single"/>
          <w:lang w:eastAsia="ja-JP"/>
        </w:rPr>
        <w:t>Wind Onshore:</w:t>
      </w:r>
      <w:r w:rsidRPr="004964A7">
        <w:rPr>
          <w:rFonts w:eastAsiaTheme="minorEastAsia"/>
          <w:sz w:val="22"/>
          <w:szCs w:val="22"/>
          <w:u w:val="single"/>
          <w:lang w:eastAsia="ja-JP"/>
        </w:rPr>
        <w:t xml:space="preserve"> </w:t>
      </w:r>
      <w:r w:rsidRPr="004964A7">
        <w:rPr>
          <w:sz w:val="22"/>
          <w:szCs w:val="22"/>
          <w:lang w:eastAsia="en-US"/>
        </w:rPr>
        <w:t>onshore utility-scale wind power technologies</w:t>
      </w:r>
      <w:r w:rsidR="00B2203A">
        <w:rPr>
          <w:sz w:val="22"/>
          <w:szCs w:val="22"/>
          <w:lang w:eastAsia="en-US"/>
        </w:rPr>
        <w:t xml:space="preserve"> </w:t>
      </w:r>
      <w:r w:rsidR="00524CDD">
        <w:rPr>
          <w:sz w:val="22"/>
          <w:szCs w:val="22"/>
          <w:lang w:eastAsia="en-US"/>
        </w:rPr>
        <w:t>are located within the land boundary</w:t>
      </w:r>
      <w:r w:rsidR="00B2203A">
        <w:rPr>
          <w:sz w:val="22"/>
          <w:szCs w:val="22"/>
          <w:lang w:eastAsia="en-US"/>
        </w:rPr>
        <w:t xml:space="preserve"> of a region</w:t>
      </w:r>
      <w:r w:rsidR="00524CDD">
        <w:rPr>
          <w:sz w:val="22"/>
          <w:szCs w:val="22"/>
          <w:lang w:eastAsia="en-US"/>
        </w:rPr>
        <w:t>, and widely spaced about 4 rotor diameters apart to minimize reduction of power output arising from downwind turbines operating in the wake of upwind turbines</w:t>
      </w:r>
      <w:r w:rsidRPr="004964A7">
        <w:rPr>
          <w:sz w:val="22"/>
          <w:szCs w:val="22"/>
          <w:lang w:eastAsia="en-US"/>
        </w:rPr>
        <w:t>.</w:t>
      </w:r>
      <w:r w:rsidR="00524CDD">
        <w:rPr>
          <w:sz w:val="22"/>
          <w:szCs w:val="22"/>
          <w:lang w:eastAsia="en-US"/>
        </w:rPr>
        <w:t xml:space="preserve"> Utility-scale onshore wind provides electricity at the same level of ag</w:t>
      </w:r>
      <w:r w:rsidR="00A6575C">
        <w:rPr>
          <w:sz w:val="22"/>
          <w:szCs w:val="22"/>
          <w:lang w:eastAsia="en-US"/>
        </w:rPr>
        <w:t xml:space="preserve">ency as the offshore wind power, relatively easier to build and maintain, but </w:t>
      </w:r>
      <w:r w:rsidR="00F94A05">
        <w:rPr>
          <w:sz w:val="22"/>
          <w:szCs w:val="22"/>
          <w:lang w:eastAsia="en-US"/>
        </w:rPr>
        <w:t xml:space="preserve">with potentially </w:t>
      </w:r>
      <w:r w:rsidR="00A6575C">
        <w:rPr>
          <w:sz w:val="22"/>
          <w:szCs w:val="22"/>
          <w:lang w:eastAsia="en-US"/>
        </w:rPr>
        <w:t>high visual issues which makes planning permissions and public acceptance more challenging.</w:t>
      </w:r>
    </w:p>
    <w:p w14:paraId="498FDBB7" w14:textId="5AC25C55" w:rsidR="00202788" w:rsidRPr="00D81B0F" w:rsidRDefault="0018298D" w:rsidP="00D81B0F">
      <w:pPr>
        <w:pStyle w:val="NormalWeb"/>
        <w:numPr>
          <w:ilvl w:val="0"/>
          <w:numId w:val="34"/>
        </w:numPr>
        <w:rPr>
          <w:rFonts w:eastAsiaTheme="minorEastAsia"/>
          <w:sz w:val="22"/>
          <w:szCs w:val="22"/>
          <w:lang w:eastAsia="ja-JP"/>
        </w:rPr>
      </w:pPr>
      <w:r w:rsidRPr="00680C56">
        <w:rPr>
          <w:rFonts w:eastAsiaTheme="minorEastAsia"/>
          <w:b/>
          <w:sz w:val="22"/>
          <w:szCs w:val="22"/>
          <w:u w:val="single"/>
          <w:lang w:eastAsia="ja-JP"/>
        </w:rPr>
        <w:t>Micro Wind Turbines:</w:t>
      </w:r>
      <w:r w:rsidRPr="00D81B0F">
        <w:rPr>
          <w:rFonts w:eastAsiaTheme="minorEastAsia"/>
          <w:sz w:val="22"/>
          <w:szCs w:val="22"/>
          <w:u w:val="single"/>
          <w:lang w:eastAsia="ja-JP"/>
        </w:rPr>
        <w:t xml:space="preserve"> </w:t>
      </w:r>
      <w:r w:rsidR="00D81B0F" w:rsidRPr="00D81B0F">
        <w:rPr>
          <w:rFonts w:eastAsiaTheme="minorEastAsia"/>
          <w:sz w:val="22"/>
          <w:szCs w:val="22"/>
          <w:lang w:eastAsia="ja-JP"/>
        </w:rPr>
        <w:t>electricity-generating wind turbines with capacity of 100 kilowatts or less. In lower-income countries, micro wind turbines can help expand access to electricity, giving people a way to light their homes or cook their evening meals, which can avoid emissions from dirty diesel generators or kerosene lamps.</w:t>
      </w:r>
      <w:r w:rsidR="00D81B0F">
        <w:rPr>
          <w:rFonts w:eastAsiaTheme="minorEastAsia"/>
          <w:sz w:val="22"/>
          <w:szCs w:val="22"/>
          <w:lang w:eastAsia="ja-JP"/>
        </w:rPr>
        <w:t xml:space="preserve"> </w:t>
      </w:r>
      <w:r w:rsidR="00D81B0F" w:rsidRPr="00D81B0F">
        <w:rPr>
          <w:rFonts w:eastAsiaTheme="minorEastAsia"/>
          <w:sz w:val="22"/>
          <w:szCs w:val="22"/>
          <w:lang w:eastAsia="ja-JP"/>
        </w:rPr>
        <w:t>Micro turbines can also be placed on large structures, such as skyscrapers, to take advantage of stronger, steadier breezes.</w:t>
      </w:r>
    </w:p>
    <w:p w14:paraId="66FEF337" w14:textId="77777777" w:rsidR="000330C6" w:rsidRPr="00E069AC" w:rsidRDefault="551A77D0" w:rsidP="005D49A8">
      <w:pPr>
        <w:pStyle w:val="Heading3"/>
      </w:pPr>
      <w:bookmarkStart w:id="17" w:name="_Toc18619510"/>
      <w:r w:rsidRPr="00E069AC">
        <w:t>Arguments for Adoption</w:t>
      </w:r>
      <w:bookmarkEnd w:id="17"/>
    </w:p>
    <w:p w14:paraId="3B43A81B" w14:textId="5C9982CE" w:rsidR="00714C19" w:rsidRDefault="00A6575C" w:rsidP="005C2BC8">
      <w:pPr>
        <w:autoSpaceDE w:val="0"/>
        <w:rPr>
          <w:rFonts w:eastAsia="Times New Roman"/>
          <w:color w:val="000000"/>
        </w:rPr>
      </w:pPr>
      <w:r>
        <w:rPr>
          <w:rFonts w:eastAsia="Times New Roman"/>
          <w:color w:val="000000"/>
        </w:rPr>
        <w:t xml:space="preserve">The ambitious targets against global climate change place emphasis on substituting the carbon-intensive electricity sector with cleaner </w:t>
      </w:r>
      <w:r w:rsidR="00D93B1F">
        <w:rPr>
          <w:rFonts w:eastAsia="Times New Roman"/>
          <w:color w:val="000000"/>
        </w:rPr>
        <w:t>technologies including offshore wind. Among other renewable energy systems, the higher power capacity and capacity factor per unit turbine makes offshore wind strategic in reaching high renewable power and energy penetration targets more quickly.</w:t>
      </w:r>
      <w:r w:rsidR="005630C4">
        <w:rPr>
          <w:rFonts w:eastAsia="Times New Roman"/>
          <w:color w:val="000000"/>
        </w:rPr>
        <w:t xml:space="preserve"> In addition, offshore wind reduces the carbon intensity of electricity grid significantly by displacing </w:t>
      </w:r>
      <w:r w:rsidR="0091177E">
        <w:rPr>
          <w:rFonts w:eastAsia="Times New Roman"/>
          <w:color w:val="000000"/>
        </w:rPr>
        <w:t xml:space="preserve">net </w:t>
      </w:r>
      <w:r w:rsidR="005630C4">
        <w:rPr>
          <w:rFonts w:eastAsia="Times New Roman"/>
          <w:color w:val="000000"/>
        </w:rPr>
        <w:t xml:space="preserve">emissions from fossil-fired power plants. Offshore wind power is also </w:t>
      </w:r>
      <w:r w:rsidR="00F94A05">
        <w:rPr>
          <w:rFonts w:eastAsia="Times New Roman"/>
          <w:color w:val="000000"/>
        </w:rPr>
        <w:t>favored</w:t>
      </w:r>
      <w:r w:rsidR="005630C4">
        <w:rPr>
          <w:rFonts w:eastAsia="Times New Roman"/>
          <w:color w:val="000000"/>
        </w:rPr>
        <w:t xml:space="preserve"> in reducing the visual disamenity impacts associated with onshore wind power.</w:t>
      </w:r>
    </w:p>
    <w:p w14:paraId="50933F42" w14:textId="4B3A52F8" w:rsidR="005C2BC8" w:rsidRPr="005C2BC8" w:rsidRDefault="005C2BC8" w:rsidP="005C2BC8">
      <w:r w:rsidRPr="00251902">
        <w:t>As a renewable resource wind does not require mining or drilling for fuel, and its costs are not susceptible to fluctuations in fossil fuel prices. The increased use of wind can help utilities hedge against the volatility of fossil fuels, and prepare for existing or future regulations pricing or limiting carbon emissions. The increased use of wind would also cut down on other air pollution emissions such as particulate matter, sulfur dioxide, and nitrous oxide, reducing related health problems and premature mortality. The increased use of wind would also decrease the use of water and the potential for water pollution from mining and drilling. According to the US DOE (2015), adoption of wind technologies compared to business as usual scenario results in savings on GHG emissions, air pollution, water use</w:t>
      </w:r>
      <w:r>
        <w:t>, and even electricity costs.</w:t>
      </w:r>
    </w:p>
    <w:p w14:paraId="54BC452F" w14:textId="17B953F3" w:rsidR="00CB603A" w:rsidRPr="00E069AC" w:rsidRDefault="00CB603A" w:rsidP="005D49A8">
      <w:pPr>
        <w:rPr>
          <w:rFonts w:cs="Times New Roman"/>
        </w:rPr>
      </w:pPr>
      <w:r w:rsidRPr="00E069AC">
        <w:rPr>
          <w:rFonts w:cs="Times New Roman"/>
        </w:rPr>
        <w:t xml:space="preserve">Given that </w:t>
      </w:r>
      <w:r w:rsidR="005C2BC8">
        <w:rPr>
          <w:rFonts w:cs="Times New Roman"/>
        </w:rPr>
        <w:t>wind offshore</w:t>
      </w:r>
      <w:r w:rsidRPr="00E069AC">
        <w:rPr>
          <w:rFonts w:cs="Times New Roman"/>
        </w:rPr>
        <w:t xml:space="preserve"> installations will in most cases be deployed to replace fossil fuel power plants,</w:t>
      </w:r>
      <w:r w:rsidR="005C2BC8">
        <w:rPr>
          <w:rFonts w:cs="Times New Roman"/>
        </w:rPr>
        <w:t xml:space="preserve"> their</w:t>
      </w:r>
      <w:r w:rsidRPr="00E069AC">
        <w:rPr>
          <w:rFonts w:cs="Times New Roman"/>
        </w:rPr>
        <w:t xml:space="preserve"> carbon mitigation potential is significant. There are, of course, indirect emissions associated with </w:t>
      </w:r>
      <w:r w:rsidR="005C2BC8">
        <w:rPr>
          <w:rFonts w:cs="Times New Roman"/>
        </w:rPr>
        <w:t>these technologies</w:t>
      </w:r>
      <w:r w:rsidRPr="00E069AC">
        <w:rPr>
          <w:rFonts w:cs="Times New Roman"/>
        </w:rPr>
        <w:t xml:space="preserve"> manufacturing and installation, and this issue will be discussed in greater detail below, but according to the IEA, the large emission reductions resulting from substitution of fossil fuel-based electricity generation with </w:t>
      </w:r>
      <w:r w:rsidR="005C2BC8">
        <w:rPr>
          <w:rFonts w:cs="Times New Roman"/>
        </w:rPr>
        <w:t>wind</w:t>
      </w:r>
      <w:r w:rsidRPr="00E069AC">
        <w:rPr>
          <w:rFonts w:cs="Times New Roman"/>
        </w:rPr>
        <w:t xml:space="preserve"> electricity are orders of magnitude larger than emissions increases due to </w:t>
      </w:r>
      <w:r w:rsidR="005C2BC8">
        <w:rPr>
          <w:rFonts w:cs="Times New Roman"/>
        </w:rPr>
        <w:t>wind offshore</w:t>
      </w:r>
      <w:r w:rsidRPr="00E069AC">
        <w:rPr>
          <w:rFonts w:cs="Times New Roman"/>
        </w:rPr>
        <w:t xml:space="preserve"> lifecycle emissions and the variability that may come with a high penetration of </w:t>
      </w:r>
      <w:r w:rsidR="005C2BC8">
        <w:rPr>
          <w:rFonts w:cs="Times New Roman"/>
        </w:rPr>
        <w:t>wind</w:t>
      </w:r>
      <w:r w:rsidRPr="00E069AC">
        <w:rPr>
          <w:rFonts w:cs="Times New Roman"/>
        </w:rPr>
        <w:t xml:space="preserve"> electricity in future grids (IEA, 2014).</w:t>
      </w:r>
    </w:p>
    <w:p w14:paraId="631C1215" w14:textId="77777777" w:rsidR="006D6012" w:rsidRPr="00E069AC" w:rsidRDefault="551A77D0" w:rsidP="005D49A8">
      <w:pPr>
        <w:pStyle w:val="Heading3"/>
      </w:pPr>
      <w:bookmarkStart w:id="18" w:name="_Toc18619511"/>
      <w:r w:rsidRPr="00E069AC">
        <w:t>Additional Benefits and Burdens</w:t>
      </w:r>
      <w:bookmarkEnd w:id="18"/>
    </w:p>
    <w:p w14:paraId="60D33A67" w14:textId="3BD64427" w:rsidR="005C2BC8" w:rsidRPr="00251902" w:rsidRDefault="0001563F" w:rsidP="005C2BC8">
      <w:r>
        <w:t xml:space="preserve">Offshore wind turbines and balance-of-system can be challenging to handle and/or transported by boats to offshore destinations. The degree of complexity also </w:t>
      </w:r>
      <w:r w:rsidR="00390124">
        <w:t>depends</w:t>
      </w:r>
      <w:r>
        <w:t xml:space="preserve"> on the distance from shore and the depth of the continental shelve. Also, installations can be quite challenging where the ocean floor has complex topography and non-uniform.</w:t>
      </w:r>
      <w:r w:rsidR="00390124">
        <w:t xml:space="preserve"> The enormity of wheeling the electricity generated in offshore wind facilities to the utility grid remains one of the major cost drivers.</w:t>
      </w:r>
      <w:r>
        <w:t xml:space="preserve"> Unlike other renewable energy technologies such as solar</w:t>
      </w:r>
      <w:r w:rsidR="00390124">
        <w:t xml:space="preserve"> PV</w:t>
      </w:r>
      <w:r>
        <w:t>, hydro, and ge</w:t>
      </w:r>
      <w:r w:rsidR="00390124">
        <w:t>othermal power plants</w:t>
      </w:r>
      <w:r>
        <w:t xml:space="preserve">, offshore wind power </w:t>
      </w:r>
      <w:r w:rsidR="005C2BC8" w:rsidRPr="00251902">
        <w:t>is less constrained by location</w:t>
      </w:r>
      <w:r w:rsidR="00390124">
        <w:t>. Wind turbines are equipped with yaw mechanisms to yaw them towards good wind resource, and away from stormy wind. Also, the turbine blades are made sophisticated to provide pitching control. In addition, advancement in floating offshore wind technologies will facilitate exploitation of wind resource over large areas.</w:t>
      </w:r>
    </w:p>
    <w:p w14:paraId="2C385D55" w14:textId="260172D2" w:rsidR="005C2BC8" w:rsidRPr="00DF39BA" w:rsidRDefault="005C2BC8" w:rsidP="005C2BC8">
      <w:pPr>
        <w:widowControl w:val="0"/>
        <w:autoSpaceDE w:val="0"/>
        <w:autoSpaceDN w:val="0"/>
        <w:adjustRightInd w:val="0"/>
        <w:rPr>
          <w:rFonts w:eastAsia="Times New Roman"/>
        </w:rPr>
      </w:pPr>
      <w:r>
        <w:rPr>
          <w:rFonts w:eastAsia="Times New Roman"/>
        </w:rPr>
        <w:t>As seen before, t</w:t>
      </w:r>
      <w:r w:rsidRPr="00251902">
        <w:rPr>
          <w:rFonts w:eastAsia="Times New Roman"/>
        </w:rPr>
        <w:t>hough individual turbines at wind plants may need replacement after 20 to 30 years, the site does not need to be abandoned. New, more cost-effective turbines can be added, the infrastructure upgraded if necessary, and the plant returned to use</w:t>
      </w:r>
      <w:r w:rsidR="002A58D4">
        <w:rPr>
          <w:rFonts w:eastAsia="Times New Roman"/>
        </w:rPr>
        <w:t xml:space="preserve"> -  a process known as re-powering</w:t>
      </w:r>
      <w:r w:rsidRPr="00251902">
        <w:rPr>
          <w:rFonts w:eastAsia="Times New Roman"/>
        </w:rPr>
        <w:t xml:space="preserve">. Where turbines do require decommissioning, the salvage </w:t>
      </w:r>
      <w:r w:rsidR="00EA7E2F">
        <w:rPr>
          <w:rFonts w:eastAsia="Times New Roman"/>
        </w:rPr>
        <w:t>v</w:t>
      </w:r>
      <w:r w:rsidRPr="00251902">
        <w:rPr>
          <w:rFonts w:eastAsia="Times New Roman"/>
        </w:rPr>
        <w:t>alue often offsets the costs (Wiser and Yang</w:t>
      </w:r>
      <w:r>
        <w:rPr>
          <w:rFonts w:eastAsia="Times New Roman"/>
        </w:rPr>
        <w:t>,</w:t>
      </w:r>
      <w:r w:rsidRPr="00251902">
        <w:rPr>
          <w:rFonts w:eastAsia="Times New Roman"/>
        </w:rPr>
        <w:t xml:space="preserve"> 2011).</w:t>
      </w:r>
    </w:p>
    <w:p w14:paraId="09614FE9" w14:textId="4D3172DF" w:rsidR="005C2BC8" w:rsidRPr="00251902" w:rsidRDefault="005C2BC8" w:rsidP="005C2BC8">
      <w:r w:rsidRPr="00251902">
        <w:t>According to REN21 (2016) offshore wind power face some challenges in the lack of transmission infrastructure, delays in grid connection, the need to reroute electricity through neighboring countries, lack of public acceptance, and curtailment where regulations and current management systems make it difficult to integrate large amounts of wind energy and other variable renewables.</w:t>
      </w:r>
    </w:p>
    <w:p w14:paraId="754362CD" w14:textId="209EB649" w:rsidR="005C2BC8" w:rsidRPr="00251902" w:rsidRDefault="005C2BC8" w:rsidP="005C2BC8">
      <w:pPr>
        <w:rPr>
          <w:bCs/>
        </w:rPr>
      </w:pPr>
      <w:r w:rsidRPr="00251902">
        <w:rPr>
          <w:bCs/>
        </w:rPr>
        <w:t xml:space="preserve">Further, several studies using models of the electrical grid also have found that current renewable energy resources and technologies could reliably power 80-100% of the electrical grid, at the state, regional, and federal level (Arent </w:t>
      </w:r>
      <w:r w:rsidRPr="00251902">
        <w:rPr>
          <w:bCs/>
          <w:i/>
        </w:rPr>
        <w:t>et al.</w:t>
      </w:r>
      <w:r w:rsidRPr="00251902">
        <w:rPr>
          <w:bCs/>
        </w:rPr>
        <w:t>, 2014, Budischak</w:t>
      </w:r>
      <w:r w:rsidRPr="00251902">
        <w:rPr>
          <w:bCs/>
          <w:i/>
        </w:rPr>
        <w:t xml:space="preserve"> et al.</w:t>
      </w:r>
      <w:r w:rsidRPr="00251902">
        <w:rPr>
          <w:bCs/>
        </w:rPr>
        <w:t>, 2013, Hart and Jacobson 2011</w:t>
      </w:r>
      <w:r w:rsidRPr="00251902">
        <w:rPr>
          <w:rStyle w:val="FootnoteReference"/>
          <w:bCs/>
        </w:rPr>
        <w:footnoteReference w:id="2"/>
      </w:r>
      <w:r w:rsidR="00F94A05">
        <w:rPr>
          <w:bCs/>
        </w:rPr>
        <w:t xml:space="preserve">). </w:t>
      </w:r>
      <w:r w:rsidRPr="00251902">
        <w:rPr>
          <w:bCs/>
        </w:rPr>
        <w:t xml:space="preserve">Wind along with solar often provides most of the energy demanded,  </w:t>
      </w:r>
      <w:r w:rsidR="002A58D4">
        <w:rPr>
          <w:bCs/>
        </w:rPr>
        <w:t xml:space="preserve">supported </w:t>
      </w:r>
      <w:r w:rsidRPr="00251902">
        <w:rPr>
          <w:bCs/>
        </w:rPr>
        <w:t xml:space="preserve">by </w:t>
      </w:r>
      <w:r w:rsidR="002A58D4">
        <w:rPr>
          <w:bCs/>
        </w:rPr>
        <w:t xml:space="preserve">electricity supply from </w:t>
      </w:r>
      <w:r w:rsidRPr="00251902">
        <w:rPr>
          <w:bCs/>
        </w:rPr>
        <w:t>natural gas turbines and pumped hydro storage</w:t>
      </w:r>
      <w:r w:rsidR="002A58D4">
        <w:rPr>
          <w:bCs/>
        </w:rPr>
        <w:t xml:space="preserve"> to match peaking demand</w:t>
      </w:r>
      <w:r w:rsidRPr="00251902">
        <w:rPr>
          <w:bCs/>
        </w:rPr>
        <w:t>.</w:t>
      </w:r>
    </w:p>
    <w:p w14:paraId="0E6878D3" w14:textId="473B8DDC" w:rsidR="005D49A8" w:rsidRPr="00E069AC" w:rsidRDefault="005C2BC8" w:rsidP="004964A7">
      <w:pPr>
        <w:rPr>
          <w:rFonts w:eastAsia="Times New Roman"/>
          <w:color w:val="000000"/>
        </w:rPr>
      </w:pPr>
      <w:r w:rsidRPr="00251902">
        <w:rPr>
          <w:bCs/>
        </w:rPr>
        <w:t xml:space="preserve">Another concern with wind electricity generation, like solar, is intermittency. </w:t>
      </w:r>
      <w:r w:rsidR="002A58D4">
        <w:rPr>
          <w:bCs/>
        </w:rPr>
        <w:t>Offshore w</w:t>
      </w:r>
      <w:r w:rsidRPr="00251902">
        <w:rPr>
          <w:bCs/>
        </w:rPr>
        <w:t>ind speeds vary on a seasonal and hourly basis</w:t>
      </w:r>
      <w:r w:rsidR="002A58D4">
        <w:rPr>
          <w:bCs/>
        </w:rPr>
        <w:t xml:space="preserve"> depending on </w:t>
      </w:r>
      <w:r w:rsidR="00BE6836">
        <w:rPr>
          <w:bCs/>
        </w:rPr>
        <w:t>met-</w:t>
      </w:r>
      <w:r w:rsidR="002A58D4">
        <w:rPr>
          <w:bCs/>
        </w:rPr>
        <w:t>ocean conditions. This necessitates the need for</w:t>
      </w:r>
      <w:r w:rsidRPr="00251902">
        <w:rPr>
          <w:bCs/>
        </w:rPr>
        <w:t xml:space="preserve">  back-up power or storage at certain times to meet electricity demand. </w:t>
      </w:r>
      <w:r w:rsidRPr="00251902">
        <w:rPr>
          <w:rFonts w:eastAsia="Times New Roman"/>
        </w:rPr>
        <w:t>An electric system increasingly powered by solar and wind will need modifications and investments to effectively accommodate the new energy sources. Improved forecasting techniqu</w:t>
      </w:r>
      <w:r>
        <w:rPr>
          <w:rFonts w:eastAsia="Times New Roman"/>
        </w:rPr>
        <w:t xml:space="preserve">es and combining wind and solar </w:t>
      </w:r>
      <w:r w:rsidRPr="00251902">
        <w:rPr>
          <w:rFonts w:eastAsia="Times New Roman"/>
        </w:rPr>
        <w:t xml:space="preserve">can reduce variability costs, although pumped hydro storage and peaking </w:t>
      </w:r>
      <w:r w:rsidR="002A58D4">
        <w:rPr>
          <w:rFonts w:eastAsia="Times New Roman"/>
        </w:rPr>
        <w:t xml:space="preserve">power </w:t>
      </w:r>
      <w:r w:rsidRPr="00251902">
        <w:rPr>
          <w:rFonts w:eastAsia="Times New Roman"/>
        </w:rPr>
        <w:t>plants may be needed to meet periods of increased energy demand. According to IRENA (2015), while this impact receives much attention in the literature and public debate, in large countries increased investment in transmission and distribution lines might be required if available renewable resources are located far from demand centers. Based on available data</w:t>
      </w:r>
      <w:r w:rsidR="00F30BA5">
        <w:rPr>
          <w:rFonts w:eastAsia="Times New Roman"/>
        </w:rPr>
        <w:t xml:space="preserve"> in UK context</w:t>
      </w:r>
      <w:r w:rsidRPr="00251902">
        <w:rPr>
          <w:rFonts w:eastAsia="Times New Roman"/>
        </w:rPr>
        <w:t>,</w:t>
      </w:r>
      <w:r w:rsidR="00F30BA5">
        <w:rPr>
          <w:rFonts w:eastAsia="Times New Roman"/>
        </w:rPr>
        <w:t xml:space="preserve"> Catapult (2016)</w:t>
      </w:r>
      <w:r w:rsidRPr="00251902">
        <w:rPr>
          <w:rFonts w:eastAsia="Times New Roman"/>
        </w:rPr>
        <w:t xml:space="preserve"> estimates the resulting grid costs for transmission networks t</w:t>
      </w:r>
      <w:r>
        <w:rPr>
          <w:rFonts w:eastAsia="Times New Roman"/>
        </w:rPr>
        <w:t xml:space="preserve">end to </w:t>
      </w:r>
      <w:r w:rsidR="00F30BA5">
        <w:rPr>
          <w:rFonts w:eastAsia="Times New Roman"/>
        </w:rPr>
        <w:t xml:space="preserve">average </w:t>
      </w:r>
      <w:r>
        <w:rPr>
          <w:rFonts w:eastAsia="Times New Roman"/>
        </w:rPr>
        <w:t>around US$</w:t>
      </w:r>
      <w:r w:rsidR="00F30BA5">
        <w:rPr>
          <w:rFonts w:eastAsia="Times New Roman"/>
        </w:rPr>
        <w:t xml:space="preserve">0.02/kWh. </w:t>
      </w:r>
      <w:r w:rsidR="00695682" w:rsidRPr="00E069AC">
        <w:rPr>
          <w:rFonts w:eastAsia="Times New Roman" w:cs="Times New Roman"/>
          <w:color w:val="000000"/>
        </w:rPr>
        <w:t xml:space="preserve">Table 1.1. presents </w:t>
      </w:r>
      <w:r w:rsidR="00695682" w:rsidRPr="00E069AC">
        <w:rPr>
          <w:rFonts w:cs="Times New Roman"/>
          <w:color w:val="000000" w:themeColor="text1"/>
        </w:rPr>
        <w:t>a comparison of</w:t>
      </w:r>
      <w:r w:rsidR="000B3EE3" w:rsidRPr="00E069AC">
        <w:rPr>
          <w:rFonts w:cs="Times New Roman"/>
          <w:color w:val="000000" w:themeColor="text1"/>
        </w:rPr>
        <w:t xml:space="preserve"> selected</w:t>
      </w:r>
      <w:r w:rsidR="00695682" w:rsidRPr="00E069AC">
        <w:rPr>
          <w:rFonts w:cs="Times New Roman"/>
          <w:color w:val="000000" w:themeColor="text1"/>
        </w:rPr>
        <w:t xml:space="preserve"> pros and cons of the solution with others in the same sector and with the same energy source.</w:t>
      </w:r>
      <w:bookmarkStart w:id="19" w:name="_Toc524993438"/>
    </w:p>
    <w:p w14:paraId="725983FB" w14:textId="31B1143B" w:rsidR="00132606" w:rsidRDefault="00695682" w:rsidP="00132606">
      <w:pPr>
        <w:pStyle w:val="Caption"/>
        <w:jc w:val="center"/>
      </w:pPr>
      <w:bookmarkStart w:id="20" w:name="_Toc535272075"/>
      <w:r w:rsidRPr="00E069AC">
        <w:t xml:space="preserve">Table </w:t>
      </w:r>
      <w:fldSimple w:instr=" STYLEREF 1 \s ">
        <w:r w:rsidRPr="00E069AC">
          <w:t>1</w:t>
        </w:r>
      </w:fldSimple>
      <w:r w:rsidRPr="00E069AC">
        <w:t>.</w:t>
      </w:r>
      <w:r w:rsidR="00D158BC" w:rsidRPr="00E069AC">
        <w:rPr>
          <w:noProof/>
        </w:rPr>
        <w:fldChar w:fldCharType="begin"/>
      </w:r>
      <w:r w:rsidR="00D158BC" w:rsidRPr="00E069AC">
        <w:rPr>
          <w:noProof/>
        </w:rPr>
        <w:instrText xml:space="preserve"> SEQ Table \* ARABIC \s 1 </w:instrText>
      </w:r>
      <w:r w:rsidR="00D158BC" w:rsidRPr="00E069AC">
        <w:rPr>
          <w:noProof/>
        </w:rPr>
        <w:fldChar w:fldCharType="separate"/>
      </w:r>
      <w:r w:rsidRPr="00E069AC">
        <w:rPr>
          <w:noProof/>
        </w:rPr>
        <w:t>1</w:t>
      </w:r>
      <w:r w:rsidR="00D158BC" w:rsidRPr="00E069AC">
        <w:rPr>
          <w:noProof/>
        </w:rPr>
        <w:fldChar w:fldCharType="end"/>
      </w:r>
      <w:r w:rsidRPr="00E069AC">
        <w:t xml:space="preserve"> </w:t>
      </w:r>
      <w:bookmarkEnd w:id="19"/>
      <w:bookmarkEnd w:id="20"/>
      <w:r w:rsidR="004964A7">
        <w:t>Conventional versus wind technologies: some key impacts</w:t>
      </w:r>
    </w:p>
    <w:tbl>
      <w:tblPr>
        <w:tblStyle w:val="ListTable6Colorful"/>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103"/>
        <w:gridCol w:w="1679"/>
        <w:gridCol w:w="1188"/>
        <w:gridCol w:w="1203"/>
        <w:gridCol w:w="1189"/>
      </w:tblGrid>
      <w:tr w:rsidR="004964A7" w:rsidRPr="00680C56" w14:paraId="2479C358" w14:textId="77777777" w:rsidTr="004C1737">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103" w:type="dxa"/>
            <w:shd w:val="clear" w:color="auto" w:fill="4F81BD" w:themeFill="accent1"/>
            <w:vAlign w:val="center"/>
            <w:hideMark/>
          </w:tcPr>
          <w:p w14:paraId="4DC746C8" w14:textId="5E692C30" w:rsidR="004964A7" w:rsidRPr="00680C56" w:rsidRDefault="004964A7" w:rsidP="00C15551">
            <w:pPr>
              <w:spacing w:line="276" w:lineRule="auto"/>
              <w:jc w:val="center"/>
              <w:rPr>
                <w:rFonts w:cs="Times New Roman"/>
                <w:b w:val="0"/>
                <w:color w:val="FFFFFF" w:themeColor="background1"/>
                <w:sz w:val="20"/>
                <w:szCs w:val="20"/>
                <w:lang w:eastAsia="zh-CN"/>
              </w:rPr>
            </w:pPr>
            <w:r w:rsidRPr="00680C56">
              <w:rPr>
                <w:rFonts w:cs="Times New Roman"/>
                <w:b w:val="0"/>
                <w:color w:val="FFFFFF" w:themeColor="background1"/>
                <w:sz w:val="20"/>
                <w:szCs w:val="20"/>
                <w:lang w:eastAsia="zh-CN"/>
              </w:rPr>
              <w:t>Parameter</w:t>
            </w:r>
          </w:p>
        </w:tc>
        <w:tc>
          <w:tcPr>
            <w:tcW w:w="1679" w:type="dxa"/>
            <w:shd w:val="clear" w:color="auto" w:fill="4F81BD" w:themeFill="accent1"/>
            <w:vAlign w:val="center"/>
            <w:hideMark/>
          </w:tcPr>
          <w:p w14:paraId="70F356D2" w14:textId="7C7095BB" w:rsidR="004964A7" w:rsidRPr="00680C56" w:rsidRDefault="004964A7" w:rsidP="00C15551">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sidRPr="00680C56">
              <w:rPr>
                <w:rFonts w:cs="Times New Roman"/>
                <w:b w:val="0"/>
                <w:color w:val="FFFFFF" w:themeColor="background1"/>
                <w:sz w:val="20"/>
                <w:szCs w:val="20"/>
                <w:lang w:eastAsia="zh-CN"/>
              </w:rPr>
              <w:t>Conventional electricity Generation technologies</w:t>
            </w:r>
          </w:p>
        </w:tc>
        <w:tc>
          <w:tcPr>
            <w:tcW w:w="1188" w:type="dxa"/>
            <w:shd w:val="clear" w:color="auto" w:fill="4F81BD" w:themeFill="accent1"/>
            <w:vAlign w:val="center"/>
            <w:hideMark/>
          </w:tcPr>
          <w:p w14:paraId="4256B345" w14:textId="6298F128" w:rsidR="004964A7" w:rsidRPr="00680C56" w:rsidRDefault="004964A7" w:rsidP="00C15551">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sidRPr="00680C56">
              <w:rPr>
                <w:rFonts w:cs="Times New Roman"/>
                <w:b w:val="0"/>
                <w:color w:val="FFFFFF" w:themeColor="background1"/>
                <w:sz w:val="20"/>
                <w:szCs w:val="20"/>
                <w:lang w:eastAsia="zh-CN"/>
              </w:rPr>
              <w:t>Wind Onshore</w:t>
            </w:r>
          </w:p>
        </w:tc>
        <w:tc>
          <w:tcPr>
            <w:tcW w:w="1203" w:type="dxa"/>
            <w:shd w:val="clear" w:color="auto" w:fill="4F81BD" w:themeFill="accent1"/>
            <w:vAlign w:val="center"/>
            <w:hideMark/>
          </w:tcPr>
          <w:p w14:paraId="13283702" w14:textId="77777777" w:rsidR="004964A7" w:rsidRPr="00680C56" w:rsidRDefault="004964A7" w:rsidP="00C15551">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sidRPr="00680C56">
              <w:rPr>
                <w:rFonts w:cs="Times New Roman"/>
                <w:b w:val="0"/>
                <w:color w:val="FFFFFF" w:themeColor="background1"/>
                <w:sz w:val="20"/>
                <w:szCs w:val="20"/>
                <w:lang w:eastAsia="zh-CN"/>
              </w:rPr>
              <w:t>Wind Offshore</w:t>
            </w:r>
          </w:p>
        </w:tc>
        <w:tc>
          <w:tcPr>
            <w:tcW w:w="1189" w:type="dxa"/>
            <w:shd w:val="clear" w:color="auto" w:fill="4F81BD" w:themeFill="accent1"/>
            <w:vAlign w:val="center"/>
            <w:hideMark/>
          </w:tcPr>
          <w:p w14:paraId="08D31282" w14:textId="77777777" w:rsidR="004964A7" w:rsidRPr="00680C56" w:rsidRDefault="004964A7" w:rsidP="00C15551">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sidRPr="00680C56">
              <w:rPr>
                <w:rFonts w:cs="Times New Roman"/>
                <w:b w:val="0"/>
                <w:color w:val="FFFFFF" w:themeColor="background1"/>
                <w:sz w:val="20"/>
                <w:szCs w:val="20"/>
                <w:lang w:eastAsia="zh-CN"/>
              </w:rPr>
              <w:t>Micro Wind</w:t>
            </w:r>
          </w:p>
        </w:tc>
      </w:tr>
      <w:tr w:rsidR="004964A7" w:rsidRPr="00680C56" w14:paraId="501B37F5" w14:textId="77777777" w:rsidTr="004C1737">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hideMark/>
          </w:tcPr>
          <w:p w14:paraId="6E47D0B2" w14:textId="62E6DD4A" w:rsidR="004964A7" w:rsidRPr="00680C56" w:rsidRDefault="004964A7" w:rsidP="00C15551">
            <w:pPr>
              <w:spacing w:after="0" w:line="276" w:lineRule="auto"/>
              <w:rPr>
                <w:rFonts w:eastAsia="Times New Roman" w:cs="Times New Roman"/>
                <w:b w:val="0"/>
                <w:i/>
                <w:sz w:val="20"/>
                <w:szCs w:val="20"/>
                <w:lang w:eastAsia="en-US"/>
              </w:rPr>
            </w:pPr>
            <w:r w:rsidRPr="00680C56">
              <w:rPr>
                <w:rFonts w:eastAsia="Times New Roman" w:cs="Times New Roman"/>
                <w:b w:val="0"/>
                <w:i/>
                <w:sz w:val="20"/>
                <w:szCs w:val="20"/>
                <w:lang w:eastAsia="en-US"/>
              </w:rPr>
              <w:t xml:space="preserve">Land </w:t>
            </w:r>
            <w:r w:rsidR="000C0082" w:rsidRPr="00680C56">
              <w:rPr>
                <w:rFonts w:eastAsia="Times New Roman" w:cs="Times New Roman"/>
                <w:b w:val="0"/>
                <w:i/>
                <w:sz w:val="20"/>
                <w:szCs w:val="20"/>
                <w:lang w:eastAsia="en-US"/>
              </w:rPr>
              <w:t xml:space="preserve">Area Requirement </w:t>
            </w:r>
          </w:p>
        </w:tc>
        <w:tc>
          <w:tcPr>
            <w:tcW w:w="1679" w:type="dxa"/>
            <w:shd w:val="clear" w:color="auto" w:fill="FFFFFF" w:themeFill="background1"/>
            <w:hideMark/>
          </w:tcPr>
          <w:p w14:paraId="541E32AD" w14:textId="77777777"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Medium</w:t>
            </w:r>
          </w:p>
        </w:tc>
        <w:tc>
          <w:tcPr>
            <w:tcW w:w="1188" w:type="dxa"/>
            <w:shd w:val="clear" w:color="auto" w:fill="FFFFFF" w:themeFill="background1"/>
            <w:hideMark/>
          </w:tcPr>
          <w:p w14:paraId="258AF3FC" w14:textId="411D360F"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c>
          <w:tcPr>
            <w:tcW w:w="1203" w:type="dxa"/>
            <w:shd w:val="clear" w:color="auto" w:fill="FFFFFF" w:themeFill="background1"/>
            <w:hideMark/>
          </w:tcPr>
          <w:p w14:paraId="5EBEDBEB" w14:textId="08F0B3DA"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c>
          <w:tcPr>
            <w:tcW w:w="1189" w:type="dxa"/>
            <w:shd w:val="clear" w:color="auto" w:fill="FFFFFF" w:themeFill="background1"/>
            <w:hideMark/>
          </w:tcPr>
          <w:p w14:paraId="5B07AA40" w14:textId="3618C1C3"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r>
      <w:tr w:rsidR="000C0082" w:rsidRPr="00680C56" w14:paraId="32A210C8" w14:textId="77777777" w:rsidTr="004C1737">
        <w:trPr>
          <w:trHeight w:val="231"/>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tcPr>
          <w:p w14:paraId="5D832820" w14:textId="5ED9D544" w:rsidR="000C0082" w:rsidRPr="00680C56" w:rsidRDefault="000C0082" w:rsidP="00C15551">
            <w:pPr>
              <w:spacing w:after="0" w:line="276" w:lineRule="auto"/>
              <w:rPr>
                <w:rFonts w:eastAsia="Times New Roman" w:cs="Times New Roman"/>
                <w:b w:val="0"/>
                <w:i/>
                <w:sz w:val="20"/>
                <w:szCs w:val="20"/>
                <w:lang w:eastAsia="en-US"/>
              </w:rPr>
            </w:pPr>
            <w:r w:rsidRPr="00680C56">
              <w:rPr>
                <w:rFonts w:eastAsia="Times New Roman" w:cs="Times New Roman"/>
                <w:b w:val="0"/>
                <w:i/>
                <w:sz w:val="20"/>
                <w:szCs w:val="20"/>
                <w:lang w:eastAsia="en-US"/>
              </w:rPr>
              <w:t>Water Requirement</w:t>
            </w:r>
          </w:p>
        </w:tc>
        <w:tc>
          <w:tcPr>
            <w:tcW w:w="1679" w:type="dxa"/>
            <w:shd w:val="clear" w:color="auto" w:fill="FFFFFF" w:themeFill="background1"/>
          </w:tcPr>
          <w:p w14:paraId="0BA72B38" w14:textId="0C86CA37" w:rsidR="000C0082" w:rsidRPr="00680C56" w:rsidRDefault="000C0082"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High</w:t>
            </w:r>
          </w:p>
        </w:tc>
        <w:tc>
          <w:tcPr>
            <w:tcW w:w="1188" w:type="dxa"/>
            <w:shd w:val="clear" w:color="auto" w:fill="FFFFFF" w:themeFill="background1"/>
          </w:tcPr>
          <w:p w14:paraId="2731C3C9" w14:textId="1101221A" w:rsidR="000C0082" w:rsidRPr="00680C56" w:rsidRDefault="000C0082"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c>
          <w:tcPr>
            <w:tcW w:w="1203" w:type="dxa"/>
            <w:shd w:val="clear" w:color="auto" w:fill="FFFFFF" w:themeFill="background1"/>
          </w:tcPr>
          <w:p w14:paraId="3B30B197" w14:textId="13A953ED" w:rsidR="000C0082" w:rsidRPr="00680C56" w:rsidRDefault="000C0082"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Low</w:t>
            </w:r>
          </w:p>
        </w:tc>
        <w:tc>
          <w:tcPr>
            <w:tcW w:w="1189" w:type="dxa"/>
            <w:shd w:val="clear" w:color="auto" w:fill="FFFFFF" w:themeFill="background1"/>
          </w:tcPr>
          <w:p w14:paraId="5619B0D7" w14:textId="17C24A3F" w:rsidR="000C0082" w:rsidRPr="00680C56" w:rsidRDefault="000C0082"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Negligible</w:t>
            </w:r>
          </w:p>
        </w:tc>
      </w:tr>
      <w:tr w:rsidR="000C0082" w:rsidRPr="00680C56" w14:paraId="7D7CC76A" w14:textId="77777777" w:rsidTr="004C1737">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tcPr>
          <w:p w14:paraId="7ABEDE32" w14:textId="11F4026E" w:rsidR="000C0082" w:rsidRPr="00680C56" w:rsidDel="000C0082" w:rsidRDefault="000C0082" w:rsidP="00C15551">
            <w:pPr>
              <w:spacing w:after="0" w:line="276" w:lineRule="auto"/>
              <w:rPr>
                <w:rFonts w:eastAsia="Times New Roman" w:cs="Times New Roman"/>
                <w:b w:val="0"/>
                <w:i/>
                <w:sz w:val="20"/>
                <w:szCs w:val="20"/>
                <w:lang w:eastAsia="en-US"/>
              </w:rPr>
            </w:pPr>
            <w:r w:rsidRPr="00680C56">
              <w:rPr>
                <w:rFonts w:eastAsia="Times New Roman" w:cs="Times New Roman"/>
                <w:b w:val="0"/>
                <w:i/>
                <w:sz w:val="20"/>
                <w:szCs w:val="20"/>
                <w:lang w:eastAsia="en-US"/>
              </w:rPr>
              <w:t>Visual Disamenity</w:t>
            </w:r>
          </w:p>
        </w:tc>
        <w:tc>
          <w:tcPr>
            <w:tcW w:w="1679" w:type="dxa"/>
            <w:shd w:val="clear" w:color="auto" w:fill="FFFFFF" w:themeFill="background1"/>
          </w:tcPr>
          <w:p w14:paraId="075F147C" w14:textId="0C6EC357" w:rsidR="000C0082" w:rsidRPr="00680C56" w:rsidRDefault="000C0082"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High</w:t>
            </w:r>
          </w:p>
        </w:tc>
        <w:tc>
          <w:tcPr>
            <w:tcW w:w="1188" w:type="dxa"/>
            <w:shd w:val="clear" w:color="auto" w:fill="FFFFFF" w:themeFill="background1"/>
          </w:tcPr>
          <w:p w14:paraId="65A1974F" w14:textId="4E23092D" w:rsidR="000C0082" w:rsidRPr="00680C56" w:rsidRDefault="000C0082"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High</w:t>
            </w:r>
          </w:p>
        </w:tc>
        <w:tc>
          <w:tcPr>
            <w:tcW w:w="1203" w:type="dxa"/>
            <w:shd w:val="clear" w:color="auto" w:fill="FFFFFF" w:themeFill="background1"/>
          </w:tcPr>
          <w:p w14:paraId="0336AFBC" w14:textId="007B4573" w:rsidR="000C0082" w:rsidRPr="00680C56" w:rsidRDefault="000C0082"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Low</w:t>
            </w:r>
          </w:p>
        </w:tc>
        <w:tc>
          <w:tcPr>
            <w:tcW w:w="1189" w:type="dxa"/>
            <w:shd w:val="clear" w:color="auto" w:fill="FFFFFF" w:themeFill="background1"/>
          </w:tcPr>
          <w:p w14:paraId="64006057" w14:textId="60E73AD5" w:rsidR="000C0082" w:rsidRPr="00680C56" w:rsidRDefault="000C0082"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r>
      <w:tr w:rsidR="004964A7" w:rsidRPr="00680C56" w14:paraId="37357F88" w14:textId="77777777" w:rsidTr="004C1737">
        <w:trPr>
          <w:trHeight w:val="231"/>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hideMark/>
          </w:tcPr>
          <w:p w14:paraId="3F3EA29F" w14:textId="4DC44DCD" w:rsidR="004964A7" w:rsidRPr="00680C56" w:rsidRDefault="000C0082" w:rsidP="00C15551">
            <w:pPr>
              <w:spacing w:after="0" w:line="276" w:lineRule="auto"/>
              <w:rPr>
                <w:rFonts w:eastAsia="Times New Roman" w:cs="Times New Roman"/>
                <w:b w:val="0"/>
                <w:i/>
                <w:sz w:val="20"/>
                <w:szCs w:val="20"/>
                <w:lang w:eastAsia="en-US"/>
              </w:rPr>
            </w:pPr>
            <w:r w:rsidRPr="00680C56">
              <w:rPr>
                <w:rFonts w:eastAsia="Times New Roman" w:cs="Times New Roman"/>
                <w:b w:val="0"/>
                <w:i/>
                <w:sz w:val="20"/>
                <w:szCs w:val="20"/>
                <w:lang w:eastAsia="en-US"/>
              </w:rPr>
              <w:t>GHG Emissions</w:t>
            </w:r>
          </w:p>
        </w:tc>
        <w:tc>
          <w:tcPr>
            <w:tcW w:w="1679" w:type="dxa"/>
            <w:shd w:val="clear" w:color="auto" w:fill="FFFFFF" w:themeFill="background1"/>
            <w:hideMark/>
          </w:tcPr>
          <w:p w14:paraId="60F187D3" w14:textId="288D3E41" w:rsidR="004964A7" w:rsidRPr="00680C56" w:rsidRDefault="004964A7"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High</w:t>
            </w:r>
          </w:p>
        </w:tc>
        <w:tc>
          <w:tcPr>
            <w:tcW w:w="1188" w:type="dxa"/>
            <w:shd w:val="clear" w:color="auto" w:fill="FFFFFF" w:themeFill="background1"/>
            <w:hideMark/>
          </w:tcPr>
          <w:p w14:paraId="2CF4903B" w14:textId="08946193" w:rsidR="004964A7" w:rsidRPr="00680C56" w:rsidRDefault="00F04418"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 xml:space="preserve">Very </w:t>
            </w:r>
            <w:r w:rsidR="004964A7" w:rsidRPr="00680C56">
              <w:rPr>
                <w:rFonts w:eastAsia="Times New Roman" w:cs="Times New Roman"/>
                <w:color w:val="000000"/>
                <w:sz w:val="20"/>
                <w:szCs w:val="20"/>
                <w:lang w:eastAsia="en-US"/>
              </w:rPr>
              <w:t>Low</w:t>
            </w:r>
          </w:p>
        </w:tc>
        <w:tc>
          <w:tcPr>
            <w:tcW w:w="1203" w:type="dxa"/>
            <w:shd w:val="clear" w:color="auto" w:fill="FFFFFF" w:themeFill="background1"/>
            <w:hideMark/>
          </w:tcPr>
          <w:p w14:paraId="3D4DF476" w14:textId="7C4EEDF0" w:rsidR="004964A7" w:rsidRPr="00680C56" w:rsidRDefault="004964A7"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c>
          <w:tcPr>
            <w:tcW w:w="1189" w:type="dxa"/>
            <w:shd w:val="clear" w:color="auto" w:fill="FFFFFF" w:themeFill="background1"/>
            <w:hideMark/>
          </w:tcPr>
          <w:p w14:paraId="72A82237" w14:textId="7EE99D37" w:rsidR="004964A7" w:rsidRPr="00680C56" w:rsidRDefault="00F04418"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Negligible</w:t>
            </w:r>
          </w:p>
        </w:tc>
      </w:tr>
      <w:tr w:rsidR="004964A7" w:rsidRPr="00680C56" w14:paraId="718811B8" w14:textId="77777777" w:rsidTr="004C1737">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hideMark/>
          </w:tcPr>
          <w:p w14:paraId="1A6A5F72" w14:textId="77777777" w:rsidR="004964A7" w:rsidRPr="00680C56" w:rsidRDefault="004964A7" w:rsidP="00C15551">
            <w:pPr>
              <w:spacing w:after="0" w:line="276" w:lineRule="auto"/>
              <w:jc w:val="left"/>
              <w:rPr>
                <w:rFonts w:eastAsia="Times New Roman" w:cs="Times New Roman"/>
                <w:b w:val="0"/>
                <w:i/>
                <w:sz w:val="20"/>
                <w:szCs w:val="20"/>
                <w:lang w:eastAsia="en-US"/>
              </w:rPr>
            </w:pPr>
            <w:r w:rsidRPr="00680C56">
              <w:rPr>
                <w:rFonts w:eastAsia="Times New Roman" w:cs="Times New Roman"/>
                <w:b w:val="0"/>
                <w:i/>
                <w:sz w:val="20"/>
                <w:szCs w:val="20"/>
                <w:lang w:eastAsia="en-US"/>
              </w:rPr>
              <w:t>Electricity Generation Flexibility</w:t>
            </w:r>
          </w:p>
        </w:tc>
        <w:tc>
          <w:tcPr>
            <w:tcW w:w="1679" w:type="dxa"/>
            <w:shd w:val="clear" w:color="auto" w:fill="FFFFFF" w:themeFill="background1"/>
            <w:hideMark/>
          </w:tcPr>
          <w:p w14:paraId="7DDC667C" w14:textId="2A04785C"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High</w:t>
            </w:r>
          </w:p>
        </w:tc>
        <w:tc>
          <w:tcPr>
            <w:tcW w:w="1188" w:type="dxa"/>
            <w:shd w:val="clear" w:color="auto" w:fill="FFFFFF" w:themeFill="background1"/>
            <w:hideMark/>
          </w:tcPr>
          <w:p w14:paraId="0B54AD98" w14:textId="332EDB73"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c>
          <w:tcPr>
            <w:tcW w:w="1203" w:type="dxa"/>
            <w:shd w:val="clear" w:color="auto" w:fill="FFFFFF" w:themeFill="background1"/>
            <w:hideMark/>
          </w:tcPr>
          <w:p w14:paraId="4A944E26" w14:textId="724A0074"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c>
          <w:tcPr>
            <w:tcW w:w="1189" w:type="dxa"/>
            <w:shd w:val="clear" w:color="auto" w:fill="FFFFFF" w:themeFill="background1"/>
            <w:hideMark/>
          </w:tcPr>
          <w:p w14:paraId="3686EEE8" w14:textId="00975475"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r>
      <w:tr w:rsidR="0001563F" w:rsidRPr="00680C56" w14:paraId="6EB88E96" w14:textId="77777777" w:rsidTr="004C1737">
        <w:trPr>
          <w:trHeight w:val="385"/>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tcPr>
          <w:p w14:paraId="5B8CC220" w14:textId="795B0153" w:rsidR="0001563F" w:rsidRPr="00680C56" w:rsidRDefault="0001563F" w:rsidP="00C15551">
            <w:pPr>
              <w:spacing w:after="0" w:line="276" w:lineRule="auto"/>
              <w:jc w:val="left"/>
              <w:rPr>
                <w:rFonts w:eastAsia="Times New Roman" w:cs="Times New Roman"/>
                <w:b w:val="0"/>
                <w:i/>
                <w:sz w:val="20"/>
                <w:szCs w:val="20"/>
                <w:lang w:eastAsia="en-US"/>
              </w:rPr>
            </w:pPr>
            <w:r w:rsidRPr="00680C56">
              <w:rPr>
                <w:rFonts w:eastAsia="Times New Roman" w:cs="Times New Roman"/>
                <w:b w:val="0"/>
                <w:i/>
                <w:sz w:val="20"/>
                <w:szCs w:val="20"/>
                <w:lang w:eastAsia="en-US"/>
              </w:rPr>
              <w:t>Handling Constraints</w:t>
            </w:r>
          </w:p>
        </w:tc>
        <w:tc>
          <w:tcPr>
            <w:tcW w:w="1679" w:type="dxa"/>
            <w:shd w:val="clear" w:color="auto" w:fill="FFFFFF" w:themeFill="background1"/>
          </w:tcPr>
          <w:p w14:paraId="42001F9D" w14:textId="135AA93F" w:rsidR="0001563F" w:rsidRPr="00680C56" w:rsidRDefault="0001563F"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High</w:t>
            </w:r>
          </w:p>
        </w:tc>
        <w:tc>
          <w:tcPr>
            <w:tcW w:w="1188" w:type="dxa"/>
            <w:shd w:val="clear" w:color="auto" w:fill="FFFFFF" w:themeFill="background1"/>
          </w:tcPr>
          <w:p w14:paraId="19C9A9A5" w14:textId="7E0533CC" w:rsidR="0001563F" w:rsidRPr="00680C56" w:rsidRDefault="0001563F"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High</w:t>
            </w:r>
          </w:p>
        </w:tc>
        <w:tc>
          <w:tcPr>
            <w:tcW w:w="1203" w:type="dxa"/>
            <w:shd w:val="clear" w:color="auto" w:fill="FFFFFF" w:themeFill="background1"/>
          </w:tcPr>
          <w:p w14:paraId="687DF016" w14:textId="07C450B8" w:rsidR="0001563F" w:rsidRPr="00680C56" w:rsidRDefault="0001563F"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High</w:t>
            </w:r>
          </w:p>
        </w:tc>
        <w:tc>
          <w:tcPr>
            <w:tcW w:w="1189" w:type="dxa"/>
            <w:shd w:val="clear" w:color="auto" w:fill="FFFFFF" w:themeFill="background1"/>
          </w:tcPr>
          <w:p w14:paraId="42707154" w14:textId="4761C808" w:rsidR="0001563F" w:rsidRPr="00680C56" w:rsidRDefault="0001563F"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r>
      <w:tr w:rsidR="00F04418" w:rsidRPr="00680C56" w14:paraId="401203A9" w14:textId="77777777" w:rsidTr="004C1737">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tcPr>
          <w:p w14:paraId="6E881C2D" w14:textId="598F33B0" w:rsidR="00F04418" w:rsidRPr="00680C56" w:rsidRDefault="004C1737" w:rsidP="00C15551">
            <w:pPr>
              <w:spacing w:after="0" w:line="276" w:lineRule="auto"/>
              <w:jc w:val="left"/>
              <w:rPr>
                <w:rFonts w:eastAsia="Times New Roman" w:cs="Times New Roman"/>
                <w:b w:val="0"/>
                <w:i/>
                <w:sz w:val="20"/>
                <w:szCs w:val="20"/>
                <w:lang w:eastAsia="en-US"/>
              </w:rPr>
            </w:pPr>
            <w:r w:rsidRPr="00680C56">
              <w:rPr>
                <w:rFonts w:eastAsia="Times New Roman" w:cs="Times New Roman"/>
                <w:b w:val="0"/>
                <w:i/>
                <w:sz w:val="20"/>
                <w:szCs w:val="20"/>
                <w:lang w:eastAsia="en-US"/>
              </w:rPr>
              <w:t>Labor</w:t>
            </w:r>
            <w:r w:rsidR="00F04418" w:rsidRPr="00680C56">
              <w:rPr>
                <w:rFonts w:eastAsia="Times New Roman" w:cs="Times New Roman"/>
                <w:b w:val="0"/>
                <w:i/>
                <w:sz w:val="20"/>
                <w:szCs w:val="20"/>
                <w:lang w:eastAsia="en-US"/>
              </w:rPr>
              <w:t xml:space="preserve"> Requirement</w:t>
            </w:r>
          </w:p>
        </w:tc>
        <w:tc>
          <w:tcPr>
            <w:tcW w:w="1679" w:type="dxa"/>
            <w:shd w:val="clear" w:color="auto" w:fill="FFFFFF" w:themeFill="background1"/>
          </w:tcPr>
          <w:p w14:paraId="76ADD08C" w14:textId="335C5B20" w:rsidR="00F04418" w:rsidRPr="00680C56" w:rsidRDefault="00F04418"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High</w:t>
            </w:r>
          </w:p>
        </w:tc>
        <w:tc>
          <w:tcPr>
            <w:tcW w:w="1188" w:type="dxa"/>
            <w:shd w:val="clear" w:color="auto" w:fill="FFFFFF" w:themeFill="background1"/>
          </w:tcPr>
          <w:p w14:paraId="052681C6" w14:textId="33DDDC07" w:rsidR="00F04418" w:rsidRPr="00680C56" w:rsidRDefault="00F04418"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High</w:t>
            </w:r>
          </w:p>
        </w:tc>
        <w:tc>
          <w:tcPr>
            <w:tcW w:w="1203" w:type="dxa"/>
            <w:shd w:val="clear" w:color="auto" w:fill="FFFFFF" w:themeFill="background1"/>
          </w:tcPr>
          <w:p w14:paraId="314D4699" w14:textId="1F970825" w:rsidR="00F04418" w:rsidRPr="00680C56" w:rsidRDefault="00F04418"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High</w:t>
            </w:r>
          </w:p>
        </w:tc>
        <w:tc>
          <w:tcPr>
            <w:tcW w:w="1189" w:type="dxa"/>
            <w:shd w:val="clear" w:color="auto" w:fill="FFFFFF" w:themeFill="background1"/>
          </w:tcPr>
          <w:p w14:paraId="7C9A21DD" w14:textId="61AAF89F" w:rsidR="00F04418" w:rsidRPr="00680C56" w:rsidRDefault="00F04418"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r>
      <w:tr w:rsidR="00F04418" w:rsidRPr="00680C56" w14:paraId="5AE9ED1C" w14:textId="77777777" w:rsidTr="004C1737">
        <w:trPr>
          <w:trHeight w:val="385"/>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tcPr>
          <w:p w14:paraId="206ADA6F" w14:textId="347ABA0B" w:rsidR="00F04418" w:rsidRPr="00680C56" w:rsidRDefault="00F04418" w:rsidP="00C15551">
            <w:pPr>
              <w:spacing w:after="0" w:line="276" w:lineRule="auto"/>
              <w:jc w:val="left"/>
              <w:rPr>
                <w:rFonts w:eastAsia="Times New Roman" w:cs="Times New Roman"/>
                <w:b w:val="0"/>
                <w:i/>
                <w:sz w:val="20"/>
                <w:szCs w:val="20"/>
                <w:lang w:eastAsia="en-US"/>
              </w:rPr>
            </w:pPr>
            <w:r w:rsidRPr="00680C56">
              <w:rPr>
                <w:rFonts w:eastAsia="Times New Roman" w:cs="Times New Roman"/>
                <w:b w:val="0"/>
                <w:i/>
                <w:sz w:val="20"/>
                <w:szCs w:val="20"/>
                <w:lang w:eastAsia="en-US"/>
              </w:rPr>
              <w:t>Grid Balancing Requirement</w:t>
            </w:r>
          </w:p>
        </w:tc>
        <w:tc>
          <w:tcPr>
            <w:tcW w:w="1679" w:type="dxa"/>
            <w:shd w:val="clear" w:color="auto" w:fill="FFFFFF" w:themeFill="background1"/>
          </w:tcPr>
          <w:p w14:paraId="3E4A8733" w14:textId="316D1A4F" w:rsidR="00F04418" w:rsidRPr="00680C56" w:rsidRDefault="00F04418"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c>
          <w:tcPr>
            <w:tcW w:w="1188" w:type="dxa"/>
            <w:shd w:val="clear" w:color="auto" w:fill="FFFFFF" w:themeFill="background1"/>
          </w:tcPr>
          <w:p w14:paraId="4C31962E" w14:textId="31F88138" w:rsidR="00F04418" w:rsidRPr="00680C56" w:rsidRDefault="00F04418"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High</w:t>
            </w:r>
          </w:p>
        </w:tc>
        <w:tc>
          <w:tcPr>
            <w:tcW w:w="1203" w:type="dxa"/>
            <w:shd w:val="clear" w:color="auto" w:fill="FFFFFF" w:themeFill="background1"/>
          </w:tcPr>
          <w:p w14:paraId="255B36B5" w14:textId="24A9CF09" w:rsidR="00F04418" w:rsidRPr="00680C56" w:rsidRDefault="00F04418"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High</w:t>
            </w:r>
          </w:p>
        </w:tc>
        <w:tc>
          <w:tcPr>
            <w:tcW w:w="1189" w:type="dxa"/>
            <w:shd w:val="clear" w:color="auto" w:fill="FFFFFF" w:themeFill="background1"/>
          </w:tcPr>
          <w:p w14:paraId="374E88FC" w14:textId="306AB81E" w:rsidR="00F04418" w:rsidRPr="00680C56" w:rsidRDefault="00F04418"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Nil</w:t>
            </w:r>
          </w:p>
        </w:tc>
      </w:tr>
      <w:tr w:rsidR="000C0082" w:rsidRPr="00680C56" w14:paraId="0DB55134" w14:textId="77777777" w:rsidTr="004C1737">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tcPr>
          <w:p w14:paraId="1EEBDB69" w14:textId="5B11837A" w:rsidR="000C0082" w:rsidRPr="00680C56" w:rsidRDefault="000C0082" w:rsidP="00C15551">
            <w:pPr>
              <w:spacing w:after="0" w:line="276" w:lineRule="auto"/>
              <w:jc w:val="left"/>
              <w:rPr>
                <w:rFonts w:eastAsia="Times New Roman" w:cs="Times New Roman"/>
                <w:b w:val="0"/>
                <w:i/>
                <w:sz w:val="20"/>
                <w:szCs w:val="20"/>
                <w:lang w:eastAsia="en-US"/>
              </w:rPr>
            </w:pPr>
            <w:r w:rsidRPr="00680C56">
              <w:rPr>
                <w:rFonts w:eastAsia="Times New Roman" w:cs="Times New Roman"/>
                <w:b w:val="0"/>
                <w:i/>
                <w:sz w:val="20"/>
                <w:szCs w:val="20"/>
                <w:lang w:eastAsia="en-US"/>
              </w:rPr>
              <w:t>Decommissioning Constraints</w:t>
            </w:r>
          </w:p>
        </w:tc>
        <w:tc>
          <w:tcPr>
            <w:tcW w:w="1679" w:type="dxa"/>
            <w:shd w:val="clear" w:color="auto" w:fill="FFFFFF" w:themeFill="background1"/>
          </w:tcPr>
          <w:p w14:paraId="594D116D" w14:textId="73819990" w:rsidR="000C0082" w:rsidRPr="00680C56" w:rsidRDefault="00F04418"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High</w:t>
            </w:r>
          </w:p>
        </w:tc>
        <w:tc>
          <w:tcPr>
            <w:tcW w:w="1188" w:type="dxa"/>
            <w:shd w:val="clear" w:color="auto" w:fill="FFFFFF" w:themeFill="background1"/>
          </w:tcPr>
          <w:p w14:paraId="7CA26AF8" w14:textId="59D6B1B8" w:rsidR="000C0082" w:rsidRPr="00680C56" w:rsidRDefault="00F04418"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High</w:t>
            </w:r>
          </w:p>
        </w:tc>
        <w:tc>
          <w:tcPr>
            <w:tcW w:w="1203" w:type="dxa"/>
            <w:shd w:val="clear" w:color="auto" w:fill="FFFFFF" w:themeFill="background1"/>
          </w:tcPr>
          <w:p w14:paraId="7DEEAD44" w14:textId="7B3E1104" w:rsidR="000C0082" w:rsidRPr="00680C56" w:rsidRDefault="00F04418"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High</w:t>
            </w:r>
          </w:p>
        </w:tc>
        <w:tc>
          <w:tcPr>
            <w:tcW w:w="1189" w:type="dxa"/>
            <w:shd w:val="clear" w:color="auto" w:fill="FFFFFF" w:themeFill="background1"/>
          </w:tcPr>
          <w:p w14:paraId="487A0F9A" w14:textId="072429BE" w:rsidR="000C0082" w:rsidRPr="00680C56" w:rsidRDefault="00F04418"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Very Low</w:t>
            </w:r>
          </w:p>
        </w:tc>
      </w:tr>
      <w:tr w:rsidR="004964A7" w:rsidRPr="00680C56" w14:paraId="253DB8F1" w14:textId="77777777" w:rsidTr="004C1737">
        <w:trPr>
          <w:trHeight w:val="343"/>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hideMark/>
          </w:tcPr>
          <w:p w14:paraId="0C1CBF13" w14:textId="77777777" w:rsidR="004964A7" w:rsidRPr="00680C56" w:rsidRDefault="004964A7" w:rsidP="00C15551">
            <w:pPr>
              <w:spacing w:after="0" w:line="276" w:lineRule="auto"/>
              <w:jc w:val="left"/>
              <w:rPr>
                <w:rFonts w:eastAsia="Times New Roman" w:cs="Times New Roman"/>
                <w:b w:val="0"/>
                <w:i/>
                <w:sz w:val="20"/>
                <w:szCs w:val="20"/>
                <w:lang w:eastAsia="en-US"/>
              </w:rPr>
            </w:pPr>
            <w:r w:rsidRPr="00680C56">
              <w:rPr>
                <w:rFonts w:eastAsia="Times New Roman" w:cs="Times New Roman"/>
                <w:b w:val="0"/>
                <w:i/>
                <w:sz w:val="20"/>
                <w:szCs w:val="20"/>
                <w:lang w:eastAsia="en-US"/>
              </w:rPr>
              <w:t>Operation and Maintenance and Fuel Costs</w:t>
            </w:r>
          </w:p>
        </w:tc>
        <w:tc>
          <w:tcPr>
            <w:tcW w:w="1679" w:type="dxa"/>
            <w:shd w:val="clear" w:color="auto" w:fill="FFFFFF" w:themeFill="background1"/>
            <w:hideMark/>
          </w:tcPr>
          <w:p w14:paraId="45DAFFDD" w14:textId="394FB3AD" w:rsidR="004964A7" w:rsidRPr="00680C56" w:rsidRDefault="004964A7"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High</w:t>
            </w:r>
          </w:p>
        </w:tc>
        <w:tc>
          <w:tcPr>
            <w:tcW w:w="1188" w:type="dxa"/>
            <w:shd w:val="clear" w:color="auto" w:fill="FFFFFF" w:themeFill="background1"/>
            <w:hideMark/>
          </w:tcPr>
          <w:p w14:paraId="7D969174" w14:textId="680D14F8" w:rsidR="004964A7" w:rsidRPr="00680C56" w:rsidRDefault="004964A7"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c>
          <w:tcPr>
            <w:tcW w:w="1203" w:type="dxa"/>
            <w:shd w:val="clear" w:color="auto" w:fill="FFFFFF" w:themeFill="background1"/>
            <w:hideMark/>
          </w:tcPr>
          <w:p w14:paraId="14571CFC" w14:textId="77777777" w:rsidR="004964A7" w:rsidRPr="00680C56" w:rsidRDefault="004964A7"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Medium</w:t>
            </w:r>
          </w:p>
        </w:tc>
        <w:tc>
          <w:tcPr>
            <w:tcW w:w="1189" w:type="dxa"/>
            <w:shd w:val="clear" w:color="auto" w:fill="FFFFFF" w:themeFill="background1"/>
            <w:hideMark/>
          </w:tcPr>
          <w:p w14:paraId="6CFF9D2D" w14:textId="55F799A5" w:rsidR="004964A7" w:rsidRPr="00680C56" w:rsidRDefault="004964A7"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r>
      <w:tr w:rsidR="004964A7" w:rsidRPr="00680C56" w14:paraId="4870B6E5" w14:textId="77777777" w:rsidTr="004C1737">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hideMark/>
          </w:tcPr>
          <w:p w14:paraId="4BECB71D" w14:textId="77777777" w:rsidR="004964A7" w:rsidRPr="00680C56" w:rsidRDefault="004964A7" w:rsidP="00C15551">
            <w:pPr>
              <w:spacing w:after="0" w:line="276" w:lineRule="auto"/>
              <w:rPr>
                <w:rFonts w:eastAsia="Times New Roman" w:cs="Times New Roman"/>
                <w:b w:val="0"/>
                <w:i/>
                <w:sz w:val="20"/>
                <w:szCs w:val="20"/>
                <w:lang w:eastAsia="en-US"/>
              </w:rPr>
            </w:pPr>
            <w:r w:rsidRPr="00680C56">
              <w:rPr>
                <w:rFonts w:eastAsia="Times New Roman" w:cs="Times New Roman"/>
                <w:b w:val="0"/>
                <w:i/>
                <w:sz w:val="20"/>
                <w:szCs w:val="20"/>
                <w:lang w:eastAsia="en-US"/>
              </w:rPr>
              <w:t>System integration cost</w:t>
            </w:r>
          </w:p>
        </w:tc>
        <w:tc>
          <w:tcPr>
            <w:tcW w:w="1679" w:type="dxa"/>
            <w:shd w:val="clear" w:color="auto" w:fill="FFFFFF" w:themeFill="background1"/>
            <w:hideMark/>
          </w:tcPr>
          <w:p w14:paraId="5339AAE7" w14:textId="77777777"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Medium</w:t>
            </w:r>
          </w:p>
        </w:tc>
        <w:tc>
          <w:tcPr>
            <w:tcW w:w="1188" w:type="dxa"/>
            <w:shd w:val="clear" w:color="auto" w:fill="FFFFFF" w:themeFill="background1"/>
            <w:hideMark/>
          </w:tcPr>
          <w:p w14:paraId="665E31D0" w14:textId="77777777"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Medium</w:t>
            </w:r>
          </w:p>
        </w:tc>
        <w:tc>
          <w:tcPr>
            <w:tcW w:w="1203" w:type="dxa"/>
            <w:shd w:val="clear" w:color="auto" w:fill="FFFFFF" w:themeFill="background1"/>
            <w:hideMark/>
          </w:tcPr>
          <w:p w14:paraId="46A9E6DB" w14:textId="1E6CBE53"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High</w:t>
            </w:r>
          </w:p>
        </w:tc>
        <w:tc>
          <w:tcPr>
            <w:tcW w:w="1189" w:type="dxa"/>
            <w:shd w:val="clear" w:color="auto" w:fill="FFFFFF" w:themeFill="background1"/>
            <w:hideMark/>
          </w:tcPr>
          <w:p w14:paraId="7F0A47C8" w14:textId="77303612" w:rsidR="004964A7" w:rsidRPr="00680C56" w:rsidRDefault="004964A7" w:rsidP="00C15551">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r>
      <w:tr w:rsidR="004964A7" w:rsidRPr="00680C56" w14:paraId="530B93D2" w14:textId="77777777" w:rsidTr="004C1737">
        <w:trPr>
          <w:trHeight w:val="231"/>
        </w:trPr>
        <w:tc>
          <w:tcPr>
            <w:cnfStyle w:val="001000000000" w:firstRow="0" w:lastRow="0" w:firstColumn="1" w:lastColumn="0" w:oddVBand="0" w:evenVBand="0" w:oddHBand="0" w:evenHBand="0" w:firstRowFirstColumn="0" w:firstRowLastColumn="0" w:lastRowFirstColumn="0" w:lastRowLastColumn="0"/>
            <w:tcW w:w="4103" w:type="dxa"/>
            <w:shd w:val="clear" w:color="auto" w:fill="FFFFFF" w:themeFill="background1"/>
            <w:hideMark/>
          </w:tcPr>
          <w:p w14:paraId="2725571E" w14:textId="77777777" w:rsidR="004964A7" w:rsidRPr="00680C56" w:rsidRDefault="004964A7" w:rsidP="00C15551">
            <w:pPr>
              <w:spacing w:after="0" w:line="276" w:lineRule="auto"/>
              <w:rPr>
                <w:rFonts w:eastAsia="Times New Roman" w:cs="Times New Roman"/>
                <w:b w:val="0"/>
                <w:i/>
                <w:sz w:val="20"/>
                <w:szCs w:val="20"/>
                <w:lang w:eastAsia="en-US"/>
              </w:rPr>
            </w:pPr>
            <w:r w:rsidRPr="00680C56">
              <w:rPr>
                <w:rFonts w:eastAsia="Times New Roman" w:cs="Times New Roman"/>
                <w:b w:val="0"/>
                <w:i/>
                <w:sz w:val="20"/>
                <w:szCs w:val="20"/>
                <w:lang w:eastAsia="en-US"/>
              </w:rPr>
              <w:t>Foundation cost</w:t>
            </w:r>
          </w:p>
        </w:tc>
        <w:tc>
          <w:tcPr>
            <w:tcW w:w="1679" w:type="dxa"/>
            <w:shd w:val="clear" w:color="auto" w:fill="FFFFFF" w:themeFill="background1"/>
            <w:hideMark/>
          </w:tcPr>
          <w:p w14:paraId="5E8BF143" w14:textId="77777777" w:rsidR="004964A7" w:rsidRPr="00680C56" w:rsidRDefault="004964A7"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Medium</w:t>
            </w:r>
          </w:p>
        </w:tc>
        <w:tc>
          <w:tcPr>
            <w:tcW w:w="1188" w:type="dxa"/>
            <w:shd w:val="clear" w:color="auto" w:fill="FFFFFF" w:themeFill="background1"/>
            <w:hideMark/>
          </w:tcPr>
          <w:p w14:paraId="39B38F9A" w14:textId="77777777" w:rsidR="004964A7" w:rsidRPr="00680C56" w:rsidRDefault="004964A7"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Medium</w:t>
            </w:r>
          </w:p>
        </w:tc>
        <w:tc>
          <w:tcPr>
            <w:tcW w:w="1203" w:type="dxa"/>
            <w:shd w:val="clear" w:color="auto" w:fill="FFFFFF" w:themeFill="background1"/>
            <w:hideMark/>
          </w:tcPr>
          <w:p w14:paraId="3898CEE1" w14:textId="5763F3AC" w:rsidR="004964A7" w:rsidRPr="00680C56" w:rsidRDefault="004964A7"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High</w:t>
            </w:r>
          </w:p>
        </w:tc>
        <w:tc>
          <w:tcPr>
            <w:tcW w:w="1189" w:type="dxa"/>
            <w:shd w:val="clear" w:color="auto" w:fill="FFFFFF" w:themeFill="background1"/>
            <w:hideMark/>
          </w:tcPr>
          <w:p w14:paraId="59454F99" w14:textId="380A7CEA" w:rsidR="004964A7" w:rsidRPr="00680C56" w:rsidRDefault="004964A7" w:rsidP="00C15551">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80C56">
              <w:rPr>
                <w:rFonts w:eastAsia="Times New Roman" w:cs="Times New Roman"/>
                <w:color w:val="000000"/>
                <w:sz w:val="20"/>
                <w:szCs w:val="20"/>
                <w:lang w:eastAsia="en-US"/>
              </w:rPr>
              <w:t>Low</w:t>
            </w:r>
          </w:p>
        </w:tc>
      </w:tr>
    </w:tbl>
    <w:p w14:paraId="17CEEE1D" w14:textId="78919EA1" w:rsidR="00132606" w:rsidRDefault="00132606" w:rsidP="004964A7"/>
    <w:p w14:paraId="58D827DE" w14:textId="73571849" w:rsidR="00F52595" w:rsidRPr="00E069AC" w:rsidRDefault="00F52595" w:rsidP="00EB247F">
      <w:pPr>
        <w:autoSpaceDE w:val="0"/>
        <w:spacing w:after="0"/>
        <w:rPr>
          <w:rFonts w:asciiTheme="majorHAnsi" w:eastAsiaTheme="majorEastAsia" w:hAnsiTheme="majorHAnsi" w:cstheme="majorBidi"/>
          <w:b/>
          <w:bCs/>
          <w:smallCaps/>
          <w:color w:val="000000" w:themeColor="text1"/>
          <w:sz w:val="36"/>
          <w:szCs w:val="36"/>
        </w:rPr>
        <w:sectPr w:rsidR="00F52595" w:rsidRPr="00E069AC">
          <w:pgSz w:w="12240" w:h="15840"/>
          <w:pgMar w:top="1440" w:right="1440" w:bottom="1440" w:left="1440" w:header="720" w:footer="720" w:gutter="0"/>
          <w:cols w:space="720"/>
        </w:sectPr>
      </w:pPr>
    </w:p>
    <w:p w14:paraId="756DEC01" w14:textId="2A9B7491" w:rsidR="00966563" w:rsidRPr="00E069AC" w:rsidRDefault="551A77D0" w:rsidP="00912CC8">
      <w:pPr>
        <w:pStyle w:val="Heading1"/>
      </w:pPr>
      <w:bookmarkStart w:id="21" w:name="_Toc18619512"/>
      <w:r w:rsidRPr="00E069AC">
        <w:t>Methodology</w:t>
      </w:r>
      <w:bookmarkEnd w:id="21"/>
    </w:p>
    <w:p w14:paraId="567926D6" w14:textId="435F926B" w:rsidR="00BD136D" w:rsidRPr="00E069AC" w:rsidRDefault="551A77D0" w:rsidP="00AE749D">
      <w:pPr>
        <w:pStyle w:val="Heading2"/>
        <w:numPr>
          <w:ilvl w:val="1"/>
          <w:numId w:val="28"/>
        </w:numPr>
      </w:pPr>
      <w:bookmarkStart w:id="22" w:name="_Toc18619513"/>
      <w:r w:rsidRPr="00E069AC">
        <w:t>I</w:t>
      </w:r>
      <w:r w:rsidR="00E069AC">
        <w:t>ntroduction</w:t>
      </w:r>
      <w:bookmarkEnd w:id="22"/>
    </w:p>
    <w:p w14:paraId="7837546F" w14:textId="3B62F44F" w:rsidR="00202788" w:rsidRPr="00E069AC" w:rsidRDefault="00202788" w:rsidP="00EB247F">
      <w:pPr>
        <w:rPr>
          <w:rFonts w:cs="Times New Roman"/>
        </w:rPr>
      </w:pPr>
      <w:r w:rsidRPr="00E069AC">
        <w:rPr>
          <w:rFonts w:cs="Times New Roman"/>
        </w:rPr>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w:t>
      </w:r>
      <w:r w:rsidR="000C3F49" w:rsidRPr="00E069AC">
        <w:rPr>
          <w:rFonts w:cs="Times New Roman"/>
        </w:rPr>
        <w:t>placement of conventional</w:t>
      </w:r>
      <w:r w:rsidRPr="00E069AC">
        <w:rPr>
          <w:rFonts w:cs="Times New Roman"/>
        </w:rPr>
        <w:t xml:space="preserve"> </w:t>
      </w:r>
      <w:r w:rsidR="000C3F49" w:rsidRPr="00E069AC">
        <w:rPr>
          <w:rFonts w:cs="Times New Roman"/>
        </w:rPr>
        <w:t>electricity generation technologies (i.e. coal, oil, natural gas)</w:t>
      </w:r>
      <w:r w:rsidRPr="00E069AC">
        <w:rPr>
          <w:rFonts w:cs="Times New Roman"/>
        </w:rPr>
        <w:t xml:space="preserve"> </w:t>
      </w:r>
      <w:r w:rsidR="000C3F49" w:rsidRPr="00E069AC">
        <w:rPr>
          <w:rFonts w:cs="Times New Roman"/>
        </w:rPr>
        <w:t>and related emissions</w:t>
      </w:r>
      <w:r w:rsidRPr="00E069AC">
        <w:rPr>
          <w:rFonts w:cs="Times New Roman"/>
        </w:rPr>
        <w:t xml:space="preserve"> for a</w:t>
      </w:r>
      <w:r w:rsidR="000C3F49" w:rsidRPr="00E069AC">
        <w:rPr>
          <w:rFonts w:cs="Times New Roman"/>
        </w:rPr>
        <w:t>n</w:t>
      </w:r>
      <w:r w:rsidRPr="00E069AC">
        <w:rPr>
          <w:rFonts w:cs="Times New Roman"/>
        </w:rPr>
        <w:t xml:space="preserve"> </w:t>
      </w:r>
      <w:r w:rsidR="000C3F49" w:rsidRPr="00E069AC">
        <w:rPr>
          <w:rFonts w:cs="Times New Roman"/>
        </w:rPr>
        <w:t xml:space="preserve">alternative </w:t>
      </w:r>
      <w:r w:rsidRPr="00E069AC">
        <w:rPr>
          <w:rFonts w:cs="Times New Roman"/>
        </w:rPr>
        <w:t>solution</w:t>
      </w:r>
      <w:r w:rsidR="005B7A11" w:rsidRPr="00E069AC">
        <w:rPr>
          <w:rFonts w:cs="Times New Roman"/>
        </w:rPr>
        <w:t xml:space="preserve"> (</w:t>
      </w:r>
      <w:r w:rsidR="00AE749D" w:rsidRPr="00E069AC">
        <w:rPr>
          <w:rFonts w:cs="Times New Roman"/>
        </w:rPr>
        <w:t>see the</w:t>
      </w:r>
      <w:r w:rsidR="00395868" w:rsidRPr="00E069AC">
        <w:rPr>
          <w:rFonts w:cs="Times New Roman"/>
        </w:rPr>
        <w:t xml:space="preserve"> </w:t>
      </w:r>
      <w:r w:rsidR="00AE749D" w:rsidRPr="00E069AC">
        <w:rPr>
          <w:rFonts w:cs="Times New Roman"/>
        </w:rPr>
        <w:t>Drawdown RRS Model Framework and Guide for more details</w:t>
      </w:r>
      <w:r w:rsidR="005B7A11" w:rsidRPr="00E069AC">
        <w:rPr>
          <w:rFonts w:cs="Times New Roman"/>
        </w:rPr>
        <w:t>)</w:t>
      </w:r>
      <w:r w:rsidR="000C3F49" w:rsidRPr="00E069AC">
        <w:rPr>
          <w:rFonts w:cs="Times New Roman"/>
        </w:rPr>
        <w:t>.</w:t>
      </w:r>
      <w:r w:rsidRPr="00E069AC">
        <w:rPr>
          <w:rFonts w:cs="Times New Roman"/>
        </w:rPr>
        <w:t xml:space="preserve"> These technologies are assumed to compete in markets to supply the final functional demand which is exogenous to the model, but may be shared across several solution models. The adoption and markets are therefore defined in terms of functional units</w:t>
      </w:r>
      <w:r w:rsidR="000C3F49" w:rsidRPr="00E069AC">
        <w:rPr>
          <w:rFonts w:cs="Times New Roman"/>
        </w:rPr>
        <w:t xml:space="preserve"> (TWh)</w:t>
      </w:r>
      <w:r w:rsidRPr="00E069AC">
        <w:rPr>
          <w:rFonts w:cs="Times New Roman"/>
        </w:rPr>
        <w:t>, and for investment costing, adoptions are also converted to implementation units</w:t>
      </w:r>
      <w:r w:rsidR="000C3F49" w:rsidRPr="00E069AC">
        <w:rPr>
          <w:rFonts w:cs="Times New Roman"/>
        </w:rPr>
        <w:t xml:space="preserve"> (TW)</w:t>
      </w:r>
      <w:r w:rsidRPr="00E069AC">
        <w:rPr>
          <w:rFonts w:cs="Times New Roman"/>
        </w:rPr>
        <w:t>. The adoptions of both conventional and solution were projected for each of several scenarios from 2015 to 2050 and the comparison of these scenarios (for the 2020-2050 segment</w:t>
      </w:r>
      <w:r w:rsidR="000C3F49" w:rsidRPr="00E069AC">
        <w:rPr>
          <w:rFonts w:cs="Times New Roman"/>
        </w:rPr>
        <w:t>) is what constitutes</w:t>
      </w:r>
      <w:r w:rsidRPr="00E069AC">
        <w:rPr>
          <w:rFonts w:cs="Times New Roman"/>
        </w:rPr>
        <w:t xml:space="preserve"> the results. </w:t>
      </w:r>
    </w:p>
    <w:p w14:paraId="3F01DEC2" w14:textId="6E5E29B4" w:rsidR="002D4B9E" w:rsidRPr="00E069AC" w:rsidRDefault="005C2BC8" w:rsidP="00EB247F">
      <w:pPr>
        <w:rPr>
          <w:rFonts w:cs="Times New Roman"/>
        </w:rPr>
      </w:pPr>
      <w:r w:rsidRPr="0028022C">
        <w:rPr>
          <w:rFonts w:cs="Times New Roman"/>
        </w:rPr>
        <w:t>For th</w:t>
      </w:r>
      <w:r w:rsidR="00EA7E2F" w:rsidRPr="0028022C">
        <w:rPr>
          <w:rFonts w:cs="Times New Roman"/>
        </w:rPr>
        <w:t>is</w:t>
      </w:r>
      <w:r w:rsidR="00202788" w:rsidRPr="0028022C">
        <w:rPr>
          <w:rFonts w:cs="Times New Roman"/>
        </w:rPr>
        <w:t xml:space="preserve"> solution, </w:t>
      </w:r>
      <w:r w:rsidR="00202788" w:rsidRPr="0028022C">
        <w:rPr>
          <w:rFonts w:cs="Times New Roman"/>
          <w:bCs/>
        </w:rPr>
        <w:t xml:space="preserve">the approach was to analyze </w:t>
      </w:r>
      <w:r w:rsidR="000C3F49" w:rsidRPr="0028022C">
        <w:rPr>
          <w:rFonts w:cs="Times New Roman"/>
          <w:bCs/>
        </w:rPr>
        <w:t xml:space="preserve">the impacts of increased </w:t>
      </w:r>
      <w:r w:rsidR="00202788" w:rsidRPr="0028022C">
        <w:rPr>
          <w:rFonts w:cs="Times New Roman"/>
          <w:bCs/>
        </w:rPr>
        <w:t xml:space="preserve">adoption of </w:t>
      </w:r>
      <w:r w:rsidRPr="0028022C">
        <w:rPr>
          <w:rFonts w:cs="Times New Roman"/>
        </w:rPr>
        <w:t>wind offshore</w:t>
      </w:r>
      <w:r w:rsidR="000C3F49" w:rsidRPr="0028022C">
        <w:rPr>
          <w:rFonts w:cs="Times New Roman"/>
        </w:rPr>
        <w:t xml:space="preserve"> systems</w:t>
      </w:r>
      <w:r w:rsidR="00EA7E2F" w:rsidRPr="0028022C">
        <w:rPr>
          <w:rFonts w:cs="Times New Roman"/>
        </w:rPr>
        <w:t xml:space="preserve">. </w:t>
      </w:r>
      <w:r w:rsidR="00683100" w:rsidRPr="0028022C">
        <w:rPr>
          <w:rFonts w:cs="Times New Roman"/>
        </w:rPr>
        <w:t>The</w:t>
      </w:r>
      <w:r w:rsidR="002D4B9E" w:rsidRPr="0028022C">
        <w:rPr>
          <w:rFonts w:cs="Times New Roman"/>
        </w:rPr>
        <w:t xml:space="preserve"> model</w:t>
      </w:r>
      <w:r w:rsidRPr="0028022C">
        <w:rPr>
          <w:rFonts w:cs="Times New Roman"/>
        </w:rPr>
        <w:t>s</w:t>
      </w:r>
      <w:r w:rsidR="002D4B9E" w:rsidRPr="0028022C">
        <w:rPr>
          <w:rFonts w:cs="Times New Roman"/>
        </w:rPr>
        <w:t xml:space="preserve"> u</w:t>
      </w:r>
      <w:r w:rsidRPr="0028022C">
        <w:rPr>
          <w:rFonts w:cs="Times New Roman"/>
        </w:rPr>
        <w:t>sed for this analysis construct</w:t>
      </w:r>
      <w:r w:rsidR="002D4B9E" w:rsidRPr="0028022C">
        <w:rPr>
          <w:rFonts w:cs="Times New Roman"/>
        </w:rPr>
        <w:t xml:space="preserve"> both </w:t>
      </w:r>
      <w:r w:rsidR="00683100" w:rsidRPr="0028022C">
        <w:rPr>
          <w:rFonts w:cs="Times New Roman"/>
        </w:rPr>
        <w:t xml:space="preserve">alternative ambitious </w:t>
      </w:r>
      <w:r w:rsidR="002D4B9E" w:rsidRPr="0028022C">
        <w:rPr>
          <w:rFonts w:cs="Times New Roman"/>
        </w:rPr>
        <w:t>adoption</w:t>
      </w:r>
      <w:r w:rsidR="00683100" w:rsidRPr="0028022C">
        <w:rPr>
          <w:rFonts w:cs="Times New Roman"/>
        </w:rPr>
        <w:t xml:space="preserve"> pathways </w:t>
      </w:r>
      <w:r w:rsidR="00AE749D" w:rsidRPr="0028022C">
        <w:rPr>
          <w:rFonts w:cs="Times New Roman"/>
        </w:rPr>
        <w:t>(PD</w:t>
      </w:r>
      <w:r w:rsidR="00A2204D" w:rsidRPr="0028022C">
        <w:rPr>
          <w:rFonts w:cs="Times New Roman"/>
        </w:rPr>
        <w:t xml:space="preserve"> scenarios)</w:t>
      </w:r>
      <w:r w:rsidR="002D4B9E" w:rsidRPr="0028022C">
        <w:rPr>
          <w:rFonts w:cs="Times New Roman"/>
        </w:rPr>
        <w:t xml:space="preserve"> and a Reference scenario (REF) for </w:t>
      </w:r>
      <w:r w:rsidRPr="0028022C">
        <w:rPr>
          <w:rFonts w:cs="Times New Roman"/>
        </w:rPr>
        <w:t>wind offshore</w:t>
      </w:r>
      <w:r w:rsidR="002D4B9E" w:rsidRPr="0028022C">
        <w:rPr>
          <w:rFonts w:cs="Times New Roman"/>
        </w:rPr>
        <w:t xml:space="preserve">. </w:t>
      </w:r>
      <w:r w:rsidR="00683100" w:rsidRPr="0028022C">
        <w:rPr>
          <w:rFonts w:cs="Times New Roman"/>
        </w:rPr>
        <w:t>Following project Drawdown methodological assumption</w:t>
      </w:r>
      <w:r w:rsidR="00395868" w:rsidRPr="0028022C">
        <w:rPr>
          <w:rFonts w:cs="Times New Roman"/>
        </w:rPr>
        <w:t xml:space="preserve"> (</w:t>
      </w:r>
      <w:r w:rsidR="00AE749D" w:rsidRPr="0028022C">
        <w:rPr>
          <w:rFonts w:cs="Times New Roman"/>
        </w:rPr>
        <w:t xml:space="preserve">further description available on the Drawdown RRS Model Framework and Guide), </w:t>
      </w:r>
      <w:r w:rsidR="00683100" w:rsidRPr="0028022C">
        <w:rPr>
          <w:rFonts w:cs="Times New Roman"/>
        </w:rPr>
        <w:t xml:space="preserve">in order to grasp the total impact of an increased adoption of the solution during the assessed time frame; the REF scenario assumes future adoption of </w:t>
      </w:r>
      <w:r w:rsidRPr="0028022C">
        <w:rPr>
          <w:rFonts w:cs="Times New Roman"/>
        </w:rPr>
        <w:t>wind offshore</w:t>
      </w:r>
      <w:r w:rsidR="00683100" w:rsidRPr="0028022C">
        <w:rPr>
          <w:rFonts w:cs="Times New Roman"/>
        </w:rPr>
        <w:t xml:space="preserve"> remains fixed at the current </w:t>
      </w:r>
      <w:r w:rsidR="0028022C" w:rsidRPr="0028022C">
        <w:rPr>
          <w:rFonts w:cs="Times New Roman"/>
        </w:rPr>
        <w:t>adoption</w:t>
      </w:r>
      <w:r w:rsidR="00683100" w:rsidRPr="0028022C">
        <w:rPr>
          <w:rFonts w:cs="Times New Roman"/>
        </w:rPr>
        <w:t xml:space="preserve"> (i.e. 201</w:t>
      </w:r>
      <w:r w:rsidR="0028022C" w:rsidRPr="0028022C">
        <w:rPr>
          <w:rFonts w:cs="Times New Roman"/>
        </w:rPr>
        <w:t>8</w:t>
      </w:r>
      <w:r w:rsidR="00683100" w:rsidRPr="0028022C">
        <w:rPr>
          <w:rFonts w:cs="Times New Roman"/>
        </w:rPr>
        <w:t>) percentage of T</w:t>
      </w:r>
      <w:r w:rsidR="00A2204D" w:rsidRPr="0028022C">
        <w:rPr>
          <w:rFonts w:cs="Times New Roman"/>
        </w:rPr>
        <w:t>otal Addressable Market (T</w:t>
      </w:r>
      <w:r w:rsidR="00683100" w:rsidRPr="0028022C">
        <w:rPr>
          <w:rFonts w:cs="Times New Roman"/>
        </w:rPr>
        <w:t>AM</w:t>
      </w:r>
      <w:r w:rsidR="00A2204D" w:rsidRPr="0028022C">
        <w:rPr>
          <w:rFonts w:cs="Times New Roman"/>
        </w:rPr>
        <w:t>)</w:t>
      </w:r>
      <w:r w:rsidR="00683100" w:rsidRPr="0028022C">
        <w:rPr>
          <w:rFonts w:cs="Times New Roman"/>
        </w:rPr>
        <w:t>, estimated at 0.</w:t>
      </w:r>
      <w:r w:rsidR="0028022C" w:rsidRPr="0028022C">
        <w:rPr>
          <w:rFonts w:cs="Times New Roman"/>
        </w:rPr>
        <w:t>2</w:t>
      </w:r>
      <w:r w:rsidR="00C15551">
        <w:rPr>
          <w:rFonts w:cs="Times New Roman"/>
        </w:rPr>
        <w:t>7</w:t>
      </w:r>
      <w:r w:rsidR="00683100" w:rsidRPr="0028022C">
        <w:rPr>
          <w:rFonts w:cs="Times New Roman"/>
        </w:rPr>
        <w:t xml:space="preserve"> percent (</w:t>
      </w:r>
      <w:r w:rsidR="0028022C" w:rsidRPr="0028022C">
        <w:rPr>
          <w:rFonts w:cs="Times New Roman"/>
        </w:rPr>
        <w:t>62</w:t>
      </w:r>
      <w:r w:rsidR="00683100" w:rsidRPr="0028022C">
        <w:rPr>
          <w:rFonts w:cs="Times New Roman"/>
        </w:rPr>
        <w:t xml:space="preserve"> terawatt-hours) of </w:t>
      </w:r>
      <w:r w:rsidR="000875B5" w:rsidRPr="0028022C">
        <w:rPr>
          <w:rFonts w:cs="Times New Roman"/>
        </w:rPr>
        <w:t xml:space="preserve">electricity </w:t>
      </w:r>
      <w:r w:rsidR="00683100" w:rsidRPr="0028022C">
        <w:rPr>
          <w:rFonts w:cs="Times New Roman"/>
        </w:rPr>
        <w:t xml:space="preserve">generation. </w:t>
      </w:r>
      <w:r w:rsidR="00992B8D" w:rsidRPr="0028022C">
        <w:rPr>
          <w:rFonts w:cs="Times New Roman"/>
        </w:rPr>
        <w:t xml:space="preserve">The TAM for </w:t>
      </w:r>
      <w:r w:rsidRPr="0028022C">
        <w:rPr>
          <w:rFonts w:cs="Times New Roman"/>
          <w:iCs/>
        </w:rPr>
        <w:t>the solution</w:t>
      </w:r>
      <w:r w:rsidR="00992B8D" w:rsidRPr="0028022C">
        <w:rPr>
          <w:rFonts w:cs="Times New Roman"/>
          <w:iCs/>
        </w:rPr>
        <w:t xml:space="preserve"> </w:t>
      </w:r>
      <w:r w:rsidR="00992B8D" w:rsidRPr="0028022C">
        <w:rPr>
          <w:rFonts w:cs="Times New Roman"/>
        </w:rPr>
        <w:t>is based on the common project Drawdown projected global electricity generation in terawatt</w:t>
      </w:r>
      <w:r w:rsidR="00992B8D" w:rsidRPr="00F41119">
        <w:rPr>
          <w:rFonts w:cs="Times New Roman"/>
        </w:rPr>
        <w:t>-hours till 2050</w:t>
      </w:r>
      <w:r w:rsidR="00AE749D" w:rsidRPr="00F41119">
        <w:rPr>
          <w:rFonts w:cs="Times New Roman"/>
        </w:rPr>
        <w:t xml:space="preserve"> (Section 2.3</w:t>
      </w:r>
      <w:r w:rsidR="00992B8D" w:rsidRPr="00F41119">
        <w:rPr>
          <w:rFonts w:cs="Times New Roman"/>
        </w:rPr>
        <w:t>.).</w:t>
      </w:r>
    </w:p>
    <w:p w14:paraId="44E67117" w14:textId="33BB84CD" w:rsidR="00395868" w:rsidRPr="00E069AC" w:rsidRDefault="0027094E" w:rsidP="00EB247F">
      <w:pPr>
        <w:rPr>
          <w:rFonts w:cs="Times New Roman"/>
        </w:rPr>
      </w:pPr>
      <w:r w:rsidRPr="00E069AC">
        <w:rPr>
          <w:rFonts w:cs="Times New Roman"/>
        </w:rPr>
        <w:t xml:space="preserve">The developed alternative PDS scenarios, draw on existing adoption scenarios for </w:t>
      </w:r>
      <w:r>
        <w:rPr>
          <w:rFonts w:cs="Times New Roman"/>
        </w:rPr>
        <w:t xml:space="preserve">wind in general which is split between onshore and offshore, or specifically wind offshore </w:t>
      </w:r>
      <w:r w:rsidRPr="00E069AC">
        <w:rPr>
          <w:rFonts w:cs="Times New Roman"/>
        </w:rPr>
        <w:t xml:space="preserve">to model several alternative adoptions. </w:t>
      </w:r>
      <w:r w:rsidR="00395868" w:rsidRPr="00E069AC">
        <w:rPr>
          <w:rFonts w:cs="Times New Roman"/>
        </w:rPr>
        <w:t>The RRS model contains both financial and climate analyses in order to model the global and regional impacts of adoption in the PDS scenarios compared to the REF scenario. What the model thus prognosticates is the total financial costs and benefits of adoption case</w:t>
      </w:r>
      <w:r w:rsidR="00D2050B" w:rsidRPr="00E069AC">
        <w:rPr>
          <w:rFonts w:cs="Times New Roman"/>
        </w:rPr>
        <w:t>s</w:t>
      </w:r>
      <w:r w:rsidR="00395868" w:rsidRPr="00E069AC">
        <w:rPr>
          <w:rFonts w:cs="Times New Roman"/>
        </w:rPr>
        <w:t xml:space="preserve"> for </w:t>
      </w:r>
      <w:r w:rsidR="005C2BC8">
        <w:rPr>
          <w:rFonts w:cs="Times New Roman"/>
        </w:rPr>
        <w:t>wind onshore/offshore</w:t>
      </w:r>
      <w:r w:rsidR="00395868" w:rsidRPr="00E069AC">
        <w:rPr>
          <w:rFonts w:cs="Times New Roman"/>
        </w:rPr>
        <w:t>, as well as the contribution</w:t>
      </w:r>
      <w:r w:rsidR="005C2BC8">
        <w:rPr>
          <w:rFonts w:cs="Times New Roman"/>
        </w:rPr>
        <w:t xml:space="preserve"> of</w:t>
      </w:r>
      <w:r w:rsidR="00395868" w:rsidRPr="00E069AC">
        <w:rPr>
          <w:rFonts w:cs="Times New Roman"/>
        </w:rPr>
        <w:t xml:space="preserve"> th</w:t>
      </w:r>
      <w:r w:rsidR="005C2BC8">
        <w:rPr>
          <w:rFonts w:cs="Times New Roman"/>
        </w:rPr>
        <w:t>ese</w:t>
      </w:r>
      <w:r w:rsidR="00395868" w:rsidRPr="00E069AC">
        <w:rPr>
          <w:rFonts w:cs="Times New Roman"/>
        </w:rPr>
        <w:t xml:space="preserve"> adoption</w:t>
      </w:r>
      <w:r w:rsidR="005C2BC8">
        <w:rPr>
          <w:rFonts w:cs="Times New Roman"/>
        </w:rPr>
        <w:t>s</w:t>
      </w:r>
      <w:r w:rsidR="00395868" w:rsidRPr="00E069AC">
        <w:rPr>
          <w:rFonts w:cs="Times New Roman"/>
        </w:rPr>
        <w:t xml:space="preserve"> can make to annual and cumulative emissions reduction. </w:t>
      </w:r>
    </w:p>
    <w:p w14:paraId="298F46AB" w14:textId="21172A05" w:rsidR="00F52595" w:rsidRPr="00E069AC" w:rsidRDefault="00E069AC" w:rsidP="00483FFA">
      <w:pPr>
        <w:pStyle w:val="Heading2"/>
        <w:numPr>
          <w:ilvl w:val="1"/>
          <w:numId w:val="26"/>
        </w:numPr>
      </w:pPr>
      <w:bookmarkStart w:id="23" w:name="_Toc18619514"/>
      <w:r>
        <w:t>Data Sources</w:t>
      </w:r>
      <w:bookmarkEnd w:id="23"/>
    </w:p>
    <w:p w14:paraId="7E1F86C7" w14:textId="65E64E4D" w:rsidR="00933FD7" w:rsidRDefault="00F66D25" w:rsidP="00EB247F">
      <w:pPr>
        <w:rPr>
          <w:rFonts w:cs="Times New Roman"/>
        </w:rPr>
      </w:pPr>
      <w:r w:rsidRPr="00E069AC">
        <w:rPr>
          <w:rFonts w:cs="Times New Roman"/>
        </w:rPr>
        <w:t>This section presents key data sources utilized in the mode</w:t>
      </w:r>
      <w:r w:rsidR="00D2050B" w:rsidRPr="00E069AC">
        <w:rPr>
          <w:rFonts w:cs="Times New Roman"/>
        </w:rPr>
        <w:t xml:space="preserve"> to evaluate the adoption of</w:t>
      </w:r>
      <w:r w:rsidR="005C2BC8">
        <w:rPr>
          <w:rFonts w:cs="Times New Roman"/>
        </w:rPr>
        <w:t xml:space="preserve"> wind offshore technologies</w:t>
      </w:r>
      <w:r w:rsidRPr="00E069AC">
        <w:rPr>
          <w:rFonts w:cs="Times New Roman"/>
        </w:rPr>
        <w:t>.</w:t>
      </w:r>
      <w:r w:rsidR="002D5C14" w:rsidRPr="00E069AC">
        <w:rPr>
          <w:rFonts w:cs="Times New Roman"/>
        </w:rPr>
        <w:t xml:space="preserve"> </w:t>
      </w:r>
      <w:r w:rsidR="00933FD7" w:rsidRPr="00E069AC">
        <w:rPr>
          <w:rFonts w:cs="Times New Roman"/>
        </w:rPr>
        <w:t>Data inputs for the model come from a variety of sources, primarily from peer-reviewed publications and from in</w:t>
      </w:r>
      <w:r w:rsidR="00DA44EB" w:rsidRPr="00E069AC">
        <w:rPr>
          <w:rFonts w:cs="Times New Roman"/>
        </w:rPr>
        <w:t>stitutional reports. For all variable inputs, it was</w:t>
      </w:r>
      <w:r w:rsidR="00933FD7" w:rsidRPr="00E069AC">
        <w:rPr>
          <w:rFonts w:cs="Times New Roman"/>
        </w:rPr>
        <w:t xml:space="preserve"> </w:t>
      </w:r>
      <w:r w:rsidR="00DA44EB" w:rsidRPr="00E069AC">
        <w:rPr>
          <w:rFonts w:cs="Times New Roman"/>
        </w:rPr>
        <w:t xml:space="preserve">done </w:t>
      </w:r>
      <w:r w:rsidR="00933FD7" w:rsidRPr="00E069AC">
        <w:rPr>
          <w:rFonts w:cs="Times New Roman"/>
        </w:rPr>
        <w:t xml:space="preserve">a variable meta-analysis of existing literature to create low, high, and mean estimates. For each </w:t>
      </w:r>
      <w:r w:rsidRPr="00E069AC">
        <w:rPr>
          <w:rFonts w:cs="Times New Roman"/>
        </w:rPr>
        <w:t>variable, it is</w:t>
      </w:r>
      <w:r w:rsidR="00933FD7" w:rsidRPr="00E069AC">
        <w:rPr>
          <w:rFonts w:cs="Times New Roman"/>
        </w:rPr>
        <w:t xml:space="preserve"> conduct</w:t>
      </w:r>
      <w:r w:rsidRPr="00E069AC">
        <w:rPr>
          <w:rFonts w:cs="Times New Roman"/>
        </w:rPr>
        <w:t>ed</w:t>
      </w:r>
      <w:r w:rsidR="00933FD7" w:rsidRPr="00E069AC">
        <w:rPr>
          <w:rFonts w:cs="Times New Roman"/>
        </w:rPr>
        <w:t xml:space="preserve"> a sensitivity analysis </w:t>
      </w:r>
      <w:r w:rsidR="00933FD7" w:rsidRPr="00F41119">
        <w:rPr>
          <w:rFonts w:cs="Times New Roman"/>
        </w:rPr>
        <w:t xml:space="preserve">of, on average, </w:t>
      </w:r>
      <w:r w:rsidR="00F41119" w:rsidRPr="00F41119">
        <w:rPr>
          <w:rFonts w:cs="Times New Roman"/>
        </w:rPr>
        <w:t>six</w:t>
      </w:r>
      <w:r w:rsidR="00933FD7" w:rsidRPr="00F41119">
        <w:rPr>
          <w:rFonts w:cs="Times New Roman"/>
        </w:rPr>
        <w:t xml:space="preserve"> data points reported in the literature</w:t>
      </w:r>
      <w:r w:rsidRPr="00F41119">
        <w:rPr>
          <w:rFonts w:cs="Times New Roman"/>
        </w:rPr>
        <w:t xml:space="preserve"> and in some cases as many as </w:t>
      </w:r>
      <w:r w:rsidR="00F41119" w:rsidRPr="00F41119">
        <w:rPr>
          <w:rFonts w:cs="Times New Roman"/>
        </w:rPr>
        <w:t>15</w:t>
      </w:r>
      <w:r w:rsidR="00933FD7" w:rsidRPr="00F41119">
        <w:rPr>
          <w:rFonts w:cs="Times New Roman"/>
        </w:rPr>
        <w:t xml:space="preserve">. </w:t>
      </w:r>
      <w:r w:rsidR="00DA44EB" w:rsidRPr="00F41119">
        <w:rPr>
          <w:rFonts w:cs="Times New Roman"/>
        </w:rPr>
        <w:t>This</w:t>
      </w:r>
      <w:r w:rsidR="00DA44EB" w:rsidRPr="00E069AC">
        <w:rPr>
          <w:rFonts w:cs="Times New Roman"/>
        </w:rPr>
        <w:t xml:space="preserve"> allows </w:t>
      </w:r>
      <w:r w:rsidR="00933FD7" w:rsidRPr="00E069AC">
        <w:rPr>
          <w:rFonts w:cs="Times New Roman"/>
        </w:rPr>
        <w:t>to calculate rob</w:t>
      </w:r>
      <w:r w:rsidR="00DA44EB" w:rsidRPr="00E069AC">
        <w:rPr>
          <w:rFonts w:cs="Times New Roman"/>
        </w:rPr>
        <w:t xml:space="preserve">ust and reliable inputs for the </w:t>
      </w:r>
      <w:r w:rsidR="00933FD7" w:rsidRPr="00E069AC">
        <w:rPr>
          <w:rFonts w:cs="Times New Roman"/>
        </w:rPr>
        <w:t>financial</w:t>
      </w:r>
      <w:r w:rsidRPr="00E069AC">
        <w:rPr>
          <w:rFonts w:cs="Times New Roman"/>
        </w:rPr>
        <w:t>, technological</w:t>
      </w:r>
      <w:r w:rsidR="00933FD7" w:rsidRPr="00E069AC">
        <w:rPr>
          <w:rFonts w:cs="Times New Roman"/>
        </w:rPr>
        <w:t xml:space="preserve"> and climate analyses that represent both optimistic and conservative estimates for the future costs and benefits of adopting this solution.</w:t>
      </w:r>
    </w:p>
    <w:p w14:paraId="06360E7D" w14:textId="5D00AB6B" w:rsidR="007C2326" w:rsidRPr="00F41119" w:rsidRDefault="00445583" w:rsidP="007C2326">
      <w:pPr>
        <w:keepNext/>
        <w:rPr>
          <w:rFonts w:eastAsia="Times New Roman"/>
        </w:rPr>
      </w:pPr>
      <w:r>
        <w:rPr>
          <w:rFonts w:eastAsia="Times New Roman"/>
        </w:rPr>
        <w:t xml:space="preserve">In literature, </w:t>
      </w:r>
      <w:r w:rsidR="007C2326" w:rsidRPr="00251902">
        <w:rPr>
          <w:rFonts w:eastAsia="Times New Roman"/>
        </w:rPr>
        <w:t xml:space="preserve">life cycle assessments (LCAs) have been conducted for </w:t>
      </w:r>
      <w:r>
        <w:rPr>
          <w:rFonts w:eastAsia="Times New Roman"/>
        </w:rPr>
        <w:t xml:space="preserve">offshore </w:t>
      </w:r>
      <w:r w:rsidR="007C2326" w:rsidRPr="00251902">
        <w:rPr>
          <w:rFonts w:eastAsia="Times New Roman"/>
        </w:rPr>
        <w:t xml:space="preserve">wind power technologies across the globe </w:t>
      </w:r>
      <w:r>
        <w:rPr>
          <w:rFonts w:eastAsia="Times New Roman"/>
        </w:rPr>
        <w:t>since the 1990’s the first commercial offshore wind power was commissioned.</w:t>
      </w:r>
      <w:r w:rsidR="007C2326" w:rsidRPr="00251902">
        <w:rPr>
          <w:rFonts w:eastAsia="Times New Roman"/>
        </w:rPr>
        <w:t xml:space="preserve">. LCAs determine the environmental impacts of products and technologies throughout their full lifetime, from raw material extraction and processing; to manufacturing and </w:t>
      </w:r>
      <w:r w:rsidR="007C2326" w:rsidRPr="00F41119">
        <w:rPr>
          <w:rFonts w:eastAsia="Times New Roman"/>
        </w:rPr>
        <w:t>distribution; to use and maintenance; to disposal or recycling. LCAs include estimates of total greenhouse gas (GHG) emissions and other environmental impacts and resources used (</w:t>
      </w:r>
      <w:r w:rsidR="007C2326" w:rsidRPr="00F41119">
        <w:rPr>
          <w:rFonts w:eastAsia="Times New Roman"/>
          <w:i/>
        </w:rPr>
        <w:t>e.g.</w:t>
      </w:r>
      <w:r w:rsidR="007C2326" w:rsidRPr="00F41119">
        <w:rPr>
          <w:rFonts w:eastAsia="Times New Roman"/>
        </w:rPr>
        <w:t xml:space="preserve"> water and land use, air pollutants emissions).</w:t>
      </w:r>
    </w:p>
    <w:p w14:paraId="48653ADD" w14:textId="5AC5E8F2" w:rsidR="00B62FFA" w:rsidRDefault="00F41119" w:rsidP="007C2326">
      <w:pPr>
        <w:rPr>
          <w:rFonts w:eastAsia="Times New Roman"/>
        </w:rPr>
      </w:pPr>
      <w:r w:rsidRPr="00F41119">
        <w:rPr>
          <w:rFonts w:eastAsia="Times New Roman"/>
        </w:rPr>
        <w:t>P</w:t>
      </w:r>
      <w:r w:rsidR="007C2326" w:rsidRPr="00F41119">
        <w:rPr>
          <w:rFonts w:eastAsia="Times New Roman"/>
        </w:rPr>
        <w:t>ublished GHG</w:t>
      </w:r>
      <w:r w:rsidRPr="00F41119">
        <w:rPr>
          <w:rFonts w:eastAsia="Times New Roman"/>
        </w:rPr>
        <w:t xml:space="preserve"> indirect</w:t>
      </w:r>
      <w:r w:rsidR="007C2326" w:rsidRPr="00F41119">
        <w:rPr>
          <w:rFonts w:eastAsia="Times New Roman"/>
        </w:rPr>
        <w:t xml:space="preserve"> emission estimates for </w:t>
      </w:r>
      <w:r w:rsidRPr="00F41119">
        <w:rPr>
          <w:rFonts w:eastAsia="Times New Roman"/>
        </w:rPr>
        <w:t xml:space="preserve">offshore </w:t>
      </w:r>
      <w:r w:rsidR="007C2326" w:rsidRPr="00F41119">
        <w:rPr>
          <w:rFonts w:eastAsia="Times New Roman"/>
        </w:rPr>
        <w:t xml:space="preserve">wind power, have ranged from </w:t>
      </w:r>
      <w:r w:rsidRPr="00F41119">
        <w:rPr>
          <w:rFonts w:eastAsia="Times New Roman"/>
        </w:rPr>
        <w:t>8</w:t>
      </w:r>
      <w:r w:rsidR="007C2326" w:rsidRPr="00F41119">
        <w:rPr>
          <w:rFonts w:eastAsia="Times New Roman"/>
        </w:rPr>
        <w:t xml:space="preserve"> to </w:t>
      </w:r>
      <w:r w:rsidRPr="00F41119">
        <w:rPr>
          <w:rFonts w:eastAsia="Times New Roman"/>
        </w:rPr>
        <w:t>35</w:t>
      </w:r>
      <w:r w:rsidR="007C2326" w:rsidRPr="00F41119">
        <w:rPr>
          <w:rFonts w:eastAsia="Times New Roman"/>
        </w:rPr>
        <w:t xml:space="preserve"> g CO</w:t>
      </w:r>
      <w:r w:rsidR="007C2326" w:rsidRPr="00F41119">
        <w:rPr>
          <w:rFonts w:eastAsia="Times New Roman"/>
          <w:vertAlign w:val="subscript"/>
        </w:rPr>
        <w:t>2</w:t>
      </w:r>
      <w:r w:rsidR="007C2326" w:rsidRPr="00F41119">
        <w:rPr>
          <w:rFonts w:eastAsia="Times New Roman"/>
        </w:rPr>
        <w:t>eq/kWh over their lifetime</w:t>
      </w:r>
      <w:r w:rsidR="00B62FFA">
        <w:rPr>
          <w:rFonts w:eastAsia="Times New Roman"/>
        </w:rPr>
        <w:t xml:space="preserve"> (IPCC, 2014; Thomson &amp; Harrison, 2015)</w:t>
      </w:r>
      <w:r w:rsidR="007C2326" w:rsidRPr="00F41119">
        <w:rPr>
          <w:rFonts w:eastAsia="Times New Roman"/>
        </w:rPr>
        <w:t xml:space="preserve"> . The wide span in results for wind reflects different assumptions</w:t>
      </w:r>
      <w:r w:rsidR="007C2326" w:rsidRPr="00251902">
        <w:rPr>
          <w:rFonts w:eastAsia="Times New Roman"/>
        </w:rPr>
        <w:t xml:space="preserve"> around capacity factor, conversion efficiency, operating lifetime and quality of wind resource </w:t>
      </w:r>
      <w:r w:rsidR="00B62FFA">
        <w:rPr>
          <w:rFonts w:eastAsia="Times New Roman"/>
        </w:rPr>
        <w:t>, as well as shore distance, and water depth</w:t>
      </w:r>
      <w:r w:rsidR="007C2326" w:rsidRPr="00251902">
        <w:rPr>
          <w:rFonts w:eastAsia="Times New Roman"/>
        </w:rPr>
        <w:t xml:space="preserve">. </w:t>
      </w:r>
      <w:r w:rsidR="00B62FFA">
        <w:rPr>
          <w:rFonts w:eastAsia="Times New Roman"/>
        </w:rPr>
        <w:t>L</w:t>
      </w:r>
      <w:r w:rsidR="007C2326" w:rsidRPr="00251902">
        <w:rPr>
          <w:rFonts w:eastAsia="Times New Roman"/>
        </w:rPr>
        <w:t>ifetime of 20</w:t>
      </w:r>
      <w:r w:rsidR="00B62FFA">
        <w:rPr>
          <w:rFonts w:eastAsia="Times New Roman"/>
        </w:rPr>
        <w:t xml:space="preserve"> – 25</w:t>
      </w:r>
      <w:r w:rsidR="007C2326" w:rsidRPr="00251902">
        <w:rPr>
          <w:rFonts w:eastAsia="Times New Roman"/>
        </w:rPr>
        <w:t xml:space="preserve"> years and capacity factor of </w:t>
      </w:r>
      <w:r w:rsidR="00B62FFA">
        <w:rPr>
          <w:rFonts w:eastAsia="Times New Roman"/>
        </w:rPr>
        <w:t xml:space="preserve">24 – 48% </w:t>
      </w:r>
      <w:r w:rsidR="007C2326" w:rsidRPr="00251902">
        <w:rPr>
          <w:rFonts w:eastAsia="Times New Roman"/>
        </w:rPr>
        <w:t>for offshore w</w:t>
      </w:r>
      <w:r w:rsidR="00B62FFA">
        <w:rPr>
          <w:rFonts w:eastAsia="Times New Roman"/>
        </w:rPr>
        <w:t>ere have been used as inputs in estimation of GHG emissions result.</w:t>
      </w:r>
    </w:p>
    <w:p w14:paraId="5C977F31" w14:textId="2D587A46" w:rsidR="00CC6139" w:rsidRPr="00BE6836" w:rsidRDefault="007C2326" w:rsidP="007C2326">
      <w:pPr>
        <w:rPr>
          <w:rFonts w:eastAsia="Times New Roman"/>
        </w:rPr>
      </w:pPr>
      <w:r w:rsidRPr="00251902">
        <w:t xml:space="preserve">Modern wind turbines that meet International Electrochemical Commission standards are designed for a 20-year lifetime (Wiser and Yang, 2011). </w:t>
      </w:r>
      <w:r>
        <w:t xml:space="preserve">IRENA (2015) and </w:t>
      </w:r>
      <w:r>
        <w:rPr>
          <w:rFonts w:eastAsia="Times New Roman"/>
        </w:rPr>
        <w:t xml:space="preserve">Hertwich et </w:t>
      </w:r>
      <w:r w:rsidRPr="0057126C">
        <w:rPr>
          <w:rFonts w:eastAsia="Times New Roman"/>
          <w:i/>
        </w:rPr>
        <w:t>al.</w:t>
      </w:r>
      <w:r>
        <w:rPr>
          <w:rFonts w:eastAsia="Times New Roman"/>
        </w:rPr>
        <w:t>, (2015) consider 25 years</w:t>
      </w:r>
      <w:r w:rsidR="00BF23E7">
        <w:rPr>
          <w:rFonts w:eastAsia="Times New Roman"/>
        </w:rPr>
        <w:t>.</w:t>
      </w:r>
      <w:r w:rsidR="00CC6139">
        <w:rPr>
          <w:rFonts w:eastAsia="Times New Roman"/>
        </w:rPr>
        <w:t xml:space="preserve"> LM Wind Power, the manufacturer of turbine blades that powered the first offshore wind farm in Vindeby, Denmark for 25 years pointed out that turbine blades for offshore applications need not be significantly different from their onshore counterparts as the blades do not come in contact with the ocean.</w:t>
      </w:r>
      <w:r w:rsidR="00CC6139" w:rsidRPr="00251902">
        <w:t xml:space="preserve"> </w:t>
      </w:r>
      <w:r w:rsidR="00CC6139">
        <w:t xml:space="preserve">However, it must be noted that </w:t>
      </w:r>
      <w:r w:rsidR="003B20EF">
        <w:t>the Vindeby wind farm was located nearshore, and the met-ocean conditions may not be significantly different from onshore. Therefore, it is expected that wind turbine blades for deeper offshore applications should meet higher strength and aerodynamic requirements to withstand loading.</w:t>
      </w:r>
    </w:p>
    <w:p w14:paraId="15F63173" w14:textId="2AD1040C" w:rsidR="003B20EF" w:rsidRPr="00BE6836" w:rsidRDefault="007C2326" w:rsidP="007C2326">
      <w:r w:rsidRPr="00251902">
        <w:t>Different approaches have been used trying to prognosticate wind energy costs; e.g. historical cost trends as a tool to forecast the future (</w:t>
      </w:r>
      <w:r w:rsidRPr="00251902">
        <w:rPr>
          <w:i/>
        </w:rPr>
        <w:t xml:space="preserve">e.g. </w:t>
      </w:r>
      <w:r w:rsidRPr="00251902">
        <w:t xml:space="preserve">Ferioli </w:t>
      </w:r>
      <w:r w:rsidRPr="00251902">
        <w:rPr>
          <w:i/>
        </w:rPr>
        <w:t>et al.,</w:t>
      </w:r>
      <w:r>
        <w:t xml:space="preserve"> 2009</w:t>
      </w:r>
      <w:r w:rsidRPr="00251902">
        <w:t>) have been criticized (</w:t>
      </w:r>
      <w:r w:rsidRPr="00251902">
        <w:rPr>
          <w:i/>
        </w:rPr>
        <w:t>e.g.</w:t>
      </w:r>
      <w:r w:rsidRPr="00251902">
        <w:t xml:space="preserve"> Rubin </w:t>
      </w:r>
      <w:r w:rsidRPr="00251902">
        <w:rPr>
          <w:i/>
        </w:rPr>
        <w:t>et al.</w:t>
      </w:r>
      <w:r w:rsidRPr="00251902">
        <w:t xml:space="preserve">, 2015) since they explicitly assume that future trends will replicate past ones. Learning curves start with the premise that increases in the cumulative production of a technology leads to a reduction in its costs through economies of scale. </w:t>
      </w:r>
      <w:r w:rsidRPr="00251902">
        <w:rPr>
          <w:color w:val="211D1E"/>
        </w:rPr>
        <w:t>The learning rate is defined as the percent change in cost for every doubling in cumulative production or units installed.</w:t>
      </w:r>
      <w:r w:rsidR="00C82E2D">
        <w:t xml:space="preserve"> </w:t>
      </w:r>
      <w:r w:rsidRPr="00251902">
        <w:rPr>
          <w:rFonts w:eastAsiaTheme="minorHAnsi"/>
        </w:rPr>
        <w:t xml:space="preserve">Nevertheless, </w:t>
      </w:r>
      <w:r w:rsidR="00CE0777">
        <w:rPr>
          <w:rFonts w:eastAsiaTheme="minorHAnsi"/>
        </w:rPr>
        <w:t xml:space="preserve">renewable energy sources </w:t>
      </w:r>
      <w:r w:rsidRPr="00251902">
        <w:rPr>
          <w:rFonts w:eastAsiaTheme="minorHAnsi"/>
        </w:rPr>
        <w:t xml:space="preserve">learning rates are </w:t>
      </w:r>
      <w:r w:rsidR="00CE0777" w:rsidRPr="00251902">
        <w:rPr>
          <w:rFonts w:eastAsiaTheme="minorHAnsi"/>
        </w:rPr>
        <w:t>projected</w:t>
      </w:r>
      <w:r w:rsidRPr="00251902">
        <w:rPr>
          <w:rFonts w:eastAsiaTheme="minorHAnsi"/>
        </w:rPr>
        <w:t xml:space="preserve"> to </w:t>
      </w:r>
      <w:r w:rsidR="00CE0777">
        <w:rPr>
          <w:rFonts w:eastAsiaTheme="minorHAnsi"/>
        </w:rPr>
        <w:t>increase the competitive of</w:t>
      </w:r>
      <w:r w:rsidRPr="00251902">
        <w:rPr>
          <w:rFonts w:eastAsiaTheme="minorHAnsi"/>
        </w:rPr>
        <w:t xml:space="preserve"> the technologies, and ultimately cheaper than conventional sources, as is the case already in many </w:t>
      </w:r>
      <w:r w:rsidR="00CE0777">
        <w:rPr>
          <w:rFonts w:eastAsiaTheme="minorHAnsi"/>
        </w:rPr>
        <w:t xml:space="preserve">regional </w:t>
      </w:r>
      <w:r w:rsidRPr="00251902">
        <w:rPr>
          <w:rFonts w:eastAsiaTheme="minorHAnsi"/>
        </w:rPr>
        <w:t xml:space="preserve">markets. It is consensual that installation costs for </w:t>
      </w:r>
      <w:r w:rsidR="003B20EF">
        <w:rPr>
          <w:rFonts w:eastAsiaTheme="minorHAnsi"/>
        </w:rPr>
        <w:t xml:space="preserve">offshore </w:t>
      </w:r>
      <w:r w:rsidRPr="00251902">
        <w:rPr>
          <w:rFonts w:eastAsiaTheme="minorHAnsi"/>
        </w:rPr>
        <w:t>wind turbines will continue to decline</w:t>
      </w:r>
      <w:r w:rsidR="003B20EF">
        <w:rPr>
          <w:rFonts w:eastAsiaTheme="minorHAnsi"/>
        </w:rPr>
        <w:t>, but it may not be so rapid for deeper offshore environment</w:t>
      </w:r>
      <w:r w:rsidRPr="00251902">
        <w:rPr>
          <w:rFonts w:eastAsiaTheme="minorHAnsi"/>
        </w:rPr>
        <w:t xml:space="preserve">. </w:t>
      </w:r>
      <w:r w:rsidR="003B20EF">
        <w:rPr>
          <w:rFonts w:eastAsiaTheme="minorHAnsi"/>
        </w:rPr>
        <w:t>Ederer (2015) presented a learning rate of 9.8% for Learning by Doing (LBD) considering shore distance and water depth</w:t>
      </w:r>
      <w:r w:rsidR="00E126AE">
        <w:rPr>
          <w:rFonts w:eastAsiaTheme="minorHAnsi"/>
        </w:rPr>
        <w:t>. Other authors give learning rates in the range of 1 – 5% including consideration of one and two factors</w:t>
      </w:r>
      <w:r w:rsidR="0058784B">
        <w:rPr>
          <w:rFonts w:eastAsiaTheme="minorHAnsi"/>
        </w:rPr>
        <w:t xml:space="preserve"> learning</w:t>
      </w:r>
      <w:r w:rsidR="00E126AE">
        <w:rPr>
          <w:rFonts w:eastAsiaTheme="minorHAnsi"/>
        </w:rPr>
        <w:t>, capacity cost.</w:t>
      </w:r>
      <w:r w:rsidR="00625990">
        <w:rPr>
          <w:rFonts w:eastAsiaTheme="minorHAnsi"/>
        </w:rPr>
        <w:t xml:space="preserve"> Improvement in learning rate will play a significant role in achieving the targets for offshore wind, especially the deep offshore wind technologies.</w:t>
      </w:r>
    </w:p>
    <w:p w14:paraId="55185D75" w14:textId="0A182834" w:rsidR="007C2326" w:rsidRPr="00251902" w:rsidRDefault="007C2326" w:rsidP="007C2326">
      <w:r w:rsidRPr="00251902">
        <w:t xml:space="preserve">A recent paper published in Nature Energy (Wiser </w:t>
      </w:r>
      <w:r w:rsidRPr="00251902">
        <w:rPr>
          <w:i/>
        </w:rPr>
        <w:t>et al.,</w:t>
      </w:r>
      <w:r w:rsidRPr="00251902">
        <w:t xml:space="preserve"> 2016), presented results of an elicitation survey of 163 leading wind experts around the world referring that the LCOE of wind could fall 24-30% by 2030 and 35-41% by 2050 (median scenario) compared to 2014 levels. In the survey's median scenario, onshore wind is expected to remain less expensive than offshore, and fixed-bottom offshore is projected to be less expensive than floating wind</w:t>
      </w:r>
      <w:r w:rsidR="00CE0777">
        <w:t xml:space="preserve"> turbines</w:t>
      </w:r>
      <w:r w:rsidRPr="00251902">
        <w:t xml:space="preserve">. </w:t>
      </w:r>
      <w:r w:rsidR="00CE0777" w:rsidRPr="00251902">
        <w:t>Yet</w:t>
      </w:r>
      <w:r w:rsidRPr="00251902">
        <w:t xml:space="preserve">, experts anticipate bigger </w:t>
      </w:r>
      <w:r w:rsidR="00CE0777">
        <w:t>overall</w:t>
      </w:r>
      <w:r w:rsidRPr="00251902">
        <w:t xml:space="preserve"> </w:t>
      </w:r>
      <w:r w:rsidR="00CE0777">
        <w:t>“</w:t>
      </w:r>
      <w:r w:rsidRPr="00CE0777">
        <w:rPr>
          <w:i/>
        </w:rPr>
        <w:t>reductions (and more uncertainty) in the LCOE of offshore</w:t>
      </w:r>
      <w:r w:rsidR="00CE0777" w:rsidRPr="00CE0777">
        <w:rPr>
          <w:i/>
        </w:rPr>
        <w:t xml:space="preserve"> </w:t>
      </w:r>
      <w:r w:rsidRPr="00CE0777">
        <w:rPr>
          <w:i/>
        </w:rPr>
        <w:t>compared with onshore wind, and a narrowing gap between fixed-bottom and floating offshore costs, with especially big expected reduction in the LCOE of floating offshore wind between 2020 and 2030</w:t>
      </w:r>
      <w:r w:rsidR="00CE0777">
        <w:t>”</w:t>
      </w:r>
      <w:r>
        <w:t>.</w:t>
      </w:r>
      <w:r w:rsidR="00C82E2D">
        <w:t xml:space="preserve"> </w:t>
      </w:r>
      <w:r w:rsidRPr="00251902">
        <w:t xml:space="preserve">According to this study, </w:t>
      </w:r>
      <w:r w:rsidR="00BF23E7">
        <w:t>for fixed</w:t>
      </w:r>
      <w:r w:rsidRPr="00251902">
        <w:t xml:space="preserve">-bottom offshore wind, the </w:t>
      </w:r>
      <w:r w:rsidR="004104B4">
        <w:t>“</w:t>
      </w:r>
      <w:r w:rsidRPr="00251902">
        <w:t>most highly rated advancements include increased turbine capacity ratings, design advancements for foundations and support structures, and reduced financing costs and project contingencies. Similar drivers rate highly for floating offshore wind, with an even greater emphasis on foundations and support structures, as well as installation processes</w:t>
      </w:r>
      <w:r w:rsidR="004104B4">
        <w:t>”</w:t>
      </w:r>
      <w:r w:rsidRPr="00251902">
        <w:t xml:space="preserve"> (Wiser </w:t>
      </w:r>
      <w:r w:rsidRPr="00251902">
        <w:rPr>
          <w:i/>
        </w:rPr>
        <w:t>et al.,</w:t>
      </w:r>
      <w:r w:rsidRPr="00251902">
        <w:t xml:space="preserve"> 2016).</w:t>
      </w:r>
    </w:p>
    <w:p w14:paraId="22C63A2E" w14:textId="0DAF3AEB" w:rsidR="007C2326" w:rsidRDefault="007C2326" w:rsidP="007C2326">
      <w:r w:rsidRPr="00251902">
        <w:t xml:space="preserve">REN21 (2016) revealed that manufacturers and developers signed a declaration in order to drive the cost of offshore wind energy below 112$/MWh by 2020. IRENA (2016a) consider that total installed cost reduction potential for offshore wind </w:t>
      </w:r>
      <w:r w:rsidR="004104B4">
        <w:t xml:space="preserve">could be </w:t>
      </w:r>
      <w:r w:rsidRPr="00251902">
        <w:t xml:space="preserve">15% by 2025, </w:t>
      </w:r>
      <w:r w:rsidR="00CE0777">
        <w:t>emerging</w:t>
      </w:r>
      <w:r w:rsidRPr="00251902">
        <w:t xml:space="preserve"> from lower installation costs. This will be </w:t>
      </w:r>
      <w:r w:rsidR="004104B4">
        <w:t xml:space="preserve">a result of </w:t>
      </w:r>
      <w:r w:rsidR="00CE0777">
        <w:t>“</w:t>
      </w:r>
      <w:r w:rsidR="00CE0777" w:rsidRPr="00CE0777">
        <w:rPr>
          <w:i/>
        </w:rPr>
        <w:t>bigger</w:t>
      </w:r>
      <w:r w:rsidRPr="00CE0777">
        <w:rPr>
          <w:i/>
        </w:rPr>
        <w:t xml:space="preserve"> turbines,</w:t>
      </w:r>
      <w:r w:rsidR="00CE0777" w:rsidRPr="00CE0777">
        <w:rPr>
          <w:i/>
        </w:rPr>
        <w:t xml:space="preserve"> increased</w:t>
      </w:r>
      <w:r w:rsidRPr="00CE0777">
        <w:rPr>
          <w:i/>
        </w:rPr>
        <w:t xml:space="preserve"> efficien</w:t>
      </w:r>
      <w:r w:rsidR="00CE0777" w:rsidRPr="00CE0777">
        <w:rPr>
          <w:i/>
        </w:rPr>
        <w:t>cy of</w:t>
      </w:r>
      <w:r w:rsidRPr="00CE0777">
        <w:rPr>
          <w:i/>
        </w:rPr>
        <w:t xml:space="preserve"> processes, increased on-land pre-assembly and commissioning of components, and more rapid foundation installation</w:t>
      </w:r>
      <w:r w:rsidR="00CE0777">
        <w:t>”</w:t>
      </w:r>
      <w:r w:rsidR="004104B4">
        <w:t xml:space="preserve"> (</w:t>
      </w:r>
      <w:r w:rsidR="004104B4" w:rsidRPr="00251902">
        <w:t>IRENA</w:t>
      </w:r>
      <w:r w:rsidR="004104B4">
        <w:t xml:space="preserve">, </w:t>
      </w:r>
      <w:r w:rsidR="004104B4" w:rsidRPr="00251902">
        <w:t>2016a)</w:t>
      </w:r>
      <w:r w:rsidRPr="00251902">
        <w:t>.</w:t>
      </w:r>
    </w:p>
    <w:p w14:paraId="45D0A10A" w14:textId="1DFA0E26" w:rsidR="007C2326" w:rsidRPr="006330C6" w:rsidRDefault="007C2326" w:rsidP="006330C6">
      <w:pPr>
        <w:rPr>
          <w:rFonts w:eastAsia="Times New Roman"/>
        </w:rPr>
      </w:pPr>
      <w:r w:rsidRPr="00251902">
        <w:t xml:space="preserve">Due to the relatively recent deployment of offshore technologies, it is difficult to assess a learning rate based on past deployment. </w:t>
      </w:r>
      <w:r w:rsidRPr="00251902">
        <w:rPr>
          <w:color w:val="211D1E"/>
        </w:rPr>
        <w:t xml:space="preserve">However, given its early stage of development, offshore wind technologies are likely to improve and go down in cost (Hahn and Gilman, 2014). Foundations and grid connection comprise a larger share of total investment cost, with foundations having substantial cost-reduction potential (IEA, 2013). Given this potential, the IEA assigns offshore wind a learning rate of 9% for its </w:t>
      </w:r>
      <w:r w:rsidRPr="00C12D6C">
        <w:rPr>
          <w:color w:val="211D1E"/>
        </w:rPr>
        <w:t xml:space="preserve">forecasts (2013), while the US DOE gives offshore wind a 10% learning rate for its low-cost wind scenario (DOE, 2015). </w:t>
      </w:r>
      <w:r w:rsidRPr="00C12D6C">
        <w:t xml:space="preserve">Lemming </w:t>
      </w:r>
      <w:r w:rsidRPr="00C12D6C">
        <w:rPr>
          <w:i/>
        </w:rPr>
        <w:t>et al.</w:t>
      </w:r>
      <w:r w:rsidRPr="00C12D6C">
        <w:t xml:space="preserve"> (2009) studied the potential for development of offshore wind power </w:t>
      </w:r>
      <w:r w:rsidR="00171DF3">
        <w:t>until</w:t>
      </w:r>
      <w:r w:rsidRPr="00C12D6C">
        <w:t xml:space="preserve"> 2050</w:t>
      </w:r>
      <w:r w:rsidR="00171DF3">
        <w:t xml:space="preserve">, assuming </w:t>
      </w:r>
      <w:r w:rsidRPr="00C12D6C">
        <w:t xml:space="preserve">that the learning rate of 10% observed between 1985 and 2000 remains constant until 2030, after which it decreases to 5% (Lemming </w:t>
      </w:r>
      <w:r w:rsidRPr="00C12D6C">
        <w:rPr>
          <w:i/>
        </w:rPr>
        <w:t>et al</w:t>
      </w:r>
      <w:r w:rsidRPr="00C12D6C">
        <w:t xml:space="preserve">., 2009). Rubin </w:t>
      </w:r>
      <w:r w:rsidRPr="00C12D6C">
        <w:rPr>
          <w:i/>
        </w:rPr>
        <w:t>et al.</w:t>
      </w:r>
      <w:r w:rsidRPr="00C12D6C">
        <w:t xml:space="preserve"> </w:t>
      </w:r>
      <w:r>
        <w:t>(</w:t>
      </w:r>
      <w:r w:rsidRPr="00C12D6C">
        <w:t>2015</w:t>
      </w:r>
      <w:r>
        <w:t>)</w:t>
      </w:r>
      <w:r w:rsidRPr="00C12D6C">
        <w:t xml:space="preserve"> unfolds a 12% learning rate</w:t>
      </w:r>
      <w:r>
        <w:t>.</w:t>
      </w:r>
    </w:p>
    <w:p w14:paraId="3F6B79A0" w14:textId="63450EE5" w:rsidR="00DF4904" w:rsidRDefault="00E069AC" w:rsidP="00483FFA">
      <w:pPr>
        <w:pStyle w:val="Heading2"/>
        <w:numPr>
          <w:ilvl w:val="1"/>
          <w:numId w:val="26"/>
        </w:numPr>
      </w:pPr>
      <w:bookmarkStart w:id="24" w:name="_Toc18619515"/>
      <w:r>
        <w:t>Total Addressable Market</w:t>
      </w:r>
      <w:bookmarkEnd w:id="24"/>
    </w:p>
    <w:p w14:paraId="4CB17AD9" w14:textId="77777777" w:rsidR="00C34CCC" w:rsidRPr="006205EB" w:rsidRDefault="00C34CCC" w:rsidP="00C34CCC">
      <w:r>
        <w:t xml:space="preserve">Solutions assessed in the </w:t>
      </w:r>
      <w:r w:rsidRPr="00E069AC">
        <w:t xml:space="preserve">Electricity Generation Sector share a common market </w:t>
      </w:r>
      <w:r w:rsidRPr="00A66C20">
        <w:t>for future adoption</w:t>
      </w:r>
      <w:r>
        <w:t xml:space="preserve"> defined by the total terawatt-hours (TWh) of generation demanded from 2015-2060. This shared total addressable market (TAM) is used to bound this sector technologies rollout over time</w:t>
      </w:r>
      <w:r w:rsidRPr="00A66C20">
        <w:t xml:space="preserve">. The </w:t>
      </w:r>
      <w:r>
        <w:t xml:space="preserve">TAM is determined based on the assessment of </w:t>
      </w:r>
      <w:r w:rsidRPr="00A66C20">
        <w:t xml:space="preserve"> </w:t>
      </w:r>
      <w:r>
        <w:t>estimations</w:t>
      </w:r>
      <w:r w:rsidRPr="00A66C20">
        <w:t xml:space="preserve"> </w:t>
      </w:r>
      <w:r>
        <w:t xml:space="preserve">of current and future </w:t>
      </w:r>
      <w:r w:rsidRPr="00A66C20">
        <w:t xml:space="preserve">electricity generation </w:t>
      </w:r>
      <w:r w:rsidRPr="006205EB">
        <w:t>from a combination of models and scenarios from different sources</w:t>
      </w:r>
      <w:r>
        <w:t>,</w:t>
      </w:r>
      <w:r w:rsidRPr="006205EB">
        <w:t xml:space="preserve"> </w:t>
      </w:r>
      <w:r>
        <w:t xml:space="preserve">including </w:t>
      </w:r>
      <w:r w:rsidRPr="006205EB">
        <w:t xml:space="preserve">Greenpeace (2015); International Energy Agency (IEA) - Energy Technology Perspectives (IEA, 2017); IEA World Energy Outlook (WEO) (IEA, 2018); Equinor (2018); Ecofys (2018); The Institute of Energy Economics Japan (IEEJ) Outlook 2019 (2018) and Ram et al. (2019). See Project Drawdown report - Assessing the Total Addressable Market and Major Assumptions for more details on </w:t>
      </w:r>
      <w:r>
        <w:t>the methodology used to develop the electricity TAM</w:t>
      </w:r>
      <w:r w:rsidRPr="006205EB">
        <w:t xml:space="preserve">. The updated 2019 </w:t>
      </w:r>
      <w:r>
        <w:t>study</w:t>
      </w:r>
      <w:r w:rsidRPr="006205EB">
        <w:t xml:space="preserve"> follows the same methodological approach </w:t>
      </w:r>
      <w:r>
        <w:t>with the inclusion of</w:t>
      </w:r>
      <w:r w:rsidRPr="006205EB">
        <w:t xml:space="preserve"> new</w:t>
      </w:r>
      <w:r>
        <w:t>er</w:t>
      </w:r>
      <w:r w:rsidRPr="006205EB">
        <w:t xml:space="preserve"> sources.</w:t>
      </w:r>
    </w:p>
    <w:p w14:paraId="4FC2A97A" w14:textId="07BA0601" w:rsidR="00C34CCC" w:rsidRDefault="00C34CCC" w:rsidP="00C34CCC">
      <w:r>
        <w:t>Four</w:t>
      </w:r>
      <w:r w:rsidRPr="006205EB">
        <w:t xml:space="preserve"> prognostications of the </w:t>
      </w:r>
      <w:r>
        <w:t>TAM</w:t>
      </w:r>
      <w:r w:rsidRPr="006205EB">
        <w:t xml:space="preserve"> </w:t>
      </w:r>
      <w:r>
        <w:t xml:space="preserve">for this assessment were derived </w:t>
      </w:r>
      <w:r w:rsidRPr="00A66C20">
        <w:t>by</w:t>
      </w:r>
      <w:r>
        <w:t xml:space="preserve"> using </w:t>
      </w:r>
      <w:r w:rsidRPr="00A66C20">
        <w:t xml:space="preserve">comparable scenarios from each </w:t>
      </w:r>
      <w:r>
        <w:t xml:space="preserve">of the </w:t>
      </w:r>
      <w:r w:rsidRPr="00A66C20">
        <w:t>a</w:t>
      </w:r>
      <w:r>
        <w:t xml:space="preserve">bove-mentioned </w:t>
      </w:r>
      <w:r w:rsidRPr="00A66C20">
        <w:t>source</w:t>
      </w:r>
      <w:r>
        <w:t>s which were categorized</w:t>
      </w:r>
      <w:r w:rsidRPr="00A66C20">
        <w:t xml:space="preserve"> </w:t>
      </w:r>
      <w:r>
        <w:t>by</w:t>
      </w:r>
      <w:r w:rsidRPr="00A66C20">
        <w:t xml:space="preserve"> expect</w:t>
      </w:r>
      <w:r>
        <w:t xml:space="preserve">ed </w:t>
      </w:r>
      <w:r w:rsidRPr="00A66C20">
        <w:t>climate mitigation</w:t>
      </w:r>
      <w:r>
        <w:t xml:space="preserve"> scenarios</w:t>
      </w:r>
      <w:r w:rsidRPr="00A66C20">
        <w:t xml:space="preserve"> (</w:t>
      </w:r>
      <w:r>
        <w:t xml:space="preserve">i.e. </w:t>
      </w:r>
      <w:r w:rsidRPr="00DA0DA4">
        <w:t xml:space="preserve">Ambitious, Conservative, and Baseline) and </w:t>
      </w:r>
      <w:r>
        <w:t xml:space="preserve">the scale of </w:t>
      </w:r>
      <w:r w:rsidRPr="00DA0DA4">
        <w:t xml:space="preserve">deployment of renewable energy sources (RES) (i.e. 100% RES </w:t>
      </w:r>
      <w:r>
        <w:t>scenarios</w:t>
      </w:r>
      <w:r w:rsidRPr="00DA0DA4">
        <w:t>). The sources used mostly provide results at a decadal level, which were interpolated to provide annual values for Project Drawdown calculations.</w:t>
      </w:r>
    </w:p>
    <w:p w14:paraId="79EC9491" w14:textId="05D7B160" w:rsidR="00C34CCC" w:rsidRPr="00DA0DA4" w:rsidRDefault="00C34CCC" w:rsidP="00C34CCC">
      <w:r w:rsidRPr="00DA0DA4">
        <w:t xml:space="preserve">The </w:t>
      </w:r>
      <w:r w:rsidRPr="00DA0DA4">
        <w:rPr>
          <w:u w:val="single"/>
        </w:rPr>
        <w:t>Ambitious P</w:t>
      </w:r>
      <w:r>
        <w:rPr>
          <w:u w:val="single"/>
        </w:rPr>
        <w:t xml:space="preserve">roject </w:t>
      </w:r>
      <w:r w:rsidRPr="00DA0DA4">
        <w:rPr>
          <w:u w:val="single"/>
        </w:rPr>
        <w:t>D</w:t>
      </w:r>
      <w:r>
        <w:rPr>
          <w:u w:val="single"/>
        </w:rPr>
        <w:t>rawdown</w:t>
      </w:r>
      <w:r w:rsidRPr="00DA0DA4">
        <w:rPr>
          <w:u w:val="single"/>
        </w:rPr>
        <w:t xml:space="preserve"> TAM Scenario</w:t>
      </w:r>
      <w:r w:rsidRPr="00DA0DA4">
        <w:t xml:space="preserve"> is </w:t>
      </w:r>
      <w:r>
        <w:t>constructed</w:t>
      </w:r>
      <w:r w:rsidRPr="00DA0DA4">
        <w:t xml:space="preserve"> from the average of yearly values of </w:t>
      </w:r>
      <w:r>
        <w:t>four</w:t>
      </w:r>
      <w:r w:rsidRPr="00DA0DA4">
        <w:t xml:space="preserve"> scenarios: </w:t>
      </w:r>
      <w:r>
        <w:t xml:space="preserve">the </w:t>
      </w:r>
      <w:r w:rsidRPr="00DA0DA4">
        <w:t xml:space="preserve">IEA </w:t>
      </w:r>
      <w:r>
        <w:t xml:space="preserve">(2017) </w:t>
      </w:r>
      <w:r w:rsidRPr="00DA0DA4">
        <w:t>2D Scenario</w:t>
      </w:r>
      <w:r>
        <w:t xml:space="preserve">, </w:t>
      </w:r>
      <w:r w:rsidRPr="00DA0DA4">
        <w:t>the IEA</w:t>
      </w:r>
      <w:r>
        <w:t xml:space="preserve"> (2017) </w:t>
      </w:r>
      <w:r w:rsidRPr="00DA0DA4">
        <w:t>B2D scenario, Renewal Scenario from Equinor (2018)</w:t>
      </w:r>
      <w:r>
        <w:t>,</w:t>
      </w:r>
      <w:r w:rsidRPr="00DA0DA4">
        <w:t xml:space="preserve"> and IEA (2018) WEO SD scenario. The </w:t>
      </w:r>
      <w:r w:rsidRPr="00DA0DA4">
        <w:rPr>
          <w:u w:val="single"/>
        </w:rPr>
        <w:t>Conservative P</w:t>
      </w:r>
      <w:r>
        <w:rPr>
          <w:u w:val="single"/>
        </w:rPr>
        <w:t xml:space="preserve">roject </w:t>
      </w:r>
      <w:r w:rsidRPr="00DA0DA4">
        <w:rPr>
          <w:u w:val="single"/>
        </w:rPr>
        <w:t>D</w:t>
      </w:r>
      <w:r>
        <w:rPr>
          <w:u w:val="single"/>
        </w:rPr>
        <w:t>rawdown</w:t>
      </w:r>
      <w:r w:rsidRPr="00DA0DA4">
        <w:rPr>
          <w:u w:val="single"/>
        </w:rPr>
        <w:t xml:space="preserve"> TAM </w:t>
      </w:r>
      <w:r>
        <w:rPr>
          <w:u w:val="single"/>
        </w:rPr>
        <w:t>Sc</w:t>
      </w:r>
      <w:r w:rsidRPr="00DA0DA4">
        <w:rPr>
          <w:u w:val="single"/>
        </w:rPr>
        <w:t>enario</w:t>
      </w:r>
      <w:r w:rsidRPr="00DA0DA4">
        <w:t xml:space="preserve"> follows the average yearly values of the IEA (2018) WEO New Policy scenario (NPS); Reform Scenario from Equinor. (2018), IEEJ Outlook </w:t>
      </w:r>
      <w:r>
        <w:t>(2018</w:t>
      </w:r>
      <w:r w:rsidRPr="00DA0DA4">
        <w:t>) Advanced Tech scenario</w:t>
      </w:r>
      <w:r>
        <w:t>,</w:t>
      </w:r>
      <w:r w:rsidRPr="00DA0DA4">
        <w:t xml:space="preserve"> and IRENA (201</w:t>
      </w:r>
      <w:r>
        <w:t>9b</w:t>
      </w:r>
      <w:r w:rsidRPr="00DA0DA4">
        <w:t>) Roadmap 2050 REmap case.</w:t>
      </w:r>
      <w:r>
        <w:t xml:space="preserve"> </w:t>
      </w:r>
      <w:r w:rsidRPr="00DA0DA4">
        <w:t xml:space="preserve">The </w:t>
      </w:r>
      <w:r w:rsidRPr="00DA0DA4">
        <w:rPr>
          <w:u w:val="single"/>
        </w:rPr>
        <w:t>Baseline P</w:t>
      </w:r>
      <w:r>
        <w:rPr>
          <w:u w:val="single"/>
        </w:rPr>
        <w:t xml:space="preserve">roject </w:t>
      </w:r>
      <w:r w:rsidRPr="00DA0DA4">
        <w:rPr>
          <w:u w:val="single"/>
        </w:rPr>
        <w:t>D</w:t>
      </w:r>
      <w:r>
        <w:rPr>
          <w:u w:val="single"/>
        </w:rPr>
        <w:t>rawdown</w:t>
      </w:r>
      <w:r w:rsidRPr="00DA0DA4">
        <w:rPr>
          <w:u w:val="single"/>
        </w:rPr>
        <w:t xml:space="preserve"> TAM Scenario </w:t>
      </w:r>
      <w:r w:rsidRPr="00DA0DA4">
        <w:t>is built by the average of the Equinor (2018) Rivalry Scenario, IEEJ</w:t>
      </w:r>
      <w:r>
        <w:t xml:space="preserve"> Outlook (2018</w:t>
      </w:r>
      <w:r w:rsidRPr="00DA0DA4">
        <w:t xml:space="preserve">) Reference Scenario, IEA (2017) Reference Case and IEA (2018) WEO Current polices Scenario (CPS). </w:t>
      </w:r>
      <w:r>
        <w:t xml:space="preserve">These three </w:t>
      </w:r>
      <w:r w:rsidRPr="00DA0DA4">
        <w:rPr>
          <w:u w:val="single"/>
        </w:rPr>
        <w:t>P</w:t>
      </w:r>
      <w:r>
        <w:rPr>
          <w:u w:val="single"/>
        </w:rPr>
        <w:t xml:space="preserve">roject </w:t>
      </w:r>
      <w:r w:rsidRPr="00DA0DA4">
        <w:rPr>
          <w:u w:val="single"/>
        </w:rPr>
        <w:t>D</w:t>
      </w:r>
      <w:r>
        <w:rPr>
          <w:u w:val="single"/>
        </w:rPr>
        <w:t>rawdown</w:t>
      </w:r>
      <w:r w:rsidRPr="00DA0DA4">
        <w:rPr>
          <w:u w:val="single"/>
        </w:rPr>
        <w:t xml:space="preserve"> </w:t>
      </w:r>
      <w:r>
        <w:t>TAM scenarios show an estimated range of electricity generation from 45,286TWh to 49,706TWh by 2050. Baseline TAM is used for PD Plausible scenario assessment.</w:t>
      </w:r>
    </w:p>
    <w:p w14:paraId="6B594D04" w14:textId="2D72E1E4" w:rsidR="00C34CCC" w:rsidRPr="00C34CCC" w:rsidRDefault="00C34CCC" w:rsidP="00C34CCC">
      <w:r>
        <w:t>An</w:t>
      </w:r>
      <w:r w:rsidRPr="00DA0DA4">
        <w:t xml:space="preserve"> ambitious TAM scenario </w:t>
      </w:r>
      <w:r>
        <w:t>for a</w:t>
      </w:r>
      <w:r w:rsidRPr="00DA0DA4">
        <w:t xml:space="preserve"> 100% RES by 2050</w:t>
      </w:r>
      <w:r>
        <w:t>, which is</w:t>
      </w:r>
      <w:r w:rsidRPr="00DA0DA4">
        <w:t xml:space="preserve"> aligned to project Drawdown Optimum and Drawdown scenarios</w:t>
      </w:r>
      <w:r>
        <w:t>, utilizes</w:t>
      </w:r>
      <w:r w:rsidRPr="00DA0DA4">
        <w:t xml:space="preserve"> the Greenpeace (2015) Advanced [R]evolution Scenario, Ram et al (2019) analysis and Ecofys (2018) 1.5ºC degree scenario were considered. </w:t>
      </w:r>
      <w:r>
        <w:t>The estimated electricity generation for this TAM reaches 70,942 TWh</w:t>
      </w:r>
      <w:r w:rsidRPr="002831BC">
        <w:t xml:space="preserve"> </w:t>
      </w:r>
      <w:r>
        <w:t>by 2050.</w:t>
      </w:r>
    </w:p>
    <w:p w14:paraId="6F2D5769" w14:textId="77777777" w:rsidR="0065340D" w:rsidRDefault="00E069AC" w:rsidP="0065340D">
      <w:pPr>
        <w:pStyle w:val="Heading2"/>
        <w:numPr>
          <w:ilvl w:val="1"/>
          <w:numId w:val="26"/>
        </w:numPr>
      </w:pPr>
      <w:bookmarkStart w:id="25" w:name="_Toc18619516"/>
      <w:r>
        <w:t>Adoption Scenarios</w:t>
      </w:r>
      <w:bookmarkStart w:id="26" w:name="_Hlk525033174"/>
      <w:bookmarkEnd w:id="25"/>
    </w:p>
    <w:p w14:paraId="3DAA2C8D" w14:textId="695E8871" w:rsidR="0065340D" w:rsidRPr="0028022C" w:rsidRDefault="0065340D" w:rsidP="0065340D">
      <w:pPr>
        <w:rPr>
          <w:b/>
          <w:bCs/>
          <w:smallCaps/>
        </w:rPr>
      </w:pPr>
      <w:r w:rsidRPr="0028022C">
        <w:t>As other electricity generation technologies that have rapidly increased the adoption in recent years, wind offshore has increased significantly from 3,056 MW in 2010 to 18,726 MW in 2017 the total installed capacity (IRENA, 201</w:t>
      </w:r>
      <w:r w:rsidR="00C34CCC" w:rsidRPr="0028022C">
        <w:t>9a</w:t>
      </w:r>
      <w:r w:rsidRPr="0028022C">
        <w:t>). This recent growth, coupled with still not being a mature technology, brings additional uncertainties to project global wind offshore adoption over the next 30 years.</w:t>
      </w:r>
    </w:p>
    <w:p w14:paraId="04C20E8D" w14:textId="4EF9C16C" w:rsidR="000875B5" w:rsidRPr="0028022C" w:rsidRDefault="00D2050B" w:rsidP="0065340D">
      <w:r w:rsidRPr="0028022C">
        <w:t>Two different types of adoption scenarios were developed: a Reference (REF) Case which was considered the baseline, where not much changes in the world, and a set of Project Drawdown Scenarios (PDS) with varying levels of ambitious adoption of the solution. Published results show the comparison of one PDS to the REF, and therefore focus on the change to the world relative to a baseline.</w:t>
      </w:r>
      <w:bookmarkEnd w:id="26"/>
    </w:p>
    <w:p w14:paraId="5BB095A5" w14:textId="77777777" w:rsidR="000875B5" w:rsidRPr="0028022C" w:rsidRDefault="000875B5" w:rsidP="005D49A8">
      <w:pPr>
        <w:pStyle w:val="Heading3"/>
      </w:pPr>
      <w:bookmarkStart w:id="27" w:name="_Toc18619517"/>
      <w:r w:rsidRPr="0028022C">
        <w:t>Reference Case / Current Adoption</w:t>
      </w:r>
      <w:bookmarkEnd w:id="27"/>
    </w:p>
    <w:p w14:paraId="2069C724" w14:textId="250F5D32" w:rsidR="000875B5" w:rsidRPr="007C2326" w:rsidRDefault="008E6B1D" w:rsidP="00EB247F">
      <w:r w:rsidRPr="0028022C">
        <w:rPr>
          <w:rFonts w:cs="Times New Roman"/>
        </w:rPr>
        <w:t xml:space="preserve">For the </w:t>
      </w:r>
      <w:r w:rsidRPr="0028022C">
        <w:rPr>
          <w:rFonts w:cs="Times New Roman"/>
          <w:bCs/>
        </w:rPr>
        <w:t xml:space="preserve">Reference (REF), </w:t>
      </w:r>
      <w:r w:rsidRPr="0028022C">
        <w:rPr>
          <w:rFonts w:cs="Times New Roman"/>
        </w:rPr>
        <w:t>adoption is fixed at the current adoption</w:t>
      </w:r>
      <w:r w:rsidRPr="0028022C">
        <w:rPr>
          <w:rStyle w:val="FootnoteReference"/>
          <w:rFonts w:cs="Times New Roman"/>
        </w:rPr>
        <w:footnoteReference w:id="3"/>
      </w:r>
      <w:r w:rsidRPr="0028022C">
        <w:rPr>
          <w:rFonts w:cs="Times New Roman"/>
        </w:rPr>
        <w:t xml:space="preserve"> (in percent) of the market. </w:t>
      </w:r>
      <w:r w:rsidR="007C2326" w:rsidRPr="0028022C">
        <w:t xml:space="preserve">Historical data of </w:t>
      </w:r>
      <w:r w:rsidR="00CA3FF5" w:rsidRPr="0028022C">
        <w:t xml:space="preserve">offshore </w:t>
      </w:r>
      <w:r w:rsidR="007C2326" w:rsidRPr="0028022C">
        <w:t xml:space="preserve">wind generation </w:t>
      </w:r>
      <w:r w:rsidR="00C15551">
        <w:t>until</w:t>
      </w:r>
      <w:r w:rsidR="007C2326" w:rsidRPr="0028022C">
        <w:t xml:space="preserve"> 201</w:t>
      </w:r>
      <w:r w:rsidR="00C15551">
        <w:t>7</w:t>
      </w:r>
      <w:r w:rsidR="007C2326" w:rsidRPr="0028022C">
        <w:t xml:space="preserve"> was retrieved from IRENA (201</w:t>
      </w:r>
      <w:r w:rsidR="00C34CCC" w:rsidRPr="0028022C">
        <w:t>9a</w:t>
      </w:r>
      <w:r w:rsidR="007C2326" w:rsidRPr="0028022C">
        <w:t xml:space="preserve">) </w:t>
      </w:r>
      <w:r w:rsidR="0028022C" w:rsidRPr="0028022C">
        <w:t>and 2018 was estimated by PD representing 0.2</w:t>
      </w:r>
      <w:r w:rsidR="00C15551">
        <w:t>7</w:t>
      </w:r>
      <w:r w:rsidR="0028022C" w:rsidRPr="0028022C">
        <w:t>% of total generation.</w:t>
      </w:r>
      <w:r w:rsidR="007C2326" w:rsidRPr="0028022C">
        <w:t xml:space="preserve"> </w:t>
      </w:r>
      <w:r w:rsidRPr="0028022C">
        <w:rPr>
          <w:rFonts w:cs="Times New Roman"/>
        </w:rPr>
        <w:t xml:space="preserve">That is, the current </w:t>
      </w:r>
      <w:r w:rsidR="00CA3FF5" w:rsidRPr="0028022C">
        <w:rPr>
          <w:rFonts w:cs="Times New Roman"/>
        </w:rPr>
        <w:t>share</w:t>
      </w:r>
      <w:r w:rsidRPr="0028022C">
        <w:rPr>
          <w:rFonts w:cs="Times New Roman"/>
        </w:rPr>
        <w:t xml:space="preserve"> of total electricity generation</w:t>
      </w:r>
      <w:r w:rsidRPr="00A275A4">
        <w:rPr>
          <w:rFonts w:cs="Times New Roman"/>
        </w:rPr>
        <w:t xml:space="preserve"> (TWh)</w:t>
      </w:r>
      <w:r w:rsidRPr="00E069AC">
        <w:rPr>
          <w:rFonts w:cs="Times New Roman"/>
        </w:rPr>
        <w:t xml:space="preserve"> provided by </w:t>
      </w:r>
      <w:r w:rsidR="004A0129">
        <w:rPr>
          <w:rFonts w:cs="Times New Roman"/>
        </w:rPr>
        <w:t>wind offshore</w:t>
      </w:r>
      <w:r w:rsidRPr="00E069AC">
        <w:rPr>
          <w:rFonts w:cs="Times New Roman"/>
        </w:rPr>
        <w:t xml:space="preserve"> </w:t>
      </w:r>
      <w:r w:rsidR="007C2326">
        <w:rPr>
          <w:rFonts w:cs="Times New Roman"/>
        </w:rPr>
        <w:t xml:space="preserve">is </w:t>
      </w:r>
      <w:r w:rsidRPr="00E069AC">
        <w:rPr>
          <w:rFonts w:cs="Times New Roman"/>
        </w:rPr>
        <w:t xml:space="preserve">constant throughout the study period to 2050. As the market grows, the total number of </w:t>
      </w:r>
      <w:r w:rsidR="004A0129">
        <w:rPr>
          <w:rFonts w:cs="Times New Roman"/>
        </w:rPr>
        <w:t>wind p</w:t>
      </w:r>
      <w:r w:rsidRPr="00E069AC">
        <w:rPr>
          <w:rFonts w:cs="Times New Roman"/>
        </w:rPr>
        <w:t xml:space="preserve">lants adopted grows equally to maintain the percent adoption at its starting value in 2014. It is acknowledged that this, in reality, may not be a “business as usual” considering changes taking place worldwide, but it allows measurement of the impact of recent and even more aggressive policies on greenhouse gas emissions. </w:t>
      </w:r>
    </w:p>
    <w:p w14:paraId="2FE0BC9D" w14:textId="10096525" w:rsidR="000875B5" w:rsidRPr="00E069AC" w:rsidRDefault="00D2050B" w:rsidP="005D49A8">
      <w:pPr>
        <w:pStyle w:val="Heading3"/>
      </w:pPr>
      <w:bookmarkStart w:id="28" w:name="_Toc18619518"/>
      <w:r w:rsidRPr="00E069AC">
        <w:t>Project Drawdown</w:t>
      </w:r>
      <w:r w:rsidR="000875B5" w:rsidRPr="00E069AC">
        <w:t xml:space="preserve"> Scenarios</w:t>
      </w:r>
      <w:bookmarkEnd w:id="28"/>
    </w:p>
    <w:p w14:paraId="006DA369" w14:textId="54A96E88" w:rsidR="005A6986" w:rsidRPr="00E069AC" w:rsidRDefault="000875B5" w:rsidP="004B4939">
      <w:pPr>
        <w:rPr>
          <w:rFonts w:cs="Times New Roman"/>
        </w:rPr>
      </w:pPr>
      <w:r w:rsidRPr="00E069AC">
        <w:rPr>
          <w:rFonts w:cs="Times New Roman"/>
        </w:rPr>
        <w:t>Three Project Dr</w:t>
      </w:r>
      <w:r w:rsidR="005A6986" w:rsidRPr="00E069AC">
        <w:rPr>
          <w:rFonts w:cs="Times New Roman"/>
        </w:rPr>
        <w:t xml:space="preserve">awdown </w:t>
      </w:r>
      <w:r w:rsidR="007546C9" w:rsidRPr="00E069AC">
        <w:rPr>
          <w:rFonts w:cs="Times New Roman"/>
        </w:rPr>
        <w:t xml:space="preserve">scenarios (PDS) </w:t>
      </w:r>
      <w:r w:rsidR="005A6986" w:rsidRPr="00E069AC">
        <w:rPr>
          <w:rFonts w:cs="Times New Roman"/>
        </w:rPr>
        <w:t xml:space="preserve">were developed for </w:t>
      </w:r>
      <w:r w:rsidR="00944B6D">
        <w:rPr>
          <w:rFonts w:cs="Times New Roman"/>
        </w:rPr>
        <w:t>the</w:t>
      </w:r>
      <w:r w:rsidR="0018020D">
        <w:rPr>
          <w:rFonts w:cs="Times New Roman"/>
        </w:rPr>
        <w:t xml:space="preserve"> </w:t>
      </w:r>
      <w:r w:rsidR="005A6986" w:rsidRPr="00E069AC">
        <w:rPr>
          <w:rFonts w:cs="Times New Roman"/>
        </w:rPr>
        <w:t>solution</w:t>
      </w:r>
      <w:r w:rsidR="00A275A4">
        <w:rPr>
          <w:rFonts w:cs="Times New Roman"/>
        </w:rPr>
        <w:t xml:space="preserve"> (i.e. </w:t>
      </w:r>
      <w:r w:rsidR="00944B6D">
        <w:rPr>
          <w:rFonts w:cs="Times New Roman"/>
        </w:rPr>
        <w:t>wind</w:t>
      </w:r>
      <w:r w:rsidR="00A275A4">
        <w:rPr>
          <w:rFonts w:cs="Times New Roman"/>
        </w:rPr>
        <w:t xml:space="preserve"> offshore)</w:t>
      </w:r>
      <w:r w:rsidR="005A6986" w:rsidRPr="00E069AC">
        <w:rPr>
          <w:rFonts w:cs="Times New Roman"/>
        </w:rPr>
        <w:t>, to compare the impact of an increase</w:t>
      </w:r>
      <w:r w:rsidR="00AC493E" w:rsidRPr="00E069AC">
        <w:rPr>
          <w:rFonts w:cs="Times New Roman"/>
        </w:rPr>
        <w:t>d</w:t>
      </w:r>
      <w:r w:rsidR="00A275A4">
        <w:rPr>
          <w:rFonts w:cs="Times New Roman"/>
        </w:rPr>
        <w:t xml:space="preserve"> adoption of the solution </w:t>
      </w:r>
      <w:r w:rsidR="005A6986" w:rsidRPr="00E069AC">
        <w:rPr>
          <w:rFonts w:cs="Times New Roman"/>
        </w:rPr>
        <w:t>to a reference case scenario</w:t>
      </w:r>
      <w:r w:rsidR="008E6B1D" w:rsidRPr="00E069AC">
        <w:rPr>
          <w:rFonts w:cs="Times New Roman"/>
        </w:rPr>
        <w:t>, being:</w:t>
      </w:r>
    </w:p>
    <w:p w14:paraId="7481C662" w14:textId="77777777" w:rsidR="00AC493E" w:rsidRPr="00E069AC" w:rsidRDefault="00AC493E" w:rsidP="004B4939">
      <w:pPr>
        <w:pStyle w:val="Heading4"/>
      </w:pPr>
      <w:bookmarkStart w:id="29" w:name="_Toc507486009"/>
      <w:r w:rsidRPr="00E069AC">
        <w:t>Plausible Scenario</w:t>
      </w:r>
      <w:bookmarkEnd w:id="29"/>
    </w:p>
    <w:p w14:paraId="5321F1EC" w14:textId="0A6647E8" w:rsidR="005251A9" w:rsidRDefault="00B22ACE" w:rsidP="00014DE8">
      <w:r w:rsidRPr="00014DE8">
        <w:t xml:space="preserve">This scenario </w:t>
      </w:r>
      <w:r w:rsidRPr="00AD641D">
        <w:t>represents an incremental and plausible growth of re</w:t>
      </w:r>
      <w:r>
        <w:t>newable energy solutions using medium to</w:t>
      </w:r>
      <w:r w:rsidRPr="00AD641D">
        <w:t xml:space="preserve"> high growth</w:t>
      </w:r>
      <w:r>
        <w:t xml:space="preserve"> trajectories</w:t>
      </w:r>
      <w:r w:rsidRPr="00AD641D">
        <w:t xml:space="preserve"> to 2050</w:t>
      </w:r>
      <w:r>
        <w:t xml:space="preserve"> depending on the current maturity levels of the technology</w:t>
      </w:r>
      <w:r w:rsidRPr="00AD641D">
        <w:t xml:space="preserve">, </w:t>
      </w:r>
      <w:r>
        <w:t xml:space="preserve">and </w:t>
      </w:r>
      <w:r w:rsidRPr="00AD641D">
        <w:t xml:space="preserve">bounded by existing ambitious projections </w:t>
      </w:r>
      <w:r w:rsidRPr="00A142FC">
        <w:t xml:space="preserve">from other global energy systems models. </w:t>
      </w:r>
      <w:r w:rsidR="000875B5" w:rsidRPr="00B22ACE">
        <w:t xml:space="preserve">For </w:t>
      </w:r>
      <w:r w:rsidR="00A275A4" w:rsidRPr="00B22ACE">
        <w:t>offshore</w:t>
      </w:r>
      <w:r w:rsidR="00014DE8" w:rsidRPr="00B22ACE">
        <w:t xml:space="preserve"> wind turbines</w:t>
      </w:r>
      <w:r w:rsidR="000875B5" w:rsidRPr="00B22ACE">
        <w:t>, t</w:t>
      </w:r>
      <w:r w:rsidR="0053240D" w:rsidRPr="00B22ACE">
        <w:t xml:space="preserve">his scenario is based on the evaluation of </w:t>
      </w:r>
      <w:r w:rsidRPr="00B22ACE">
        <w:t>yearly averages of four</w:t>
      </w:r>
      <w:r w:rsidR="00014DE8" w:rsidRPr="00B22ACE">
        <w:t xml:space="preserve"> </w:t>
      </w:r>
      <w:r w:rsidR="0053240D" w:rsidRPr="00B22ACE">
        <w:t>optimistic scenarios from</w:t>
      </w:r>
      <w:r w:rsidR="007546C9" w:rsidRPr="00B22ACE">
        <w:t>:</w:t>
      </w:r>
      <w:r w:rsidR="0053240D" w:rsidRPr="00B22ACE">
        <w:t xml:space="preserve"> </w:t>
      </w:r>
      <w:r w:rsidRPr="00B22ACE">
        <w:t>IEA (2017) Energy Technology Perspectives 2DS and B2DS scenarios; IEA (2018) World Energy Outlook SDS; and Equinor (2018) Renewal Scenario; using</w:t>
      </w:r>
      <w:r w:rsidRPr="00A142FC">
        <w:t xml:space="preserve"> a </w:t>
      </w:r>
      <w:r>
        <w:t>medium</w:t>
      </w:r>
      <w:r w:rsidRPr="00A142FC">
        <w:t xml:space="preserve"> growth trajectory.</w:t>
      </w:r>
    </w:p>
    <w:p w14:paraId="0A63923E" w14:textId="77777777" w:rsidR="00AC493E" w:rsidRPr="00E069AC" w:rsidRDefault="00AC493E" w:rsidP="004B4939">
      <w:pPr>
        <w:pStyle w:val="Heading4"/>
      </w:pPr>
      <w:bookmarkStart w:id="30" w:name="_Toc507486010"/>
      <w:r w:rsidRPr="00E069AC">
        <w:t>Drawdown Scenario</w:t>
      </w:r>
      <w:bookmarkEnd w:id="30"/>
    </w:p>
    <w:p w14:paraId="5E904187" w14:textId="27583606" w:rsidR="00B22ACE" w:rsidRPr="00B22ACE" w:rsidRDefault="00B22ACE" w:rsidP="00B22ACE">
      <w:bookmarkStart w:id="31" w:name="_Toc507486011"/>
      <w:r w:rsidRPr="00014DE8">
        <w:rPr>
          <w:rFonts w:cs="Times New Roman"/>
        </w:rPr>
        <w:t xml:space="preserve">This scenario is optimized to reach drawdown by 2050 using more ambitious projections from existing </w:t>
      </w:r>
      <w:r w:rsidRPr="00304335">
        <w:rPr>
          <w:rFonts w:cs="Times New Roman"/>
        </w:rPr>
        <w:t xml:space="preserve">sources. The scenario projects a 100% adoption of </w:t>
      </w:r>
      <w:r>
        <w:rPr>
          <w:rFonts w:cs="Times New Roman"/>
        </w:rPr>
        <w:t xml:space="preserve">non-fossil fuel-based technologies in 2050; mainly RES but also </w:t>
      </w:r>
      <w:r w:rsidRPr="00304335">
        <w:rPr>
          <w:rFonts w:cs="Times New Roman"/>
        </w:rPr>
        <w:t xml:space="preserve">includes several technologies that are considered transitional solutions </w:t>
      </w:r>
      <w:r>
        <w:rPr>
          <w:rFonts w:cs="Times New Roman"/>
        </w:rPr>
        <w:t xml:space="preserve">(as nuclear energy) </w:t>
      </w:r>
      <w:r w:rsidRPr="00304335">
        <w:rPr>
          <w:rFonts w:cs="Times New Roman"/>
        </w:rPr>
        <w:t xml:space="preserve">(See section 6). </w:t>
      </w:r>
      <w:r w:rsidRPr="00B22ACE">
        <w:t>For offshore wind turbines, this scenario is based on the evaluation of yearly averages of four optimistic scenarios from: IEA (2017) Energy Technology Perspectives 2DS and B2DS scenarios; IEA (2018) World Energy Outlook SDS; and Equinor (2018) Renewal Scenario; using</w:t>
      </w:r>
      <w:r w:rsidRPr="00A142FC">
        <w:t xml:space="preserve"> a </w:t>
      </w:r>
      <w:r>
        <w:t>high</w:t>
      </w:r>
      <w:r w:rsidRPr="00A142FC">
        <w:t xml:space="preserve"> growth trajectory.</w:t>
      </w:r>
    </w:p>
    <w:p w14:paraId="7A77F5DD" w14:textId="05F13ABA" w:rsidR="00AC493E" w:rsidRDefault="00AC493E" w:rsidP="004B4939">
      <w:pPr>
        <w:pStyle w:val="Heading4"/>
      </w:pPr>
      <w:r w:rsidRPr="00E069AC">
        <w:t>Optimum Scenario</w:t>
      </w:r>
      <w:bookmarkEnd w:id="31"/>
    </w:p>
    <w:p w14:paraId="28F7FB0E" w14:textId="521C934D" w:rsidR="00B22ACE" w:rsidRPr="00B22ACE" w:rsidRDefault="00B22ACE" w:rsidP="00B22ACE">
      <w:r w:rsidRPr="00280BF9">
        <w:t xml:space="preserve">This scenario represents the most optimistic case, in which clean, renewable energy solutions such as wind, solar, and other renewable energy sources capture 100% of electricity generation by 2050, with both fossil fuels and transitional solutions fully phasing out by 2050. </w:t>
      </w:r>
      <w:r>
        <w:t xml:space="preserve">In this scenario, </w:t>
      </w:r>
      <w:r w:rsidRPr="00280BF9">
        <w:t>wind o</w:t>
      </w:r>
      <w:r>
        <w:t>ff</w:t>
      </w:r>
      <w:r w:rsidRPr="00280BF9">
        <w:t xml:space="preserve">shore </w:t>
      </w:r>
      <w:r>
        <w:t xml:space="preserve">adoption </w:t>
      </w:r>
      <w:r w:rsidRPr="00280BF9">
        <w:t xml:space="preserve">is based on </w:t>
      </w:r>
      <w:r w:rsidRPr="00280BF9">
        <w:rPr>
          <w:rFonts w:cs="Times New Roman"/>
        </w:rPr>
        <w:t xml:space="preserve">the yearly average values of </w:t>
      </w:r>
      <w:bookmarkStart w:id="32" w:name="OLE_LINK3"/>
      <w:r w:rsidRPr="00280BF9">
        <w:rPr>
          <w:rFonts w:cs="Times New Roman"/>
        </w:rPr>
        <w:t>three 100% RES scenarios of electricity generation by 2050, being Greenpeace (2015) Advanced Energy [R]evolution Scenario; Ram et al. (2019) scenario and Ecofys (2018) 1.5ºC scenario</w:t>
      </w:r>
      <w:r>
        <w:rPr>
          <w:rFonts w:cs="Times New Roman"/>
        </w:rPr>
        <w:t>.</w:t>
      </w:r>
    </w:p>
    <w:p w14:paraId="4C24E6F4" w14:textId="7904B6AD" w:rsidR="00FB3AB3" w:rsidRPr="00E069AC" w:rsidRDefault="00E069AC" w:rsidP="00483FFA">
      <w:pPr>
        <w:pStyle w:val="Heading2"/>
        <w:numPr>
          <w:ilvl w:val="1"/>
          <w:numId w:val="26"/>
        </w:numPr>
      </w:pPr>
      <w:bookmarkStart w:id="33" w:name="_Toc18619519"/>
      <w:bookmarkEnd w:id="32"/>
      <w:r>
        <w:t>Inputs</w:t>
      </w:r>
      <w:bookmarkEnd w:id="33"/>
    </w:p>
    <w:p w14:paraId="3EBCEF57" w14:textId="78F71A19" w:rsidR="00FB3AB3" w:rsidRPr="00E069AC" w:rsidRDefault="00E069AC" w:rsidP="005D49A8">
      <w:pPr>
        <w:pStyle w:val="Heading3"/>
      </w:pPr>
      <w:bookmarkStart w:id="34" w:name="_Toc18619520"/>
      <w:r>
        <w:t>Climate Inputs</w:t>
      </w:r>
      <w:bookmarkEnd w:id="34"/>
    </w:p>
    <w:p w14:paraId="2C6EAA4D" w14:textId="05D9EED6" w:rsidR="0065340D" w:rsidRPr="003E2FAF" w:rsidRDefault="0065340D" w:rsidP="0065340D">
      <w:pPr>
        <w:rPr>
          <w:rFonts w:cs="Times New Roman"/>
        </w:rPr>
      </w:pPr>
      <w:r w:rsidRPr="003E2FAF">
        <w:rPr>
          <w:rFonts w:cs="Times New Roman"/>
        </w:rPr>
        <w:t xml:space="preserve">In order to calculate the climate impacts of the project Drawdown scenarios, in terms of maximum annual emissions reduction, total emissions reduction, and PPM equivalent, it was estimated </w:t>
      </w:r>
      <w:r>
        <w:rPr>
          <w:rFonts w:cs="Times New Roman"/>
        </w:rPr>
        <w:t>wind offshore</w:t>
      </w:r>
      <w:r w:rsidRPr="003E2FAF">
        <w:rPr>
          <w:rFonts w:cs="Times New Roman"/>
        </w:rPr>
        <w:t xml:space="preserve"> </w:t>
      </w:r>
      <w:r>
        <w:rPr>
          <w:rFonts w:cs="Times New Roman"/>
        </w:rPr>
        <w:t xml:space="preserve">electricity </w:t>
      </w:r>
      <w:r w:rsidRPr="003E2FAF">
        <w:rPr>
          <w:rFonts w:cs="Times New Roman"/>
        </w:rPr>
        <w:t xml:space="preserve">generation globally and regionally from 2020-2050 and then calculated the emissions reductions due to the replacement of conventional electricity generation sources with the solution. The detailed methodology of these calculations is available at the Project Drawdown Integration Methodology report. </w:t>
      </w:r>
    </w:p>
    <w:p w14:paraId="7938C689" w14:textId="06ACC381" w:rsidR="0065340D" w:rsidRPr="003E2FAF" w:rsidRDefault="0065340D" w:rsidP="0065340D">
      <w:pPr>
        <w:rPr>
          <w:rFonts w:cs="Times New Roman"/>
        </w:rPr>
      </w:pPr>
      <w:r w:rsidRPr="003E2FAF">
        <w:rPr>
          <w:rFonts w:cs="Times New Roman"/>
          <w:bCs/>
        </w:rPr>
        <w:t>While being a renewable energy technology</w:t>
      </w:r>
      <w:r>
        <w:rPr>
          <w:rFonts w:cs="Times New Roman"/>
          <w:bCs/>
        </w:rPr>
        <w:t>, wind onshore technologies</w:t>
      </w:r>
      <w:r w:rsidRPr="003E2FAF">
        <w:rPr>
          <w:rFonts w:cs="Times New Roman"/>
          <w:bCs/>
        </w:rPr>
        <w:t xml:space="preserve"> do not have direct emissions related to combustion of fuels. Project Drawdown modeling considers the analysis of indirect emissions related to the different factors that contribute to a LCA for </w:t>
      </w:r>
      <w:r>
        <w:rPr>
          <w:rFonts w:cs="Times New Roman"/>
          <w:bCs/>
        </w:rPr>
        <w:t>wind turbines</w:t>
      </w:r>
      <w:r w:rsidRPr="003E2FAF">
        <w:rPr>
          <w:rFonts w:cs="Times New Roman"/>
          <w:bCs/>
        </w:rPr>
        <w:t xml:space="preserve">. In modeling the lifecycle emissions of </w:t>
      </w:r>
      <w:r>
        <w:rPr>
          <w:rFonts w:cs="Times New Roman"/>
          <w:bCs/>
        </w:rPr>
        <w:t>wind offshore</w:t>
      </w:r>
      <w:r w:rsidRPr="003E2FAF">
        <w:rPr>
          <w:rFonts w:cs="Times New Roman"/>
          <w:bCs/>
        </w:rPr>
        <w:t xml:space="preserve"> adoption in the scenarios, it is used a fixed value (</w:t>
      </w:r>
      <w:r w:rsidRPr="003E2FAF">
        <w:rPr>
          <w:rFonts w:cs="Times New Roman"/>
        </w:rPr>
        <w:t>t CO</w:t>
      </w:r>
      <w:r w:rsidRPr="003E2FAF">
        <w:rPr>
          <w:rFonts w:cs="Times New Roman"/>
          <w:vertAlign w:val="subscript"/>
        </w:rPr>
        <w:t>2</w:t>
      </w:r>
      <w:r w:rsidRPr="003E2FAF">
        <w:rPr>
          <w:rFonts w:cs="Times New Roman"/>
        </w:rPr>
        <w:t xml:space="preserve">-eq per TWh) considering information from several </w:t>
      </w:r>
      <w:r>
        <w:rPr>
          <w:rFonts w:cs="Times New Roman"/>
        </w:rPr>
        <w:t xml:space="preserve">studies, </w:t>
      </w:r>
      <w:r w:rsidRPr="003E2FAF">
        <w:rPr>
          <w:rFonts w:cs="Times New Roman"/>
        </w:rPr>
        <w:t xml:space="preserve">rather than a decreasing one due to the difficulty of projecting future grid-tied emissions on a regional basis. Our climate results will thus be more conservative than would be the case if we assumed a decreasing average lifecycle emissions value for </w:t>
      </w:r>
      <w:r>
        <w:rPr>
          <w:rFonts w:cs="Times New Roman"/>
        </w:rPr>
        <w:t>wind offshore</w:t>
      </w:r>
      <w:r w:rsidR="00C82E2D">
        <w:rPr>
          <w:rFonts w:cs="Times New Roman"/>
        </w:rPr>
        <w:t xml:space="preserve"> (Table 2.1)</w:t>
      </w:r>
      <w:r>
        <w:rPr>
          <w:rFonts w:cs="Times New Roman"/>
        </w:rPr>
        <w:t>.</w:t>
      </w:r>
      <w:r w:rsidRPr="003E2FAF">
        <w:rPr>
          <w:rFonts w:cs="Times New Roman"/>
        </w:rPr>
        <w:t xml:space="preserve"> </w:t>
      </w:r>
    </w:p>
    <w:p w14:paraId="67ED68E5" w14:textId="3DA92EFD" w:rsidR="0021082B" w:rsidRPr="00E069AC" w:rsidRDefault="004F5425" w:rsidP="00EB247F">
      <w:pPr>
        <w:pStyle w:val="Caption"/>
        <w:jc w:val="center"/>
        <w:rPr>
          <w:b/>
          <w:bCs/>
          <w:color w:val="000000" w:themeColor="text1"/>
          <w:sz w:val="20"/>
          <w:szCs w:val="20"/>
          <w:lang w:eastAsia="zh-CN"/>
        </w:rPr>
      </w:pPr>
      <w:bookmarkStart w:id="35" w:name="_Toc535272076"/>
      <w:r w:rsidRPr="00E069AC">
        <w:t xml:space="preserve">Table </w:t>
      </w:r>
      <w:fldSimple w:instr=" STYLEREF 1 \s ">
        <w:r w:rsidR="00492F5E" w:rsidRPr="00E069AC">
          <w:t>2</w:t>
        </w:r>
      </w:fldSimple>
      <w:r w:rsidR="00492F5E" w:rsidRPr="00E069AC">
        <w:t>.</w:t>
      </w:r>
      <w:fldSimple w:instr=" SEQ Table \* ARABIC \s 1 ">
        <w:r w:rsidR="00492F5E" w:rsidRPr="00E069AC">
          <w:t>1</w:t>
        </w:r>
      </w:fldSimple>
      <w:r w:rsidRPr="00E069AC">
        <w:t xml:space="preserve"> Climate Inputs</w:t>
      </w:r>
      <w:bookmarkEnd w:id="35"/>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E069AC" w14:paraId="077EA588" w14:textId="77777777" w:rsidTr="00D25FC7">
        <w:trPr>
          <w:trHeight w:val="393"/>
        </w:trPr>
        <w:tc>
          <w:tcPr>
            <w:tcW w:w="2076" w:type="dxa"/>
            <w:shd w:val="clear" w:color="auto" w:fill="4F81BD" w:themeFill="accent1"/>
            <w:vAlign w:val="center"/>
          </w:tcPr>
          <w:p w14:paraId="19DDFB6D" w14:textId="77777777" w:rsidR="003922A1" w:rsidRPr="00E069AC" w:rsidRDefault="003922A1" w:rsidP="003922A1">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Data Points (#)</w:t>
            </w:r>
          </w:p>
        </w:tc>
        <w:tc>
          <w:tcPr>
            <w:tcW w:w="1528" w:type="dxa"/>
            <w:shd w:val="clear" w:color="auto" w:fill="4F81BD" w:themeFill="accent1"/>
            <w:vAlign w:val="center"/>
          </w:tcPr>
          <w:p w14:paraId="20C382D3" w14:textId="577A2C8A"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Sources (#)</w:t>
            </w:r>
          </w:p>
        </w:tc>
      </w:tr>
      <w:tr w:rsidR="00AD4ACE" w:rsidRPr="00E069AC" w14:paraId="73AFE5D3" w14:textId="77777777" w:rsidTr="00C82E2D">
        <w:trPr>
          <w:trHeight w:val="508"/>
        </w:trPr>
        <w:tc>
          <w:tcPr>
            <w:tcW w:w="2076" w:type="dxa"/>
            <w:vAlign w:val="center"/>
          </w:tcPr>
          <w:p w14:paraId="105E7C8D" w14:textId="5F13744B" w:rsidR="00AD4ACE" w:rsidRPr="00254A8D" w:rsidRDefault="003310DC" w:rsidP="003922A1">
            <w:pPr>
              <w:spacing w:after="180"/>
              <w:jc w:val="center"/>
              <w:rPr>
                <w:color w:val="000000" w:themeColor="text1"/>
                <w:sz w:val="20"/>
                <w:szCs w:val="20"/>
              </w:rPr>
            </w:pPr>
            <w:r w:rsidRPr="00254A8D">
              <w:rPr>
                <w:color w:val="000000" w:themeColor="text1"/>
                <w:sz w:val="20"/>
                <w:szCs w:val="20"/>
              </w:rPr>
              <w:t>Indirect CO</w:t>
            </w:r>
            <w:r w:rsidRPr="00254A8D">
              <w:rPr>
                <w:color w:val="000000" w:themeColor="text1"/>
                <w:sz w:val="20"/>
                <w:szCs w:val="20"/>
                <w:vertAlign w:val="subscript"/>
              </w:rPr>
              <w:t>2</w:t>
            </w:r>
            <w:r w:rsidRPr="00254A8D">
              <w:rPr>
                <w:color w:val="000000" w:themeColor="text1"/>
                <w:sz w:val="20"/>
                <w:szCs w:val="20"/>
              </w:rPr>
              <w:t xml:space="preserve"> Emissions (Solution)</w:t>
            </w:r>
          </w:p>
        </w:tc>
        <w:tc>
          <w:tcPr>
            <w:tcW w:w="1427" w:type="dxa"/>
            <w:shd w:val="clear" w:color="auto" w:fill="auto"/>
            <w:vAlign w:val="center"/>
          </w:tcPr>
          <w:p w14:paraId="13DCE56C" w14:textId="7DE03C95" w:rsidR="00AD4ACE" w:rsidRPr="00254A8D" w:rsidRDefault="00862373" w:rsidP="003922A1">
            <w:pPr>
              <w:spacing w:after="180"/>
              <w:jc w:val="center"/>
              <w:rPr>
                <w:i/>
                <w:sz w:val="20"/>
                <w:szCs w:val="20"/>
              </w:rPr>
            </w:pPr>
            <w:r w:rsidRPr="00254A8D">
              <w:rPr>
                <w:i/>
                <w:sz w:val="20"/>
                <w:szCs w:val="20"/>
              </w:rPr>
              <w:t>t CO</w:t>
            </w:r>
            <w:r w:rsidRPr="00254A8D">
              <w:rPr>
                <w:i/>
                <w:sz w:val="20"/>
                <w:szCs w:val="20"/>
                <w:vertAlign w:val="subscript"/>
              </w:rPr>
              <w:t>2</w:t>
            </w:r>
            <w:r w:rsidRPr="00254A8D">
              <w:rPr>
                <w:i/>
                <w:sz w:val="20"/>
                <w:szCs w:val="20"/>
              </w:rPr>
              <w:t>-eq/TWh</w:t>
            </w:r>
          </w:p>
        </w:tc>
        <w:tc>
          <w:tcPr>
            <w:tcW w:w="1486" w:type="dxa"/>
            <w:shd w:val="clear" w:color="auto" w:fill="auto"/>
            <w:vAlign w:val="center"/>
          </w:tcPr>
          <w:p w14:paraId="1C5A1C8E" w14:textId="487FD8D3" w:rsidR="00AD4ACE" w:rsidRPr="00254A8D" w:rsidRDefault="003310DC" w:rsidP="003922A1">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6,</w:t>
            </w:r>
            <w:r w:rsidR="00254A8D" w:rsidRPr="00254A8D">
              <w:rPr>
                <w:rFonts w:eastAsia="Helvetica,Times New Roman" w:cstheme="minorHAnsi"/>
                <w:color w:val="000000" w:themeColor="text1"/>
                <w:sz w:val="20"/>
                <w:szCs w:val="20"/>
              </w:rPr>
              <w:t xml:space="preserve">114 - </w:t>
            </w:r>
            <w:r w:rsidRPr="00254A8D">
              <w:rPr>
                <w:rFonts w:eastAsia="Helvetica,Times New Roman" w:cstheme="minorHAnsi"/>
                <w:color w:val="000000" w:themeColor="text1"/>
                <w:sz w:val="20"/>
                <w:szCs w:val="20"/>
              </w:rPr>
              <w:t>22,</w:t>
            </w:r>
            <w:r w:rsidR="00254A8D" w:rsidRPr="00254A8D">
              <w:rPr>
                <w:rFonts w:eastAsia="Helvetica,Times New Roman" w:cstheme="minorHAnsi"/>
                <w:color w:val="000000" w:themeColor="text1"/>
                <w:sz w:val="20"/>
                <w:szCs w:val="20"/>
              </w:rPr>
              <w:t>389</w:t>
            </w:r>
          </w:p>
        </w:tc>
        <w:tc>
          <w:tcPr>
            <w:tcW w:w="1467" w:type="dxa"/>
            <w:shd w:val="clear" w:color="auto" w:fill="auto"/>
            <w:vAlign w:val="center"/>
          </w:tcPr>
          <w:p w14:paraId="48062F87" w14:textId="4169CAAE" w:rsidR="00AD4ACE" w:rsidRPr="00254A8D" w:rsidRDefault="003310DC" w:rsidP="003922A1">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14,</w:t>
            </w:r>
            <w:r w:rsidR="00254A8D" w:rsidRPr="00254A8D">
              <w:rPr>
                <w:rFonts w:eastAsia="Helvetica,Times New Roman" w:cstheme="minorHAnsi"/>
                <w:color w:val="000000" w:themeColor="text1"/>
                <w:sz w:val="20"/>
                <w:szCs w:val="20"/>
              </w:rPr>
              <w:t>252</w:t>
            </w:r>
          </w:p>
        </w:tc>
        <w:tc>
          <w:tcPr>
            <w:tcW w:w="1366" w:type="dxa"/>
            <w:vAlign w:val="center"/>
          </w:tcPr>
          <w:p w14:paraId="305A33DF" w14:textId="6D13A610" w:rsidR="00AD4ACE" w:rsidRPr="00254A8D" w:rsidRDefault="00862373" w:rsidP="003922A1">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2</w:t>
            </w:r>
            <w:r w:rsidR="00254A8D" w:rsidRPr="00254A8D">
              <w:rPr>
                <w:rFonts w:eastAsia="Helvetica,Times New Roman" w:cstheme="minorHAnsi"/>
                <w:color w:val="000000" w:themeColor="text1"/>
                <w:sz w:val="20"/>
                <w:szCs w:val="20"/>
              </w:rPr>
              <w:t>3</w:t>
            </w:r>
          </w:p>
        </w:tc>
        <w:tc>
          <w:tcPr>
            <w:tcW w:w="1528" w:type="dxa"/>
            <w:vAlign w:val="center"/>
          </w:tcPr>
          <w:p w14:paraId="0F84C616" w14:textId="366EEA1A" w:rsidR="00AD4ACE" w:rsidRPr="00254A8D" w:rsidRDefault="00254A8D" w:rsidP="003922A1">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7</w:t>
            </w:r>
          </w:p>
        </w:tc>
      </w:tr>
    </w:tbl>
    <w:p w14:paraId="035BBD8F" w14:textId="77777777" w:rsidR="00A04734" w:rsidRPr="00E069AC" w:rsidRDefault="00A04734" w:rsidP="00A04734">
      <w:pPr>
        <w:rPr>
          <w:sz w:val="21"/>
        </w:rPr>
      </w:pPr>
      <w:r w:rsidRPr="00E069AC">
        <w:rPr>
          <w:sz w:val="21"/>
        </w:rPr>
        <w:t>Note: Project Drawdown data set range is defined by the low and high boundaries which are respectively 1 standard deviation below and above the mean of the collected data points</w:t>
      </w:r>
      <w:r w:rsidRPr="00E069AC">
        <w:rPr>
          <w:rStyle w:val="FootnoteReference"/>
          <w:sz w:val="21"/>
        </w:rPr>
        <w:footnoteReference w:id="4"/>
      </w:r>
      <w:r w:rsidRPr="00E069AC">
        <w:rPr>
          <w:sz w:val="21"/>
        </w:rPr>
        <w:t>.</w:t>
      </w:r>
    </w:p>
    <w:p w14:paraId="24C491B8" w14:textId="3A77925F" w:rsidR="00F52595" w:rsidRPr="00E069AC" w:rsidRDefault="00E069AC" w:rsidP="005D49A8">
      <w:pPr>
        <w:pStyle w:val="Heading3"/>
      </w:pPr>
      <w:bookmarkStart w:id="36" w:name="_Toc18619521"/>
      <w:r>
        <w:t>Financial Inputs</w:t>
      </w:r>
      <w:bookmarkEnd w:id="36"/>
    </w:p>
    <w:p w14:paraId="127B738F" w14:textId="7E322529" w:rsidR="00DA06FE" w:rsidRPr="00014DE8" w:rsidRDefault="00DA06FE" w:rsidP="00EB247F">
      <w:r w:rsidRPr="00014DE8">
        <w:t>RRS</w:t>
      </w:r>
      <w:r w:rsidR="00E2663F" w:rsidRPr="00014DE8">
        <w:t xml:space="preserve"> model constructs</w:t>
      </w:r>
      <w:r w:rsidR="00E439FB" w:rsidRPr="00014DE8">
        <w:t xml:space="preserve"> PDS adoption scenario</w:t>
      </w:r>
      <w:r w:rsidR="00E2663F" w:rsidRPr="00014DE8">
        <w:t>s</w:t>
      </w:r>
      <w:r w:rsidR="00E439FB" w:rsidRPr="00014DE8">
        <w:t xml:space="preserve"> for utility-scale PV generation globally and regionally for each year until 2050. </w:t>
      </w:r>
      <w:r w:rsidR="00E2663F" w:rsidRPr="00014DE8">
        <w:t xml:space="preserve">It is </w:t>
      </w:r>
      <w:r w:rsidR="00E439FB" w:rsidRPr="00014DE8">
        <w:t>model</w:t>
      </w:r>
      <w:r w:rsidR="00E2663F" w:rsidRPr="00014DE8">
        <w:t>led</w:t>
      </w:r>
      <w:r w:rsidR="00E439FB" w:rsidRPr="00014DE8">
        <w:t xml:space="preserve"> both the capital costs and the fixed and variable OM costs associated with </w:t>
      </w:r>
      <w:r w:rsidRPr="00014DE8">
        <w:t xml:space="preserve">the </w:t>
      </w:r>
      <w:r w:rsidR="00E2663F" w:rsidRPr="00014DE8">
        <w:t xml:space="preserve">alternative </w:t>
      </w:r>
      <w:r w:rsidR="00E439FB" w:rsidRPr="00014DE8">
        <w:t xml:space="preserve">scenarios compared to those of the REF scenario. </w:t>
      </w:r>
      <w:r w:rsidRPr="00014DE8">
        <w:t>Detailed description of the methodology used is available in</w:t>
      </w:r>
      <w:r w:rsidR="00E2663F" w:rsidRPr="00014DE8">
        <w:t xml:space="preserve"> the </w:t>
      </w:r>
      <w:r w:rsidR="00D25FC7" w:rsidRPr="00014DE8">
        <w:t>Drawdown RRS Model Framework and Guide.</w:t>
      </w:r>
    </w:p>
    <w:p w14:paraId="3F783250" w14:textId="6690C93A" w:rsidR="00014DE8" w:rsidRPr="00014DE8" w:rsidRDefault="00DA06FE" w:rsidP="00EB247F">
      <w:pPr>
        <w:rPr>
          <w:rFonts w:cs="Times New Roman"/>
          <w:bCs/>
          <w:highlight w:val="red"/>
        </w:rPr>
      </w:pPr>
      <w:r w:rsidRPr="00014DE8">
        <w:rPr>
          <w:bCs/>
        </w:rPr>
        <w:t>The financial calculations exa</w:t>
      </w:r>
      <w:r w:rsidR="002054FC" w:rsidRPr="00014DE8">
        <w:rPr>
          <w:bCs/>
        </w:rPr>
        <w:t>mine the first cost in US$ per k</w:t>
      </w:r>
      <w:r w:rsidRPr="00014DE8">
        <w:rPr>
          <w:bCs/>
        </w:rPr>
        <w:t xml:space="preserve">W and the operating cost in US$ </w:t>
      </w:r>
      <w:r w:rsidR="002054FC" w:rsidRPr="00014DE8">
        <w:rPr>
          <w:bCs/>
        </w:rPr>
        <w:t>per kW (fixed costs) and US$ per kWh (variable costs)</w:t>
      </w:r>
      <w:r w:rsidRPr="00014DE8">
        <w:rPr>
          <w:bCs/>
        </w:rPr>
        <w:t>. For this, many inputs estimating annual</w:t>
      </w:r>
      <w:r w:rsidR="002054FC" w:rsidRPr="00014DE8">
        <w:rPr>
          <w:bCs/>
        </w:rPr>
        <w:t xml:space="preserve"> output and lifetime output per </w:t>
      </w:r>
      <w:r w:rsidR="00014DE8" w:rsidRPr="00014DE8">
        <w:rPr>
          <w:bCs/>
        </w:rPr>
        <w:t>wind offshore</w:t>
      </w:r>
      <w:r w:rsidR="002054FC" w:rsidRPr="00014DE8">
        <w:rPr>
          <w:bCs/>
        </w:rPr>
        <w:t xml:space="preserve"> electricity generation</w:t>
      </w:r>
      <w:r w:rsidRPr="00014DE8">
        <w:rPr>
          <w:bCs/>
        </w:rPr>
        <w:t>, along with first costs (</w:t>
      </w:r>
      <w:r w:rsidR="002054FC" w:rsidRPr="00014DE8">
        <w:rPr>
          <w:bCs/>
        </w:rPr>
        <w:t>per</w:t>
      </w:r>
      <w:r w:rsidRPr="00014DE8">
        <w:rPr>
          <w:bCs/>
        </w:rPr>
        <w:t xml:space="preserve"> functional unit), were calculated</w:t>
      </w:r>
      <w:r w:rsidR="002054FC" w:rsidRPr="00014DE8">
        <w:rPr>
          <w:bCs/>
        </w:rPr>
        <w:t xml:space="preserve">. </w:t>
      </w:r>
    </w:p>
    <w:p w14:paraId="0D0A4F8C" w14:textId="5B84A81C" w:rsidR="00290D71" w:rsidRPr="00254A8D" w:rsidRDefault="00290D71" w:rsidP="00EB247F">
      <w:pPr>
        <w:rPr>
          <w:rFonts w:cs="Times New Roman"/>
          <w:bCs/>
        </w:rPr>
      </w:pPr>
      <w:r w:rsidRPr="00C82E2D">
        <w:rPr>
          <w:rFonts w:cs="Times New Roman"/>
          <w:bCs/>
        </w:rPr>
        <w:t>For the solution (</w:t>
      </w:r>
      <w:r w:rsidR="00014DE8" w:rsidRPr="00C82E2D">
        <w:rPr>
          <w:rFonts w:cs="Times New Roman"/>
          <w:bCs/>
        </w:rPr>
        <w:t>wind offshore</w:t>
      </w:r>
      <w:r w:rsidRPr="00C82E2D">
        <w:rPr>
          <w:rFonts w:cs="Times New Roman"/>
          <w:bCs/>
        </w:rPr>
        <w:t>), the conventional current mix of fossil fuel electricity generation technologies (coal, gas and oil) replaced were identified. Costs and operation for both generation technologies (</w:t>
      </w:r>
      <w:r w:rsidRPr="00254A8D">
        <w:rPr>
          <w:rFonts w:cs="Times New Roman"/>
          <w:bCs/>
        </w:rPr>
        <w:t>solution and conventional) were considered to obtain the differential result</w:t>
      </w:r>
      <w:r w:rsidR="00E978D4" w:rsidRPr="00254A8D">
        <w:rPr>
          <w:rFonts w:cs="Times New Roman"/>
          <w:bCs/>
        </w:rPr>
        <w:t>.</w:t>
      </w:r>
    </w:p>
    <w:p w14:paraId="65BF7AA9" w14:textId="1100123D" w:rsidR="0028022C" w:rsidRDefault="002A6219" w:rsidP="00CA3FF5">
      <w:pPr>
        <w:widowControl w:val="0"/>
        <w:tabs>
          <w:tab w:val="left" w:pos="220"/>
          <w:tab w:val="left" w:pos="720"/>
        </w:tabs>
        <w:autoSpaceDE w:val="0"/>
        <w:autoSpaceDN w:val="0"/>
        <w:adjustRightInd w:val="0"/>
        <w:spacing w:after="0"/>
      </w:pPr>
      <w:r w:rsidRPr="00254A8D">
        <w:t xml:space="preserve">As already described in the literature review section, the variability of investment costs is still significant amongst world regions. </w:t>
      </w:r>
      <w:r w:rsidR="00A275A4" w:rsidRPr="00254A8D">
        <w:t>The financial inputs used in the model consider an average installation cost of US$3,</w:t>
      </w:r>
      <w:r w:rsidR="00254A8D" w:rsidRPr="00254A8D">
        <w:t xml:space="preserve">486 </w:t>
      </w:r>
      <w:r w:rsidR="00A275A4" w:rsidRPr="00254A8D">
        <w:t xml:space="preserve">per kilowatt, with a learning rate of </w:t>
      </w:r>
      <w:r w:rsidR="00254A8D" w:rsidRPr="00254A8D">
        <w:t>8.2%</w:t>
      </w:r>
      <w:r w:rsidR="00A275A4" w:rsidRPr="00254A8D">
        <w:t xml:space="preserve"> resulting in first costs of US$</w:t>
      </w:r>
      <w:r w:rsidR="00254A8D" w:rsidRPr="00254A8D">
        <w:t>2,428</w:t>
      </w:r>
      <w:r w:rsidR="00C82E2D" w:rsidRPr="00254A8D">
        <w:t xml:space="preserve"> </w:t>
      </w:r>
      <w:r w:rsidR="00A275A4" w:rsidRPr="00254A8D">
        <w:t>per kilowatt in 2030 and US$</w:t>
      </w:r>
      <w:r w:rsidR="00254A8D" w:rsidRPr="00254A8D">
        <w:t>2,025</w:t>
      </w:r>
      <w:r w:rsidR="00A275A4" w:rsidRPr="00254A8D">
        <w:t xml:space="preserve"> per kilowatt in 2050</w:t>
      </w:r>
      <w:r w:rsidR="00C82E2D" w:rsidRPr="00254A8D">
        <w:t xml:space="preserve">. </w:t>
      </w:r>
      <w:r w:rsidR="00A275A4" w:rsidRPr="00254A8D">
        <w:t>An average capacity factor of 3</w:t>
      </w:r>
      <w:r w:rsidR="00254A8D" w:rsidRPr="00254A8D">
        <w:t>9</w:t>
      </w:r>
      <w:r w:rsidR="00A275A4" w:rsidRPr="00254A8D">
        <w:t xml:space="preserve"> percent is used for offshore wind turbines, compared to 5</w:t>
      </w:r>
      <w:r w:rsidR="00254A8D" w:rsidRPr="00254A8D">
        <w:t xml:space="preserve">7 </w:t>
      </w:r>
      <w:r w:rsidR="00A275A4" w:rsidRPr="00254A8D">
        <w:t>percent for conventional technologies such as coal, natural gas, and oil power plants. Variable operation and maintenance costs of US$0.0</w:t>
      </w:r>
      <w:r w:rsidR="00254A8D" w:rsidRPr="00254A8D">
        <w:t>17</w:t>
      </w:r>
      <w:r w:rsidR="00A275A4" w:rsidRPr="00254A8D">
        <w:t xml:space="preserve"> per kilowatt-hour are considered for offshore wind, compared to US$0.005 per kilowatt-hour for the conventional technologies.</w:t>
      </w:r>
      <w:r w:rsidR="00C82E2D" w:rsidRPr="00254A8D">
        <w:t xml:space="preserve"> The input values for </w:t>
      </w:r>
      <w:r w:rsidR="00CA3FF5" w:rsidRPr="00254A8D">
        <w:t>f</w:t>
      </w:r>
      <w:r w:rsidR="00C82E2D" w:rsidRPr="00254A8D">
        <w:t>ixed costs are US$</w:t>
      </w:r>
      <w:r w:rsidR="00254A8D" w:rsidRPr="00254A8D">
        <w:t>84.80</w:t>
      </w:r>
      <w:r w:rsidR="00C82E2D" w:rsidRPr="00254A8D">
        <w:t xml:space="preserve"> per kilowatt</w:t>
      </w:r>
      <w:r w:rsidR="00254A8D" w:rsidRPr="00254A8D">
        <w:t xml:space="preserve"> for offshore wind and US$34.65 for conventional electricity generation technologies.</w:t>
      </w:r>
      <w:r w:rsidR="00C82E2D" w:rsidRPr="00254A8D">
        <w:t>.</w:t>
      </w:r>
      <w:r w:rsidR="00C82E2D" w:rsidRPr="00C82E2D">
        <w:t xml:space="preserve"> </w:t>
      </w:r>
    </w:p>
    <w:p w14:paraId="0EF45E6E" w14:textId="77777777" w:rsidR="0028022C" w:rsidRPr="004A1205" w:rsidRDefault="0028022C" w:rsidP="0028022C">
      <w:r w:rsidRPr="00943699">
        <w:t>Fuel prices for conventional technologies are derived from IEA (2019) data, averaging 2007-2018 historical registries for oil, coal and natural gas used for electricity generation and calculated through a weighted average by fuel from the current electricity generation mix.</w:t>
      </w:r>
    </w:p>
    <w:p w14:paraId="4693E672" w14:textId="307B00D7" w:rsidR="002A6219" w:rsidRDefault="00B96AE0" w:rsidP="00CA3FF5">
      <w:pPr>
        <w:widowControl w:val="0"/>
        <w:tabs>
          <w:tab w:val="left" w:pos="220"/>
          <w:tab w:val="left" w:pos="720"/>
        </w:tabs>
        <w:autoSpaceDE w:val="0"/>
        <w:autoSpaceDN w:val="0"/>
        <w:adjustRightInd w:val="0"/>
        <w:spacing w:after="0"/>
      </w:pPr>
      <w:r w:rsidRPr="00C82E2D">
        <w:t>Additionally a</w:t>
      </w:r>
      <w:r w:rsidRPr="00C82E2D">
        <w:rPr>
          <w:bCs/>
        </w:rPr>
        <w:t xml:space="preserve"> discount rate is fixed at 9.</w:t>
      </w:r>
      <w:r w:rsidR="00254A8D">
        <w:rPr>
          <w:bCs/>
        </w:rPr>
        <w:t>68</w:t>
      </w:r>
      <w:r w:rsidRPr="00C82E2D">
        <w:rPr>
          <w:bCs/>
        </w:rPr>
        <w:t xml:space="preserve"> percent appropriate for utility-scale projects and use</w:t>
      </w:r>
      <w:r w:rsidR="001025DC">
        <w:rPr>
          <w:bCs/>
        </w:rPr>
        <w:t>d</w:t>
      </w:r>
      <w:r w:rsidRPr="00C82E2D">
        <w:rPr>
          <w:bCs/>
        </w:rPr>
        <w:t xml:space="preserve"> across all Drawdown electricity generation solutions with this level of agency</w:t>
      </w:r>
      <w:r w:rsidR="00910DE0" w:rsidRPr="00C82E2D">
        <w:t xml:space="preserve"> (Tables </w:t>
      </w:r>
      <w:r w:rsidR="00E978D4" w:rsidRPr="00C82E2D">
        <w:t xml:space="preserve">2.2. and </w:t>
      </w:r>
      <w:r w:rsidR="00910DE0" w:rsidRPr="00C82E2D">
        <w:t>2.3).</w:t>
      </w:r>
      <w:r w:rsidR="0028022C">
        <w:t xml:space="preserve"> </w:t>
      </w:r>
      <w:r w:rsidR="0028022C" w:rsidRPr="004A1205">
        <w:t>The discount rate used herein was benchmarked to the Power generation technologies of the PRIMES model used in the impact assessment of the EU 2030 targets, that considers 9% (EC, 2014).</w:t>
      </w:r>
    </w:p>
    <w:p w14:paraId="39FFDB74" w14:textId="77777777" w:rsidR="00CA3FF5" w:rsidRPr="00CA3FF5" w:rsidRDefault="00CA3FF5" w:rsidP="00CA3FF5">
      <w:pPr>
        <w:widowControl w:val="0"/>
        <w:tabs>
          <w:tab w:val="left" w:pos="220"/>
          <w:tab w:val="left" w:pos="720"/>
        </w:tabs>
        <w:autoSpaceDE w:val="0"/>
        <w:autoSpaceDN w:val="0"/>
        <w:adjustRightInd w:val="0"/>
        <w:spacing w:after="0"/>
        <w:rPr>
          <w:highlight w:val="cyan"/>
          <w:lang w:val="en-GB"/>
        </w:rPr>
      </w:pPr>
    </w:p>
    <w:p w14:paraId="1521B01D" w14:textId="201AFE20" w:rsidR="00D25FC7" w:rsidRPr="00593535"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37" w:name="_Toc535272077"/>
      <w:r w:rsidRPr="00593535">
        <w:t xml:space="preserve">Table </w:t>
      </w:r>
      <w:fldSimple w:instr=" STYLEREF 1 \s ">
        <w:r w:rsidRPr="00593535">
          <w:t>2</w:t>
        </w:r>
      </w:fldSimple>
      <w:r w:rsidRPr="00593535">
        <w:t>.</w:t>
      </w:r>
      <w:fldSimple w:instr=" SEQ Table \* ARABIC \s 1 ">
        <w:r w:rsidRPr="00593535">
          <w:t>2</w:t>
        </w:r>
      </w:fldSimple>
      <w:r w:rsidRPr="00593535">
        <w:t xml:space="preserve"> Financial Inputs </w:t>
      </w:r>
      <w:r w:rsidR="009C0F77" w:rsidRPr="00593535">
        <w:t xml:space="preserve">for </w:t>
      </w:r>
      <w:r w:rsidRPr="00593535">
        <w:t>Conventional Technologies</w:t>
      </w:r>
      <w:bookmarkEnd w:id="37"/>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593535" w14:paraId="5EBC0DC9" w14:textId="77777777" w:rsidTr="00E978D4">
        <w:trPr>
          <w:trHeight w:val="1154"/>
          <w:jc w:val="center"/>
        </w:trPr>
        <w:tc>
          <w:tcPr>
            <w:tcW w:w="1221" w:type="pct"/>
            <w:shd w:val="clear" w:color="auto" w:fill="4F81BD" w:themeFill="accent1"/>
            <w:vAlign w:val="center"/>
          </w:tcPr>
          <w:p w14:paraId="74E672A4" w14:textId="77777777" w:rsidR="00910DE0" w:rsidRPr="00593535" w:rsidRDefault="00910DE0" w:rsidP="00A04734">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593535" w:rsidRDefault="00910DE0" w:rsidP="00A04734">
            <w:pPr>
              <w:spacing w:after="180" w:line="240" w:lineRule="auto"/>
              <w:jc w:val="center"/>
              <w:rPr>
                <w:b/>
                <w:bCs/>
                <w:sz w:val="20"/>
                <w:szCs w:val="20"/>
              </w:rPr>
            </w:pPr>
            <w:r w:rsidRPr="00593535">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93535" w:rsidRDefault="00910DE0" w:rsidP="00A04734">
            <w:pPr>
              <w:spacing w:after="180" w:line="240" w:lineRule="auto"/>
              <w:jc w:val="center"/>
              <w:rPr>
                <w:b/>
                <w:bCs/>
                <w:color w:val="FFFFFF" w:themeColor="background1"/>
                <w:sz w:val="20"/>
                <w:szCs w:val="20"/>
              </w:rPr>
            </w:pPr>
            <w:r w:rsidRPr="00593535">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93535" w:rsidRDefault="00910DE0" w:rsidP="00A04734">
            <w:pPr>
              <w:spacing w:after="180" w:line="240" w:lineRule="auto"/>
              <w:jc w:val="center"/>
              <w:rPr>
                <w:b/>
                <w:bCs/>
                <w:color w:val="FFFFFF" w:themeColor="background1"/>
                <w:sz w:val="20"/>
                <w:szCs w:val="20"/>
              </w:rPr>
            </w:pPr>
            <w:r w:rsidRPr="00593535">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93535" w:rsidRDefault="00910DE0" w:rsidP="00A04734">
            <w:pPr>
              <w:spacing w:after="180" w:line="240" w:lineRule="auto"/>
              <w:jc w:val="center"/>
              <w:rPr>
                <w:b/>
                <w:bCs/>
                <w:color w:val="FFFFFF" w:themeColor="background1"/>
                <w:sz w:val="20"/>
                <w:szCs w:val="20"/>
              </w:rPr>
            </w:pPr>
            <w:r w:rsidRPr="00593535">
              <w:rPr>
                <w:b/>
                <w:bCs/>
                <w:color w:val="FFFFFF" w:themeColor="background1"/>
                <w:sz w:val="20"/>
                <w:szCs w:val="20"/>
              </w:rPr>
              <w:t>Data Points (#)</w:t>
            </w:r>
          </w:p>
        </w:tc>
        <w:tc>
          <w:tcPr>
            <w:tcW w:w="579" w:type="pct"/>
            <w:shd w:val="clear" w:color="auto" w:fill="4F81BD" w:themeFill="accent1"/>
            <w:vAlign w:val="center"/>
          </w:tcPr>
          <w:p w14:paraId="213A903C" w14:textId="77777777" w:rsidR="00910DE0" w:rsidRPr="00593535" w:rsidRDefault="00910DE0" w:rsidP="00A04734">
            <w:pPr>
              <w:spacing w:after="180" w:line="240" w:lineRule="auto"/>
              <w:jc w:val="center"/>
              <w:rPr>
                <w:b/>
                <w:bCs/>
                <w:color w:val="FFFFFF" w:themeColor="background1"/>
                <w:sz w:val="20"/>
                <w:szCs w:val="20"/>
              </w:rPr>
            </w:pPr>
            <w:r w:rsidRPr="00593535">
              <w:rPr>
                <w:b/>
                <w:bCs/>
                <w:color w:val="FFFFFF" w:themeColor="background1"/>
                <w:sz w:val="20"/>
                <w:szCs w:val="20"/>
              </w:rPr>
              <w:t>Sources (#)</w:t>
            </w:r>
          </w:p>
        </w:tc>
      </w:tr>
      <w:tr w:rsidR="0028022C" w:rsidRPr="00593535" w14:paraId="224D399B" w14:textId="77777777" w:rsidTr="00E978D4">
        <w:trPr>
          <w:trHeight w:val="149"/>
          <w:jc w:val="center"/>
        </w:trPr>
        <w:tc>
          <w:tcPr>
            <w:tcW w:w="1221" w:type="pct"/>
            <w:vAlign w:val="center"/>
          </w:tcPr>
          <w:p w14:paraId="400D3B56" w14:textId="3C0F4B9A" w:rsidR="0028022C" w:rsidRPr="00593535" w:rsidRDefault="0028022C" w:rsidP="0028022C">
            <w:pPr>
              <w:spacing w:after="180" w:line="240" w:lineRule="auto"/>
              <w:jc w:val="center"/>
              <w:rPr>
                <w:color w:val="000000" w:themeColor="text1"/>
                <w:sz w:val="20"/>
                <w:szCs w:val="20"/>
              </w:rPr>
            </w:pPr>
            <w:r w:rsidRPr="00593535">
              <w:rPr>
                <w:color w:val="000000" w:themeColor="text1"/>
                <w:sz w:val="20"/>
                <w:szCs w:val="20"/>
              </w:rPr>
              <w:t>First costs (Conventional)</w:t>
            </w:r>
          </w:p>
        </w:tc>
        <w:tc>
          <w:tcPr>
            <w:tcW w:w="861" w:type="pct"/>
            <w:vAlign w:val="center"/>
          </w:tcPr>
          <w:p w14:paraId="56AA3572" w14:textId="7B6CF167" w:rsidR="0028022C" w:rsidRPr="00593535" w:rsidRDefault="0028022C" w:rsidP="0028022C">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5AD14322" w14:textId="533B07FE" w:rsidR="0028022C" w:rsidRPr="00593535" w:rsidRDefault="0028022C" w:rsidP="0028022C">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470.5</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3,101</w:t>
            </w:r>
          </w:p>
        </w:tc>
        <w:tc>
          <w:tcPr>
            <w:tcW w:w="861" w:type="pct"/>
            <w:vAlign w:val="center"/>
          </w:tcPr>
          <w:p w14:paraId="6782A95B" w14:textId="32A74182" w:rsidR="0028022C" w:rsidRPr="00593535" w:rsidRDefault="0028022C" w:rsidP="0028022C">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1,786</w:t>
            </w:r>
          </w:p>
        </w:tc>
        <w:tc>
          <w:tcPr>
            <w:tcW w:w="617" w:type="pct"/>
            <w:vAlign w:val="center"/>
          </w:tcPr>
          <w:p w14:paraId="1AA7E7F8" w14:textId="0156AC61" w:rsidR="0028022C" w:rsidRPr="00593535" w:rsidRDefault="0028022C" w:rsidP="0028022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4</w:t>
            </w:r>
          </w:p>
        </w:tc>
        <w:tc>
          <w:tcPr>
            <w:tcW w:w="579" w:type="pct"/>
            <w:vAlign w:val="center"/>
          </w:tcPr>
          <w:p w14:paraId="367ADBC1" w14:textId="5B8B46D6" w:rsidR="0028022C" w:rsidRPr="00593535" w:rsidRDefault="0028022C" w:rsidP="0028022C">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28022C" w:rsidRPr="00593535" w14:paraId="29BBD18C" w14:textId="77777777" w:rsidTr="00E978D4">
        <w:trPr>
          <w:trHeight w:val="583"/>
          <w:jc w:val="center"/>
        </w:trPr>
        <w:tc>
          <w:tcPr>
            <w:tcW w:w="1221" w:type="pct"/>
            <w:vAlign w:val="center"/>
          </w:tcPr>
          <w:p w14:paraId="696E0629" w14:textId="1338F0FA" w:rsidR="0028022C" w:rsidRPr="00593535" w:rsidRDefault="0028022C" w:rsidP="0028022C">
            <w:pPr>
              <w:spacing w:after="180" w:line="240" w:lineRule="auto"/>
              <w:jc w:val="center"/>
              <w:rPr>
                <w:color w:val="000000" w:themeColor="text1"/>
                <w:sz w:val="20"/>
                <w:szCs w:val="20"/>
              </w:rPr>
            </w:pPr>
            <w:r w:rsidRPr="00593535">
              <w:rPr>
                <w:color w:val="000000" w:themeColor="text1"/>
                <w:sz w:val="20"/>
                <w:szCs w:val="20"/>
              </w:rPr>
              <w:t>Fixed Operation and Maintenance Costs (Conventional)</w:t>
            </w:r>
          </w:p>
        </w:tc>
        <w:tc>
          <w:tcPr>
            <w:tcW w:w="861" w:type="pct"/>
            <w:vAlign w:val="center"/>
          </w:tcPr>
          <w:p w14:paraId="3CEF4190" w14:textId="1E6F32EC" w:rsidR="0028022C" w:rsidRPr="00593535" w:rsidRDefault="0028022C" w:rsidP="0028022C">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41B31604" w14:textId="6D0F2CD5" w:rsidR="0028022C" w:rsidRPr="00593535" w:rsidRDefault="0028022C" w:rsidP="0028022C">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44</w:t>
            </w:r>
            <w:r w:rsidRPr="00593535">
              <w:rPr>
                <w:rFonts w:eastAsia="Helvetica,Times New Roman" w:cstheme="minorHAnsi"/>
                <w:color w:val="000000" w:themeColor="text1"/>
                <w:sz w:val="20"/>
                <w:szCs w:val="20"/>
              </w:rPr>
              <w:t xml:space="preserve"> – 6</w:t>
            </w:r>
            <w:r>
              <w:rPr>
                <w:rFonts w:eastAsia="Helvetica,Times New Roman" w:cstheme="minorHAnsi"/>
                <w:color w:val="000000" w:themeColor="text1"/>
                <w:sz w:val="20"/>
                <w:szCs w:val="20"/>
              </w:rPr>
              <w:t>5</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86</w:t>
            </w:r>
          </w:p>
        </w:tc>
        <w:tc>
          <w:tcPr>
            <w:tcW w:w="861" w:type="pct"/>
            <w:vAlign w:val="center"/>
          </w:tcPr>
          <w:p w14:paraId="259F13A5" w14:textId="4D20D7DC" w:rsidR="0028022C" w:rsidRPr="00593535" w:rsidRDefault="0028022C" w:rsidP="0028022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32.95</w:t>
            </w:r>
          </w:p>
        </w:tc>
        <w:tc>
          <w:tcPr>
            <w:tcW w:w="617" w:type="pct"/>
            <w:vAlign w:val="center"/>
          </w:tcPr>
          <w:p w14:paraId="62C158C3" w14:textId="7E308852" w:rsidR="0028022C" w:rsidRPr="00593535" w:rsidRDefault="0028022C" w:rsidP="0028022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r>
              <w:rPr>
                <w:rFonts w:eastAsia="Helvetica,Times New Roman" w:cstheme="minorHAnsi"/>
                <w:color w:val="000000" w:themeColor="text1"/>
                <w:sz w:val="20"/>
                <w:szCs w:val="20"/>
              </w:rPr>
              <w:t>8</w:t>
            </w:r>
          </w:p>
        </w:tc>
        <w:tc>
          <w:tcPr>
            <w:tcW w:w="579" w:type="pct"/>
            <w:vAlign w:val="center"/>
          </w:tcPr>
          <w:p w14:paraId="2E77170B" w14:textId="11CFDE6F" w:rsidR="0028022C" w:rsidRPr="00593535" w:rsidRDefault="0028022C" w:rsidP="0028022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4</w:t>
            </w:r>
          </w:p>
        </w:tc>
      </w:tr>
      <w:tr w:rsidR="0028022C" w:rsidRPr="00593535" w14:paraId="789E9F95" w14:textId="77777777" w:rsidTr="00E978D4">
        <w:trPr>
          <w:trHeight w:val="149"/>
          <w:jc w:val="center"/>
        </w:trPr>
        <w:tc>
          <w:tcPr>
            <w:tcW w:w="1221" w:type="pct"/>
            <w:vAlign w:val="center"/>
          </w:tcPr>
          <w:p w14:paraId="564B7DFA" w14:textId="678C369D" w:rsidR="0028022C" w:rsidRPr="00593535" w:rsidRDefault="0028022C" w:rsidP="0028022C">
            <w:pPr>
              <w:spacing w:after="180" w:line="240" w:lineRule="auto"/>
              <w:jc w:val="center"/>
              <w:rPr>
                <w:color w:val="000000" w:themeColor="text1"/>
                <w:sz w:val="20"/>
                <w:szCs w:val="20"/>
              </w:rPr>
            </w:pPr>
            <w:r w:rsidRPr="00593535">
              <w:rPr>
                <w:color w:val="000000" w:themeColor="text1"/>
                <w:sz w:val="20"/>
                <w:szCs w:val="20"/>
              </w:rPr>
              <w:t>Variable Operation and Maintenance Costs (Conventional)</w:t>
            </w:r>
          </w:p>
        </w:tc>
        <w:tc>
          <w:tcPr>
            <w:tcW w:w="861" w:type="pct"/>
            <w:vAlign w:val="center"/>
          </w:tcPr>
          <w:p w14:paraId="292CCBF2" w14:textId="7A5FD49C" w:rsidR="0028022C" w:rsidRPr="00593535" w:rsidRDefault="0028022C" w:rsidP="0028022C">
            <w:pPr>
              <w:spacing w:after="180" w:line="240" w:lineRule="auto"/>
              <w:jc w:val="center"/>
              <w:rPr>
                <w:rFonts w:eastAsia="Helvetica,Times New Roman" w:cstheme="minorHAnsi"/>
                <w:sz w:val="20"/>
                <w:szCs w:val="20"/>
              </w:rPr>
            </w:pPr>
            <w:r w:rsidRPr="00593535">
              <w:rPr>
                <w:bCs/>
                <w:i/>
                <w:sz w:val="20"/>
                <w:szCs w:val="20"/>
              </w:rPr>
              <w:t>US$2014/kWh</w:t>
            </w:r>
          </w:p>
        </w:tc>
        <w:tc>
          <w:tcPr>
            <w:tcW w:w="861" w:type="pct"/>
            <w:vAlign w:val="center"/>
          </w:tcPr>
          <w:p w14:paraId="3698BA83" w14:textId="5E7DB616" w:rsidR="0028022C" w:rsidRPr="00593535" w:rsidRDefault="0028022C" w:rsidP="0028022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0.0014 – 0.0079</w:t>
            </w:r>
          </w:p>
        </w:tc>
        <w:tc>
          <w:tcPr>
            <w:tcW w:w="861" w:type="pct"/>
            <w:vAlign w:val="center"/>
          </w:tcPr>
          <w:p w14:paraId="2C205561" w14:textId="21631F7D" w:rsidR="0028022C" w:rsidRPr="00593535" w:rsidRDefault="0028022C" w:rsidP="0028022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w:t>
            </w:r>
            <w:r>
              <w:rPr>
                <w:rFonts w:eastAsia="Helvetica,Times New Roman" w:cstheme="minorHAnsi"/>
                <w:color w:val="000000" w:themeColor="text1"/>
                <w:sz w:val="20"/>
                <w:szCs w:val="20"/>
              </w:rPr>
              <w:t>4</w:t>
            </w:r>
            <w:r w:rsidRPr="00593535">
              <w:rPr>
                <w:rFonts w:eastAsia="Helvetica,Times New Roman" w:cstheme="minorHAnsi"/>
                <w:color w:val="000000" w:themeColor="text1"/>
                <w:sz w:val="20"/>
                <w:szCs w:val="20"/>
              </w:rPr>
              <w:t>8</w:t>
            </w:r>
          </w:p>
        </w:tc>
        <w:tc>
          <w:tcPr>
            <w:tcW w:w="617" w:type="pct"/>
            <w:vAlign w:val="center"/>
          </w:tcPr>
          <w:p w14:paraId="6F7826B4" w14:textId="2ADCC700" w:rsidR="0028022C" w:rsidRPr="00593535" w:rsidRDefault="0028022C" w:rsidP="0028022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2</w:t>
            </w:r>
          </w:p>
        </w:tc>
        <w:tc>
          <w:tcPr>
            <w:tcW w:w="579" w:type="pct"/>
            <w:vAlign w:val="center"/>
          </w:tcPr>
          <w:p w14:paraId="6F71B7A1" w14:textId="768A9B30" w:rsidR="0028022C" w:rsidRPr="00593535" w:rsidRDefault="0028022C" w:rsidP="0028022C">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28022C" w:rsidRPr="00593535" w14:paraId="4CC8EC27" w14:textId="77777777" w:rsidTr="00254A8D">
        <w:trPr>
          <w:trHeight w:val="149"/>
          <w:jc w:val="center"/>
        </w:trPr>
        <w:tc>
          <w:tcPr>
            <w:tcW w:w="1221" w:type="pct"/>
            <w:vAlign w:val="center"/>
          </w:tcPr>
          <w:p w14:paraId="45834DD9" w14:textId="7C1DEFAB" w:rsidR="0028022C" w:rsidRPr="00593535" w:rsidRDefault="0028022C" w:rsidP="0028022C">
            <w:pPr>
              <w:spacing w:after="180" w:line="240" w:lineRule="auto"/>
              <w:jc w:val="center"/>
              <w:rPr>
                <w:color w:val="000000" w:themeColor="text1"/>
                <w:sz w:val="20"/>
                <w:szCs w:val="20"/>
              </w:rPr>
            </w:pPr>
            <w:r w:rsidRPr="00593535">
              <w:rPr>
                <w:color w:val="000000" w:themeColor="text1"/>
                <w:sz w:val="20"/>
                <w:szCs w:val="20"/>
              </w:rPr>
              <w:t>Fuel Price (Conventional)</w:t>
            </w:r>
          </w:p>
        </w:tc>
        <w:tc>
          <w:tcPr>
            <w:tcW w:w="861" w:type="pct"/>
            <w:vAlign w:val="center"/>
          </w:tcPr>
          <w:p w14:paraId="594E5CB1" w14:textId="107938A0" w:rsidR="0028022C" w:rsidRPr="00593535" w:rsidRDefault="0028022C" w:rsidP="0028022C">
            <w:pPr>
              <w:spacing w:after="180" w:line="240" w:lineRule="auto"/>
              <w:jc w:val="center"/>
              <w:rPr>
                <w:rFonts w:eastAsia="Helvetica,Times New Roman" w:cstheme="minorHAnsi"/>
                <w:b/>
                <w:sz w:val="20"/>
                <w:szCs w:val="20"/>
              </w:rPr>
            </w:pPr>
            <w:r w:rsidRPr="00593535">
              <w:rPr>
                <w:bCs/>
                <w:i/>
                <w:sz w:val="20"/>
                <w:szCs w:val="20"/>
              </w:rPr>
              <w:t>US$2014/kWh</w:t>
            </w:r>
          </w:p>
        </w:tc>
        <w:tc>
          <w:tcPr>
            <w:tcW w:w="861" w:type="pct"/>
            <w:shd w:val="clear" w:color="auto" w:fill="F2F2F2" w:themeFill="background1" w:themeFillShade="F2"/>
            <w:vAlign w:val="center"/>
          </w:tcPr>
          <w:p w14:paraId="2E46CA7E" w14:textId="77777777" w:rsidR="0028022C" w:rsidRPr="00593535" w:rsidRDefault="0028022C" w:rsidP="0028022C">
            <w:pPr>
              <w:spacing w:after="180" w:line="240" w:lineRule="auto"/>
              <w:jc w:val="center"/>
              <w:rPr>
                <w:rFonts w:eastAsia="Helvetica,Times New Roman" w:cstheme="minorHAnsi"/>
                <w:b/>
                <w:color w:val="000000" w:themeColor="text1"/>
                <w:sz w:val="20"/>
                <w:szCs w:val="20"/>
              </w:rPr>
            </w:pPr>
          </w:p>
        </w:tc>
        <w:tc>
          <w:tcPr>
            <w:tcW w:w="861" w:type="pct"/>
            <w:vAlign w:val="center"/>
          </w:tcPr>
          <w:p w14:paraId="78F04F8B" w14:textId="20AC3F78" w:rsidR="0028022C" w:rsidRPr="00593535" w:rsidRDefault="0028022C" w:rsidP="0028022C">
            <w:pPr>
              <w:spacing w:after="180" w:line="240" w:lineRule="auto"/>
              <w:jc w:val="center"/>
              <w:rPr>
                <w:rFonts w:eastAsia="Helvetica,Times New Roman" w:cstheme="minorHAnsi"/>
                <w:b/>
                <w:color w:val="000000" w:themeColor="text1"/>
                <w:sz w:val="20"/>
                <w:szCs w:val="20"/>
              </w:rPr>
            </w:pPr>
            <w:r w:rsidRPr="00593535">
              <w:rPr>
                <w:rFonts w:eastAsia="Helvetica,Times New Roman" w:cstheme="minorHAnsi"/>
                <w:color w:val="000000" w:themeColor="text1"/>
                <w:sz w:val="20"/>
                <w:szCs w:val="20"/>
              </w:rPr>
              <w:t>0.0</w:t>
            </w:r>
            <w:r>
              <w:rPr>
                <w:rFonts w:eastAsia="Helvetica,Times New Roman" w:cstheme="minorHAnsi"/>
                <w:color w:val="000000" w:themeColor="text1"/>
                <w:sz w:val="20"/>
                <w:szCs w:val="20"/>
              </w:rPr>
              <w:t>492</w:t>
            </w:r>
          </w:p>
        </w:tc>
        <w:tc>
          <w:tcPr>
            <w:tcW w:w="617" w:type="pct"/>
            <w:shd w:val="clear" w:color="auto" w:fill="F2F2F2" w:themeFill="background1" w:themeFillShade="F2"/>
            <w:vAlign w:val="center"/>
          </w:tcPr>
          <w:p w14:paraId="362873EB" w14:textId="0B0BAF38" w:rsidR="0028022C" w:rsidRPr="00593535" w:rsidRDefault="0028022C" w:rsidP="0028022C">
            <w:pPr>
              <w:spacing w:after="180" w:line="240" w:lineRule="auto"/>
              <w:jc w:val="center"/>
              <w:rPr>
                <w:rFonts w:eastAsia="Helvetica,Times New Roman" w:cstheme="minorHAnsi"/>
                <w:color w:val="000000" w:themeColor="text1"/>
                <w:sz w:val="20"/>
                <w:szCs w:val="20"/>
              </w:rPr>
            </w:pPr>
          </w:p>
        </w:tc>
        <w:tc>
          <w:tcPr>
            <w:tcW w:w="579" w:type="pct"/>
            <w:shd w:val="clear" w:color="auto" w:fill="auto"/>
            <w:vAlign w:val="center"/>
          </w:tcPr>
          <w:p w14:paraId="48F3D1EA" w14:textId="732E6E79" w:rsidR="0028022C" w:rsidRPr="00593535" w:rsidRDefault="0028022C" w:rsidP="0028022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p>
        </w:tc>
      </w:tr>
      <w:tr w:rsidR="0028022C" w:rsidRPr="006330C6" w14:paraId="3AAC1C5A" w14:textId="77777777" w:rsidTr="00E978D4">
        <w:trPr>
          <w:trHeight w:val="149"/>
          <w:jc w:val="center"/>
        </w:trPr>
        <w:tc>
          <w:tcPr>
            <w:tcW w:w="1221" w:type="pct"/>
            <w:vAlign w:val="center"/>
          </w:tcPr>
          <w:p w14:paraId="3A181F58" w14:textId="5A331002" w:rsidR="0028022C" w:rsidRPr="00593535" w:rsidRDefault="0028022C" w:rsidP="0028022C">
            <w:pPr>
              <w:spacing w:after="180" w:line="240" w:lineRule="auto"/>
              <w:jc w:val="center"/>
              <w:rPr>
                <w:color w:val="000000" w:themeColor="text1"/>
                <w:sz w:val="20"/>
                <w:szCs w:val="20"/>
              </w:rPr>
            </w:pPr>
            <w:r w:rsidRPr="00593535">
              <w:rPr>
                <w:color w:val="000000" w:themeColor="text1"/>
                <w:sz w:val="20"/>
                <w:szCs w:val="20"/>
              </w:rPr>
              <w:t>Learning Rate Factor (Conventional)</w:t>
            </w:r>
          </w:p>
        </w:tc>
        <w:tc>
          <w:tcPr>
            <w:tcW w:w="861" w:type="pct"/>
            <w:vAlign w:val="center"/>
          </w:tcPr>
          <w:p w14:paraId="4A773F2C" w14:textId="56CB51FA" w:rsidR="0028022C" w:rsidRPr="00593535" w:rsidRDefault="0028022C" w:rsidP="0028022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w:t>
            </w:r>
          </w:p>
        </w:tc>
        <w:tc>
          <w:tcPr>
            <w:tcW w:w="861" w:type="pct"/>
            <w:shd w:val="clear" w:color="auto" w:fill="F2F2F2" w:themeFill="background1" w:themeFillShade="F2"/>
            <w:vAlign w:val="center"/>
          </w:tcPr>
          <w:p w14:paraId="5BBF4A68" w14:textId="77777777" w:rsidR="0028022C" w:rsidRPr="00593535" w:rsidRDefault="0028022C" w:rsidP="0028022C">
            <w:pPr>
              <w:spacing w:after="180" w:line="240" w:lineRule="auto"/>
              <w:jc w:val="center"/>
              <w:rPr>
                <w:rFonts w:eastAsia="Helvetica,Times New Roman" w:cstheme="minorHAnsi"/>
                <w:color w:val="000000" w:themeColor="text1"/>
                <w:sz w:val="20"/>
                <w:szCs w:val="20"/>
              </w:rPr>
            </w:pPr>
          </w:p>
        </w:tc>
        <w:tc>
          <w:tcPr>
            <w:tcW w:w="861" w:type="pct"/>
            <w:vAlign w:val="center"/>
          </w:tcPr>
          <w:p w14:paraId="28DF6EBE" w14:textId="259FB857" w:rsidR="0028022C" w:rsidRPr="00593535" w:rsidRDefault="0028022C" w:rsidP="0028022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2.00%</w:t>
            </w:r>
          </w:p>
        </w:tc>
        <w:tc>
          <w:tcPr>
            <w:tcW w:w="617" w:type="pct"/>
            <w:shd w:val="clear" w:color="auto" w:fill="F2F2F2" w:themeFill="background1" w:themeFillShade="F2"/>
            <w:vAlign w:val="center"/>
          </w:tcPr>
          <w:p w14:paraId="1EA82F8A" w14:textId="355F2F74" w:rsidR="0028022C" w:rsidRPr="00593535" w:rsidRDefault="0028022C" w:rsidP="0028022C">
            <w:pPr>
              <w:spacing w:after="180" w:line="240" w:lineRule="auto"/>
              <w:jc w:val="center"/>
              <w:rPr>
                <w:rFonts w:eastAsia="Helvetica,Times New Roman" w:cstheme="minorHAnsi"/>
                <w:color w:val="000000" w:themeColor="text1"/>
                <w:sz w:val="20"/>
                <w:szCs w:val="20"/>
              </w:rPr>
            </w:pPr>
          </w:p>
        </w:tc>
        <w:tc>
          <w:tcPr>
            <w:tcW w:w="579" w:type="pct"/>
            <w:shd w:val="clear" w:color="auto" w:fill="F2F2F2" w:themeFill="background1" w:themeFillShade="F2"/>
            <w:vAlign w:val="center"/>
          </w:tcPr>
          <w:p w14:paraId="353483AC" w14:textId="1FAC57D3" w:rsidR="0028022C" w:rsidRPr="00593535" w:rsidRDefault="0028022C" w:rsidP="0028022C">
            <w:pPr>
              <w:spacing w:after="180" w:line="240" w:lineRule="auto"/>
              <w:jc w:val="center"/>
              <w:rPr>
                <w:rFonts w:eastAsia="Helvetica,Times New Roman" w:cstheme="minorHAnsi"/>
                <w:color w:val="000000" w:themeColor="text1"/>
                <w:sz w:val="20"/>
                <w:szCs w:val="20"/>
              </w:rPr>
            </w:pPr>
          </w:p>
        </w:tc>
      </w:tr>
    </w:tbl>
    <w:p w14:paraId="7E13702C" w14:textId="77777777" w:rsidR="00D25FC7" w:rsidRPr="006330C6" w:rsidRDefault="00D25FC7" w:rsidP="00EB247F">
      <w:pPr>
        <w:rPr>
          <w:bCs/>
          <w:sz w:val="21"/>
          <w:szCs w:val="21"/>
          <w:highlight w:val="red"/>
        </w:rPr>
      </w:pPr>
    </w:p>
    <w:p w14:paraId="2A309D69" w14:textId="694A4D33" w:rsidR="0021082B" w:rsidRPr="00C82E2D" w:rsidRDefault="00274B56" w:rsidP="00EB247F">
      <w:pPr>
        <w:pStyle w:val="Caption"/>
        <w:jc w:val="center"/>
        <w:rPr>
          <w:rFonts w:asciiTheme="majorHAnsi" w:eastAsiaTheme="majorEastAsia" w:hAnsiTheme="majorHAnsi" w:cstheme="majorBidi"/>
          <w:b/>
          <w:bCs/>
          <w:color w:val="000000" w:themeColor="text1"/>
          <w:sz w:val="23"/>
          <w:szCs w:val="23"/>
          <w:lang w:eastAsia="zh-CN"/>
        </w:rPr>
      </w:pPr>
      <w:bookmarkStart w:id="38" w:name="_Toc535272078"/>
      <w:r w:rsidRPr="00C82E2D">
        <w:t xml:space="preserve">Table </w:t>
      </w:r>
      <w:fldSimple w:instr=" STYLEREF 1 \s ">
        <w:r w:rsidR="00492F5E" w:rsidRPr="00C82E2D">
          <w:t>2</w:t>
        </w:r>
      </w:fldSimple>
      <w:r w:rsidR="00492F5E" w:rsidRPr="00C82E2D">
        <w:t>.</w:t>
      </w:r>
      <w:r w:rsidR="000C04D3" w:rsidRPr="00C82E2D">
        <w:rPr>
          <w:noProof/>
        </w:rPr>
        <w:fldChar w:fldCharType="begin"/>
      </w:r>
      <w:r w:rsidR="000C04D3" w:rsidRPr="00C82E2D">
        <w:rPr>
          <w:noProof/>
        </w:rPr>
        <w:instrText xml:space="preserve"> SEQ Table \* ARABIC \s 1 </w:instrText>
      </w:r>
      <w:r w:rsidR="000C04D3" w:rsidRPr="00C82E2D">
        <w:rPr>
          <w:noProof/>
        </w:rPr>
        <w:fldChar w:fldCharType="separate"/>
      </w:r>
      <w:r w:rsidR="00D25FC7" w:rsidRPr="00C82E2D">
        <w:rPr>
          <w:noProof/>
        </w:rPr>
        <w:t>3</w:t>
      </w:r>
      <w:r w:rsidR="000C04D3" w:rsidRPr="00C82E2D">
        <w:rPr>
          <w:noProof/>
        </w:rPr>
        <w:fldChar w:fldCharType="end"/>
      </w:r>
      <w:r w:rsidRPr="00C82E2D">
        <w:t xml:space="preserve"> Financial Inputs</w:t>
      </w:r>
      <w:r w:rsidR="00D25FC7" w:rsidRPr="00C82E2D">
        <w:t xml:space="preserve"> </w:t>
      </w:r>
      <w:r w:rsidR="009C0F77" w:rsidRPr="00C82E2D">
        <w:t xml:space="preserve">for </w:t>
      </w:r>
      <w:r w:rsidR="00D25FC7" w:rsidRPr="00C82E2D">
        <w:t>Solution</w:t>
      </w:r>
      <w:bookmarkEnd w:id="38"/>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6330C6" w14:paraId="7E18B658" w14:textId="77777777" w:rsidTr="005C77F5">
        <w:trPr>
          <w:trHeight w:val="1163"/>
          <w:jc w:val="center"/>
        </w:trPr>
        <w:tc>
          <w:tcPr>
            <w:tcW w:w="1220" w:type="pct"/>
            <w:shd w:val="clear" w:color="auto" w:fill="4F81BD" w:themeFill="accent1"/>
            <w:vAlign w:val="center"/>
          </w:tcPr>
          <w:p w14:paraId="26137DA0" w14:textId="77777777" w:rsidR="00910DE0" w:rsidRPr="00C82E2D" w:rsidRDefault="00910DE0" w:rsidP="00910DE0">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C82E2D" w:rsidRDefault="00910DE0" w:rsidP="00910DE0">
            <w:pPr>
              <w:spacing w:after="180"/>
              <w:jc w:val="center"/>
              <w:rPr>
                <w:b/>
                <w:bCs/>
                <w:sz w:val="20"/>
                <w:szCs w:val="20"/>
              </w:rPr>
            </w:pPr>
            <w:r w:rsidRPr="00C82E2D">
              <w:rPr>
                <w:b/>
                <w:bCs/>
                <w:color w:val="FFFFFF" w:themeColor="background1"/>
                <w:sz w:val="20"/>
                <w:szCs w:val="20"/>
              </w:rPr>
              <w:t>Units</w:t>
            </w:r>
          </w:p>
        </w:tc>
        <w:tc>
          <w:tcPr>
            <w:tcW w:w="985" w:type="pct"/>
            <w:shd w:val="clear" w:color="auto" w:fill="4F81BD" w:themeFill="accent1"/>
            <w:vAlign w:val="center"/>
          </w:tcPr>
          <w:p w14:paraId="75A978E1" w14:textId="1BF0E92A" w:rsidR="00910DE0" w:rsidRPr="00C82E2D" w:rsidRDefault="00910DE0" w:rsidP="00910DE0">
            <w:pPr>
              <w:spacing w:after="180"/>
              <w:jc w:val="center"/>
              <w:rPr>
                <w:b/>
                <w:bCs/>
                <w:color w:val="FFFFFF" w:themeColor="background1"/>
                <w:sz w:val="20"/>
                <w:szCs w:val="20"/>
              </w:rPr>
            </w:pPr>
            <w:r w:rsidRPr="00C82E2D">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C82E2D" w:rsidRDefault="00910DE0" w:rsidP="00910DE0">
            <w:pPr>
              <w:spacing w:after="180"/>
              <w:jc w:val="center"/>
              <w:rPr>
                <w:b/>
                <w:bCs/>
                <w:color w:val="FFFFFF" w:themeColor="background1"/>
                <w:sz w:val="20"/>
                <w:szCs w:val="20"/>
              </w:rPr>
            </w:pPr>
            <w:r w:rsidRPr="00C82E2D">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C82E2D" w:rsidRDefault="00910DE0" w:rsidP="00910DE0">
            <w:pPr>
              <w:spacing w:after="180"/>
              <w:jc w:val="center"/>
              <w:rPr>
                <w:b/>
                <w:bCs/>
                <w:color w:val="FFFFFF" w:themeColor="background1"/>
                <w:sz w:val="20"/>
                <w:szCs w:val="20"/>
              </w:rPr>
            </w:pPr>
            <w:r w:rsidRPr="00C82E2D">
              <w:rPr>
                <w:b/>
                <w:bCs/>
                <w:color w:val="FFFFFF" w:themeColor="background1"/>
                <w:sz w:val="20"/>
                <w:szCs w:val="20"/>
              </w:rPr>
              <w:t>Data Points (#)</w:t>
            </w:r>
          </w:p>
        </w:tc>
        <w:tc>
          <w:tcPr>
            <w:tcW w:w="578" w:type="pct"/>
            <w:shd w:val="clear" w:color="auto" w:fill="4F81BD" w:themeFill="accent1"/>
            <w:vAlign w:val="center"/>
          </w:tcPr>
          <w:p w14:paraId="275B8C0E" w14:textId="1A9F0AE3" w:rsidR="00910DE0" w:rsidRPr="00C82E2D" w:rsidRDefault="00910DE0" w:rsidP="00910DE0">
            <w:pPr>
              <w:spacing w:after="180"/>
              <w:jc w:val="center"/>
              <w:rPr>
                <w:b/>
                <w:bCs/>
                <w:color w:val="FFFFFF" w:themeColor="background1"/>
                <w:sz w:val="20"/>
                <w:szCs w:val="20"/>
              </w:rPr>
            </w:pPr>
            <w:r w:rsidRPr="00C82E2D">
              <w:rPr>
                <w:b/>
                <w:bCs/>
                <w:color w:val="FFFFFF" w:themeColor="background1"/>
                <w:sz w:val="20"/>
                <w:szCs w:val="20"/>
              </w:rPr>
              <w:t>Sources (#)</w:t>
            </w:r>
          </w:p>
        </w:tc>
      </w:tr>
      <w:tr w:rsidR="003310DC" w:rsidRPr="006330C6" w14:paraId="64007F31" w14:textId="77777777" w:rsidTr="005C77F5">
        <w:trPr>
          <w:trHeight w:val="392"/>
          <w:jc w:val="center"/>
        </w:trPr>
        <w:tc>
          <w:tcPr>
            <w:tcW w:w="1220" w:type="pct"/>
            <w:vAlign w:val="center"/>
          </w:tcPr>
          <w:p w14:paraId="683BEBD1" w14:textId="6F1D2B0C" w:rsidR="003310DC" w:rsidRPr="00C82E2D" w:rsidRDefault="003310DC" w:rsidP="00910DE0">
            <w:pPr>
              <w:spacing w:after="180"/>
              <w:jc w:val="center"/>
              <w:rPr>
                <w:color w:val="000000" w:themeColor="text1"/>
                <w:sz w:val="20"/>
                <w:szCs w:val="20"/>
              </w:rPr>
            </w:pPr>
            <w:r w:rsidRPr="00C82E2D">
              <w:rPr>
                <w:color w:val="000000" w:themeColor="text1"/>
                <w:sz w:val="20"/>
                <w:szCs w:val="20"/>
              </w:rPr>
              <w:t>First costs (Solution)</w:t>
            </w:r>
          </w:p>
        </w:tc>
        <w:tc>
          <w:tcPr>
            <w:tcW w:w="862" w:type="pct"/>
            <w:vAlign w:val="center"/>
          </w:tcPr>
          <w:p w14:paraId="5DD2B087" w14:textId="1598E691" w:rsidR="003310DC" w:rsidRPr="00C82E2D" w:rsidRDefault="003310DC" w:rsidP="00910DE0">
            <w:pPr>
              <w:spacing w:after="180"/>
              <w:jc w:val="center"/>
              <w:rPr>
                <w:bCs/>
                <w:i/>
                <w:sz w:val="20"/>
                <w:szCs w:val="20"/>
              </w:rPr>
            </w:pPr>
            <w:r w:rsidRPr="00C82E2D">
              <w:rPr>
                <w:bCs/>
                <w:i/>
                <w:sz w:val="20"/>
                <w:szCs w:val="20"/>
              </w:rPr>
              <w:t>US$2014/kW</w:t>
            </w:r>
          </w:p>
        </w:tc>
        <w:tc>
          <w:tcPr>
            <w:tcW w:w="985" w:type="pct"/>
            <w:vAlign w:val="center"/>
          </w:tcPr>
          <w:p w14:paraId="76CB11B1" w14:textId="386B9031" w:rsidR="003310DC" w:rsidRPr="00254A8D" w:rsidRDefault="003310DC" w:rsidP="00910DE0">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2,</w:t>
            </w:r>
            <w:r w:rsidR="00254A8D" w:rsidRPr="00254A8D">
              <w:rPr>
                <w:rFonts w:eastAsia="Helvetica,Times New Roman" w:cstheme="minorHAnsi"/>
                <w:color w:val="000000" w:themeColor="text1"/>
                <w:sz w:val="20"/>
                <w:szCs w:val="20"/>
              </w:rPr>
              <w:t>327</w:t>
            </w:r>
            <w:r w:rsidRPr="00254A8D">
              <w:rPr>
                <w:rFonts w:eastAsia="Helvetica,Times New Roman" w:cstheme="minorHAnsi"/>
                <w:color w:val="000000" w:themeColor="text1"/>
                <w:sz w:val="20"/>
                <w:szCs w:val="20"/>
              </w:rPr>
              <w:t>-</w:t>
            </w:r>
            <w:r w:rsidR="00254A8D" w:rsidRPr="00254A8D">
              <w:rPr>
                <w:rFonts w:eastAsia="Helvetica,Times New Roman" w:cstheme="minorHAnsi"/>
                <w:color w:val="000000" w:themeColor="text1"/>
                <w:sz w:val="20"/>
                <w:szCs w:val="20"/>
              </w:rPr>
              <w:t>4,645</w:t>
            </w:r>
          </w:p>
        </w:tc>
        <w:tc>
          <w:tcPr>
            <w:tcW w:w="738" w:type="pct"/>
            <w:vAlign w:val="center"/>
          </w:tcPr>
          <w:p w14:paraId="6772ADA8" w14:textId="69928D71" w:rsidR="003310DC" w:rsidRPr="00254A8D" w:rsidRDefault="00254A8D" w:rsidP="00910DE0">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3,486</w:t>
            </w:r>
          </w:p>
        </w:tc>
        <w:tc>
          <w:tcPr>
            <w:tcW w:w="617" w:type="pct"/>
            <w:vAlign w:val="center"/>
          </w:tcPr>
          <w:p w14:paraId="357CF7B3" w14:textId="36450466" w:rsidR="003310DC" w:rsidRPr="00254A8D" w:rsidRDefault="00254A8D" w:rsidP="00910DE0">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52</w:t>
            </w:r>
          </w:p>
        </w:tc>
        <w:tc>
          <w:tcPr>
            <w:tcW w:w="578" w:type="pct"/>
            <w:vAlign w:val="center"/>
          </w:tcPr>
          <w:p w14:paraId="16375690" w14:textId="2CEE087F" w:rsidR="003310DC" w:rsidRPr="00254A8D" w:rsidRDefault="003310DC" w:rsidP="00910DE0">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1</w:t>
            </w:r>
            <w:r w:rsidR="00254A8D" w:rsidRPr="00254A8D">
              <w:rPr>
                <w:rFonts w:eastAsia="Helvetica,Times New Roman" w:cstheme="minorHAnsi"/>
                <w:color w:val="000000" w:themeColor="text1"/>
                <w:sz w:val="20"/>
                <w:szCs w:val="20"/>
              </w:rPr>
              <w:t>2</w:t>
            </w:r>
          </w:p>
        </w:tc>
      </w:tr>
      <w:tr w:rsidR="003310DC" w:rsidRPr="006330C6" w14:paraId="05EB8614" w14:textId="77777777" w:rsidTr="005C77F5">
        <w:trPr>
          <w:trHeight w:val="906"/>
          <w:jc w:val="center"/>
        </w:trPr>
        <w:tc>
          <w:tcPr>
            <w:tcW w:w="1220" w:type="pct"/>
            <w:vAlign w:val="center"/>
          </w:tcPr>
          <w:p w14:paraId="1D6539FF" w14:textId="1051D55A" w:rsidR="003310DC" w:rsidRPr="00C82E2D" w:rsidRDefault="003310DC" w:rsidP="00910DE0">
            <w:pPr>
              <w:spacing w:after="180"/>
              <w:jc w:val="center"/>
              <w:rPr>
                <w:color w:val="000000" w:themeColor="text1"/>
                <w:sz w:val="20"/>
                <w:szCs w:val="20"/>
              </w:rPr>
            </w:pPr>
            <w:r w:rsidRPr="00C82E2D">
              <w:rPr>
                <w:color w:val="000000" w:themeColor="text1"/>
                <w:sz w:val="20"/>
                <w:szCs w:val="20"/>
              </w:rPr>
              <w:t>Fixed Operation and Maintenance Costs (Solution)</w:t>
            </w:r>
          </w:p>
        </w:tc>
        <w:tc>
          <w:tcPr>
            <w:tcW w:w="862" w:type="pct"/>
            <w:vAlign w:val="center"/>
          </w:tcPr>
          <w:p w14:paraId="4F6EA089" w14:textId="25D2097E" w:rsidR="003310DC" w:rsidRPr="00C82E2D" w:rsidRDefault="003310DC" w:rsidP="00910DE0">
            <w:pPr>
              <w:spacing w:after="180"/>
              <w:jc w:val="center"/>
              <w:rPr>
                <w:bCs/>
                <w:i/>
                <w:sz w:val="20"/>
                <w:szCs w:val="20"/>
              </w:rPr>
            </w:pPr>
            <w:r w:rsidRPr="00C82E2D">
              <w:rPr>
                <w:bCs/>
                <w:i/>
                <w:sz w:val="20"/>
                <w:szCs w:val="20"/>
              </w:rPr>
              <w:t>US$2014/kW</w:t>
            </w:r>
          </w:p>
        </w:tc>
        <w:tc>
          <w:tcPr>
            <w:tcW w:w="985" w:type="pct"/>
            <w:vAlign w:val="center"/>
          </w:tcPr>
          <w:p w14:paraId="62118AC0" w14:textId="0646ED32" w:rsidR="003310DC" w:rsidRPr="00254A8D" w:rsidRDefault="00985E5D" w:rsidP="00910DE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59.16</w:t>
            </w:r>
            <w:r w:rsidR="008D097C" w:rsidRPr="00254A8D">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140.80</w:t>
            </w:r>
          </w:p>
        </w:tc>
        <w:tc>
          <w:tcPr>
            <w:tcW w:w="738" w:type="pct"/>
            <w:vAlign w:val="center"/>
          </w:tcPr>
          <w:p w14:paraId="5604BF91" w14:textId="423F2AC3" w:rsidR="003310DC" w:rsidRPr="00254A8D" w:rsidRDefault="00985E5D" w:rsidP="00910DE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99.98</w:t>
            </w:r>
          </w:p>
        </w:tc>
        <w:tc>
          <w:tcPr>
            <w:tcW w:w="617" w:type="pct"/>
            <w:vAlign w:val="center"/>
          </w:tcPr>
          <w:p w14:paraId="0F35F306" w14:textId="1AF01204" w:rsidR="003310DC" w:rsidRPr="00254A8D" w:rsidRDefault="008D097C" w:rsidP="00910DE0">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1</w:t>
            </w:r>
            <w:r w:rsidR="00254A8D" w:rsidRPr="00254A8D">
              <w:rPr>
                <w:rFonts w:eastAsia="Helvetica,Times New Roman" w:cstheme="minorHAnsi"/>
                <w:color w:val="000000" w:themeColor="text1"/>
                <w:sz w:val="20"/>
                <w:szCs w:val="20"/>
              </w:rPr>
              <w:t>1</w:t>
            </w:r>
          </w:p>
        </w:tc>
        <w:tc>
          <w:tcPr>
            <w:tcW w:w="578" w:type="pct"/>
            <w:vAlign w:val="center"/>
          </w:tcPr>
          <w:p w14:paraId="23B8DC63" w14:textId="5DA2CDBB" w:rsidR="003310DC" w:rsidRPr="00254A8D" w:rsidRDefault="00CA093B" w:rsidP="00910DE0">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6</w:t>
            </w:r>
          </w:p>
        </w:tc>
      </w:tr>
      <w:tr w:rsidR="003310DC" w:rsidRPr="006330C6" w14:paraId="11042F98" w14:textId="77777777" w:rsidTr="005C77F5">
        <w:trPr>
          <w:trHeight w:val="906"/>
          <w:jc w:val="center"/>
        </w:trPr>
        <w:tc>
          <w:tcPr>
            <w:tcW w:w="1220" w:type="pct"/>
            <w:vAlign w:val="center"/>
          </w:tcPr>
          <w:p w14:paraId="6896A39A" w14:textId="6F62DA8A" w:rsidR="003310DC" w:rsidRPr="00C82E2D" w:rsidRDefault="003310DC" w:rsidP="00910DE0">
            <w:pPr>
              <w:spacing w:after="180"/>
              <w:jc w:val="center"/>
              <w:rPr>
                <w:color w:val="000000" w:themeColor="text1"/>
                <w:sz w:val="20"/>
                <w:szCs w:val="20"/>
              </w:rPr>
            </w:pPr>
            <w:r w:rsidRPr="00C82E2D">
              <w:rPr>
                <w:color w:val="000000" w:themeColor="text1"/>
                <w:sz w:val="20"/>
                <w:szCs w:val="20"/>
              </w:rPr>
              <w:t>Variable Operation and Maintenance Costs (Solution)</w:t>
            </w:r>
          </w:p>
        </w:tc>
        <w:tc>
          <w:tcPr>
            <w:tcW w:w="862" w:type="pct"/>
            <w:vAlign w:val="center"/>
          </w:tcPr>
          <w:p w14:paraId="760F3F9B" w14:textId="137A6475" w:rsidR="003310DC" w:rsidRPr="00C82E2D" w:rsidRDefault="003310DC" w:rsidP="00910DE0">
            <w:pPr>
              <w:spacing w:after="180"/>
              <w:jc w:val="center"/>
              <w:rPr>
                <w:bCs/>
                <w:i/>
                <w:sz w:val="20"/>
                <w:szCs w:val="20"/>
              </w:rPr>
            </w:pPr>
            <w:r w:rsidRPr="00C82E2D">
              <w:rPr>
                <w:bCs/>
                <w:i/>
                <w:sz w:val="20"/>
                <w:szCs w:val="20"/>
              </w:rPr>
              <w:t>US$2014/kWh</w:t>
            </w:r>
          </w:p>
        </w:tc>
        <w:tc>
          <w:tcPr>
            <w:tcW w:w="985" w:type="pct"/>
            <w:vAlign w:val="center"/>
          </w:tcPr>
          <w:p w14:paraId="42081665" w14:textId="1FE81A0E" w:rsidR="003310DC" w:rsidRPr="00BE6836" w:rsidRDefault="008D097C" w:rsidP="00910DE0">
            <w:pPr>
              <w:spacing w:after="180"/>
              <w:jc w:val="center"/>
              <w:rPr>
                <w:rFonts w:eastAsia="Helvetica,Times New Roman" w:cstheme="minorHAnsi"/>
                <w:color w:val="000000" w:themeColor="text1"/>
                <w:sz w:val="20"/>
                <w:szCs w:val="20"/>
                <w:highlight w:val="lightGray"/>
              </w:rPr>
            </w:pPr>
            <w:r w:rsidRPr="00F95D1C">
              <w:rPr>
                <w:rFonts w:eastAsia="Helvetica,Times New Roman" w:cstheme="minorHAnsi"/>
                <w:color w:val="000000" w:themeColor="text1"/>
                <w:sz w:val="20"/>
                <w:szCs w:val="20"/>
              </w:rPr>
              <w:t>0 – 0.0</w:t>
            </w:r>
            <w:r w:rsidR="00F95D1C" w:rsidRPr="00F95D1C">
              <w:rPr>
                <w:rFonts w:eastAsia="Helvetica,Times New Roman" w:cstheme="minorHAnsi"/>
                <w:color w:val="000000" w:themeColor="text1"/>
                <w:sz w:val="20"/>
                <w:szCs w:val="20"/>
              </w:rPr>
              <w:t>47</w:t>
            </w:r>
          </w:p>
        </w:tc>
        <w:tc>
          <w:tcPr>
            <w:tcW w:w="738" w:type="pct"/>
            <w:vAlign w:val="center"/>
          </w:tcPr>
          <w:p w14:paraId="4B4FE88C" w14:textId="0AC3D1A8" w:rsidR="003310DC" w:rsidRPr="00BE6836" w:rsidRDefault="008D097C" w:rsidP="00910DE0">
            <w:pPr>
              <w:spacing w:after="180"/>
              <w:jc w:val="center"/>
              <w:rPr>
                <w:rFonts w:eastAsia="Helvetica,Times New Roman" w:cstheme="minorHAnsi"/>
                <w:color w:val="000000" w:themeColor="text1"/>
                <w:sz w:val="20"/>
                <w:szCs w:val="20"/>
                <w:highlight w:val="lightGray"/>
              </w:rPr>
            </w:pPr>
            <w:r w:rsidRPr="00F95D1C">
              <w:rPr>
                <w:rFonts w:eastAsia="Helvetica,Times New Roman" w:cstheme="minorHAnsi"/>
                <w:color w:val="000000" w:themeColor="text1"/>
                <w:sz w:val="20"/>
                <w:szCs w:val="20"/>
              </w:rPr>
              <w:t>0.0</w:t>
            </w:r>
            <w:r w:rsidR="00F95D1C" w:rsidRPr="00F95D1C">
              <w:rPr>
                <w:rFonts w:eastAsia="Helvetica,Times New Roman" w:cstheme="minorHAnsi"/>
                <w:color w:val="000000" w:themeColor="text1"/>
                <w:sz w:val="20"/>
                <w:szCs w:val="20"/>
              </w:rPr>
              <w:t>17</w:t>
            </w:r>
          </w:p>
        </w:tc>
        <w:tc>
          <w:tcPr>
            <w:tcW w:w="617" w:type="pct"/>
            <w:vAlign w:val="center"/>
          </w:tcPr>
          <w:p w14:paraId="5399241E" w14:textId="0E92045C" w:rsidR="003310DC" w:rsidRPr="00254A8D" w:rsidRDefault="00254A8D" w:rsidP="00910DE0">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7</w:t>
            </w:r>
          </w:p>
        </w:tc>
        <w:tc>
          <w:tcPr>
            <w:tcW w:w="578" w:type="pct"/>
            <w:vAlign w:val="center"/>
          </w:tcPr>
          <w:p w14:paraId="350B63E6" w14:textId="1E78BA94" w:rsidR="003310DC" w:rsidRPr="00254A8D" w:rsidRDefault="00254A8D" w:rsidP="00910DE0">
            <w:pPr>
              <w:spacing w:after="180"/>
              <w:jc w:val="center"/>
              <w:rPr>
                <w:rFonts w:eastAsia="Helvetica,Times New Roman" w:cstheme="minorHAnsi"/>
                <w:color w:val="000000" w:themeColor="text1"/>
                <w:sz w:val="20"/>
                <w:szCs w:val="20"/>
              </w:rPr>
            </w:pPr>
            <w:r w:rsidRPr="00254A8D">
              <w:rPr>
                <w:rFonts w:eastAsia="Helvetica,Times New Roman" w:cstheme="minorHAnsi"/>
                <w:color w:val="000000" w:themeColor="text1"/>
                <w:sz w:val="20"/>
                <w:szCs w:val="20"/>
              </w:rPr>
              <w:t>4</w:t>
            </w:r>
          </w:p>
        </w:tc>
      </w:tr>
      <w:tr w:rsidR="003310DC" w:rsidRPr="006330C6" w14:paraId="654430AF" w14:textId="77777777" w:rsidTr="00F95D1C">
        <w:trPr>
          <w:trHeight w:val="634"/>
          <w:jc w:val="center"/>
        </w:trPr>
        <w:tc>
          <w:tcPr>
            <w:tcW w:w="1220" w:type="pct"/>
            <w:vAlign w:val="center"/>
          </w:tcPr>
          <w:p w14:paraId="63DCB325" w14:textId="6FDB51BD" w:rsidR="003310DC" w:rsidRPr="00C82E2D" w:rsidRDefault="003310DC" w:rsidP="00F95D1C">
            <w:pPr>
              <w:spacing w:after="180"/>
              <w:jc w:val="center"/>
              <w:rPr>
                <w:color w:val="000000" w:themeColor="text1"/>
                <w:sz w:val="20"/>
                <w:szCs w:val="20"/>
              </w:rPr>
            </w:pPr>
            <w:r w:rsidRPr="00C82E2D">
              <w:rPr>
                <w:color w:val="000000" w:themeColor="text1"/>
                <w:sz w:val="20"/>
                <w:szCs w:val="20"/>
              </w:rPr>
              <w:t>Learning Rate Factor (Solution)</w:t>
            </w:r>
          </w:p>
        </w:tc>
        <w:tc>
          <w:tcPr>
            <w:tcW w:w="862" w:type="pct"/>
            <w:vAlign w:val="center"/>
          </w:tcPr>
          <w:p w14:paraId="24D17054" w14:textId="22E4F38D" w:rsidR="003310DC" w:rsidRPr="00C82E2D" w:rsidRDefault="003310DC" w:rsidP="00F95D1C">
            <w:pPr>
              <w:spacing w:after="180"/>
              <w:jc w:val="center"/>
              <w:rPr>
                <w:rStyle w:val="CommentReference"/>
                <w:sz w:val="20"/>
                <w:szCs w:val="20"/>
              </w:rPr>
            </w:pPr>
            <w:r w:rsidRPr="00C82E2D">
              <w:rPr>
                <w:rStyle w:val="CommentReference"/>
                <w:sz w:val="20"/>
                <w:szCs w:val="20"/>
              </w:rPr>
              <w:t>%</w:t>
            </w:r>
          </w:p>
        </w:tc>
        <w:tc>
          <w:tcPr>
            <w:tcW w:w="985" w:type="pct"/>
            <w:shd w:val="clear" w:color="auto" w:fill="auto"/>
            <w:vAlign w:val="center"/>
          </w:tcPr>
          <w:p w14:paraId="11CF10D9" w14:textId="262F7A3B" w:rsidR="003310DC" w:rsidRPr="00BE6836" w:rsidRDefault="008D097C" w:rsidP="00F95D1C">
            <w:pPr>
              <w:spacing w:after="180"/>
              <w:jc w:val="center"/>
              <w:rPr>
                <w:rFonts w:eastAsia="Helvetica,Times New Roman" w:cstheme="minorHAnsi"/>
                <w:color w:val="000000" w:themeColor="text1"/>
                <w:sz w:val="20"/>
                <w:szCs w:val="20"/>
                <w:highlight w:val="lightGray"/>
              </w:rPr>
            </w:pPr>
            <w:r w:rsidRPr="00F95D1C">
              <w:rPr>
                <w:rFonts w:eastAsia="Helvetica,Times New Roman" w:cstheme="minorHAnsi"/>
                <w:color w:val="000000" w:themeColor="text1"/>
                <w:sz w:val="20"/>
                <w:szCs w:val="20"/>
              </w:rPr>
              <w:t xml:space="preserve">2.6 – </w:t>
            </w:r>
            <w:r w:rsidR="00806847" w:rsidRPr="00F95D1C">
              <w:rPr>
                <w:rFonts w:eastAsia="Helvetica,Times New Roman" w:cstheme="minorHAnsi"/>
                <w:color w:val="000000" w:themeColor="text1"/>
                <w:sz w:val="20"/>
                <w:szCs w:val="20"/>
              </w:rPr>
              <w:t>13.9</w:t>
            </w:r>
          </w:p>
        </w:tc>
        <w:tc>
          <w:tcPr>
            <w:tcW w:w="738" w:type="pct"/>
            <w:vAlign w:val="center"/>
          </w:tcPr>
          <w:p w14:paraId="4FC60F80" w14:textId="036B18DF" w:rsidR="003310DC" w:rsidRPr="00F95D1C" w:rsidRDefault="008D097C" w:rsidP="00F95D1C">
            <w:pPr>
              <w:jc w:val="center"/>
              <w:rPr>
                <w:bCs/>
                <w:sz w:val="20"/>
                <w:szCs w:val="20"/>
              </w:rPr>
            </w:pPr>
            <w:r w:rsidRPr="00F95D1C">
              <w:rPr>
                <w:bCs/>
                <w:sz w:val="20"/>
                <w:szCs w:val="20"/>
              </w:rPr>
              <w:t>8.20%</w:t>
            </w:r>
          </w:p>
        </w:tc>
        <w:tc>
          <w:tcPr>
            <w:tcW w:w="617" w:type="pct"/>
            <w:vAlign w:val="center"/>
          </w:tcPr>
          <w:p w14:paraId="7C4D83F4" w14:textId="3AB4EB60" w:rsidR="003310DC" w:rsidRPr="00F95D1C" w:rsidRDefault="008D097C" w:rsidP="00F95D1C">
            <w:pPr>
              <w:spacing w:after="180"/>
              <w:jc w:val="center"/>
              <w:rPr>
                <w:rFonts w:eastAsia="Helvetica,Times New Roman" w:cstheme="minorHAnsi"/>
                <w:color w:val="000000" w:themeColor="text1"/>
                <w:sz w:val="20"/>
                <w:szCs w:val="20"/>
              </w:rPr>
            </w:pPr>
            <w:r w:rsidRPr="00F95D1C">
              <w:rPr>
                <w:rFonts w:eastAsia="Helvetica,Times New Roman" w:cstheme="minorHAnsi"/>
                <w:color w:val="000000" w:themeColor="text1"/>
                <w:sz w:val="20"/>
                <w:szCs w:val="20"/>
              </w:rPr>
              <w:t>8</w:t>
            </w:r>
          </w:p>
        </w:tc>
        <w:tc>
          <w:tcPr>
            <w:tcW w:w="578" w:type="pct"/>
            <w:vAlign w:val="center"/>
          </w:tcPr>
          <w:p w14:paraId="44CC1B68" w14:textId="0FDB2F1B" w:rsidR="003310DC" w:rsidRPr="00F95D1C" w:rsidRDefault="008D097C" w:rsidP="00F95D1C">
            <w:pPr>
              <w:spacing w:after="180"/>
              <w:jc w:val="center"/>
              <w:rPr>
                <w:rFonts w:eastAsia="Helvetica,Times New Roman" w:cstheme="minorHAnsi"/>
                <w:color w:val="000000" w:themeColor="text1"/>
                <w:sz w:val="20"/>
                <w:szCs w:val="20"/>
              </w:rPr>
            </w:pPr>
            <w:r w:rsidRPr="00F95D1C">
              <w:rPr>
                <w:rFonts w:eastAsia="Helvetica,Times New Roman" w:cstheme="minorHAnsi"/>
                <w:color w:val="000000" w:themeColor="text1"/>
                <w:sz w:val="20"/>
                <w:szCs w:val="20"/>
              </w:rPr>
              <w:t>4</w:t>
            </w:r>
          </w:p>
        </w:tc>
      </w:tr>
    </w:tbl>
    <w:p w14:paraId="56260956" w14:textId="77777777" w:rsidR="001D17E8" w:rsidRPr="006330C6" w:rsidRDefault="001D17E8" w:rsidP="00EB247F">
      <w:pPr>
        <w:rPr>
          <w:highlight w:val="red"/>
        </w:rPr>
      </w:pPr>
    </w:p>
    <w:p w14:paraId="56F5BC32" w14:textId="146E1F0E" w:rsidR="001D17E8" w:rsidRPr="002A6219" w:rsidRDefault="00E069AC" w:rsidP="00EB247F">
      <w:pPr>
        <w:pStyle w:val="Heading3"/>
      </w:pPr>
      <w:bookmarkStart w:id="39" w:name="_Toc18619522"/>
      <w:r w:rsidRPr="002A6219">
        <w:t>Technical Inputs</w:t>
      </w:r>
      <w:bookmarkEnd w:id="39"/>
    </w:p>
    <w:p w14:paraId="6E9118C9" w14:textId="6A064C70" w:rsidR="00CB000A" w:rsidRPr="002A6219" w:rsidRDefault="002A6219" w:rsidP="002A6219">
      <w:pPr>
        <w:widowControl w:val="0"/>
        <w:autoSpaceDE w:val="0"/>
        <w:autoSpaceDN w:val="0"/>
        <w:adjustRightInd w:val="0"/>
      </w:pPr>
      <w:r>
        <w:t xml:space="preserve">Table 2.4 present the technical </w:t>
      </w:r>
      <w:r w:rsidR="00E56167">
        <w:t>inputs</w:t>
      </w:r>
      <w:r>
        <w:t xml:space="preserve"> used for the conventional technologies in the RRS model. </w:t>
      </w:r>
      <w:r w:rsidR="00014DE8" w:rsidRPr="002A6219">
        <w:rPr>
          <w:bCs/>
        </w:rPr>
        <w:t xml:space="preserve">A lifetime capacity of </w:t>
      </w:r>
      <w:r w:rsidRPr="002A6219">
        <w:rPr>
          <w:bCs/>
        </w:rPr>
        <w:t>68,815</w:t>
      </w:r>
      <w:r w:rsidR="00014DE8" w:rsidRPr="002A6219">
        <w:rPr>
          <w:bCs/>
        </w:rPr>
        <w:t xml:space="preserve"> hours (around 2</w:t>
      </w:r>
      <w:r w:rsidRPr="002A6219">
        <w:rPr>
          <w:bCs/>
        </w:rPr>
        <w:t>3</w:t>
      </w:r>
      <w:r w:rsidR="00014DE8" w:rsidRPr="002A6219">
        <w:rPr>
          <w:bCs/>
        </w:rPr>
        <w:t xml:space="preserve"> years) was calculated </w:t>
      </w:r>
      <w:r w:rsidRPr="002A6219">
        <w:rPr>
          <w:bCs/>
        </w:rPr>
        <w:t xml:space="preserve">for wind offshore, </w:t>
      </w:r>
      <w:r w:rsidR="00014DE8" w:rsidRPr="002A6219">
        <w:rPr>
          <w:bCs/>
        </w:rPr>
        <w:t>depending on the average powerplant annual use.</w:t>
      </w:r>
      <w:r w:rsidRPr="002A6219">
        <w:t xml:space="preserve"> </w:t>
      </w:r>
      <w:r w:rsidR="00CB000A" w:rsidRPr="002A6219">
        <w:t>A capacity factor of 3</w:t>
      </w:r>
      <w:r w:rsidRPr="002A6219">
        <w:t>4</w:t>
      </w:r>
      <w:r w:rsidR="00CB000A" w:rsidRPr="002A6219">
        <w:t>% is used reflecting the global average</w:t>
      </w:r>
      <w:r w:rsidRPr="002A6219">
        <w:t xml:space="preserve"> from the data collecte</w:t>
      </w:r>
      <w:r>
        <w:t>d (Table 2.5)</w:t>
      </w:r>
      <w:r w:rsidR="00CB000A" w:rsidRPr="002A6219">
        <w:t>.</w:t>
      </w:r>
    </w:p>
    <w:p w14:paraId="3CE5966B" w14:textId="1B2D615A" w:rsidR="000875B5" w:rsidRPr="00593535"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40" w:name="_Toc535272079"/>
      <w:r w:rsidRPr="00593535">
        <w:t xml:space="preserve">Table </w:t>
      </w:r>
      <w:fldSimple w:instr=" STYLEREF 1 \s ">
        <w:r w:rsidRPr="00593535">
          <w:t>2</w:t>
        </w:r>
      </w:fldSimple>
      <w:r w:rsidRPr="00593535">
        <w:t>.</w:t>
      </w:r>
      <w:r w:rsidR="00D158BC" w:rsidRPr="00593535">
        <w:rPr>
          <w:noProof/>
        </w:rPr>
        <w:fldChar w:fldCharType="begin"/>
      </w:r>
      <w:r w:rsidR="00D158BC" w:rsidRPr="00593535">
        <w:rPr>
          <w:noProof/>
        </w:rPr>
        <w:instrText xml:space="preserve"> SEQ Table \* ARABIC \s 1 </w:instrText>
      </w:r>
      <w:r w:rsidR="00D158BC" w:rsidRPr="00593535">
        <w:rPr>
          <w:noProof/>
        </w:rPr>
        <w:fldChar w:fldCharType="separate"/>
      </w:r>
      <w:r w:rsidR="00E978D4" w:rsidRPr="00593535">
        <w:rPr>
          <w:noProof/>
        </w:rPr>
        <w:t>4</w:t>
      </w:r>
      <w:r w:rsidR="00D158BC" w:rsidRPr="00593535">
        <w:rPr>
          <w:noProof/>
        </w:rPr>
        <w:fldChar w:fldCharType="end"/>
      </w:r>
      <w:r w:rsidRPr="00593535">
        <w:t xml:space="preserve"> Technical Inputs</w:t>
      </w:r>
      <w:r w:rsidR="00E978D4" w:rsidRPr="00593535">
        <w:t xml:space="preserve"> Conventional Technologies</w:t>
      </w:r>
      <w:bookmarkEnd w:id="40"/>
    </w:p>
    <w:tbl>
      <w:tblPr>
        <w:tblStyle w:val="TableGrid"/>
        <w:tblW w:w="9020" w:type="dxa"/>
        <w:jc w:val="center"/>
        <w:tblLook w:val="04A0" w:firstRow="1" w:lastRow="0" w:firstColumn="1" w:lastColumn="0" w:noHBand="0" w:noVBand="1"/>
      </w:tblPr>
      <w:tblGrid>
        <w:gridCol w:w="1880"/>
        <w:gridCol w:w="1237"/>
        <w:gridCol w:w="1694"/>
        <w:gridCol w:w="1499"/>
        <w:gridCol w:w="1408"/>
        <w:gridCol w:w="1302"/>
      </w:tblGrid>
      <w:tr w:rsidR="00E978D4" w:rsidRPr="00593535" w14:paraId="6018AB22" w14:textId="77777777" w:rsidTr="00BE6836">
        <w:trPr>
          <w:trHeight w:val="1726"/>
          <w:jc w:val="center"/>
        </w:trPr>
        <w:tc>
          <w:tcPr>
            <w:tcW w:w="1880" w:type="dxa"/>
            <w:shd w:val="clear" w:color="auto" w:fill="4F81BD" w:themeFill="accent1"/>
            <w:vAlign w:val="center"/>
          </w:tcPr>
          <w:p w14:paraId="4EC8594B" w14:textId="77777777" w:rsidR="00E978D4" w:rsidRPr="00593535" w:rsidRDefault="00E978D4" w:rsidP="00E978D4">
            <w:pPr>
              <w:spacing w:after="180"/>
              <w:jc w:val="center"/>
              <w:rPr>
                <w:rFonts w:eastAsia="Helvetica,Times New Roman" w:cstheme="minorHAnsi"/>
                <w:b/>
                <w:color w:val="FFFFFF" w:themeColor="background1"/>
                <w:sz w:val="20"/>
                <w:szCs w:val="20"/>
              </w:rPr>
            </w:pPr>
          </w:p>
        </w:tc>
        <w:tc>
          <w:tcPr>
            <w:tcW w:w="1237" w:type="dxa"/>
            <w:shd w:val="clear" w:color="auto" w:fill="4F81BD" w:themeFill="accent1"/>
            <w:vAlign w:val="center"/>
          </w:tcPr>
          <w:p w14:paraId="2319849B" w14:textId="56E33788" w:rsidR="00E978D4" w:rsidRPr="00593535" w:rsidRDefault="00E978D4" w:rsidP="00E978D4">
            <w:pPr>
              <w:spacing w:after="180"/>
              <w:jc w:val="center"/>
              <w:rPr>
                <w:b/>
                <w:bCs/>
                <w:color w:val="FFFFFF" w:themeColor="background1"/>
                <w:sz w:val="20"/>
                <w:szCs w:val="20"/>
              </w:rPr>
            </w:pPr>
            <w:r w:rsidRPr="00593535">
              <w:rPr>
                <w:b/>
                <w:bCs/>
                <w:color w:val="FFFFFF" w:themeColor="background1"/>
                <w:sz w:val="20"/>
                <w:szCs w:val="20"/>
              </w:rPr>
              <w:t>Units</w:t>
            </w:r>
          </w:p>
        </w:tc>
        <w:tc>
          <w:tcPr>
            <w:tcW w:w="1694" w:type="dxa"/>
            <w:shd w:val="clear" w:color="auto" w:fill="4F81BD" w:themeFill="accent1"/>
            <w:vAlign w:val="center"/>
          </w:tcPr>
          <w:p w14:paraId="311DE699" w14:textId="661DD11D" w:rsidR="00E978D4" w:rsidRPr="00593535" w:rsidRDefault="00E978D4" w:rsidP="00E978D4">
            <w:pPr>
              <w:spacing w:after="180"/>
              <w:jc w:val="center"/>
              <w:rPr>
                <w:b/>
                <w:bCs/>
                <w:color w:val="FFFFFF" w:themeColor="background1"/>
                <w:sz w:val="20"/>
                <w:szCs w:val="20"/>
              </w:rPr>
            </w:pPr>
            <w:r w:rsidRPr="00593535">
              <w:rPr>
                <w:b/>
                <w:bCs/>
                <w:color w:val="FFFFFF" w:themeColor="background1"/>
                <w:sz w:val="20"/>
                <w:szCs w:val="20"/>
              </w:rPr>
              <w:t>Project Drawdown Data Set Range</w:t>
            </w:r>
          </w:p>
        </w:tc>
        <w:tc>
          <w:tcPr>
            <w:tcW w:w="1499" w:type="dxa"/>
            <w:shd w:val="clear" w:color="auto" w:fill="4F81BD" w:themeFill="accent1"/>
            <w:vAlign w:val="center"/>
          </w:tcPr>
          <w:p w14:paraId="63244B3B" w14:textId="3199A5F9" w:rsidR="00E978D4" w:rsidRPr="00593535" w:rsidRDefault="00E978D4" w:rsidP="00E978D4">
            <w:pPr>
              <w:spacing w:after="180"/>
              <w:jc w:val="center"/>
              <w:rPr>
                <w:b/>
                <w:bCs/>
                <w:color w:val="FFFFFF" w:themeColor="background1"/>
                <w:sz w:val="20"/>
                <w:szCs w:val="20"/>
              </w:rPr>
            </w:pPr>
            <w:r w:rsidRPr="00593535">
              <w:rPr>
                <w:b/>
                <w:bCs/>
                <w:color w:val="FFFFFF" w:themeColor="background1"/>
                <w:sz w:val="20"/>
                <w:szCs w:val="20"/>
              </w:rPr>
              <w:t>Model Input</w:t>
            </w:r>
          </w:p>
        </w:tc>
        <w:tc>
          <w:tcPr>
            <w:tcW w:w="1408" w:type="dxa"/>
            <w:shd w:val="clear" w:color="auto" w:fill="4F81BD" w:themeFill="accent1"/>
            <w:vAlign w:val="center"/>
          </w:tcPr>
          <w:p w14:paraId="0266F380" w14:textId="6CDC42DD" w:rsidR="00E978D4" w:rsidRPr="00593535" w:rsidRDefault="00E978D4" w:rsidP="00E978D4">
            <w:pPr>
              <w:spacing w:after="180"/>
              <w:jc w:val="center"/>
              <w:rPr>
                <w:b/>
                <w:bCs/>
                <w:color w:val="FFFFFF" w:themeColor="background1"/>
                <w:sz w:val="20"/>
                <w:szCs w:val="20"/>
              </w:rPr>
            </w:pPr>
            <w:r w:rsidRPr="00593535">
              <w:rPr>
                <w:b/>
                <w:bCs/>
                <w:color w:val="FFFFFF" w:themeColor="background1"/>
                <w:sz w:val="20"/>
                <w:szCs w:val="20"/>
              </w:rPr>
              <w:t>Data Points (#)</w:t>
            </w:r>
          </w:p>
        </w:tc>
        <w:tc>
          <w:tcPr>
            <w:tcW w:w="1302" w:type="dxa"/>
            <w:shd w:val="clear" w:color="auto" w:fill="4F81BD" w:themeFill="accent1"/>
            <w:vAlign w:val="center"/>
          </w:tcPr>
          <w:p w14:paraId="4298198A" w14:textId="22583AB3" w:rsidR="00E978D4" w:rsidRPr="00593535" w:rsidRDefault="00E978D4" w:rsidP="00E978D4">
            <w:pPr>
              <w:spacing w:after="180"/>
              <w:jc w:val="center"/>
              <w:rPr>
                <w:b/>
                <w:bCs/>
                <w:color w:val="FFFFFF" w:themeColor="background1"/>
                <w:sz w:val="20"/>
                <w:szCs w:val="20"/>
              </w:rPr>
            </w:pPr>
            <w:r w:rsidRPr="00593535">
              <w:rPr>
                <w:b/>
                <w:bCs/>
                <w:color w:val="FFFFFF" w:themeColor="background1"/>
                <w:sz w:val="20"/>
                <w:szCs w:val="20"/>
              </w:rPr>
              <w:t>Sources (#)</w:t>
            </w:r>
          </w:p>
        </w:tc>
      </w:tr>
      <w:tr w:rsidR="0028022C" w:rsidRPr="00593535" w14:paraId="63867CFF" w14:textId="77777777" w:rsidTr="00BE6836">
        <w:trPr>
          <w:trHeight w:val="1276"/>
          <w:jc w:val="center"/>
        </w:trPr>
        <w:tc>
          <w:tcPr>
            <w:tcW w:w="1880" w:type="dxa"/>
            <w:vAlign w:val="center"/>
          </w:tcPr>
          <w:p w14:paraId="5BEA9C34" w14:textId="4FC4E198" w:rsidR="0028022C" w:rsidRPr="00593535" w:rsidRDefault="0028022C" w:rsidP="0028022C">
            <w:pPr>
              <w:jc w:val="center"/>
              <w:rPr>
                <w:color w:val="000000" w:themeColor="text1"/>
                <w:sz w:val="20"/>
                <w:szCs w:val="20"/>
              </w:rPr>
            </w:pPr>
            <w:r w:rsidRPr="00593535">
              <w:rPr>
                <w:bCs/>
                <w:sz w:val="20"/>
                <w:szCs w:val="20"/>
              </w:rPr>
              <w:t>Lifetime Capacity (Conventional)</w:t>
            </w:r>
          </w:p>
        </w:tc>
        <w:tc>
          <w:tcPr>
            <w:tcW w:w="1237" w:type="dxa"/>
            <w:vAlign w:val="center"/>
          </w:tcPr>
          <w:p w14:paraId="78FC6EF1" w14:textId="0926873B" w:rsidR="0028022C" w:rsidRPr="00593535" w:rsidRDefault="0028022C" w:rsidP="0028022C">
            <w:pPr>
              <w:spacing w:after="180"/>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694" w:type="dxa"/>
            <w:vAlign w:val="center"/>
          </w:tcPr>
          <w:p w14:paraId="4812F414" w14:textId="7DF4029E" w:rsidR="0028022C" w:rsidRPr="00593535" w:rsidRDefault="0028022C" w:rsidP="0028022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121,807</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222,351</w:t>
            </w:r>
          </w:p>
        </w:tc>
        <w:tc>
          <w:tcPr>
            <w:tcW w:w="1499" w:type="dxa"/>
            <w:vAlign w:val="center"/>
          </w:tcPr>
          <w:p w14:paraId="1A2A7431" w14:textId="6DB658D6" w:rsidR="0028022C" w:rsidRPr="00A54B9F" w:rsidRDefault="0028022C" w:rsidP="0028022C">
            <w:pPr>
              <w:spacing w:after="180"/>
              <w:jc w:val="center"/>
              <w:rPr>
                <w:rFonts w:eastAsia="Helvetica,Times New Roman" w:cstheme="minorHAnsi"/>
                <w:color w:val="000000" w:themeColor="text1"/>
                <w:sz w:val="20"/>
                <w:szCs w:val="20"/>
                <w:highlight w:val="lightGray"/>
              </w:rPr>
            </w:pPr>
            <w:r w:rsidRPr="00372A3C">
              <w:rPr>
                <w:rFonts w:eastAsia="Helvetica,Times New Roman" w:cstheme="minorHAnsi"/>
                <w:color w:val="000000" w:themeColor="text1"/>
                <w:sz w:val="20"/>
                <w:szCs w:val="20"/>
              </w:rPr>
              <w:t>172,079</w:t>
            </w:r>
          </w:p>
        </w:tc>
        <w:tc>
          <w:tcPr>
            <w:tcW w:w="1408" w:type="dxa"/>
            <w:vAlign w:val="center"/>
          </w:tcPr>
          <w:p w14:paraId="69B835DE" w14:textId="12C122B3" w:rsidR="0028022C" w:rsidRPr="00593535" w:rsidRDefault="0028022C" w:rsidP="0028022C">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12</w:t>
            </w:r>
          </w:p>
        </w:tc>
        <w:tc>
          <w:tcPr>
            <w:tcW w:w="1302" w:type="dxa"/>
            <w:vAlign w:val="center"/>
          </w:tcPr>
          <w:p w14:paraId="5AF77D15" w14:textId="073F8275" w:rsidR="0028022C" w:rsidRPr="00593535" w:rsidRDefault="0028022C" w:rsidP="0028022C">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6</w:t>
            </w:r>
          </w:p>
        </w:tc>
      </w:tr>
      <w:tr w:rsidR="0028022C" w:rsidRPr="006330C6" w14:paraId="1D67C409" w14:textId="77777777" w:rsidTr="00BE6836">
        <w:trPr>
          <w:trHeight w:val="1276"/>
          <w:jc w:val="center"/>
        </w:trPr>
        <w:tc>
          <w:tcPr>
            <w:tcW w:w="1880" w:type="dxa"/>
            <w:vAlign w:val="center"/>
          </w:tcPr>
          <w:p w14:paraId="5ADDAC7F" w14:textId="03E0CEB2" w:rsidR="0028022C" w:rsidRPr="00593535" w:rsidRDefault="0028022C" w:rsidP="0028022C">
            <w:pPr>
              <w:jc w:val="center"/>
              <w:rPr>
                <w:color w:val="000000" w:themeColor="text1"/>
                <w:sz w:val="20"/>
                <w:szCs w:val="20"/>
              </w:rPr>
            </w:pPr>
            <w:r w:rsidRPr="00593535">
              <w:rPr>
                <w:bCs/>
                <w:sz w:val="20"/>
                <w:szCs w:val="20"/>
              </w:rPr>
              <w:t>Average Annual Use (Conventional)</w:t>
            </w:r>
          </w:p>
        </w:tc>
        <w:tc>
          <w:tcPr>
            <w:tcW w:w="1237" w:type="dxa"/>
            <w:vAlign w:val="center"/>
          </w:tcPr>
          <w:p w14:paraId="3731A45E" w14:textId="06577355" w:rsidR="0028022C" w:rsidRPr="00593535" w:rsidRDefault="0028022C" w:rsidP="0028022C">
            <w:pPr>
              <w:spacing w:after="180"/>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694" w:type="dxa"/>
            <w:vAlign w:val="center"/>
          </w:tcPr>
          <w:p w14:paraId="08234FBE" w14:textId="106BDC89" w:rsidR="0028022C" w:rsidRPr="00593535" w:rsidRDefault="0028022C" w:rsidP="0028022C">
            <w:pPr>
              <w:spacing w:after="180"/>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3,33</w:t>
            </w:r>
            <w:r>
              <w:rPr>
                <w:rFonts w:eastAsia="Helvetica,Times New Roman" w:cstheme="minorHAnsi"/>
                <w:color w:val="000000" w:themeColor="text1"/>
                <w:sz w:val="20"/>
                <w:szCs w:val="20"/>
              </w:rPr>
              <w:t>7</w:t>
            </w:r>
            <w:r w:rsidRPr="00593535">
              <w:rPr>
                <w:rFonts w:eastAsia="Helvetica,Times New Roman" w:cstheme="minorHAnsi"/>
                <w:color w:val="000000" w:themeColor="text1"/>
                <w:sz w:val="20"/>
                <w:szCs w:val="20"/>
              </w:rPr>
              <w:t>– 6,</w:t>
            </w:r>
            <w:r>
              <w:rPr>
                <w:rFonts w:eastAsia="Helvetica,Times New Roman" w:cstheme="minorHAnsi"/>
                <w:color w:val="000000" w:themeColor="text1"/>
                <w:sz w:val="20"/>
                <w:szCs w:val="20"/>
              </w:rPr>
              <w:t>587</w:t>
            </w:r>
          </w:p>
        </w:tc>
        <w:tc>
          <w:tcPr>
            <w:tcW w:w="1499" w:type="dxa"/>
            <w:vAlign w:val="center"/>
          </w:tcPr>
          <w:p w14:paraId="4DB6DDA0" w14:textId="129B644F" w:rsidR="0028022C" w:rsidRPr="00A54B9F" w:rsidRDefault="0028022C" w:rsidP="0028022C">
            <w:pPr>
              <w:jc w:val="center"/>
              <w:rPr>
                <w:bCs/>
                <w:sz w:val="20"/>
                <w:szCs w:val="20"/>
                <w:highlight w:val="lightGray"/>
              </w:rPr>
            </w:pPr>
            <w:r w:rsidRPr="00372A3C">
              <w:rPr>
                <w:bCs/>
                <w:sz w:val="20"/>
                <w:szCs w:val="20"/>
              </w:rPr>
              <w:t>4,962</w:t>
            </w:r>
          </w:p>
        </w:tc>
        <w:tc>
          <w:tcPr>
            <w:tcW w:w="1408" w:type="dxa"/>
            <w:vAlign w:val="center"/>
          </w:tcPr>
          <w:p w14:paraId="7B612667" w14:textId="06B42884" w:rsidR="0028022C" w:rsidRPr="00593535" w:rsidRDefault="0028022C" w:rsidP="0028022C">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23</w:t>
            </w:r>
          </w:p>
        </w:tc>
        <w:tc>
          <w:tcPr>
            <w:tcW w:w="1302" w:type="dxa"/>
            <w:vAlign w:val="center"/>
          </w:tcPr>
          <w:p w14:paraId="590B311B" w14:textId="672CCD5A" w:rsidR="0028022C" w:rsidRPr="00593535" w:rsidRDefault="0028022C" w:rsidP="0028022C">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4</w:t>
            </w:r>
          </w:p>
        </w:tc>
      </w:tr>
    </w:tbl>
    <w:p w14:paraId="18EFA6FA" w14:textId="77777777" w:rsidR="000875B5" w:rsidRPr="006330C6" w:rsidRDefault="000875B5" w:rsidP="00EB247F">
      <w:pPr>
        <w:spacing w:after="0"/>
        <w:rPr>
          <w:bCs/>
          <w:highlight w:val="red"/>
        </w:rPr>
      </w:pPr>
    </w:p>
    <w:p w14:paraId="71759B8A" w14:textId="6259838D" w:rsidR="00E978D4" w:rsidRPr="002A6219"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41" w:name="_Toc535272080"/>
      <w:r w:rsidRPr="002A6219">
        <w:t xml:space="preserve">Table </w:t>
      </w:r>
      <w:fldSimple w:instr=" STYLEREF 1 \s ">
        <w:r w:rsidRPr="002A6219">
          <w:t>2</w:t>
        </w:r>
      </w:fldSimple>
      <w:r w:rsidRPr="002A6219">
        <w:t>.</w:t>
      </w:r>
      <w:r w:rsidRPr="002A6219">
        <w:rPr>
          <w:noProof/>
        </w:rPr>
        <w:fldChar w:fldCharType="begin"/>
      </w:r>
      <w:r w:rsidRPr="002A6219">
        <w:rPr>
          <w:noProof/>
        </w:rPr>
        <w:instrText xml:space="preserve"> SEQ Table \* ARABIC \s 1 </w:instrText>
      </w:r>
      <w:r w:rsidRPr="002A6219">
        <w:rPr>
          <w:noProof/>
        </w:rPr>
        <w:fldChar w:fldCharType="separate"/>
      </w:r>
      <w:r w:rsidRPr="002A6219">
        <w:rPr>
          <w:noProof/>
        </w:rPr>
        <w:t>5</w:t>
      </w:r>
      <w:r w:rsidRPr="002A6219">
        <w:rPr>
          <w:noProof/>
        </w:rPr>
        <w:fldChar w:fldCharType="end"/>
      </w:r>
      <w:r w:rsidRPr="002A6219">
        <w:t xml:space="preserve"> Technical Inputs Solution</w:t>
      </w:r>
      <w:bookmarkEnd w:id="41"/>
    </w:p>
    <w:tbl>
      <w:tblPr>
        <w:tblStyle w:val="TableGrid"/>
        <w:tblW w:w="9074" w:type="dxa"/>
        <w:jc w:val="center"/>
        <w:tblLook w:val="04A0" w:firstRow="1" w:lastRow="0" w:firstColumn="1" w:lastColumn="0" w:noHBand="0" w:noVBand="1"/>
      </w:tblPr>
      <w:tblGrid>
        <w:gridCol w:w="1974"/>
        <w:gridCol w:w="1297"/>
        <w:gridCol w:w="1906"/>
        <w:gridCol w:w="1479"/>
        <w:gridCol w:w="1474"/>
        <w:gridCol w:w="944"/>
      </w:tblGrid>
      <w:tr w:rsidR="00E978D4" w:rsidRPr="006330C6" w14:paraId="13C00DA5" w14:textId="77777777" w:rsidTr="00BE6836">
        <w:trPr>
          <w:trHeight w:val="619"/>
          <w:jc w:val="center"/>
        </w:trPr>
        <w:tc>
          <w:tcPr>
            <w:tcW w:w="1974" w:type="dxa"/>
            <w:shd w:val="clear" w:color="auto" w:fill="4F81BD" w:themeFill="accent1"/>
            <w:vAlign w:val="center"/>
          </w:tcPr>
          <w:p w14:paraId="348EFAF2" w14:textId="77777777" w:rsidR="00E978D4" w:rsidRPr="002A6219" w:rsidRDefault="00E978D4" w:rsidP="00396031">
            <w:pPr>
              <w:spacing w:after="180"/>
              <w:jc w:val="center"/>
              <w:rPr>
                <w:rFonts w:eastAsia="Helvetica,Times New Roman" w:cstheme="minorHAnsi"/>
                <w:b/>
                <w:color w:val="FFFFFF" w:themeColor="background1"/>
                <w:sz w:val="20"/>
                <w:szCs w:val="20"/>
              </w:rPr>
            </w:pPr>
          </w:p>
        </w:tc>
        <w:tc>
          <w:tcPr>
            <w:tcW w:w="1297" w:type="dxa"/>
            <w:shd w:val="clear" w:color="auto" w:fill="4F81BD" w:themeFill="accent1"/>
            <w:vAlign w:val="center"/>
          </w:tcPr>
          <w:p w14:paraId="6C3DD347" w14:textId="77777777" w:rsidR="00E978D4" w:rsidRPr="002A6219" w:rsidRDefault="00E978D4" w:rsidP="00396031">
            <w:pPr>
              <w:spacing w:after="180"/>
              <w:jc w:val="center"/>
              <w:rPr>
                <w:b/>
                <w:bCs/>
                <w:color w:val="FFFFFF" w:themeColor="background1"/>
                <w:sz w:val="20"/>
                <w:szCs w:val="20"/>
              </w:rPr>
            </w:pPr>
            <w:r w:rsidRPr="002A6219">
              <w:rPr>
                <w:b/>
                <w:bCs/>
                <w:color w:val="FFFFFF" w:themeColor="background1"/>
                <w:sz w:val="20"/>
                <w:szCs w:val="20"/>
              </w:rPr>
              <w:t>Units</w:t>
            </w:r>
          </w:p>
        </w:tc>
        <w:tc>
          <w:tcPr>
            <w:tcW w:w="1906" w:type="dxa"/>
            <w:shd w:val="clear" w:color="auto" w:fill="4F81BD" w:themeFill="accent1"/>
            <w:vAlign w:val="center"/>
          </w:tcPr>
          <w:p w14:paraId="1ADF41EE" w14:textId="77777777" w:rsidR="00E978D4" w:rsidRPr="002A6219" w:rsidRDefault="00E978D4" w:rsidP="00396031">
            <w:pPr>
              <w:spacing w:after="180"/>
              <w:jc w:val="center"/>
              <w:rPr>
                <w:b/>
                <w:bCs/>
                <w:color w:val="FFFFFF" w:themeColor="background1"/>
                <w:sz w:val="20"/>
                <w:szCs w:val="20"/>
              </w:rPr>
            </w:pPr>
            <w:r w:rsidRPr="002A6219">
              <w:rPr>
                <w:b/>
                <w:bCs/>
                <w:color w:val="FFFFFF" w:themeColor="background1"/>
                <w:sz w:val="20"/>
                <w:szCs w:val="20"/>
              </w:rPr>
              <w:t>Project Drawdown Data Set Range</w:t>
            </w:r>
          </w:p>
        </w:tc>
        <w:tc>
          <w:tcPr>
            <w:tcW w:w="1479" w:type="dxa"/>
            <w:shd w:val="clear" w:color="auto" w:fill="4F81BD" w:themeFill="accent1"/>
            <w:vAlign w:val="center"/>
          </w:tcPr>
          <w:p w14:paraId="01F11A1C" w14:textId="77777777" w:rsidR="00E978D4" w:rsidRPr="002A6219" w:rsidRDefault="00E978D4" w:rsidP="00396031">
            <w:pPr>
              <w:spacing w:after="180"/>
              <w:jc w:val="center"/>
              <w:rPr>
                <w:b/>
                <w:bCs/>
                <w:color w:val="FFFFFF" w:themeColor="background1"/>
                <w:sz w:val="20"/>
                <w:szCs w:val="20"/>
              </w:rPr>
            </w:pPr>
            <w:r w:rsidRPr="002A6219">
              <w:rPr>
                <w:b/>
                <w:bCs/>
                <w:color w:val="FFFFFF" w:themeColor="background1"/>
                <w:sz w:val="20"/>
                <w:szCs w:val="20"/>
              </w:rPr>
              <w:t>Model Input</w:t>
            </w:r>
          </w:p>
        </w:tc>
        <w:tc>
          <w:tcPr>
            <w:tcW w:w="1474" w:type="dxa"/>
            <w:shd w:val="clear" w:color="auto" w:fill="4F81BD" w:themeFill="accent1"/>
            <w:vAlign w:val="center"/>
          </w:tcPr>
          <w:p w14:paraId="19836510" w14:textId="77777777" w:rsidR="00E978D4" w:rsidRPr="002A6219" w:rsidRDefault="00E978D4" w:rsidP="00396031">
            <w:pPr>
              <w:spacing w:after="180"/>
              <w:jc w:val="center"/>
              <w:rPr>
                <w:b/>
                <w:bCs/>
                <w:color w:val="FFFFFF" w:themeColor="background1"/>
                <w:sz w:val="20"/>
                <w:szCs w:val="20"/>
              </w:rPr>
            </w:pPr>
            <w:r w:rsidRPr="002A6219">
              <w:rPr>
                <w:b/>
                <w:bCs/>
                <w:color w:val="FFFFFF" w:themeColor="background1"/>
                <w:sz w:val="20"/>
                <w:szCs w:val="20"/>
              </w:rPr>
              <w:t>Data Points (#)</w:t>
            </w:r>
          </w:p>
        </w:tc>
        <w:tc>
          <w:tcPr>
            <w:tcW w:w="944" w:type="dxa"/>
            <w:shd w:val="clear" w:color="auto" w:fill="4F81BD" w:themeFill="accent1"/>
            <w:vAlign w:val="center"/>
          </w:tcPr>
          <w:p w14:paraId="60C8D5D4" w14:textId="77777777" w:rsidR="00E978D4" w:rsidRPr="002A6219" w:rsidRDefault="00E978D4" w:rsidP="00396031">
            <w:pPr>
              <w:spacing w:after="180"/>
              <w:jc w:val="center"/>
              <w:rPr>
                <w:b/>
                <w:bCs/>
                <w:color w:val="FFFFFF" w:themeColor="background1"/>
                <w:sz w:val="20"/>
                <w:szCs w:val="20"/>
              </w:rPr>
            </w:pPr>
            <w:r w:rsidRPr="002A6219">
              <w:rPr>
                <w:b/>
                <w:bCs/>
                <w:color w:val="FFFFFF" w:themeColor="background1"/>
                <w:sz w:val="20"/>
                <w:szCs w:val="20"/>
              </w:rPr>
              <w:t>Sources (#)</w:t>
            </w:r>
          </w:p>
        </w:tc>
      </w:tr>
      <w:tr w:rsidR="00806847" w:rsidRPr="006330C6" w14:paraId="436DD7B8" w14:textId="77777777" w:rsidTr="00BE6836">
        <w:trPr>
          <w:trHeight w:val="457"/>
          <w:jc w:val="center"/>
        </w:trPr>
        <w:tc>
          <w:tcPr>
            <w:tcW w:w="1974" w:type="dxa"/>
            <w:vAlign w:val="center"/>
          </w:tcPr>
          <w:p w14:paraId="231CFD89" w14:textId="18BDDF01" w:rsidR="00806847" w:rsidRPr="002A6219" w:rsidRDefault="00806847" w:rsidP="00396031">
            <w:pPr>
              <w:jc w:val="center"/>
              <w:rPr>
                <w:bCs/>
                <w:sz w:val="20"/>
                <w:szCs w:val="20"/>
              </w:rPr>
            </w:pPr>
            <w:r w:rsidRPr="002A6219">
              <w:rPr>
                <w:bCs/>
                <w:sz w:val="20"/>
                <w:szCs w:val="20"/>
              </w:rPr>
              <w:t>Lifetime Capacity (Solution)</w:t>
            </w:r>
          </w:p>
        </w:tc>
        <w:tc>
          <w:tcPr>
            <w:tcW w:w="1297" w:type="dxa"/>
            <w:vAlign w:val="center"/>
          </w:tcPr>
          <w:p w14:paraId="2A37425E" w14:textId="550FD298" w:rsidR="00806847" w:rsidRPr="00A91392" w:rsidRDefault="00806847" w:rsidP="00396031">
            <w:pPr>
              <w:spacing w:after="180"/>
              <w:jc w:val="center"/>
              <w:rPr>
                <w:bCs/>
                <w:i/>
                <w:color w:val="000000" w:themeColor="text1"/>
                <w:sz w:val="20"/>
                <w:szCs w:val="20"/>
              </w:rPr>
            </w:pPr>
            <w:r w:rsidRPr="00A91392">
              <w:rPr>
                <w:bCs/>
                <w:i/>
                <w:color w:val="000000" w:themeColor="text1"/>
                <w:sz w:val="20"/>
                <w:szCs w:val="20"/>
              </w:rPr>
              <w:t>hours</w:t>
            </w:r>
          </w:p>
        </w:tc>
        <w:tc>
          <w:tcPr>
            <w:tcW w:w="1906" w:type="dxa"/>
            <w:vAlign w:val="center"/>
          </w:tcPr>
          <w:p w14:paraId="24F9E292" w14:textId="34C7B139" w:rsidR="00806847" w:rsidRPr="00084D89" w:rsidRDefault="00F95D1C" w:rsidP="00396031">
            <w:pPr>
              <w:spacing w:after="180"/>
              <w:jc w:val="center"/>
              <w:rPr>
                <w:rFonts w:eastAsia="Helvetica,Times New Roman" w:cstheme="minorHAnsi"/>
                <w:color w:val="000000" w:themeColor="text1"/>
                <w:sz w:val="20"/>
                <w:szCs w:val="20"/>
              </w:rPr>
            </w:pPr>
            <w:r w:rsidRPr="00084D89">
              <w:rPr>
                <w:rFonts w:eastAsia="Helvetica,Times New Roman" w:cstheme="minorHAnsi"/>
                <w:color w:val="000000" w:themeColor="text1"/>
                <w:sz w:val="20"/>
                <w:szCs w:val="20"/>
              </w:rPr>
              <w:t>68</w:t>
            </w:r>
            <w:r w:rsidR="00806847" w:rsidRPr="00084D89">
              <w:rPr>
                <w:rFonts w:eastAsia="Helvetica,Times New Roman" w:cstheme="minorHAnsi"/>
                <w:color w:val="000000" w:themeColor="text1"/>
                <w:sz w:val="20"/>
                <w:szCs w:val="20"/>
              </w:rPr>
              <w:t>,</w:t>
            </w:r>
            <w:r w:rsidRPr="00084D89">
              <w:rPr>
                <w:rFonts w:eastAsia="Helvetica,Times New Roman" w:cstheme="minorHAnsi"/>
                <w:color w:val="000000" w:themeColor="text1"/>
                <w:sz w:val="20"/>
                <w:szCs w:val="20"/>
              </w:rPr>
              <w:t>631</w:t>
            </w:r>
            <w:r w:rsidR="00806847" w:rsidRPr="00084D89">
              <w:rPr>
                <w:rFonts w:eastAsia="Helvetica,Times New Roman" w:cstheme="minorHAnsi"/>
                <w:color w:val="000000" w:themeColor="text1"/>
                <w:sz w:val="20"/>
                <w:szCs w:val="20"/>
              </w:rPr>
              <w:t xml:space="preserve"> – </w:t>
            </w:r>
            <w:r w:rsidR="00084D89" w:rsidRPr="00084D89">
              <w:rPr>
                <w:rFonts w:eastAsia="Helvetica,Times New Roman" w:cstheme="minorHAnsi"/>
                <w:color w:val="000000" w:themeColor="text1"/>
                <w:sz w:val="20"/>
                <w:szCs w:val="20"/>
              </w:rPr>
              <w:t>91,508</w:t>
            </w:r>
          </w:p>
        </w:tc>
        <w:tc>
          <w:tcPr>
            <w:tcW w:w="1479" w:type="dxa"/>
            <w:vAlign w:val="center"/>
          </w:tcPr>
          <w:p w14:paraId="2175CD63" w14:textId="3DC6AFD3" w:rsidR="00806847" w:rsidRPr="00084D89" w:rsidRDefault="00F95D1C" w:rsidP="00396031">
            <w:pPr>
              <w:spacing w:after="180"/>
              <w:jc w:val="center"/>
              <w:rPr>
                <w:rFonts w:eastAsia="Helvetica,Times New Roman" w:cstheme="minorHAnsi"/>
                <w:color w:val="000000" w:themeColor="text1"/>
                <w:sz w:val="20"/>
                <w:szCs w:val="20"/>
              </w:rPr>
            </w:pPr>
            <w:r w:rsidRPr="00084D89">
              <w:rPr>
                <w:rFonts w:eastAsia="Helvetica,Times New Roman" w:cstheme="minorHAnsi"/>
                <w:color w:val="000000" w:themeColor="text1"/>
                <w:sz w:val="20"/>
                <w:szCs w:val="20"/>
              </w:rPr>
              <w:t>80,070</w:t>
            </w:r>
          </w:p>
        </w:tc>
        <w:tc>
          <w:tcPr>
            <w:tcW w:w="1474" w:type="dxa"/>
            <w:vAlign w:val="center"/>
          </w:tcPr>
          <w:p w14:paraId="3F551A58" w14:textId="52869242" w:rsidR="00806847" w:rsidRPr="00F95D1C" w:rsidRDefault="00F95D1C" w:rsidP="00396031">
            <w:pPr>
              <w:spacing w:after="180"/>
              <w:jc w:val="center"/>
              <w:rPr>
                <w:rFonts w:eastAsia="Helvetica,Times New Roman" w:cstheme="minorHAnsi"/>
                <w:color w:val="000000" w:themeColor="text1"/>
                <w:sz w:val="20"/>
                <w:szCs w:val="20"/>
              </w:rPr>
            </w:pPr>
            <w:r w:rsidRPr="00F95D1C">
              <w:rPr>
                <w:rFonts w:eastAsia="Helvetica,Times New Roman" w:cstheme="minorHAnsi"/>
                <w:color w:val="000000" w:themeColor="text1"/>
                <w:sz w:val="20"/>
                <w:szCs w:val="20"/>
              </w:rPr>
              <w:t>9</w:t>
            </w:r>
          </w:p>
        </w:tc>
        <w:tc>
          <w:tcPr>
            <w:tcW w:w="944" w:type="dxa"/>
            <w:vAlign w:val="center"/>
          </w:tcPr>
          <w:p w14:paraId="3EE07178" w14:textId="6850D32E" w:rsidR="00806847" w:rsidRPr="00F95D1C" w:rsidRDefault="00F95D1C" w:rsidP="00396031">
            <w:pPr>
              <w:spacing w:after="180"/>
              <w:jc w:val="center"/>
              <w:rPr>
                <w:rFonts w:eastAsia="Helvetica,Times New Roman" w:cstheme="minorHAnsi"/>
                <w:color w:val="000000" w:themeColor="text1"/>
                <w:sz w:val="20"/>
                <w:szCs w:val="20"/>
              </w:rPr>
            </w:pPr>
            <w:r w:rsidRPr="00F95D1C">
              <w:rPr>
                <w:rFonts w:eastAsia="Helvetica,Times New Roman" w:cstheme="minorHAnsi"/>
                <w:color w:val="000000" w:themeColor="text1"/>
                <w:sz w:val="20"/>
                <w:szCs w:val="20"/>
              </w:rPr>
              <w:t>8</w:t>
            </w:r>
          </w:p>
        </w:tc>
      </w:tr>
      <w:tr w:rsidR="00806847" w:rsidRPr="00E069AC" w14:paraId="47594164" w14:textId="77777777" w:rsidTr="00BE6836">
        <w:trPr>
          <w:trHeight w:val="321"/>
          <w:jc w:val="center"/>
        </w:trPr>
        <w:tc>
          <w:tcPr>
            <w:tcW w:w="1974" w:type="dxa"/>
            <w:vAlign w:val="center"/>
          </w:tcPr>
          <w:p w14:paraId="5B926982" w14:textId="1802C38C" w:rsidR="00806847" w:rsidRPr="002A6219" w:rsidRDefault="00806847" w:rsidP="00396031">
            <w:pPr>
              <w:jc w:val="center"/>
              <w:rPr>
                <w:bCs/>
                <w:sz w:val="20"/>
                <w:szCs w:val="20"/>
              </w:rPr>
            </w:pPr>
            <w:r w:rsidRPr="002A6219">
              <w:rPr>
                <w:bCs/>
                <w:sz w:val="20"/>
                <w:szCs w:val="20"/>
              </w:rPr>
              <w:t>Average Annual Use (Solution)</w:t>
            </w:r>
          </w:p>
        </w:tc>
        <w:tc>
          <w:tcPr>
            <w:tcW w:w="1297" w:type="dxa"/>
            <w:shd w:val="clear" w:color="auto" w:fill="auto"/>
            <w:vAlign w:val="center"/>
          </w:tcPr>
          <w:p w14:paraId="1AE67725" w14:textId="5B0F031C" w:rsidR="00806847" w:rsidRPr="00084D89" w:rsidRDefault="00806847" w:rsidP="00396031">
            <w:pPr>
              <w:spacing w:after="180"/>
              <w:jc w:val="center"/>
              <w:rPr>
                <w:bCs/>
                <w:i/>
                <w:color w:val="000000" w:themeColor="text1"/>
                <w:sz w:val="20"/>
                <w:szCs w:val="20"/>
              </w:rPr>
            </w:pPr>
            <w:r w:rsidRPr="00084D89">
              <w:rPr>
                <w:bCs/>
                <w:i/>
                <w:color w:val="000000" w:themeColor="text1"/>
                <w:sz w:val="20"/>
                <w:szCs w:val="20"/>
              </w:rPr>
              <w:t>hours</w:t>
            </w:r>
          </w:p>
        </w:tc>
        <w:tc>
          <w:tcPr>
            <w:tcW w:w="1906" w:type="dxa"/>
            <w:shd w:val="clear" w:color="auto" w:fill="auto"/>
            <w:vAlign w:val="center"/>
          </w:tcPr>
          <w:p w14:paraId="167594E5" w14:textId="0A5F6D57" w:rsidR="00806847" w:rsidRPr="00084D89" w:rsidRDefault="00806847" w:rsidP="00396031">
            <w:pPr>
              <w:spacing w:after="180"/>
              <w:jc w:val="center"/>
              <w:rPr>
                <w:rFonts w:eastAsia="Helvetica,Times New Roman" w:cstheme="minorHAnsi"/>
                <w:color w:val="000000" w:themeColor="text1"/>
                <w:sz w:val="20"/>
                <w:szCs w:val="20"/>
              </w:rPr>
            </w:pPr>
            <w:r w:rsidRPr="00084D89">
              <w:rPr>
                <w:rFonts w:eastAsia="Helvetica,Times New Roman" w:cstheme="minorHAnsi"/>
                <w:color w:val="000000" w:themeColor="text1"/>
                <w:sz w:val="20"/>
                <w:szCs w:val="20"/>
              </w:rPr>
              <w:t>2,54</w:t>
            </w:r>
            <w:r w:rsidR="0018020D" w:rsidRPr="00084D89">
              <w:rPr>
                <w:rFonts w:eastAsia="Helvetica,Times New Roman" w:cstheme="minorHAnsi"/>
                <w:color w:val="000000" w:themeColor="text1"/>
                <w:sz w:val="20"/>
                <w:szCs w:val="20"/>
              </w:rPr>
              <w:t>9</w:t>
            </w:r>
            <w:r w:rsidRPr="00084D89">
              <w:rPr>
                <w:rFonts w:eastAsia="Helvetica,Times New Roman" w:cstheme="minorHAnsi"/>
                <w:color w:val="000000" w:themeColor="text1"/>
                <w:sz w:val="20"/>
                <w:szCs w:val="20"/>
              </w:rPr>
              <w:t xml:space="preserve"> – 4,31</w:t>
            </w:r>
            <w:r w:rsidR="0018020D" w:rsidRPr="00084D89">
              <w:rPr>
                <w:rFonts w:eastAsia="Helvetica,Times New Roman" w:cstheme="minorHAnsi"/>
                <w:color w:val="000000" w:themeColor="text1"/>
                <w:sz w:val="20"/>
                <w:szCs w:val="20"/>
              </w:rPr>
              <w:t>5</w:t>
            </w:r>
          </w:p>
        </w:tc>
        <w:tc>
          <w:tcPr>
            <w:tcW w:w="1479" w:type="dxa"/>
            <w:vAlign w:val="center"/>
          </w:tcPr>
          <w:p w14:paraId="37DDCF7D" w14:textId="090F10D3" w:rsidR="00806847" w:rsidRPr="00084D89" w:rsidRDefault="00806847" w:rsidP="00396031">
            <w:pPr>
              <w:spacing w:after="180"/>
              <w:jc w:val="center"/>
              <w:rPr>
                <w:rFonts w:eastAsia="Helvetica,Times New Roman" w:cstheme="minorHAnsi"/>
                <w:color w:val="000000" w:themeColor="text1"/>
                <w:sz w:val="20"/>
                <w:szCs w:val="20"/>
              </w:rPr>
            </w:pPr>
            <w:r w:rsidRPr="00084D89">
              <w:rPr>
                <w:rFonts w:eastAsia="Helvetica,Times New Roman" w:cstheme="minorHAnsi"/>
                <w:color w:val="000000" w:themeColor="text1"/>
                <w:sz w:val="20"/>
                <w:szCs w:val="20"/>
              </w:rPr>
              <w:t>3,43</w:t>
            </w:r>
            <w:r w:rsidR="0018020D" w:rsidRPr="00084D89">
              <w:rPr>
                <w:rFonts w:eastAsia="Helvetica,Times New Roman" w:cstheme="minorHAnsi"/>
                <w:color w:val="000000" w:themeColor="text1"/>
                <w:sz w:val="20"/>
                <w:szCs w:val="20"/>
              </w:rPr>
              <w:t>2</w:t>
            </w:r>
          </w:p>
        </w:tc>
        <w:tc>
          <w:tcPr>
            <w:tcW w:w="1474" w:type="dxa"/>
            <w:vAlign w:val="center"/>
          </w:tcPr>
          <w:p w14:paraId="536DAE06" w14:textId="44102067" w:rsidR="00806847" w:rsidRPr="00084D89" w:rsidRDefault="00806847" w:rsidP="00396031">
            <w:pPr>
              <w:spacing w:after="180"/>
              <w:jc w:val="center"/>
              <w:rPr>
                <w:rFonts w:eastAsia="Helvetica,Times New Roman" w:cstheme="minorHAnsi"/>
                <w:color w:val="000000" w:themeColor="text1"/>
                <w:sz w:val="20"/>
                <w:szCs w:val="20"/>
              </w:rPr>
            </w:pPr>
            <w:r w:rsidRPr="00084D89">
              <w:rPr>
                <w:rFonts w:eastAsia="Helvetica,Times New Roman" w:cstheme="minorHAnsi"/>
                <w:color w:val="000000" w:themeColor="text1"/>
                <w:sz w:val="20"/>
                <w:szCs w:val="20"/>
              </w:rPr>
              <w:t>26</w:t>
            </w:r>
          </w:p>
        </w:tc>
        <w:tc>
          <w:tcPr>
            <w:tcW w:w="944" w:type="dxa"/>
            <w:vAlign w:val="center"/>
          </w:tcPr>
          <w:p w14:paraId="31B9FE30" w14:textId="0A560F22" w:rsidR="00806847" w:rsidRPr="00084D89" w:rsidRDefault="00084D89" w:rsidP="00396031">
            <w:pPr>
              <w:spacing w:after="180"/>
              <w:jc w:val="center"/>
              <w:rPr>
                <w:rFonts w:eastAsia="Helvetica,Times New Roman" w:cstheme="minorHAnsi"/>
                <w:color w:val="000000" w:themeColor="text1"/>
                <w:sz w:val="20"/>
                <w:szCs w:val="20"/>
              </w:rPr>
            </w:pPr>
            <w:r w:rsidRPr="00084D89">
              <w:rPr>
                <w:rFonts w:eastAsia="Helvetica,Times New Roman" w:cstheme="minorHAnsi"/>
                <w:color w:val="000000" w:themeColor="text1"/>
                <w:sz w:val="20"/>
                <w:szCs w:val="20"/>
              </w:rPr>
              <w:t>7</w:t>
            </w:r>
          </w:p>
        </w:tc>
      </w:tr>
    </w:tbl>
    <w:p w14:paraId="3F927A96" w14:textId="77777777" w:rsidR="00E978D4" w:rsidRPr="00E069AC" w:rsidRDefault="00E978D4" w:rsidP="00EB247F">
      <w:pPr>
        <w:spacing w:after="0"/>
        <w:rPr>
          <w:bCs/>
        </w:rPr>
      </w:pPr>
    </w:p>
    <w:p w14:paraId="4E32D218" w14:textId="050DAA88" w:rsidR="00B144E5" w:rsidRPr="00E069AC" w:rsidRDefault="00E069AC" w:rsidP="00483FFA">
      <w:pPr>
        <w:pStyle w:val="Heading2"/>
        <w:numPr>
          <w:ilvl w:val="1"/>
          <w:numId w:val="26"/>
        </w:numPr>
      </w:pPr>
      <w:bookmarkStart w:id="42" w:name="_Toc18619523"/>
      <w:r>
        <w:t>Assumptions</w:t>
      </w:r>
      <w:bookmarkEnd w:id="42"/>
    </w:p>
    <w:p w14:paraId="43CAE73A" w14:textId="77777777" w:rsidR="00FD75ED" w:rsidRPr="00AB74E3" w:rsidRDefault="00FD75ED" w:rsidP="00FD75ED">
      <w:pPr>
        <w:rPr>
          <w:rFonts w:cs="Times New Roman"/>
        </w:rPr>
      </w:pPr>
      <w:r w:rsidRPr="00E069AC">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w:t>
      </w:r>
      <w:r w:rsidRPr="0066316E">
        <w:t xml:space="preserve">agency modeled, improvements in technology are not modeled, </w:t>
      </w:r>
      <w:r w:rsidRPr="0066316E">
        <w:rPr>
          <w:color w:val="000000" w:themeColor="text1"/>
        </w:rPr>
        <w:t xml:space="preserve">and that first costs may change according to learning. Full details of core assumptions and methodology are available on the Project Drawdown Reduction and Replacement Solutions (RRS) Model Framework and Guide report. Beyond these core assumptions, there are other important assumptions made for the modeling of this specific solution. These are detailed </w:t>
      </w:r>
      <w:r w:rsidRPr="0066316E">
        <w:rPr>
          <w:rFonts w:cs="Times New Roman"/>
          <w:color w:val="000000" w:themeColor="text1"/>
        </w:rPr>
        <w:t>below.</w:t>
      </w:r>
    </w:p>
    <w:p w14:paraId="5B049A06" w14:textId="6FE0A011" w:rsidR="00CB000A" w:rsidRPr="0028022C" w:rsidRDefault="00CB000A" w:rsidP="00CB000A">
      <w:pPr>
        <w:pStyle w:val="ListParagraph"/>
        <w:numPr>
          <w:ilvl w:val="0"/>
          <w:numId w:val="10"/>
        </w:numPr>
        <w:ind w:left="567" w:hanging="567"/>
        <w:rPr>
          <w:bCs/>
          <w:color w:val="000000" w:themeColor="text1"/>
        </w:rPr>
      </w:pPr>
      <w:r w:rsidRPr="00CB000A">
        <w:rPr>
          <w:bCs/>
          <w:color w:val="000000" w:themeColor="text1"/>
        </w:rPr>
        <w:t xml:space="preserve">The results from the different sources are depicted at a 5 year or 10 years’ basis and </w:t>
      </w:r>
      <w:r>
        <w:rPr>
          <w:bCs/>
          <w:color w:val="000000" w:themeColor="text1"/>
        </w:rPr>
        <w:t>it were needed</w:t>
      </w:r>
      <w:r w:rsidRPr="00CB000A">
        <w:rPr>
          <w:bCs/>
          <w:color w:val="000000" w:themeColor="text1"/>
        </w:rPr>
        <w:t xml:space="preserve"> yearly, therefore data interpolation was made using the best fit trends (</w:t>
      </w:r>
      <w:r w:rsidRPr="00CB000A">
        <w:rPr>
          <w:bCs/>
          <w:i/>
          <w:color w:val="000000" w:themeColor="text1"/>
        </w:rPr>
        <w:t>i.e.</w:t>
      </w:r>
      <w:r w:rsidRPr="00CB000A">
        <w:rPr>
          <w:bCs/>
          <w:color w:val="000000" w:themeColor="text1"/>
        </w:rPr>
        <w:t xml:space="preserve"> generally 3</w:t>
      </w:r>
      <w:r w:rsidRPr="00CB000A">
        <w:rPr>
          <w:bCs/>
          <w:color w:val="000000" w:themeColor="text1"/>
          <w:vertAlign w:val="superscript"/>
        </w:rPr>
        <w:t>rd</w:t>
      </w:r>
      <w:r w:rsidRPr="00CB000A">
        <w:rPr>
          <w:bCs/>
          <w:color w:val="000000" w:themeColor="text1"/>
        </w:rPr>
        <w:t xml:space="preserve"> </w:t>
      </w:r>
      <w:r w:rsidRPr="0028022C">
        <w:rPr>
          <w:bCs/>
          <w:color w:val="000000" w:themeColor="text1"/>
        </w:rPr>
        <w:t>polynomial but 2</w:t>
      </w:r>
      <w:r w:rsidRPr="0028022C">
        <w:rPr>
          <w:bCs/>
          <w:color w:val="000000" w:themeColor="text1"/>
          <w:vertAlign w:val="superscript"/>
        </w:rPr>
        <w:t>nd</w:t>
      </w:r>
      <w:r w:rsidRPr="0028022C">
        <w:rPr>
          <w:bCs/>
          <w:color w:val="000000" w:themeColor="text1"/>
        </w:rPr>
        <w:t xml:space="preserve"> polynomial or S curve were also used). </w:t>
      </w:r>
    </w:p>
    <w:p w14:paraId="206B8E03" w14:textId="226F8548" w:rsidR="00CF6336" w:rsidRPr="0028022C" w:rsidRDefault="00BE6836" w:rsidP="00BE6836">
      <w:pPr>
        <w:pStyle w:val="ListParagraph"/>
        <w:numPr>
          <w:ilvl w:val="0"/>
          <w:numId w:val="10"/>
        </w:numPr>
        <w:ind w:left="567" w:hanging="567"/>
        <w:rPr>
          <w:rFonts w:eastAsia="Times New Roman"/>
        </w:rPr>
      </w:pPr>
      <w:r w:rsidRPr="0028022C">
        <w:rPr>
          <w:rFonts w:eastAsia="Times New Roman"/>
        </w:rPr>
        <w:t xml:space="preserve">Of the sixteen (16) scenarios recorded, twelve (12) are not split between onshore and offshore. The splitting is done based on global onshore/offshore wind electricity generation share presented by the IEA Energy Technology Perspective (2017) for the trio of Reference Technology, 2DS, and B2DS scenarios. The IEA ETP (2017) wind onshore split ratios for Ref- Tech, 2DS, and B2DS are used for splitting adoption data under the baseline, conservative, ambitious/100% RE cases respectively. </w:t>
      </w:r>
      <w:r w:rsidR="00CF6336" w:rsidRPr="0028022C">
        <w:rPr>
          <w:rFonts w:eastAsia="Times New Roman"/>
        </w:rPr>
        <w:t xml:space="preserve">Among the </w:t>
      </w:r>
      <w:r w:rsidR="006B710C" w:rsidRPr="0028022C">
        <w:rPr>
          <w:rFonts w:eastAsia="Times New Roman"/>
        </w:rPr>
        <w:t xml:space="preserve">16 </w:t>
      </w:r>
      <w:r w:rsidR="00CF6336" w:rsidRPr="0028022C">
        <w:rPr>
          <w:rFonts w:eastAsia="Times New Roman"/>
        </w:rPr>
        <w:t>scenarios for offshore wind adoption, only the</w:t>
      </w:r>
      <w:r w:rsidR="006B710C" w:rsidRPr="0028022C">
        <w:rPr>
          <w:rFonts w:eastAsia="Times New Roman"/>
        </w:rPr>
        <w:t xml:space="preserve"> 3 scenarios from</w:t>
      </w:r>
      <w:r w:rsidR="00CF6336" w:rsidRPr="0028022C">
        <w:rPr>
          <w:rFonts w:eastAsia="Times New Roman"/>
        </w:rPr>
        <w:t xml:space="preserve"> IEA ETP</w:t>
      </w:r>
      <w:r w:rsidR="006B710C" w:rsidRPr="0028022C">
        <w:rPr>
          <w:rFonts w:eastAsia="Times New Roman"/>
        </w:rPr>
        <w:t xml:space="preserve"> (2017)</w:t>
      </w:r>
      <w:r w:rsidR="00CF6336" w:rsidRPr="0028022C">
        <w:rPr>
          <w:rFonts w:eastAsia="Times New Roman"/>
        </w:rPr>
        <w:t xml:space="preserve">, and </w:t>
      </w:r>
      <w:r w:rsidR="006B710C" w:rsidRPr="0028022C">
        <w:rPr>
          <w:rFonts w:eastAsia="Times New Roman"/>
        </w:rPr>
        <w:t>the one scenario from</w:t>
      </w:r>
      <w:r w:rsidR="00CF6336" w:rsidRPr="0028022C">
        <w:rPr>
          <w:rFonts w:eastAsia="Times New Roman"/>
        </w:rPr>
        <w:t xml:space="preserve"> </w:t>
      </w:r>
      <w:r w:rsidR="00A54B9F" w:rsidRPr="0028022C">
        <w:rPr>
          <w:rFonts w:eastAsia="Times New Roman"/>
        </w:rPr>
        <w:t>Ram et al.</w:t>
      </w:r>
      <w:r w:rsidR="006B710C" w:rsidRPr="0028022C">
        <w:rPr>
          <w:rFonts w:eastAsia="Times New Roman"/>
        </w:rPr>
        <w:t xml:space="preserve"> (2017) have split </w:t>
      </w:r>
      <w:r w:rsidR="00CF6336" w:rsidRPr="0028022C">
        <w:rPr>
          <w:rFonts w:eastAsia="Times New Roman"/>
        </w:rPr>
        <w:t>offshore wind from the sources. All other 12 scenarios from 6 sources were manually split using yearly- and scenario-based ratios derived from the established offshore wind share in the IEA ETP (2017)</w:t>
      </w:r>
      <w:r w:rsidR="006B710C" w:rsidRPr="0028022C">
        <w:rPr>
          <w:rFonts w:eastAsia="Times New Roman"/>
        </w:rPr>
        <w:t xml:space="preserve"> source</w:t>
      </w:r>
      <w:r w:rsidR="00CF6336" w:rsidRPr="0028022C">
        <w:rPr>
          <w:rFonts w:eastAsia="Times New Roman"/>
        </w:rPr>
        <w:t xml:space="preserve">. </w:t>
      </w:r>
    </w:p>
    <w:p w14:paraId="04FBF2E3" w14:textId="412B6782" w:rsidR="009D118F" w:rsidRPr="00E069AC" w:rsidRDefault="551A77D0" w:rsidP="00483FFA">
      <w:pPr>
        <w:pStyle w:val="Heading2"/>
        <w:numPr>
          <w:ilvl w:val="1"/>
          <w:numId w:val="26"/>
        </w:numPr>
      </w:pPr>
      <w:bookmarkStart w:id="43" w:name="_Toc18619524"/>
      <w:r w:rsidRPr="00E069AC">
        <w:t>I</w:t>
      </w:r>
      <w:r w:rsidR="00E069AC">
        <w:t>ntegration</w:t>
      </w:r>
      <w:bookmarkEnd w:id="43"/>
    </w:p>
    <w:p w14:paraId="40B0D509" w14:textId="748705C6" w:rsidR="00F61DCA" w:rsidRPr="00A275A4" w:rsidRDefault="00F61DCA" w:rsidP="00EB247F">
      <w:r w:rsidRPr="00E069AC">
        <w:t xml:space="preserve">The </w:t>
      </w:r>
      <w:r w:rsidRPr="00A275A4">
        <w:t xml:space="preserve">complete Project Drawdown integration documentation </w:t>
      </w:r>
      <w:r w:rsidR="00B6183A" w:rsidRPr="00A275A4">
        <w:t xml:space="preserve">with </w:t>
      </w:r>
      <w:r w:rsidR="008006D0" w:rsidRPr="00A275A4">
        <w:t>details on</w:t>
      </w:r>
      <w:r w:rsidRPr="00A275A4">
        <w:t xml:space="preserve"> how all solution models in each sector are integrated, and how sectors are integrated to form a complete system</w:t>
      </w:r>
      <w:r w:rsidR="008006D0" w:rsidRPr="00A275A4">
        <w:t xml:space="preserve"> will be available at </w:t>
      </w:r>
      <w:hyperlink r:id="rId26" w:history="1">
        <w:r w:rsidR="008006D0" w:rsidRPr="00A275A4">
          <w:rPr>
            <w:rStyle w:val="Hyperlink"/>
            <w:color w:val="auto"/>
          </w:rPr>
          <w:t>www.drawdown.org</w:t>
        </w:r>
      </w:hyperlink>
      <w:r w:rsidRPr="00A275A4">
        <w:t>.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6E8EB265" w14:textId="15BE491C" w:rsidR="002A4E84" w:rsidRPr="00A275A4" w:rsidRDefault="00F61DCA" w:rsidP="00EB247F">
      <w:r w:rsidRPr="00A275A4">
        <w:t>Therefore, t</w:t>
      </w:r>
      <w:r w:rsidR="002A4E84" w:rsidRPr="00A275A4">
        <w:t>he data derived from individual solutions models was then inputted into sector-level integration models to generate final results for all solutions within a global system. The links between this sector and all the others is important, but major interactions occur with energy demand-side sectors like Transport and Buildings and Cities.</w:t>
      </w:r>
    </w:p>
    <w:p w14:paraId="10D2FF27" w14:textId="76DBD5EA" w:rsidR="002A4E84" w:rsidRPr="00E069AC" w:rsidRDefault="009D118F" w:rsidP="00EB247F">
      <w:r w:rsidRPr="00E069AC">
        <w:t xml:space="preserve">Through the process of integrating </w:t>
      </w:r>
      <w:r w:rsidR="006330C6">
        <w:t>wind onshore and offshore</w:t>
      </w:r>
      <w:r w:rsidR="00F61DCA" w:rsidRPr="00E069AC">
        <w:t xml:space="preserve"> </w:t>
      </w:r>
      <w:r w:rsidRPr="00E069AC">
        <w:t>farms with other solutions, the total addressable market for electricity generation technologies was adjusted to account for reduced demand resulting from the growth of more energy-efficient technologies (for example: LED lighting and heat pumps) as well as increased electrification from other solutions like electric vehicles and high-speed rail. Grid emissions factors were calculated based on the annual mix of different electricity generating technologies over time. Emissions factors for each technology were determined through a meta-analysis of multiple sources, accounting for direct and indirect emissions.</w:t>
      </w:r>
    </w:p>
    <w:p w14:paraId="0ED84BEA" w14:textId="53A78589" w:rsidR="009D118F" w:rsidRPr="00E069AC" w:rsidRDefault="00E069AC" w:rsidP="00483FFA">
      <w:pPr>
        <w:pStyle w:val="Heading2"/>
        <w:numPr>
          <w:ilvl w:val="1"/>
          <w:numId w:val="26"/>
        </w:numPr>
      </w:pPr>
      <w:bookmarkStart w:id="44" w:name="_Toc18619525"/>
      <w:r>
        <w:t>Limitations / Further Developments</w:t>
      </w:r>
      <w:bookmarkEnd w:id="44"/>
    </w:p>
    <w:p w14:paraId="15E51ACB" w14:textId="77777777" w:rsidR="00204C4C" w:rsidRDefault="00CE184B" w:rsidP="00EB247F">
      <w:r>
        <w:t xml:space="preserve">The readiness of a country’s power system for integration of offshore </w:t>
      </w:r>
      <w:r w:rsidR="00C64B2E">
        <w:t xml:space="preserve">wind power </w:t>
      </w:r>
      <w:r>
        <w:t xml:space="preserve">depend on </w:t>
      </w:r>
      <w:r w:rsidR="00C64B2E">
        <w:t xml:space="preserve">dynamic </w:t>
      </w:r>
      <w:r>
        <w:t>factors which include availability of sufficient spinning reserves, cost of competing conventional power plants, transmission capacity, distance to</w:t>
      </w:r>
      <w:r w:rsidR="00C64B2E">
        <w:t xml:space="preserve"> sub-station and/or </w:t>
      </w:r>
      <w:r>
        <w:t xml:space="preserve">load centers, reformed electricity market, enabling regulatory and support policies. To avoid complications, not all of these factors </w:t>
      </w:r>
      <w:r w:rsidR="00C64B2E">
        <w:t xml:space="preserve">which change from time to time </w:t>
      </w:r>
      <w:r>
        <w:t xml:space="preserve">could be accounted for in the Drawdown modeling approach. Some of the factors are assumed constant, or consistent with </w:t>
      </w:r>
      <w:r w:rsidR="00C446DC">
        <w:t>the target outcomes of the model. The Drawdown model incorporates parameters that account for or estimate financial</w:t>
      </w:r>
      <w:r w:rsidR="00C64B2E">
        <w:t>,</w:t>
      </w:r>
      <w:r w:rsidR="00C446DC">
        <w:t xml:space="preserve"> environmental</w:t>
      </w:r>
      <w:r w:rsidR="00C64B2E">
        <w:t>, and technical</w:t>
      </w:r>
      <w:r w:rsidR="00C446DC">
        <w:t xml:space="preserve"> metrics</w:t>
      </w:r>
      <w:r w:rsidR="009F3BE3">
        <w:t xml:space="preserve"> which are mostly e</w:t>
      </w:r>
      <w:r w:rsidR="00C64B2E">
        <w:t>nd</w:t>
      </w:r>
      <w:r w:rsidR="009F3BE3">
        <w:t>o</w:t>
      </w:r>
      <w:r w:rsidR="00C64B2E">
        <w:t xml:space="preserve">genous to offshore wind performance variables including capacity factor, economic life, </w:t>
      </w:r>
      <w:r w:rsidR="00204C4C">
        <w:t xml:space="preserve">learning rate, and costs. </w:t>
      </w:r>
    </w:p>
    <w:p w14:paraId="71C61A29" w14:textId="6F7FC083" w:rsidR="00204C4C" w:rsidRDefault="00204C4C" w:rsidP="00EB247F">
      <w:r>
        <w:t>In the Drawdown modeling approach, effects of variables such as shore distance and water depth are assumed exogenous to cost variables for offshore wind power, and therefore not directly accounted for. In addition, the effects of regulatory and policy environments including Renewables Portfolio Standards, Production Tax Credits, penalty factor for entities not meeting contract obligations are assumed constant.</w:t>
      </w:r>
    </w:p>
    <w:p w14:paraId="44AD7CDF" w14:textId="2CC69FB0" w:rsidR="001025DC" w:rsidRPr="00E069AC" w:rsidRDefault="001025DC" w:rsidP="00EB247F">
      <w:pPr>
        <w:sectPr w:rsidR="001025DC" w:rsidRPr="00E069AC">
          <w:pgSz w:w="12240" w:h="15840"/>
          <w:pgMar w:top="1440" w:right="1440" w:bottom="1440" w:left="1440" w:header="720" w:footer="720" w:gutter="0"/>
          <w:cols w:space="720"/>
        </w:sectPr>
      </w:pPr>
      <w:r w:rsidRPr="00E069AC">
        <w:t xml:space="preserve"> </w:t>
      </w:r>
    </w:p>
    <w:p w14:paraId="7CAFC693" w14:textId="4A2F7BD1" w:rsidR="007C645A" w:rsidRPr="00E069AC" w:rsidRDefault="551A77D0" w:rsidP="00912CC8">
      <w:pPr>
        <w:pStyle w:val="Heading1"/>
      </w:pPr>
      <w:bookmarkStart w:id="45" w:name="_Toc18619526"/>
      <w:r w:rsidRPr="00E069AC">
        <w:t>Results</w:t>
      </w:r>
      <w:bookmarkEnd w:id="45"/>
    </w:p>
    <w:p w14:paraId="13B4CEC0" w14:textId="1823F3C6" w:rsidR="00F61DCA" w:rsidRPr="00E069AC" w:rsidRDefault="00B24F59" w:rsidP="005C77F5">
      <w:pPr>
        <w:autoSpaceDE w:val="0"/>
        <w:autoSpaceDN w:val="0"/>
        <w:adjustRightInd w:val="0"/>
        <w:spacing w:after="0"/>
      </w:pPr>
      <w:r w:rsidRPr="00E069AC">
        <w:t>In th</w:t>
      </w:r>
      <w:r w:rsidR="008006D0" w:rsidRPr="00E069AC">
        <w:t xml:space="preserve">e following </w:t>
      </w:r>
      <w:r w:rsidRPr="00E069AC">
        <w:t xml:space="preserve">section are </w:t>
      </w:r>
      <w:r w:rsidR="003A7929" w:rsidRPr="00E069AC">
        <w:t>depicted</w:t>
      </w:r>
      <w:r w:rsidRPr="00E069AC">
        <w:t xml:space="preserve"> selected</w:t>
      </w:r>
      <w:r w:rsidR="00F61DCA" w:rsidRPr="00E069AC">
        <w:t xml:space="preserve"> results derived from the </w:t>
      </w:r>
      <w:r w:rsidR="008006D0" w:rsidRPr="00E069AC">
        <w:t xml:space="preserve">RRS </w:t>
      </w:r>
      <w:r w:rsidR="00F61DCA" w:rsidRPr="00E069AC">
        <w:t>model</w:t>
      </w:r>
      <w:r w:rsidRPr="00E069AC">
        <w:t xml:space="preserve"> </w:t>
      </w:r>
      <w:r w:rsidR="008006D0" w:rsidRPr="00E069AC">
        <w:t xml:space="preserve">evaluating the impact of increased adoption of </w:t>
      </w:r>
      <w:r w:rsidR="006330C6">
        <w:t>Wind Offshore</w:t>
      </w:r>
      <w:r w:rsidR="001025DC">
        <w:t xml:space="preserve"> </w:t>
      </w:r>
      <w:r w:rsidR="006330C6">
        <w:t>Farms</w:t>
      </w:r>
      <w:r w:rsidR="008006D0" w:rsidRPr="00E069AC">
        <w:t xml:space="preserve"> for electricity generation when compared to conventional technologies.</w:t>
      </w:r>
    </w:p>
    <w:p w14:paraId="7E39F2AB" w14:textId="2623AFC6" w:rsidR="00B261E0" w:rsidRPr="00E069AC" w:rsidRDefault="007C645A" w:rsidP="00E069AC">
      <w:pPr>
        <w:pStyle w:val="Heading2"/>
        <w:numPr>
          <w:ilvl w:val="1"/>
          <w:numId w:val="30"/>
        </w:numPr>
      </w:pPr>
      <w:bookmarkStart w:id="46" w:name="_Toc18619527"/>
      <w:r w:rsidRPr="00E069AC">
        <w:t>Adoption</w:t>
      </w:r>
      <w:bookmarkEnd w:id="46"/>
    </w:p>
    <w:p w14:paraId="287B8BB4" w14:textId="2735CDC9" w:rsidR="007C2326" w:rsidRPr="00137C55" w:rsidRDefault="007C645A" w:rsidP="00137C55">
      <w:pPr>
        <w:rPr>
          <w:rFonts w:eastAsia="Times New Roman"/>
        </w:rPr>
      </w:pPr>
      <w:r w:rsidRPr="00137C55">
        <w:rPr>
          <w:iCs/>
        </w:rPr>
        <w:t xml:space="preserve">Comparing the results from the three modeled scenarios </w:t>
      </w:r>
      <w:r w:rsidR="008006D0" w:rsidRPr="00137C55">
        <w:rPr>
          <w:iCs/>
        </w:rPr>
        <w:t>to the Reference Scenario allow</w:t>
      </w:r>
      <w:r w:rsidRPr="00137C55">
        <w:rPr>
          <w:iCs/>
        </w:rPr>
        <w:t xml:space="preserve"> to estimate the </w:t>
      </w:r>
      <w:r w:rsidRPr="009267BF">
        <w:rPr>
          <w:iCs/>
        </w:rPr>
        <w:t xml:space="preserve">climate and financial impacts of increased adoption of </w:t>
      </w:r>
      <w:r w:rsidR="007C2326" w:rsidRPr="009267BF">
        <w:rPr>
          <w:iCs/>
        </w:rPr>
        <w:t>wind</w:t>
      </w:r>
      <w:r w:rsidRPr="009267BF">
        <w:rPr>
          <w:iCs/>
        </w:rPr>
        <w:t xml:space="preserve"> systems. The Plausible Scenario</w:t>
      </w:r>
      <w:r w:rsidR="005C77F5" w:rsidRPr="009267BF">
        <w:rPr>
          <w:iCs/>
        </w:rPr>
        <w:t xml:space="preserve"> (PDS1)</w:t>
      </w:r>
      <w:r w:rsidRPr="009267BF">
        <w:rPr>
          <w:iCs/>
        </w:rPr>
        <w:t xml:space="preserve"> projects </w:t>
      </w:r>
      <w:r w:rsidR="00985E5D">
        <w:rPr>
          <w:iCs/>
        </w:rPr>
        <w:t>4.2</w:t>
      </w:r>
      <w:r w:rsidR="009267BF" w:rsidRPr="009267BF">
        <w:rPr>
          <w:iCs/>
        </w:rPr>
        <w:t xml:space="preserve"> </w:t>
      </w:r>
      <w:r w:rsidRPr="009267BF">
        <w:rPr>
          <w:iCs/>
        </w:rPr>
        <w:t xml:space="preserve">percent of total electricity generation worldwide coming from </w:t>
      </w:r>
      <w:r w:rsidR="00137C55" w:rsidRPr="009267BF">
        <w:rPr>
          <w:iCs/>
        </w:rPr>
        <w:t>offshore wind</w:t>
      </w:r>
      <w:r w:rsidRPr="009267BF">
        <w:rPr>
          <w:iCs/>
        </w:rPr>
        <w:t xml:space="preserve"> by 2050. </w:t>
      </w:r>
      <w:r w:rsidR="00137C55" w:rsidRPr="009267BF">
        <w:rPr>
          <w:rFonts w:eastAsia="Times New Roman"/>
        </w:rPr>
        <w:t xml:space="preserve">Offshore wind grows slowly but steadily, reaching </w:t>
      </w:r>
      <w:r w:rsidR="009267BF" w:rsidRPr="009267BF">
        <w:rPr>
          <w:rFonts w:eastAsia="Times New Roman"/>
        </w:rPr>
        <w:t>1,918</w:t>
      </w:r>
      <w:r w:rsidR="00CA3FF5" w:rsidRPr="009267BF">
        <w:rPr>
          <w:rFonts w:eastAsia="Times New Roman"/>
        </w:rPr>
        <w:t xml:space="preserve"> </w:t>
      </w:r>
      <w:r w:rsidR="00137C55" w:rsidRPr="009267BF">
        <w:rPr>
          <w:rFonts w:eastAsia="Times New Roman"/>
        </w:rPr>
        <w:t xml:space="preserve">TWh by 2050 (Figure 3.1). </w:t>
      </w:r>
      <w:r w:rsidRPr="009267BF">
        <w:rPr>
          <w:iCs/>
        </w:rPr>
        <w:t>In the Drawdown</w:t>
      </w:r>
      <w:r w:rsidR="009267BF" w:rsidRPr="009267BF">
        <w:rPr>
          <w:iCs/>
        </w:rPr>
        <w:t xml:space="preserve"> Scenario</w:t>
      </w:r>
      <w:r w:rsidRPr="009267BF">
        <w:rPr>
          <w:iCs/>
        </w:rPr>
        <w:t xml:space="preserve"> </w:t>
      </w:r>
      <w:r w:rsidR="005C77F5" w:rsidRPr="009267BF">
        <w:rPr>
          <w:iCs/>
        </w:rPr>
        <w:t xml:space="preserve">(PDS2) </w:t>
      </w:r>
      <w:r w:rsidRPr="009267BF">
        <w:rPr>
          <w:iCs/>
        </w:rPr>
        <w:t>the market sha</w:t>
      </w:r>
      <w:r w:rsidR="00D201BF" w:rsidRPr="009267BF">
        <w:rPr>
          <w:iCs/>
        </w:rPr>
        <w:t xml:space="preserve">re reaches </w:t>
      </w:r>
      <w:r w:rsidR="009267BF" w:rsidRPr="009267BF">
        <w:rPr>
          <w:iCs/>
        </w:rPr>
        <w:t>3.2</w:t>
      </w:r>
      <w:r w:rsidR="00D201BF" w:rsidRPr="009267BF">
        <w:rPr>
          <w:iCs/>
        </w:rPr>
        <w:t xml:space="preserve"> percent</w:t>
      </w:r>
      <w:r w:rsidR="009267BF" w:rsidRPr="009267BF">
        <w:rPr>
          <w:iCs/>
        </w:rPr>
        <w:t>,</w:t>
      </w:r>
      <w:r w:rsidR="00D201BF" w:rsidRPr="009267BF">
        <w:rPr>
          <w:iCs/>
        </w:rPr>
        <w:t xml:space="preserve"> </w:t>
      </w:r>
      <w:r w:rsidR="009267BF" w:rsidRPr="009267BF">
        <w:rPr>
          <w:iCs/>
        </w:rPr>
        <w:t>while Optimum Scenario (PDS3) 5.8</w:t>
      </w:r>
      <w:r w:rsidRPr="009267BF">
        <w:rPr>
          <w:iCs/>
        </w:rPr>
        <w:t xml:space="preserve"> percent</w:t>
      </w:r>
      <w:r w:rsidR="009267BF" w:rsidRPr="009267BF">
        <w:rPr>
          <w:iCs/>
        </w:rPr>
        <w:t xml:space="preserve"> of </w:t>
      </w:r>
      <w:r w:rsidR="005E3729" w:rsidRPr="009267BF">
        <w:rPr>
          <w:iCs/>
        </w:rPr>
        <w:t>those scenarios TAMs</w:t>
      </w:r>
      <w:r w:rsidRPr="009267BF">
        <w:rPr>
          <w:iCs/>
        </w:rPr>
        <w:t>.</w:t>
      </w:r>
      <w:r w:rsidR="00B24F59" w:rsidRPr="009267BF">
        <w:rPr>
          <w:iCs/>
        </w:rPr>
        <w:t xml:space="preserve"> Below </w:t>
      </w:r>
      <w:r w:rsidR="00807D37" w:rsidRPr="009267BF">
        <w:rPr>
          <w:iCs/>
        </w:rPr>
        <w:t>in Table 3.</w:t>
      </w:r>
      <w:r w:rsidR="005C77F5" w:rsidRPr="009267BF">
        <w:rPr>
          <w:iCs/>
        </w:rPr>
        <w:t>1</w:t>
      </w:r>
      <w:r w:rsidR="00807D37" w:rsidRPr="009267BF">
        <w:rPr>
          <w:iCs/>
        </w:rPr>
        <w:t xml:space="preserve"> </w:t>
      </w:r>
      <w:r w:rsidR="00B24F59" w:rsidRPr="009267BF">
        <w:rPr>
          <w:iCs/>
        </w:rPr>
        <w:t xml:space="preserve">are shown the adoptions of the solution in </w:t>
      </w:r>
      <w:r w:rsidR="00807D37" w:rsidRPr="009267BF">
        <w:rPr>
          <w:iCs/>
        </w:rPr>
        <w:t>2050</w:t>
      </w:r>
      <w:r w:rsidR="00B24F59" w:rsidRPr="009267BF">
        <w:rPr>
          <w:iCs/>
        </w:rPr>
        <w:t xml:space="preserve"> in functional units and percent.</w:t>
      </w:r>
      <w:r w:rsidR="00B24F59" w:rsidRPr="00E069AC">
        <w:rPr>
          <w:i/>
          <w:iCs/>
        </w:rPr>
        <w:t xml:space="preserve"> </w:t>
      </w:r>
    </w:p>
    <w:p w14:paraId="1CA60A5B" w14:textId="3015F043" w:rsidR="006D6758" w:rsidRPr="00137C55" w:rsidRDefault="007C2326" w:rsidP="007C2326">
      <w:pPr>
        <w:rPr>
          <w:bCs/>
        </w:rPr>
      </w:pPr>
      <w:r w:rsidRPr="001474E9">
        <w:rPr>
          <w:bCs/>
        </w:rPr>
        <w:t xml:space="preserve">The </w:t>
      </w:r>
      <w:r w:rsidR="00137C55">
        <w:rPr>
          <w:bCs/>
        </w:rPr>
        <w:t>PD</w:t>
      </w:r>
      <w:r w:rsidRPr="001474E9">
        <w:rPr>
          <w:bCs/>
        </w:rPr>
        <w:t xml:space="preserve"> scenario</w:t>
      </w:r>
      <w:r w:rsidR="00137C55">
        <w:rPr>
          <w:bCs/>
        </w:rPr>
        <w:t>s</w:t>
      </w:r>
      <w:r w:rsidRPr="001474E9">
        <w:rPr>
          <w:bCs/>
        </w:rPr>
        <w:t xml:space="preserve"> project an </w:t>
      </w:r>
      <w:r>
        <w:rPr>
          <w:bCs/>
        </w:rPr>
        <w:t>important</w:t>
      </w:r>
      <w:r w:rsidRPr="001474E9">
        <w:rPr>
          <w:bCs/>
        </w:rPr>
        <w:t xml:space="preserve"> growth in offshore wind, dominated by China, the EU, and the US. </w:t>
      </w:r>
      <w:r w:rsidR="00137C55">
        <w:rPr>
          <w:bCs/>
        </w:rPr>
        <w:t>P</w:t>
      </w:r>
      <w:r w:rsidRPr="001474E9">
        <w:rPr>
          <w:bCs/>
        </w:rPr>
        <w:t xml:space="preserve">rojections consider that much of the growth in offshore wind will take place in China, where costs will </w:t>
      </w:r>
      <w:r w:rsidRPr="00E32AAF">
        <w:rPr>
          <w:bCs/>
        </w:rPr>
        <w:t>likely be lower</w:t>
      </w:r>
      <w:r w:rsidR="00137C55">
        <w:rPr>
          <w:bCs/>
        </w:rPr>
        <w:t xml:space="preserve">. </w:t>
      </w:r>
      <w:r w:rsidRPr="007C2326">
        <w:rPr>
          <w:iCs/>
        </w:rPr>
        <w:t>Figure 3.</w:t>
      </w:r>
      <w:r w:rsidR="00912CC8" w:rsidRPr="007C2326">
        <w:rPr>
          <w:iCs/>
        </w:rPr>
        <w:t xml:space="preserve">1 depicts the long term pathway trajectories for the different scenarios of </w:t>
      </w:r>
      <w:r w:rsidR="00137C55">
        <w:rPr>
          <w:iCs/>
        </w:rPr>
        <w:t xml:space="preserve">offshore </w:t>
      </w:r>
      <w:r w:rsidRPr="007C2326">
        <w:rPr>
          <w:iCs/>
        </w:rPr>
        <w:t xml:space="preserve">wind farms </w:t>
      </w:r>
      <w:r w:rsidR="00137C55">
        <w:rPr>
          <w:iCs/>
        </w:rPr>
        <w:t>adoption.</w:t>
      </w:r>
    </w:p>
    <w:p w14:paraId="21183A78" w14:textId="3DE82561" w:rsidR="008D1491" w:rsidRPr="00E069AC" w:rsidRDefault="008D1491" w:rsidP="00EB247F">
      <w:pPr>
        <w:pStyle w:val="Caption"/>
        <w:jc w:val="center"/>
      </w:pPr>
      <w:bookmarkStart w:id="47" w:name="_Toc535272081"/>
      <w:r w:rsidRPr="00E069AC">
        <w:t xml:space="preserve">Table </w:t>
      </w:r>
      <w:fldSimple w:instr=" STYLEREF 1 \s ">
        <w:r w:rsidR="00492F5E" w:rsidRPr="00E069AC">
          <w:t>3</w:t>
        </w:r>
      </w:fldSimple>
      <w:r w:rsidR="00492F5E" w:rsidRPr="00E069AC">
        <w:t>.</w:t>
      </w:r>
      <w:fldSimple w:instr=" SEQ Table \* ARABIC \s 1 ">
        <w:r w:rsidR="00492F5E" w:rsidRPr="00E069AC">
          <w:t>1</w:t>
        </w:r>
      </w:fldSimple>
      <w:r w:rsidRPr="00E069AC">
        <w:t xml:space="preserve"> </w:t>
      </w:r>
      <w:r w:rsidR="005C77F5" w:rsidRPr="00E069AC">
        <w:t xml:space="preserve">World </w:t>
      </w:r>
      <w:r w:rsidRPr="00E069AC">
        <w:t>Adoption</w:t>
      </w:r>
      <w:r w:rsidR="005C77F5" w:rsidRPr="00E069AC">
        <w:t xml:space="preserve"> of the Solution</w:t>
      </w:r>
      <w:bookmarkEnd w:id="47"/>
    </w:p>
    <w:tbl>
      <w:tblPr>
        <w:tblStyle w:val="TableGrid"/>
        <w:tblW w:w="9217" w:type="dxa"/>
        <w:tblLook w:val="04A0" w:firstRow="1" w:lastRow="0" w:firstColumn="1" w:lastColumn="0" w:noHBand="0" w:noVBand="1"/>
      </w:tblPr>
      <w:tblGrid>
        <w:gridCol w:w="1951"/>
        <w:gridCol w:w="1163"/>
        <w:gridCol w:w="1417"/>
        <w:gridCol w:w="1385"/>
        <w:gridCol w:w="1652"/>
        <w:gridCol w:w="1649"/>
      </w:tblGrid>
      <w:tr w:rsidR="00971BA5" w:rsidRPr="00E069AC" w14:paraId="3FFD2090" w14:textId="77777777" w:rsidTr="005C77F5">
        <w:trPr>
          <w:trHeight w:val="48"/>
        </w:trPr>
        <w:tc>
          <w:tcPr>
            <w:tcW w:w="1951" w:type="dxa"/>
            <w:vMerge w:val="restart"/>
            <w:shd w:val="clear" w:color="auto" w:fill="4F81BD" w:themeFill="accent1"/>
            <w:vAlign w:val="center"/>
          </w:tcPr>
          <w:p w14:paraId="71879AD5" w14:textId="3CA30AF5" w:rsidR="00971BA5" w:rsidRPr="00E069AC" w:rsidRDefault="00971BA5" w:rsidP="001534F5">
            <w:pPr>
              <w:spacing w:line="240" w:lineRule="auto"/>
              <w:jc w:val="center"/>
              <w:rPr>
                <w:rFonts w:cstheme="minorHAnsi"/>
                <w:b/>
                <w:bCs/>
                <w:color w:val="FFFFFF" w:themeColor="background1"/>
                <w:sz w:val="20"/>
                <w:szCs w:val="20"/>
              </w:rPr>
            </w:pPr>
            <w:r w:rsidRPr="00E069AC">
              <w:rPr>
                <w:rFonts w:cstheme="minorHAnsi"/>
                <w:b/>
                <w:bCs/>
                <w:color w:val="FFFFFF" w:themeColor="background1"/>
                <w:sz w:val="20"/>
                <w:szCs w:val="20"/>
              </w:rPr>
              <w:t>Solution</w:t>
            </w:r>
          </w:p>
        </w:tc>
        <w:tc>
          <w:tcPr>
            <w:tcW w:w="1163" w:type="dxa"/>
            <w:vMerge w:val="restart"/>
            <w:shd w:val="clear" w:color="auto" w:fill="4F81BD" w:themeFill="accent1"/>
            <w:vAlign w:val="center"/>
          </w:tcPr>
          <w:p w14:paraId="736EA4CB" w14:textId="55E81B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Units</w:t>
            </w:r>
          </w:p>
        </w:tc>
        <w:tc>
          <w:tcPr>
            <w:tcW w:w="1417" w:type="dxa"/>
            <w:vMerge w:val="restart"/>
            <w:shd w:val="clear" w:color="auto" w:fill="4F81BD" w:themeFill="accent1"/>
            <w:vAlign w:val="center"/>
          </w:tcPr>
          <w:p w14:paraId="7A4BC7EC" w14:textId="56617266" w:rsidR="00971BA5" w:rsidRPr="00E069AC" w:rsidRDefault="00971BA5" w:rsidP="001534F5">
            <w:pPr>
              <w:spacing w:line="240" w:lineRule="auto"/>
              <w:jc w:val="center"/>
              <w:rPr>
                <w:b/>
                <w:bCs/>
                <w:color w:val="FFFFFF" w:themeColor="background1"/>
                <w:sz w:val="20"/>
                <w:szCs w:val="20"/>
              </w:rPr>
            </w:pPr>
            <w:r w:rsidRPr="00E069AC">
              <w:rPr>
                <w:b/>
                <w:bCs/>
                <w:iCs/>
                <w:color w:val="FFFFFF" w:themeColor="background1"/>
                <w:sz w:val="20"/>
                <w:szCs w:val="20"/>
              </w:rPr>
              <w:t xml:space="preserve">Base Year </w:t>
            </w:r>
            <w:r w:rsidRPr="00E069AC">
              <w:rPr>
                <w:b/>
                <w:bCs/>
                <w:color w:val="FFFFFF" w:themeColor="background1"/>
                <w:sz w:val="20"/>
                <w:szCs w:val="20"/>
              </w:rPr>
              <w:t xml:space="preserve"> (2014)</w:t>
            </w:r>
          </w:p>
        </w:tc>
        <w:tc>
          <w:tcPr>
            <w:tcW w:w="4686" w:type="dxa"/>
            <w:gridSpan w:val="3"/>
            <w:shd w:val="clear" w:color="auto" w:fill="4F81BD" w:themeFill="accent1"/>
            <w:vAlign w:val="center"/>
          </w:tcPr>
          <w:p w14:paraId="1BAFBD47" w14:textId="1AD40332"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World Adoption by 2050</w:t>
            </w:r>
          </w:p>
        </w:tc>
      </w:tr>
      <w:tr w:rsidR="00971BA5" w:rsidRPr="00E069AC" w14:paraId="4801E75B" w14:textId="77777777" w:rsidTr="005C77F5">
        <w:trPr>
          <w:trHeight w:val="184"/>
        </w:trPr>
        <w:tc>
          <w:tcPr>
            <w:tcW w:w="1951" w:type="dxa"/>
            <w:vMerge/>
            <w:shd w:val="clear" w:color="auto" w:fill="4F81BD" w:themeFill="accent1"/>
            <w:vAlign w:val="center"/>
          </w:tcPr>
          <w:p w14:paraId="6CD710FF" w14:textId="77777777" w:rsidR="00971BA5" w:rsidRPr="00E069AC" w:rsidRDefault="00971BA5" w:rsidP="001534F5">
            <w:pPr>
              <w:spacing w:line="240" w:lineRule="auto"/>
              <w:jc w:val="center"/>
              <w:rPr>
                <w:rFonts w:cstheme="minorHAnsi"/>
                <w:b/>
                <w:bCs/>
                <w:i/>
                <w:color w:val="FFFFFF" w:themeColor="background1"/>
                <w:sz w:val="20"/>
                <w:szCs w:val="20"/>
              </w:rPr>
            </w:pPr>
          </w:p>
        </w:tc>
        <w:tc>
          <w:tcPr>
            <w:tcW w:w="1163" w:type="dxa"/>
            <w:vMerge/>
            <w:shd w:val="clear" w:color="auto" w:fill="4F81BD" w:themeFill="accent1"/>
            <w:vAlign w:val="center"/>
          </w:tcPr>
          <w:p w14:paraId="173F30E0" w14:textId="77777777" w:rsidR="00971BA5" w:rsidRPr="00E069AC" w:rsidRDefault="00971BA5" w:rsidP="001534F5">
            <w:pPr>
              <w:spacing w:line="240" w:lineRule="auto"/>
              <w:jc w:val="center"/>
              <w:rPr>
                <w:bCs/>
                <w:i/>
                <w:color w:val="FFFFFF" w:themeColor="background1"/>
                <w:sz w:val="20"/>
                <w:szCs w:val="20"/>
              </w:rPr>
            </w:pPr>
          </w:p>
        </w:tc>
        <w:tc>
          <w:tcPr>
            <w:tcW w:w="1417" w:type="dxa"/>
            <w:vMerge/>
            <w:shd w:val="clear" w:color="auto" w:fill="4F81BD" w:themeFill="accent1"/>
            <w:vAlign w:val="center"/>
          </w:tcPr>
          <w:p w14:paraId="74E7E210" w14:textId="29C848AE" w:rsidR="00971BA5" w:rsidRPr="00E069AC" w:rsidRDefault="00971BA5" w:rsidP="001534F5">
            <w:pPr>
              <w:spacing w:line="240" w:lineRule="auto"/>
              <w:jc w:val="center"/>
              <w:rPr>
                <w:bCs/>
                <w:i/>
                <w:color w:val="FFFFFF" w:themeColor="background1"/>
                <w:sz w:val="20"/>
                <w:szCs w:val="20"/>
              </w:rPr>
            </w:pPr>
          </w:p>
        </w:tc>
        <w:tc>
          <w:tcPr>
            <w:tcW w:w="1385" w:type="dxa"/>
            <w:shd w:val="clear" w:color="auto" w:fill="4F81BD" w:themeFill="accent1"/>
            <w:vAlign w:val="center"/>
          </w:tcPr>
          <w:p w14:paraId="3BAD7FDF"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Plausible</w:t>
            </w:r>
          </w:p>
        </w:tc>
        <w:tc>
          <w:tcPr>
            <w:tcW w:w="1652" w:type="dxa"/>
            <w:shd w:val="clear" w:color="auto" w:fill="4F81BD" w:themeFill="accent1"/>
            <w:vAlign w:val="center"/>
          </w:tcPr>
          <w:p w14:paraId="0A0F5473"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Drawdown</w:t>
            </w:r>
          </w:p>
        </w:tc>
        <w:tc>
          <w:tcPr>
            <w:tcW w:w="1649" w:type="dxa"/>
            <w:shd w:val="clear" w:color="auto" w:fill="4F81BD" w:themeFill="accent1"/>
            <w:vAlign w:val="center"/>
          </w:tcPr>
          <w:p w14:paraId="0927695E"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Optimum</w:t>
            </w:r>
          </w:p>
        </w:tc>
      </w:tr>
      <w:tr w:rsidR="00137C55" w:rsidRPr="00E069AC" w14:paraId="305C72A7" w14:textId="77777777" w:rsidTr="00396031">
        <w:trPr>
          <w:trHeight w:val="619"/>
        </w:trPr>
        <w:tc>
          <w:tcPr>
            <w:tcW w:w="1951" w:type="dxa"/>
            <w:vMerge w:val="restart"/>
            <w:vAlign w:val="center"/>
          </w:tcPr>
          <w:p w14:paraId="2B8FFE1B" w14:textId="387B1B40" w:rsidR="00137C55" w:rsidRPr="00137C55" w:rsidRDefault="00137C55" w:rsidP="00137C55">
            <w:pPr>
              <w:spacing w:line="240" w:lineRule="auto"/>
              <w:jc w:val="center"/>
              <w:rPr>
                <w:sz w:val="20"/>
                <w:szCs w:val="20"/>
              </w:rPr>
            </w:pPr>
            <w:r w:rsidRPr="00137C55">
              <w:rPr>
                <w:sz w:val="20"/>
                <w:szCs w:val="20"/>
              </w:rPr>
              <w:t>Wind Offshore</w:t>
            </w:r>
          </w:p>
        </w:tc>
        <w:tc>
          <w:tcPr>
            <w:tcW w:w="1163" w:type="dxa"/>
            <w:vAlign w:val="center"/>
          </w:tcPr>
          <w:p w14:paraId="5BDA7373" w14:textId="4437EFB5" w:rsidR="00137C55" w:rsidRPr="00137C55" w:rsidRDefault="00137C55" w:rsidP="00137C55">
            <w:pPr>
              <w:spacing w:line="240" w:lineRule="auto"/>
              <w:jc w:val="center"/>
              <w:rPr>
                <w:rFonts w:cstheme="minorHAnsi"/>
                <w:bCs/>
                <w:color w:val="000000" w:themeColor="text1"/>
                <w:sz w:val="20"/>
                <w:szCs w:val="20"/>
              </w:rPr>
            </w:pPr>
            <w:r w:rsidRPr="00137C55">
              <w:rPr>
                <w:bCs/>
                <w:i/>
                <w:color w:val="000000" w:themeColor="text1"/>
                <w:sz w:val="20"/>
                <w:szCs w:val="20"/>
              </w:rPr>
              <w:t>Electricity Generation (TWh)</w:t>
            </w:r>
          </w:p>
        </w:tc>
        <w:tc>
          <w:tcPr>
            <w:tcW w:w="1417" w:type="dxa"/>
            <w:vAlign w:val="center"/>
          </w:tcPr>
          <w:p w14:paraId="72C0B03E" w14:textId="0C761D64" w:rsidR="00137C55" w:rsidRPr="007C2326" w:rsidRDefault="00137C55" w:rsidP="00137C55">
            <w:pPr>
              <w:spacing w:line="240" w:lineRule="auto"/>
              <w:jc w:val="center"/>
              <w:rPr>
                <w:rFonts w:cstheme="minorHAnsi"/>
                <w:bCs/>
                <w:sz w:val="20"/>
                <w:szCs w:val="20"/>
                <w:highlight w:val="red"/>
              </w:rPr>
            </w:pPr>
            <w:r w:rsidRPr="00137C55">
              <w:rPr>
                <w:rFonts w:cstheme="minorHAnsi"/>
                <w:bCs/>
                <w:sz w:val="20"/>
                <w:szCs w:val="20"/>
              </w:rPr>
              <w:t>24.89</w:t>
            </w:r>
          </w:p>
        </w:tc>
        <w:tc>
          <w:tcPr>
            <w:tcW w:w="1385" w:type="dxa"/>
            <w:vAlign w:val="center"/>
          </w:tcPr>
          <w:p w14:paraId="2A8FE7A2" w14:textId="23FBC487" w:rsidR="00137C55" w:rsidRPr="002347A8" w:rsidRDefault="002347A8" w:rsidP="00137C55">
            <w:pPr>
              <w:spacing w:line="240" w:lineRule="auto"/>
              <w:jc w:val="center"/>
              <w:rPr>
                <w:rFonts w:cstheme="minorHAnsi"/>
                <w:bCs/>
                <w:sz w:val="20"/>
                <w:szCs w:val="20"/>
              </w:rPr>
            </w:pPr>
            <w:r w:rsidRPr="002347A8">
              <w:rPr>
                <w:rFonts w:cstheme="minorHAnsi"/>
                <w:bCs/>
                <w:sz w:val="20"/>
                <w:szCs w:val="20"/>
              </w:rPr>
              <w:t>1,918</w:t>
            </w:r>
          </w:p>
        </w:tc>
        <w:tc>
          <w:tcPr>
            <w:tcW w:w="1652" w:type="dxa"/>
            <w:vAlign w:val="center"/>
          </w:tcPr>
          <w:p w14:paraId="79EE8DDC" w14:textId="58635176" w:rsidR="00137C55" w:rsidRPr="009267BF" w:rsidRDefault="0091502A" w:rsidP="00137C55">
            <w:pPr>
              <w:spacing w:line="240" w:lineRule="auto"/>
              <w:jc w:val="center"/>
              <w:rPr>
                <w:rFonts w:cstheme="minorHAnsi"/>
                <w:bCs/>
                <w:sz w:val="20"/>
                <w:szCs w:val="20"/>
              </w:rPr>
            </w:pPr>
            <w:r w:rsidRPr="009267BF">
              <w:rPr>
                <w:rFonts w:cstheme="minorHAnsi"/>
                <w:bCs/>
                <w:sz w:val="20"/>
                <w:szCs w:val="20"/>
              </w:rPr>
              <w:t>2,</w:t>
            </w:r>
            <w:r w:rsidR="009267BF" w:rsidRPr="009267BF">
              <w:rPr>
                <w:rFonts w:cstheme="minorHAnsi"/>
                <w:bCs/>
                <w:sz w:val="20"/>
                <w:szCs w:val="20"/>
              </w:rPr>
              <w:t>256</w:t>
            </w:r>
          </w:p>
        </w:tc>
        <w:tc>
          <w:tcPr>
            <w:tcW w:w="1649" w:type="dxa"/>
            <w:vAlign w:val="center"/>
          </w:tcPr>
          <w:p w14:paraId="5B002A1D" w14:textId="6910C49F" w:rsidR="00137C55" w:rsidRPr="009267BF" w:rsidRDefault="009267BF" w:rsidP="00137C55">
            <w:pPr>
              <w:spacing w:line="240" w:lineRule="auto"/>
              <w:jc w:val="center"/>
              <w:rPr>
                <w:rFonts w:cstheme="minorHAnsi"/>
                <w:bCs/>
                <w:sz w:val="20"/>
                <w:szCs w:val="20"/>
              </w:rPr>
            </w:pPr>
            <w:r w:rsidRPr="009267BF">
              <w:rPr>
                <w:rFonts w:cstheme="minorHAnsi"/>
                <w:bCs/>
                <w:sz w:val="20"/>
                <w:szCs w:val="20"/>
              </w:rPr>
              <w:t>4,108</w:t>
            </w:r>
          </w:p>
        </w:tc>
      </w:tr>
      <w:tr w:rsidR="00137C55" w:rsidRPr="00E069AC" w14:paraId="59E1863D" w14:textId="77777777" w:rsidTr="005C77F5">
        <w:trPr>
          <w:trHeight w:val="32"/>
        </w:trPr>
        <w:tc>
          <w:tcPr>
            <w:tcW w:w="1951" w:type="dxa"/>
            <w:vMerge/>
            <w:vAlign w:val="center"/>
          </w:tcPr>
          <w:p w14:paraId="518ED63B" w14:textId="77777777" w:rsidR="00137C55" w:rsidRPr="00137C55" w:rsidRDefault="00137C55" w:rsidP="00137C55">
            <w:pPr>
              <w:spacing w:line="240" w:lineRule="auto"/>
              <w:jc w:val="center"/>
              <w:rPr>
                <w:sz w:val="20"/>
                <w:szCs w:val="20"/>
              </w:rPr>
            </w:pPr>
          </w:p>
        </w:tc>
        <w:tc>
          <w:tcPr>
            <w:tcW w:w="1163" w:type="dxa"/>
            <w:vAlign w:val="center"/>
          </w:tcPr>
          <w:p w14:paraId="2352B4C1" w14:textId="0398F6A2" w:rsidR="00137C55" w:rsidRPr="00137C55" w:rsidRDefault="00137C55" w:rsidP="00137C55">
            <w:pPr>
              <w:spacing w:line="240" w:lineRule="auto"/>
              <w:jc w:val="center"/>
              <w:rPr>
                <w:rFonts w:cstheme="minorHAnsi"/>
                <w:bCs/>
                <w:color w:val="000000" w:themeColor="text1"/>
                <w:sz w:val="20"/>
                <w:szCs w:val="20"/>
              </w:rPr>
            </w:pPr>
            <w:r w:rsidRPr="00137C55">
              <w:rPr>
                <w:bCs/>
                <w:i/>
                <w:iCs/>
                <w:color w:val="000000" w:themeColor="text1"/>
                <w:sz w:val="20"/>
                <w:szCs w:val="20"/>
              </w:rPr>
              <w:t>(% market)</w:t>
            </w:r>
          </w:p>
        </w:tc>
        <w:tc>
          <w:tcPr>
            <w:tcW w:w="1417" w:type="dxa"/>
            <w:vAlign w:val="center"/>
          </w:tcPr>
          <w:p w14:paraId="4FD03435" w14:textId="334427F1" w:rsidR="00137C55" w:rsidRPr="007C2326" w:rsidRDefault="00137C55" w:rsidP="00137C55">
            <w:pPr>
              <w:spacing w:line="240" w:lineRule="auto"/>
              <w:jc w:val="center"/>
              <w:rPr>
                <w:rFonts w:cstheme="minorHAnsi"/>
                <w:bCs/>
                <w:sz w:val="20"/>
                <w:szCs w:val="20"/>
                <w:highlight w:val="red"/>
              </w:rPr>
            </w:pPr>
            <w:r w:rsidRPr="00137C55">
              <w:rPr>
                <w:rFonts w:cstheme="minorHAnsi"/>
                <w:bCs/>
                <w:sz w:val="20"/>
                <w:szCs w:val="20"/>
              </w:rPr>
              <w:t>0.11%</w:t>
            </w:r>
          </w:p>
        </w:tc>
        <w:tc>
          <w:tcPr>
            <w:tcW w:w="1385" w:type="dxa"/>
            <w:vAlign w:val="center"/>
          </w:tcPr>
          <w:p w14:paraId="34CAFB53" w14:textId="14FA83D2" w:rsidR="00137C55" w:rsidRPr="002347A8" w:rsidRDefault="00985E5D" w:rsidP="00137C55">
            <w:pPr>
              <w:spacing w:line="240" w:lineRule="auto"/>
              <w:jc w:val="center"/>
              <w:rPr>
                <w:rFonts w:cstheme="minorHAnsi"/>
                <w:bCs/>
                <w:sz w:val="20"/>
                <w:szCs w:val="20"/>
              </w:rPr>
            </w:pPr>
            <w:r>
              <w:rPr>
                <w:rFonts w:cstheme="minorHAnsi"/>
                <w:bCs/>
                <w:sz w:val="20"/>
                <w:szCs w:val="20"/>
              </w:rPr>
              <w:t>4.2</w:t>
            </w:r>
            <w:r w:rsidR="00137C55" w:rsidRPr="002347A8">
              <w:rPr>
                <w:rFonts w:cstheme="minorHAnsi"/>
                <w:bCs/>
                <w:sz w:val="20"/>
                <w:szCs w:val="20"/>
              </w:rPr>
              <w:t>%</w:t>
            </w:r>
          </w:p>
        </w:tc>
        <w:tc>
          <w:tcPr>
            <w:tcW w:w="1652" w:type="dxa"/>
            <w:vAlign w:val="center"/>
          </w:tcPr>
          <w:p w14:paraId="43B375D1" w14:textId="373045CC" w:rsidR="00137C55" w:rsidRPr="009267BF" w:rsidRDefault="00985E5D" w:rsidP="00137C55">
            <w:pPr>
              <w:spacing w:line="240" w:lineRule="auto"/>
              <w:jc w:val="center"/>
              <w:rPr>
                <w:rFonts w:cstheme="minorHAnsi"/>
                <w:bCs/>
                <w:sz w:val="20"/>
                <w:szCs w:val="20"/>
              </w:rPr>
            </w:pPr>
            <w:r>
              <w:rPr>
                <w:rFonts w:cstheme="minorHAnsi"/>
                <w:bCs/>
                <w:sz w:val="20"/>
                <w:szCs w:val="20"/>
              </w:rPr>
              <w:t>3.2</w:t>
            </w:r>
            <w:r w:rsidR="00137C55" w:rsidRPr="009267BF">
              <w:rPr>
                <w:rFonts w:cstheme="minorHAnsi"/>
                <w:bCs/>
                <w:sz w:val="20"/>
                <w:szCs w:val="20"/>
              </w:rPr>
              <w:t>%</w:t>
            </w:r>
          </w:p>
        </w:tc>
        <w:tc>
          <w:tcPr>
            <w:tcW w:w="1649" w:type="dxa"/>
            <w:vAlign w:val="center"/>
          </w:tcPr>
          <w:p w14:paraId="7641EB01" w14:textId="0C064DB0" w:rsidR="00137C55" w:rsidRPr="009267BF" w:rsidRDefault="00985E5D" w:rsidP="00137C55">
            <w:pPr>
              <w:spacing w:line="240" w:lineRule="auto"/>
              <w:jc w:val="center"/>
              <w:rPr>
                <w:rFonts w:cstheme="minorHAnsi"/>
                <w:bCs/>
                <w:sz w:val="20"/>
                <w:szCs w:val="20"/>
              </w:rPr>
            </w:pPr>
            <w:r>
              <w:rPr>
                <w:rFonts w:cstheme="minorHAnsi"/>
                <w:bCs/>
                <w:sz w:val="20"/>
                <w:szCs w:val="20"/>
              </w:rPr>
              <w:t>5.8</w:t>
            </w:r>
            <w:r w:rsidR="00137C55" w:rsidRPr="009267BF">
              <w:rPr>
                <w:rFonts w:cstheme="minorHAnsi"/>
                <w:bCs/>
                <w:sz w:val="20"/>
                <w:szCs w:val="20"/>
              </w:rPr>
              <w:t>%</w:t>
            </w:r>
          </w:p>
        </w:tc>
      </w:tr>
    </w:tbl>
    <w:p w14:paraId="2AB38D2C" w14:textId="77777777" w:rsidR="00762877" w:rsidRPr="00E069AC" w:rsidRDefault="00762877" w:rsidP="00EB247F">
      <w:pPr>
        <w:spacing w:after="0"/>
        <w:jc w:val="center"/>
        <w:rPr>
          <w:rFonts w:cstheme="minorHAnsi"/>
          <w:b/>
          <w:bCs/>
          <w:i/>
        </w:rPr>
      </w:pPr>
    </w:p>
    <w:p w14:paraId="49A61C9E" w14:textId="77777777" w:rsidR="001534F5" w:rsidRPr="00E069AC" w:rsidRDefault="001534F5" w:rsidP="00EB247F">
      <w:pPr>
        <w:pStyle w:val="Caption"/>
        <w:jc w:val="center"/>
      </w:pPr>
    </w:p>
    <w:p w14:paraId="7A2926D4" w14:textId="3029B571" w:rsidR="003A7929" w:rsidRPr="001025DC" w:rsidRDefault="00C15551" w:rsidP="00EB247F">
      <w:pPr>
        <w:pStyle w:val="Caption"/>
        <w:jc w:val="center"/>
        <w:rPr>
          <w:highlight w:val="lightGray"/>
        </w:rPr>
      </w:pPr>
      <w:r>
        <w:rPr>
          <w:noProof/>
        </w:rPr>
        <w:drawing>
          <wp:inline distT="0" distB="0" distL="0" distR="0" wp14:anchorId="4B226C38" wp14:editId="0F54F3FF">
            <wp:extent cx="5715000" cy="3095723"/>
            <wp:effectExtent l="0" t="0" r="12700" b="15875"/>
            <wp:docPr id="2" name="Chart 2">
              <a:extLst xmlns:a="http://schemas.openxmlformats.org/drawingml/2006/main">
                <a:ext uri="{FF2B5EF4-FFF2-40B4-BE49-F238E27FC236}">
                  <a16:creationId xmlns:a16="http://schemas.microsoft.com/office/drawing/2014/main" id="{FF90EB87-C6E7-48A9-81B8-448E3116FE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67E303A" w14:textId="7AA4387F" w:rsidR="00762877" w:rsidRPr="00E069AC" w:rsidRDefault="00977F6D" w:rsidP="00912CC8">
      <w:pPr>
        <w:pStyle w:val="Caption"/>
        <w:jc w:val="center"/>
      </w:pPr>
      <w:bookmarkStart w:id="48" w:name="_Toc23609248"/>
      <w:r w:rsidRPr="00C15551">
        <w:t xml:space="preserve">Figure </w:t>
      </w:r>
      <w:r w:rsidR="00D158BC" w:rsidRPr="00C15551">
        <w:rPr>
          <w:noProof/>
        </w:rPr>
        <w:fldChar w:fldCharType="begin"/>
      </w:r>
      <w:r w:rsidR="00D158BC" w:rsidRPr="00C15551">
        <w:rPr>
          <w:noProof/>
        </w:rPr>
        <w:instrText xml:space="preserve"> STYLEREF 1 \s </w:instrText>
      </w:r>
      <w:r w:rsidR="00D158BC" w:rsidRPr="00C15551">
        <w:rPr>
          <w:noProof/>
        </w:rPr>
        <w:fldChar w:fldCharType="separate"/>
      </w:r>
      <w:r w:rsidR="00586AA5" w:rsidRPr="00C15551">
        <w:rPr>
          <w:noProof/>
        </w:rPr>
        <w:t>3</w:t>
      </w:r>
      <w:r w:rsidR="00D158BC" w:rsidRPr="00C15551">
        <w:rPr>
          <w:noProof/>
        </w:rPr>
        <w:fldChar w:fldCharType="end"/>
      </w:r>
      <w:r w:rsidR="00912CC8" w:rsidRPr="00C15551">
        <w:t>.</w:t>
      </w:r>
      <w:r w:rsidR="00D158BC" w:rsidRPr="00C15551">
        <w:rPr>
          <w:noProof/>
        </w:rPr>
        <w:fldChar w:fldCharType="begin"/>
      </w:r>
      <w:r w:rsidR="00D158BC" w:rsidRPr="00C15551">
        <w:rPr>
          <w:noProof/>
        </w:rPr>
        <w:instrText xml:space="preserve"> SEQ Figure \* ARABIC \s 1 </w:instrText>
      </w:r>
      <w:r w:rsidR="00D158BC" w:rsidRPr="00C15551">
        <w:rPr>
          <w:noProof/>
        </w:rPr>
        <w:fldChar w:fldCharType="separate"/>
      </w:r>
      <w:r w:rsidR="00586AA5" w:rsidRPr="00C15551">
        <w:rPr>
          <w:noProof/>
        </w:rPr>
        <w:t>1</w:t>
      </w:r>
      <w:r w:rsidR="00D158BC" w:rsidRPr="00C15551">
        <w:rPr>
          <w:noProof/>
        </w:rPr>
        <w:fldChar w:fldCharType="end"/>
      </w:r>
      <w:r w:rsidRPr="00C15551">
        <w:t xml:space="preserve"> </w:t>
      </w:r>
      <w:r w:rsidR="00807D37" w:rsidRPr="00C15551">
        <w:t xml:space="preserve">World Annual </w:t>
      </w:r>
      <w:r w:rsidRPr="00C15551">
        <w:t>Adoption 20</w:t>
      </w:r>
      <w:r w:rsidR="00971BA5" w:rsidRPr="00C15551">
        <w:t>15-206</w:t>
      </w:r>
      <w:r w:rsidRPr="00C15551">
        <w:t>0</w:t>
      </w:r>
      <w:bookmarkEnd w:id="48"/>
    </w:p>
    <w:p w14:paraId="6B6F22E7" w14:textId="19002B27" w:rsidR="003A7929" w:rsidRPr="00E069AC" w:rsidRDefault="551A77D0" w:rsidP="00483FFA">
      <w:pPr>
        <w:pStyle w:val="Heading2"/>
        <w:numPr>
          <w:ilvl w:val="1"/>
          <w:numId w:val="26"/>
        </w:numPr>
      </w:pPr>
      <w:bookmarkStart w:id="49" w:name="_Toc18619528"/>
      <w:r w:rsidRPr="00E069AC">
        <w:t>Climate Impacts</w:t>
      </w:r>
      <w:bookmarkEnd w:id="49"/>
    </w:p>
    <w:p w14:paraId="36842FAA" w14:textId="438854F9" w:rsidR="003A7929" w:rsidRPr="0091502A" w:rsidRDefault="003A7929" w:rsidP="00EB247F">
      <w:pPr>
        <w:pStyle w:val="Caption"/>
        <w:rPr>
          <w:i w:val="0"/>
          <w:iCs w:val="0"/>
          <w:color w:val="auto"/>
          <w:sz w:val="22"/>
          <w:szCs w:val="22"/>
        </w:rPr>
      </w:pPr>
      <w:r w:rsidRPr="00E069AC">
        <w:rPr>
          <w:i w:val="0"/>
          <w:iCs w:val="0"/>
          <w:color w:val="auto"/>
          <w:sz w:val="22"/>
          <w:szCs w:val="22"/>
        </w:rPr>
        <w:t xml:space="preserve">Below are the emissions results of the analysis for each scenario which include total emissions reduction and atmospheric concentration changes. For a detailed explanation of each result, please see the glossary </w:t>
      </w:r>
      <w:r w:rsidRPr="0091502A">
        <w:rPr>
          <w:i w:val="0"/>
          <w:iCs w:val="0"/>
          <w:color w:val="auto"/>
          <w:sz w:val="22"/>
          <w:szCs w:val="22"/>
        </w:rPr>
        <w:t>(Section 6).</w:t>
      </w:r>
    </w:p>
    <w:p w14:paraId="3132CA94" w14:textId="60675FAB" w:rsidR="00A84B41" w:rsidRPr="00E069AC" w:rsidRDefault="0091502A" w:rsidP="0091502A">
      <w:pPr>
        <w:widowControl w:val="0"/>
        <w:autoSpaceDE w:val="0"/>
        <w:autoSpaceDN w:val="0"/>
        <w:adjustRightInd w:val="0"/>
      </w:pPr>
      <w:r w:rsidRPr="0091502A">
        <w:t xml:space="preserve">With its low GHG emissions at LCA level, the adoption for offshore wind electricity portrayed in the PD scenarios </w:t>
      </w:r>
      <w:r w:rsidRPr="002347A8">
        <w:t xml:space="preserve">could reduce global GHG emissions at a significant amount. </w:t>
      </w:r>
      <w:r w:rsidR="007C645A" w:rsidRPr="002347A8">
        <w:t>The Plausible Scenari</w:t>
      </w:r>
      <w:r w:rsidR="001B3003" w:rsidRPr="002347A8">
        <w:t xml:space="preserve">o results in the avoidance of </w:t>
      </w:r>
      <w:r w:rsidR="002347A8" w:rsidRPr="002347A8">
        <w:t>11.4</w:t>
      </w:r>
      <w:r w:rsidR="00985E5D">
        <w:t>9</w:t>
      </w:r>
      <w:r w:rsidR="007C645A" w:rsidRPr="002347A8">
        <w:t xml:space="preserve"> gigatons of carbon dioxide-equivalent greenhouse gas emissio</w:t>
      </w:r>
      <w:r w:rsidR="00BB79D6" w:rsidRPr="002347A8">
        <w:t>ns between 2020-2050</w:t>
      </w:r>
      <w:r w:rsidR="005C77F5" w:rsidRPr="002347A8">
        <w:t xml:space="preserve">. </w:t>
      </w:r>
      <w:r w:rsidR="007C645A" w:rsidRPr="002347A8">
        <w:t xml:space="preserve">Both the Drawdown and Optimum Scenarios are more ambitious in the growth of </w:t>
      </w:r>
      <w:r w:rsidRPr="002347A8">
        <w:t>offshore wind</w:t>
      </w:r>
      <w:r w:rsidR="007C645A" w:rsidRPr="002347A8">
        <w:t xml:space="preserve"> technologies, with impacts on greenhouse gas emissions reductions over 2020-2050 of </w:t>
      </w:r>
      <w:r w:rsidRPr="002347A8">
        <w:t>1</w:t>
      </w:r>
      <w:r w:rsidR="002347A8" w:rsidRPr="002347A8">
        <w:t>3</w:t>
      </w:r>
      <w:r w:rsidRPr="002347A8">
        <w:t>.</w:t>
      </w:r>
      <w:r w:rsidR="00985E5D">
        <w:t xml:space="preserve">28 </w:t>
      </w:r>
      <w:r w:rsidRPr="002347A8">
        <w:t>and 2</w:t>
      </w:r>
      <w:r w:rsidR="002347A8" w:rsidRPr="002347A8">
        <w:t>8</w:t>
      </w:r>
      <w:r w:rsidRPr="002347A8">
        <w:t>.</w:t>
      </w:r>
      <w:r w:rsidR="00985E5D">
        <w:t>38</w:t>
      </w:r>
      <w:r w:rsidR="00BB79D6" w:rsidRPr="002347A8">
        <w:t xml:space="preserve"> </w:t>
      </w:r>
      <w:r w:rsidR="007C645A" w:rsidRPr="002347A8">
        <w:t>gigatons of carbon dioxide-equivalent</w:t>
      </w:r>
      <w:r w:rsidRPr="002347A8">
        <w:t xml:space="preserve"> respectively</w:t>
      </w:r>
      <w:r w:rsidR="00BB79D6" w:rsidRPr="002347A8">
        <w:t>.</w:t>
      </w:r>
      <w:r w:rsidR="00057050" w:rsidRPr="002347A8">
        <w:t xml:space="preserve"> </w:t>
      </w:r>
      <w:r w:rsidRPr="002347A8">
        <w:t xml:space="preserve">These reduced emissions would help to avoid costs related to climate change damages, improved public health, air quality and water consumption. </w:t>
      </w:r>
      <w:r w:rsidR="00057050" w:rsidRPr="002347A8">
        <w:t>Tables 3.2 and 3.3. provide additional information on the climate impacts of the solution adoption.</w:t>
      </w:r>
    </w:p>
    <w:p w14:paraId="259DB377" w14:textId="77777777" w:rsidR="002347A8" w:rsidRDefault="002347A8">
      <w:pPr>
        <w:spacing w:after="160" w:line="259" w:lineRule="auto"/>
        <w:jc w:val="left"/>
        <w:rPr>
          <w:i/>
          <w:iCs/>
          <w:color w:val="1F497D" w:themeColor="text2"/>
          <w:sz w:val="18"/>
          <w:szCs w:val="18"/>
        </w:rPr>
      </w:pPr>
      <w:bookmarkStart w:id="50" w:name="_Toc535272082"/>
      <w:r>
        <w:br w:type="page"/>
      </w:r>
    </w:p>
    <w:p w14:paraId="4DA2B4CB" w14:textId="48CAC2BD" w:rsidR="00762877" w:rsidRPr="00E069AC" w:rsidRDefault="0066753A" w:rsidP="00EB247F">
      <w:pPr>
        <w:pStyle w:val="Caption"/>
        <w:jc w:val="center"/>
        <w:rPr>
          <w:rFonts w:eastAsia="Times New Roman" w:cs="Times New Roman"/>
          <w:sz w:val="24"/>
          <w:szCs w:val="24"/>
          <w:lang w:eastAsia="zh-CN"/>
        </w:rPr>
      </w:pPr>
      <w:r w:rsidRPr="00E069AC">
        <w:t xml:space="preserve">Table </w:t>
      </w:r>
      <w:fldSimple w:instr=" STYLEREF 1 \s ">
        <w:r w:rsidR="00492F5E" w:rsidRPr="00E069AC">
          <w:t>3</w:t>
        </w:r>
      </w:fldSimple>
      <w:r w:rsidR="00492F5E" w:rsidRPr="00E069AC">
        <w:t>.</w:t>
      </w:r>
      <w:fldSimple w:instr=" SEQ Table \* ARABIC \s 1 ">
        <w:r w:rsidR="00492F5E" w:rsidRPr="00E069AC">
          <w:t>2</w:t>
        </w:r>
      </w:fldSimple>
      <w:r w:rsidRPr="00E069AC">
        <w:t xml:space="preserve"> Climate Impacts</w:t>
      </w:r>
      <w:bookmarkEnd w:id="50"/>
    </w:p>
    <w:tbl>
      <w:tblPr>
        <w:tblW w:w="6935" w:type="dxa"/>
        <w:jc w:val="center"/>
        <w:tblLayout w:type="fixed"/>
        <w:tblCellMar>
          <w:top w:w="15" w:type="dxa"/>
          <w:left w:w="15" w:type="dxa"/>
          <w:bottom w:w="15" w:type="dxa"/>
          <w:right w:w="15" w:type="dxa"/>
        </w:tblCellMar>
        <w:tblLook w:val="04A0" w:firstRow="1" w:lastRow="0" w:firstColumn="1" w:lastColumn="0" w:noHBand="0" w:noVBand="1"/>
      </w:tblPr>
      <w:tblGrid>
        <w:gridCol w:w="2052"/>
        <w:gridCol w:w="2441"/>
        <w:gridCol w:w="2442"/>
      </w:tblGrid>
      <w:tr w:rsidR="00985E5D" w:rsidRPr="00E069AC" w14:paraId="0150056F" w14:textId="1D8EC1D7" w:rsidTr="00985E5D">
        <w:trPr>
          <w:trHeight w:val="388"/>
          <w:jc w:val="center"/>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03E3878" w14:textId="77777777" w:rsidR="00985E5D" w:rsidRPr="00E069AC" w:rsidRDefault="00985E5D"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E0923C5" w14:textId="77777777" w:rsidR="00985E5D" w:rsidRPr="00E069AC" w:rsidRDefault="00985E5D"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Maximum Annual Emissions Reduction</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8D8D42A" w14:textId="77777777" w:rsidR="00985E5D" w:rsidRPr="00E069AC" w:rsidRDefault="00985E5D" w:rsidP="00985E5D">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Emissions Reduction in 2050</w:t>
            </w:r>
          </w:p>
        </w:tc>
      </w:tr>
      <w:tr w:rsidR="00985E5D" w:rsidRPr="00E069AC" w14:paraId="6B5C6387" w14:textId="411C48F1" w:rsidTr="00985E5D">
        <w:trPr>
          <w:trHeight w:val="306"/>
          <w:jc w:val="center"/>
        </w:trPr>
        <w:tc>
          <w:tcPr>
            <w:tcW w:w="2052"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985E5D" w:rsidRPr="00E069AC" w:rsidRDefault="00985E5D" w:rsidP="001534F5">
            <w:pPr>
              <w:spacing w:line="240" w:lineRule="auto"/>
              <w:jc w:val="center"/>
              <w:rPr>
                <w:rFonts w:cstheme="minorHAnsi"/>
                <w:b/>
                <w:bCs/>
                <w:i/>
                <w:color w:val="FFFFFF" w:themeColor="background1"/>
                <w:sz w:val="20"/>
                <w:szCs w:val="20"/>
                <w:lang w:eastAsia="zh-CN"/>
              </w:rPr>
            </w:pP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7D6628D" w14:textId="77777777" w:rsidR="00985E5D" w:rsidRPr="00E069AC" w:rsidRDefault="00985E5D"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01EFE1" w14:textId="77777777" w:rsidR="00985E5D" w:rsidRPr="00E069AC" w:rsidRDefault="00985E5D"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-eq/year)</w:t>
            </w:r>
          </w:p>
        </w:tc>
      </w:tr>
      <w:tr w:rsidR="00985E5D" w:rsidRPr="00E069AC" w14:paraId="354A2249" w14:textId="7B11184C" w:rsidTr="00985E5D">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3153F" w14:textId="77777777" w:rsidR="00985E5D" w:rsidRPr="00E069AC" w:rsidRDefault="00985E5D" w:rsidP="001534F5">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Plausible</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1617255F" w:rsidR="00985E5D" w:rsidRPr="001025DC" w:rsidRDefault="00985E5D"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2347A8">
              <w:rPr>
                <w:rFonts w:eastAsia="Times New Roman" w:cstheme="minorHAnsi"/>
                <w:color w:val="000000" w:themeColor="text1"/>
                <w:sz w:val="20"/>
                <w:szCs w:val="20"/>
                <w:lang w:eastAsia="zh-CN"/>
              </w:rPr>
              <w:t>0.8</w:t>
            </w:r>
            <w:r>
              <w:rPr>
                <w:rFonts w:eastAsia="Times New Roman" w:cstheme="minorHAnsi"/>
                <w:color w:val="000000" w:themeColor="text1"/>
                <w:sz w:val="20"/>
                <w:szCs w:val="20"/>
                <w:lang w:eastAsia="zh-CN"/>
              </w:rPr>
              <w:t>8</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3C23453E" w:rsidR="00985E5D" w:rsidRPr="001025DC" w:rsidRDefault="00985E5D"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2347A8">
              <w:rPr>
                <w:rFonts w:eastAsia="Times New Roman" w:cstheme="minorHAnsi"/>
                <w:color w:val="000000" w:themeColor="text1"/>
                <w:sz w:val="20"/>
                <w:szCs w:val="20"/>
                <w:lang w:eastAsia="zh-CN"/>
              </w:rPr>
              <w:t>0.8</w:t>
            </w:r>
            <w:r>
              <w:rPr>
                <w:rFonts w:eastAsia="Times New Roman" w:cstheme="minorHAnsi"/>
                <w:color w:val="000000" w:themeColor="text1"/>
                <w:sz w:val="20"/>
                <w:szCs w:val="20"/>
                <w:lang w:eastAsia="zh-CN"/>
              </w:rPr>
              <w:t>8</w:t>
            </w:r>
          </w:p>
        </w:tc>
      </w:tr>
      <w:tr w:rsidR="00985E5D" w:rsidRPr="00E069AC" w14:paraId="7DCB0C2E" w14:textId="35D5AF3A" w:rsidTr="00985E5D">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22973" w14:textId="77777777" w:rsidR="00985E5D" w:rsidRPr="00E069AC" w:rsidRDefault="00985E5D" w:rsidP="005E3729">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Drawdown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7F4E406C" w:rsidR="00985E5D" w:rsidRPr="001025DC" w:rsidRDefault="00985E5D" w:rsidP="005E3729">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2347A8">
              <w:rPr>
                <w:rFonts w:eastAsia="Times New Roman" w:cstheme="minorHAnsi"/>
                <w:color w:val="000000" w:themeColor="text1"/>
                <w:sz w:val="20"/>
                <w:szCs w:val="20"/>
                <w:lang w:eastAsia="zh-CN"/>
              </w:rPr>
              <w:t>1.0</w:t>
            </w:r>
            <w:r>
              <w:rPr>
                <w:rFonts w:eastAsia="Times New Roman" w:cstheme="minorHAnsi"/>
                <w:color w:val="000000" w:themeColor="text1"/>
                <w:sz w:val="20"/>
                <w:szCs w:val="20"/>
                <w:lang w:eastAsia="zh-CN"/>
              </w:rPr>
              <w:t>5</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65C7DEE5" w:rsidR="00985E5D" w:rsidRPr="001025DC" w:rsidRDefault="00985E5D" w:rsidP="005E3729">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2347A8">
              <w:rPr>
                <w:rFonts w:eastAsia="Times New Roman" w:cstheme="minorHAnsi"/>
                <w:color w:val="000000" w:themeColor="text1"/>
                <w:sz w:val="20"/>
                <w:szCs w:val="20"/>
                <w:lang w:eastAsia="zh-CN"/>
              </w:rPr>
              <w:t>1.0</w:t>
            </w:r>
            <w:r>
              <w:rPr>
                <w:rFonts w:eastAsia="Times New Roman" w:cstheme="minorHAnsi"/>
                <w:color w:val="000000" w:themeColor="text1"/>
                <w:sz w:val="20"/>
                <w:szCs w:val="20"/>
                <w:lang w:eastAsia="zh-CN"/>
              </w:rPr>
              <w:t>5</w:t>
            </w:r>
          </w:p>
        </w:tc>
      </w:tr>
      <w:tr w:rsidR="00985E5D" w:rsidRPr="00E069AC" w14:paraId="7CA1AA1B" w14:textId="3D7819CF" w:rsidTr="00985E5D">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F4E2C" w14:textId="77777777" w:rsidR="00985E5D" w:rsidRPr="00E069AC" w:rsidRDefault="00985E5D" w:rsidP="005E3729">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Optimum</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86EBCB" w14:textId="594A39AE" w:rsidR="00985E5D" w:rsidRPr="001025DC" w:rsidRDefault="00985E5D" w:rsidP="005E3729">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2347A8">
              <w:rPr>
                <w:rFonts w:eastAsia="Times New Roman" w:cstheme="minorHAnsi"/>
                <w:color w:val="000000" w:themeColor="text1"/>
                <w:sz w:val="20"/>
                <w:szCs w:val="20"/>
                <w:lang w:eastAsia="zh-CN"/>
              </w:rPr>
              <w:t>1.9</w:t>
            </w:r>
            <w:r>
              <w:rPr>
                <w:rFonts w:eastAsia="Times New Roman" w:cstheme="minorHAnsi"/>
                <w:color w:val="000000" w:themeColor="text1"/>
                <w:sz w:val="20"/>
                <w:szCs w:val="20"/>
                <w:lang w:eastAsia="zh-CN"/>
              </w:rPr>
              <w:t>6</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E4588E5" w14:textId="16AAEE7A" w:rsidR="00985E5D" w:rsidRPr="001025DC" w:rsidRDefault="00985E5D" w:rsidP="005E3729">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2347A8">
              <w:rPr>
                <w:rFonts w:eastAsia="Times New Roman" w:cstheme="minorHAnsi"/>
                <w:color w:val="000000" w:themeColor="text1"/>
                <w:sz w:val="20"/>
                <w:szCs w:val="20"/>
                <w:lang w:eastAsia="zh-CN"/>
              </w:rPr>
              <w:t>1.9</w:t>
            </w:r>
            <w:r>
              <w:rPr>
                <w:rFonts w:eastAsia="Times New Roman" w:cstheme="minorHAnsi"/>
                <w:color w:val="000000" w:themeColor="text1"/>
                <w:sz w:val="20"/>
                <w:szCs w:val="20"/>
                <w:lang w:eastAsia="zh-CN"/>
              </w:rPr>
              <w:t>6</w:t>
            </w:r>
          </w:p>
        </w:tc>
      </w:tr>
    </w:tbl>
    <w:p w14:paraId="43965544" w14:textId="1D66500A" w:rsidR="00BB79D6" w:rsidRPr="00E069AC" w:rsidRDefault="00BB79D6" w:rsidP="00EB247F">
      <w:pPr>
        <w:pStyle w:val="Caption"/>
      </w:pPr>
      <w:bookmarkStart w:id="51" w:name="_Toc524993443"/>
    </w:p>
    <w:p w14:paraId="404FACD9" w14:textId="407CBE1F" w:rsidR="001534F5" w:rsidRDefault="001534F5" w:rsidP="004178AA">
      <w:pPr>
        <w:spacing w:after="0"/>
      </w:pPr>
      <w:r w:rsidRPr="00E069AC">
        <w:t xml:space="preserve">The solution was </w:t>
      </w:r>
      <w:r w:rsidRPr="002347A8">
        <w:t xml:space="preserve">integrated with all other Project Drawdown solutions and may have different emissions results from the models. This is due to adjustments caused by interactions among solutions that limit full adoption (such as by feedstock or demand limits) or that limit the full benefit of some solutions (such as reduced individual solution impact when technologies are combined). After integration, the impact on emission reduction for this solution is </w:t>
      </w:r>
      <w:r w:rsidR="00985E5D">
        <w:t>10.8</w:t>
      </w:r>
      <w:r w:rsidRPr="002347A8">
        <w:t xml:space="preserve"> gigatons of carbon dioxide-equivalent in the</w:t>
      </w:r>
      <w:r w:rsidRPr="004178AA">
        <w:rPr>
          <w:i/>
        </w:rPr>
        <w:t xml:space="preserve"> Plausible</w:t>
      </w:r>
      <w:r w:rsidRPr="002347A8">
        <w:t xml:space="preserve"> scenario, </w:t>
      </w:r>
      <w:r w:rsidR="002347A8" w:rsidRPr="002347A8">
        <w:t>10.</w:t>
      </w:r>
      <w:r w:rsidR="00985E5D">
        <w:t>5</w:t>
      </w:r>
      <w:r w:rsidRPr="002347A8">
        <w:t xml:space="preserve"> gigatons of carbon dioxide-equivalent for the </w:t>
      </w:r>
      <w:r w:rsidRPr="004178AA">
        <w:rPr>
          <w:i/>
        </w:rPr>
        <w:t>Drawdown</w:t>
      </w:r>
      <w:r w:rsidRPr="002347A8">
        <w:t xml:space="preserve"> Scenario and </w:t>
      </w:r>
      <w:r w:rsidR="00985E5D">
        <w:t>25.3</w:t>
      </w:r>
      <w:r w:rsidRPr="002347A8">
        <w:t xml:space="preserve"> gigatons of carbon dioxide-equivalent for the </w:t>
      </w:r>
      <w:r w:rsidRPr="004178AA">
        <w:rPr>
          <w:i/>
        </w:rPr>
        <w:t xml:space="preserve">Optimum </w:t>
      </w:r>
      <w:r w:rsidRPr="002347A8">
        <w:t>Scenario.</w:t>
      </w:r>
      <w:r w:rsidR="00912CC8" w:rsidRPr="002347A8">
        <w:t xml:space="preserve"> Figure 3.2. show the world annual emissions reduction trajectories for the different scenarios for the long term.</w:t>
      </w:r>
    </w:p>
    <w:p w14:paraId="7FCD0AC4" w14:textId="77777777" w:rsidR="004178AA" w:rsidRPr="00E069AC" w:rsidRDefault="004178AA" w:rsidP="004178AA">
      <w:pPr>
        <w:spacing w:after="0"/>
      </w:pPr>
    </w:p>
    <w:p w14:paraId="524B77BF" w14:textId="75BBD916" w:rsidR="00762877" w:rsidRPr="00E069AC" w:rsidRDefault="003A7929" w:rsidP="00EB247F">
      <w:pPr>
        <w:pStyle w:val="Caption"/>
        <w:jc w:val="center"/>
        <w:rPr>
          <w:rFonts w:eastAsia="Times New Roman" w:cs="Times New Roman"/>
          <w:sz w:val="24"/>
          <w:szCs w:val="24"/>
          <w:lang w:eastAsia="zh-CN"/>
        </w:rPr>
      </w:pPr>
      <w:bookmarkStart w:id="52" w:name="_Toc535272083"/>
      <w:r w:rsidRPr="00E069AC">
        <w:t xml:space="preserve">Table </w:t>
      </w:r>
      <w:fldSimple w:instr=" STYLEREF 1 \s ">
        <w:r w:rsidRPr="00E069AC">
          <w:t>3</w:t>
        </w:r>
      </w:fldSimple>
      <w:r w:rsidRPr="00E069AC">
        <w:t>.</w:t>
      </w:r>
      <w:fldSimple w:instr=" SEQ Table \* ARABIC \s 1 ">
        <w:r w:rsidRPr="00E069AC">
          <w:t>3</w:t>
        </w:r>
      </w:fldSimple>
      <w:r w:rsidRPr="00E069AC">
        <w:t xml:space="preserve"> Impacts on Atmospheric Concentrations of CO</w:t>
      </w:r>
      <w:r w:rsidRPr="00E069AC">
        <w:rPr>
          <w:vertAlign w:val="subscript"/>
        </w:rPr>
        <w:t>2</w:t>
      </w:r>
      <w:r w:rsidRPr="00E069AC">
        <w:t>-eq</w:t>
      </w:r>
      <w:bookmarkEnd w:id="51"/>
      <w:bookmarkEnd w:id="52"/>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E069AC" w14:paraId="6867F03C" w14:textId="77777777" w:rsidTr="005C77F5">
        <w:trPr>
          <w:trHeight w:val="46"/>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Rate of Change in 2050</w:t>
            </w:r>
          </w:p>
        </w:tc>
      </w:tr>
      <w:tr w:rsidR="003A7929" w:rsidRPr="00E069AC" w14:paraId="143693A2" w14:textId="77777777" w:rsidTr="005C77F5">
        <w:trPr>
          <w:trHeight w:val="26"/>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E069AC" w:rsidRDefault="003A7929" w:rsidP="001534F5">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change from 2049-2050</w:t>
            </w:r>
          </w:p>
        </w:tc>
      </w:tr>
      <w:tr w:rsidR="003A7929" w:rsidRPr="00E069AC"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E069AC" w:rsidRDefault="003A7929" w:rsidP="001534F5">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516BF90D" w:rsidR="003A7929" w:rsidRPr="002347A8" w:rsidRDefault="002347A8" w:rsidP="001534F5">
            <w:pPr>
              <w:shd w:val="clear" w:color="auto" w:fill="FFFFFF"/>
              <w:spacing w:after="0" w:line="240" w:lineRule="auto"/>
              <w:jc w:val="center"/>
              <w:rPr>
                <w:rFonts w:eastAsia="Times New Roman" w:cstheme="minorHAnsi"/>
                <w:color w:val="000000" w:themeColor="text1"/>
                <w:sz w:val="20"/>
                <w:szCs w:val="20"/>
                <w:lang w:eastAsia="zh-CN"/>
              </w:rPr>
            </w:pPr>
            <w:r w:rsidRPr="002347A8">
              <w:rPr>
                <w:rFonts w:eastAsia="Times New Roman" w:cstheme="minorHAnsi"/>
                <w:color w:val="000000" w:themeColor="text1"/>
                <w:sz w:val="20"/>
                <w:szCs w:val="20"/>
                <w:lang w:eastAsia="zh-CN"/>
              </w:rPr>
              <w:t>0.99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0C241179" w:rsidR="003A7929" w:rsidRPr="002347A8" w:rsidRDefault="0030099E" w:rsidP="001534F5">
            <w:pPr>
              <w:shd w:val="clear" w:color="auto" w:fill="FFFFFF"/>
              <w:spacing w:after="0" w:line="240" w:lineRule="auto"/>
              <w:jc w:val="center"/>
              <w:rPr>
                <w:rFonts w:eastAsia="Times New Roman" w:cstheme="minorHAnsi"/>
                <w:color w:val="000000" w:themeColor="text1"/>
                <w:sz w:val="20"/>
                <w:szCs w:val="20"/>
                <w:lang w:eastAsia="zh-CN"/>
              </w:rPr>
            </w:pPr>
            <w:r w:rsidRPr="002347A8">
              <w:rPr>
                <w:rFonts w:eastAsia="Times New Roman" w:cstheme="minorHAnsi"/>
                <w:color w:val="000000" w:themeColor="text1"/>
                <w:sz w:val="20"/>
                <w:szCs w:val="20"/>
                <w:lang w:eastAsia="zh-CN"/>
              </w:rPr>
              <w:t>0.</w:t>
            </w:r>
            <w:r w:rsidR="00596A99" w:rsidRPr="002347A8">
              <w:rPr>
                <w:rFonts w:eastAsia="Times New Roman" w:cstheme="minorHAnsi"/>
                <w:color w:val="000000" w:themeColor="text1"/>
                <w:sz w:val="20"/>
                <w:szCs w:val="20"/>
                <w:lang w:eastAsia="zh-CN"/>
              </w:rPr>
              <w:t>0</w:t>
            </w:r>
            <w:r w:rsidR="002347A8" w:rsidRPr="002347A8">
              <w:rPr>
                <w:rFonts w:eastAsia="Times New Roman" w:cstheme="minorHAnsi"/>
                <w:color w:val="000000" w:themeColor="text1"/>
                <w:sz w:val="20"/>
                <w:szCs w:val="20"/>
                <w:lang w:eastAsia="zh-CN"/>
              </w:rPr>
              <w:t>7</w:t>
            </w:r>
          </w:p>
        </w:tc>
      </w:tr>
      <w:tr w:rsidR="005E3729" w:rsidRPr="00E069AC" w14:paraId="389D5E87" w14:textId="77777777" w:rsidTr="005E3729">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5E3729" w:rsidRPr="00E069AC" w:rsidRDefault="005E3729" w:rsidP="005E3729">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EE9459" w14:textId="404721CC" w:rsidR="005E3729" w:rsidRPr="002347A8" w:rsidRDefault="005E3729" w:rsidP="005E3729">
            <w:pPr>
              <w:shd w:val="clear" w:color="auto" w:fill="FFFFFF"/>
              <w:spacing w:after="0" w:line="240" w:lineRule="auto"/>
              <w:jc w:val="center"/>
              <w:rPr>
                <w:rFonts w:eastAsia="Times New Roman" w:cstheme="minorHAnsi"/>
                <w:color w:val="000000" w:themeColor="text1"/>
                <w:sz w:val="20"/>
                <w:szCs w:val="20"/>
                <w:lang w:eastAsia="zh-CN"/>
              </w:rPr>
            </w:pPr>
            <w:r w:rsidRPr="002347A8">
              <w:rPr>
                <w:rFonts w:eastAsia="Times New Roman" w:cstheme="minorHAnsi"/>
                <w:color w:val="000000" w:themeColor="text1"/>
                <w:sz w:val="20"/>
                <w:szCs w:val="20"/>
                <w:lang w:eastAsia="zh-CN"/>
              </w:rPr>
              <w:t>1.</w:t>
            </w:r>
            <w:r w:rsidR="002347A8" w:rsidRPr="002347A8">
              <w:rPr>
                <w:rFonts w:eastAsia="Times New Roman" w:cstheme="minorHAnsi"/>
                <w:color w:val="000000" w:themeColor="text1"/>
                <w:sz w:val="20"/>
                <w:szCs w:val="20"/>
                <w:lang w:eastAsia="zh-CN"/>
              </w:rPr>
              <w:t>14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BDFCEF" w14:textId="046B56D6" w:rsidR="005E3729" w:rsidRPr="002347A8" w:rsidRDefault="005E3729" w:rsidP="005E3729">
            <w:pPr>
              <w:shd w:val="clear" w:color="auto" w:fill="FFFFFF"/>
              <w:spacing w:after="0" w:line="240" w:lineRule="auto"/>
              <w:jc w:val="center"/>
              <w:rPr>
                <w:rFonts w:eastAsia="Times New Roman" w:cstheme="minorHAnsi"/>
                <w:color w:val="000000" w:themeColor="text1"/>
                <w:sz w:val="20"/>
                <w:szCs w:val="20"/>
                <w:lang w:eastAsia="zh-CN"/>
              </w:rPr>
            </w:pPr>
            <w:r w:rsidRPr="002347A8">
              <w:rPr>
                <w:rFonts w:eastAsia="Times New Roman" w:cstheme="minorHAnsi"/>
                <w:color w:val="000000" w:themeColor="text1"/>
                <w:sz w:val="20"/>
                <w:szCs w:val="20"/>
                <w:lang w:eastAsia="zh-CN"/>
              </w:rPr>
              <w:t>0.0</w:t>
            </w:r>
            <w:r w:rsidR="002347A8" w:rsidRPr="002347A8">
              <w:rPr>
                <w:rFonts w:eastAsia="Times New Roman" w:cstheme="minorHAnsi"/>
                <w:color w:val="000000" w:themeColor="text1"/>
                <w:sz w:val="20"/>
                <w:szCs w:val="20"/>
                <w:lang w:eastAsia="zh-CN"/>
              </w:rPr>
              <w:t>9</w:t>
            </w:r>
          </w:p>
        </w:tc>
      </w:tr>
      <w:tr w:rsidR="005E3729" w:rsidRPr="00E069AC" w14:paraId="7A2BE5CA" w14:textId="77777777" w:rsidTr="001025DC">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5E3729" w:rsidRPr="00E069AC" w:rsidRDefault="005E3729" w:rsidP="005E3729">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CA082F" w14:textId="1847B54B" w:rsidR="005E3729" w:rsidRPr="002347A8" w:rsidRDefault="002347A8" w:rsidP="005E3729">
            <w:pPr>
              <w:shd w:val="clear" w:color="auto" w:fill="FFFFFF"/>
              <w:spacing w:after="0" w:line="240" w:lineRule="auto"/>
              <w:jc w:val="center"/>
              <w:rPr>
                <w:rFonts w:eastAsia="Times New Roman" w:cstheme="minorHAnsi"/>
                <w:color w:val="000000" w:themeColor="text1"/>
                <w:sz w:val="20"/>
                <w:szCs w:val="20"/>
                <w:lang w:eastAsia="zh-CN"/>
              </w:rPr>
            </w:pPr>
            <w:r w:rsidRPr="002347A8">
              <w:rPr>
                <w:rFonts w:eastAsia="Times New Roman" w:cstheme="minorHAnsi"/>
                <w:color w:val="000000" w:themeColor="text1"/>
                <w:sz w:val="20"/>
                <w:szCs w:val="20"/>
                <w:lang w:eastAsia="zh-CN"/>
              </w:rPr>
              <w:t>2.4</w:t>
            </w:r>
            <w:r w:rsidR="00985E5D">
              <w:rPr>
                <w:rFonts w:eastAsia="Times New Roman" w:cstheme="minorHAnsi"/>
                <w:color w:val="000000" w:themeColor="text1"/>
                <w:sz w:val="20"/>
                <w:szCs w:val="20"/>
                <w:lang w:eastAsia="zh-CN"/>
              </w:rPr>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A8C8CB" w14:textId="049CD235" w:rsidR="005E3729" w:rsidRPr="002347A8" w:rsidRDefault="002347A8" w:rsidP="005E3729">
            <w:pPr>
              <w:shd w:val="clear" w:color="auto" w:fill="FFFFFF"/>
              <w:spacing w:after="0" w:line="240" w:lineRule="auto"/>
              <w:jc w:val="center"/>
              <w:rPr>
                <w:rFonts w:eastAsia="Times New Roman" w:cstheme="minorHAnsi"/>
                <w:color w:val="000000" w:themeColor="text1"/>
                <w:sz w:val="20"/>
                <w:szCs w:val="20"/>
                <w:lang w:eastAsia="zh-CN"/>
              </w:rPr>
            </w:pPr>
            <w:r w:rsidRPr="002347A8">
              <w:rPr>
                <w:rFonts w:eastAsia="Times New Roman" w:cstheme="minorHAnsi"/>
                <w:color w:val="000000" w:themeColor="text1"/>
                <w:sz w:val="20"/>
                <w:szCs w:val="20"/>
                <w:lang w:eastAsia="zh-CN"/>
              </w:rPr>
              <w:t>0.1</w:t>
            </w:r>
            <w:r w:rsidR="00985E5D">
              <w:rPr>
                <w:rFonts w:eastAsia="Times New Roman" w:cstheme="minorHAnsi"/>
                <w:color w:val="000000" w:themeColor="text1"/>
                <w:sz w:val="20"/>
                <w:szCs w:val="20"/>
                <w:lang w:eastAsia="zh-CN"/>
              </w:rPr>
              <w:t>6</w:t>
            </w:r>
          </w:p>
        </w:tc>
      </w:tr>
    </w:tbl>
    <w:p w14:paraId="52077D33" w14:textId="77777777" w:rsidR="003A7FE2" w:rsidRPr="00E069AC" w:rsidRDefault="003A7FE2" w:rsidP="00EB247F">
      <w:pPr>
        <w:pStyle w:val="Caption"/>
      </w:pPr>
    </w:p>
    <w:p w14:paraId="61997373" w14:textId="16F91955" w:rsidR="003A7929" w:rsidRPr="00E069AC" w:rsidRDefault="009267BF" w:rsidP="00EB247F">
      <w:pPr>
        <w:jc w:val="center"/>
      </w:pPr>
      <w:r>
        <w:rPr>
          <w:noProof/>
        </w:rPr>
        <w:drawing>
          <wp:inline distT="0" distB="0" distL="0" distR="0" wp14:anchorId="6D4D9C35" wp14:editId="42E3064F">
            <wp:extent cx="5671038" cy="3130062"/>
            <wp:effectExtent l="0" t="0" r="6350" b="6985"/>
            <wp:docPr id="3" name="Chart 3">
              <a:extLst xmlns:a="http://schemas.openxmlformats.org/drawingml/2006/main">
                <a:ext uri="{FF2B5EF4-FFF2-40B4-BE49-F238E27FC236}">
                  <a16:creationId xmlns:a16="http://schemas.microsoft.com/office/drawing/2014/main" id="{04E40A61-3345-4E38-AA26-9300ACF719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DAEFCF6" w14:textId="477D61BC" w:rsidR="00762877" w:rsidRPr="00E069AC" w:rsidRDefault="003A7929" w:rsidP="00996E91">
      <w:pPr>
        <w:pStyle w:val="Caption"/>
        <w:jc w:val="center"/>
        <w:rPr>
          <w:rFonts w:eastAsia="Times New Roman" w:cs="Times New Roman"/>
          <w:sz w:val="24"/>
          <w:szCs w:val="24"/>
          <w:lang w:eastAsia="zh-CN"/>
        </w:rPr>
      </w:pPr>
      <w:bookmarkStart w:id="53" w:name="_Toc524993433"/>
      <w:bookmarkStart w:id="54" w:name="_Toc23609249"/>
      <w:r w:rsidRPr="00C15551">
        <w:t xml:space="preserve">Figure </w:t>
      </w:r>
      <w:fldSimple w:instr=" STYLEREF 1 \s ">
        <w:r w:rsidRPr="00C15551">
          <w:t>3</w:t>
        </w:r>
      </w:fldSimple>
      <w:r w:rsidRPr="00C15551">
        <w:t>.</w:t>
      </w:r>
      <w:fldSimple w:instr=" SEQ Figure \* ARABIC \s 1 ">
        <w:r w:rsidRPr="00C15551">
          <w:t>2</w:t>
        </w:r>
      </w:fldSimple>
      <w:r w:rsidRPr="00C15551">
        <w:t xml:space="preserve"> World Annual</w:t>
      </w:r>
      <w:r w:rsidRPr="00C15551">
        <w:rPr>
          <w:vertAlign w:val="subscript"/>
        </w:rPr>
        <w:t xml:space="preserve"> </w:t>
      </w:r>
      <w:r w:rsidRPr="00C15551">
        <w:t>Greenhouse Gas Emissions Reduction</w:t>
      </w:r>
      <w:bookmarkEnd w:id="53"/>
      <w:r w:rsidR="00C15551" w:rsidRPr="00C15551">
        <w:t xml:space="preserve"> (2015-2060)</w:t>
      </w:r>
      <w:bookmarkEnd w:id="54"/>
    </w:p>
    <w:p w14:paraId="66EC2EBB" w14:textId="500D3397" w:rsidR="00B261E0" w:rsidRPr="00E069AC" w:rsidRDefault="551A77D0" w:rsidP="00483FFA">
      <w:pPr>
        <w:pStyle w:val="Heading2"/>
        <w:numPr>
          <w:ilvl w:val="1"/>
          <w:numId w:val="26"/>
        </w:numPr>
      </w:pPr>
      <w:bookmarkStart w:id="55" w:name="_Toc18619529"/>
      <w:r w:rsidRPr="00E069AC">
        <w:t>Financial Impacts</w:t>
      </w:r>
      <w:bookmarkEnd w:id="55"/>
    </w:p>
    <w:p w14:paraId="01736414" w14:textId="1E8B93D7" w:rsidR="00A275A4" w:rsidRPr="002347A8" w:rsidRDefault="00A275A4" w:rsidP="00A275A4">
      <w:pPr>
        <w:rPr>
          <w:lang w:eastAsia="en-US"/>
        </w:rPr>
      </w:pPr>
      <w:r w:rsidRPr="002347A8">
        <w:rPr>
          <w:lang w:eastAsia="en-US"/>
        </w:rPr>
        <w:t xml:space="preserve">The </w:t>
      </w:r>
      <w:r w:rsidR="00BC221F" w:rsidRPr="002347A8">
        <w:rPr>
          <w:lang w:eastAsia="en-US"/>
        </w:rPr>
        <w:t xml:space="preserve">RRS model </w:t>
      </w:r>
      <w:r w:rsidRPr="002347A8">
        <w:rPr>
          <w:lang w:eastAsia="en-US"/>
        </w:rPr>
        <w:t xml:space="preserve">results for the </w:t>
      </w:r>
      <w:r w:rsidR="00BC221F" w:rsidRPr="002347A8">
        <w:rPr>
          <w:lang w:eastAsia="en-US"/>
        </w:rPr>
        <w:t>PDS1 (</w:t>
      </w:r>
      <w:r w:rsidRPr="002347A8">
        <w:rPr>
          <w:i/>
          <w:iCs/>
          <w:lang w:eastAsia="en-US"/>
        </w:rPr>
        <w:t xml:space="preserve">Plausible </w:t>
      </w:r>
      <w:r w:rsidRPr="002347A8">
        <w:rPr>
          <w:lang w:eastAsia="en-US"/>
        </w:rPr>
        <w:t>Scenario</w:t>
      </w:r>
      <w:r w:rsidR="00BC221F" w:rsidRPr="002347A8">
        <w:rPr>
          <w:lang w:eastAsia="en-US"/>
        </w:rPr>
        <w:t>)</w:t>
      </w:r>
      <w:r w:rsidRPr="002347A8">
        <w:rPr>
          <w:lang w:eastAsia="en-US"/>
        </w:rPr>
        <w:t xml:space="preserve"> show that the net cost compared to the </w:t>
      </w:r>
      <w:r w:rsidRPr="002347A8">
        <w:rPr>
          <w:i/>
          <w:iCs/>
          <w:lang w:eastAsia="en-US"/>
        </w:rPr>
        <w:t>Reference</w:t>
      </w:r>
      <w:r w:rsidRPr="002347A8">
        <w:rPr>
          <w:lang w:eastAsia="en-US"/>
        </w:rPr>
        <w:t xml:space="preserve"> Scenario would be US$</w:t>
      </w:r>
      <w:r w:rsidR="002347A8" w:rsidRPr="002347A8">
        <w:rPr>
          <w:lang w:eastAsia="en-US"/>
        </w:rPr>
        <w:t xml:space="preserve">632 </w:t>
      </w:r>
      <w:r w:rsidRPr="002347A8">
        <w:rPr>
          <w:lang w:eastAsia="en-US"/>
        </w:rPr>
        <w:t>billion from 2020-</w:t>
      </w:r>
      <w:r w:rsidR="002347A8" w:rsidRPr="002347A8">
        <w:rPr>
          <w:lang w:eastAsia="en-US"/>
        </w:rPr>
        <w:t>20</w:t>
      </w:r>
      <w:r w:rsidRPr="002347A8">
        <w:rPr>
          <w:lang w:eastAsia="en-US"/>
        </w:rPr>
        <w:t>50, and around US$</w:t>
      </w:r>
      <w:r w:rsidR="002347A8" w:rsidRPr="002347A8">
        <w:rPr>
          <w:lang w:eastAsia="en-US"/>
        </w:rPr>
        <w:t>423</w:t>
      </w:r>
      <w:r w:rsidRPr="002347A8">
        <w:rPr>
          <w:lang w:eastAsia="en-US"/>
        </w:rPr>
        <w:t xml:space="preserve"> billion in savings over the same period. Increasing the use of offshore wind from about 0.</w:t>
      </w:r>
      <w:r w:rsidR="002347A8" w:rsidRPr="002347A8">
        <w:rPr>
          <w:lang w:eastAsia="en-US"/>
        </w:rPr>
        <w:t>27</w:t>
      </w:r>
      <w:r w:rsidRPr="002347A8">
        <w:rPr>
          <w:lang w:eastAsia="en-US"/>
        </w:rPr>
        <w:t xml:space="preserve"> percent in 201</w:t>
      </w:r>
      <w:r w:rsidR="002347A8" w:rsidRPr="002347A8">
        <w:rPr>
          <w:lang w:eastAsia="en-US"/>
        </w:rPr>
        <w:t>8</w:t>
      </w:r>
      <w:r w:rsidRPr="002347A8">
        <w:rPr>
          <w:lang w:eastAsia="en-US"/>
        </w:rPr>
        <w:t xml:space="preserve"> to </w:t>
      </w:r>
      <w:r w:rsidR="002347A8" w:rsidRPr="002347A8">
        <w:rPr>
          <w:lang w:eastAsia="en-US"/>
        </w:rPr>
        <w:t>3.8</w:t>
      </w:r>
      <w:r w:rsidRPr="002347A8">
        <w:rPr>
          <w:lang w:eastAsia="en-US"/>
        </w:rPr>
        <w:t xml:space="preserve"> percent of world electricity generation by 2050 would require an estimated US$1,</w:t>
      </w:r>
      <w:r w:rsidR="002347A8" w:rsidRPr="002347A8">
        <w:rPr>
          <w:lang w:eastAsia="en-US"/>
        </w:rPr>
        <w:t>406</w:t>
      </w:r>
      <w:r w:rsidRPr="002347A8">
        <w:rPr>
          <w:lang w:eastAsia="en-US"/>
        </w:rPr>
        <w:t xml:space="preserve"> billon in cumulative first costs. </w:t>
      </w:r>
    </w:p>
    <w:p w14:paraId="4F6C2C45" w14:textId="709F49CB" w:rsidR="00E14F94" w:rsidRPr="00BC221F" w:rsidRDefault="00BC221F" w:rsidP="00BC221F">
      <w:pPr>
        <w:rPr>
          <w:lang w:eastAsia="en-US"/>
        </w:rPr>
      </w:pPr>
      <w:r w:rsidRPr="00BC221F">
        <w:rPr>
          <w:lang w:eastAsia="en-US"/>
        </w:rPr>
        <w:t>As abovementioned, b</w:t>
      </w:r>
      <w:r w:rsidR="00A275A4" w:rsidRPr="00BC221F">
        <w:rPr>
          <w:lang w:eastAsia="en-US"/>
        </w:rPr>
        <w:t xml:space="preserve">oth the </w:t>
      </w:r>
      <w:r w:rsidR="00A275A4" w:rsidRPr="00BC221F">
        <w:rPr>
          <w:i/>
          <w:iCs/>
          <w:lang w:eastAsia="en-US"/>
        </w:rPr>
        <w:t>Drawdown</w:t>
      </w:r>
      <w:r w:rsidR="00A275A4" w:rsidRPr="00BC221F">
        <w:rPr>
          <w:lang w:eastAsia="en-US"/>
        </w:rPr>
        <w:t xml:space="preserve"> and </w:t>
      </w:r>
      <w:r w:rsidR="00A275A4" w:rsidRPr="00BC221F">
        <w:rPr>
          <w:i/>
          <w:iCs/>
          <w:lang w:eastAsia="en-US"/>
        </w:rPr>
        <w:t xml:space="preserve">Optimum </w:t>
      </w:r>
      <w:r w:rsidR="00A275A4" w:rsidRPr="00BC221F">
        <w:rPr>
          <w:lang w:eastAsia="en-US"/>
        </w:rPr>
        <w:t xml:space="preserve">Scenarios are more ambitious in the growth of offshore wind technologies, with </w:t>
      </w:r>
      <w:r w:rsidRPr="00BC221F">
        <w:rPr>
          <w:lang w:eastAsia="en-US"/>
        </w:rPr>
        <w:t xml:space="preserve">increased positive </w:t>
      </w:r>
      <w:r w:rsidR="00A275A4" w:rsidRPr="00BC221F">
        <w:rPr>
          <w:lang w:eastAsia="en-US"/>
        </w:rPr>
        <w:t xml:space="preserve">impacts on greenhouse gas emission reductions </w:t>
      </w:r>
      <w:r w:rsidRPr="00BC221F">
        <w:rPr>
          <w:lang w:eastAsia="en-US"/>
        </w:rPr>
        <w:t xml:space="preserve">and costs </w:t>
      </w:r>
      <w:r w:rsidR="00A275A4" w:rsidRPr="00BC221F">
        <w:rPr>
          <w:lang w:eastAsia="en-US"/>
        </w:rPr>
        <w:t>over 2020-2050</w:t>
      </w:r>
      <w:r>
        <w:rPr>
          <w:lang w:eastAsia="en-US"/>
        </w:rPr>
        <w:t xml:space="preserve"> </w:t>
      </w:r>
      <w:r w:rsidR="002347A8">
        <w:rPr>
          <w:lang w:eastAsia="en-US"/>
        </w:rPr>
        <w:t xml:space="preserve">as described in </w:t>
      </w:r>
      <w:r>
        <w:rPr>
          <w:lang w:eastAsia="en-US"/>
        </w:rPr>
        <w:t>Table 3.4</w:t>
      </w:r>
      <w:r w:rsidRPr="00BC221F">
        <w:rPr>
          <w:lang w:eastAsia="en-US"/>
        </w:rPr>
        <w:t>.</w:t>
      </w:r>
    </w:p>
    <w:p w14:paraId="09347CCA" w14:textId="38CA1A28" w:rsidR="00492F5E" w:rsidRPr="00E069AC" w:rsidRDefault="00492F5E" w:rsidP="00EB247F">
      <w:pPr>
        <w:pStyle w:val="Caption"/>
        <w:jc w:val="center"/>
        <w:rPr>
          <w:i w:val="0"/>
          <w:iCs w:val="0"/>
        </w:rPr>
      </w:pPr>
      <w:bookmarkStart w:id="56" w:name="_Toc535272084"/>
      <w:r w:rsidRPr="00E069AC">
        <w:t xml:space="preserve">Table </w:t>
      </w:r>
      <w:fldSimple w:instr=" STYLEREF 1 \s ">
        <w:r w:rsidRPr="00E069AC">
          <w:t>3</w:t>
        </w:r>
      </w:fldSimple>
      <w:r w:rsidRPr="00E069AC">
        <w:t>.</w:t>
      </w:r>
      <w:fldSimple w:instr=" SEQ Table \* ARABIC \s 1 ">
        <w:r w:rsidRPr="00E069AC">
          <w:t>4</w:t>
        </w:r>
      </w:fldSimple>
      <w:r w:rsidRPr="00E069AC">
        <w:t xml:space="preserve"> Financial Impacts</w:t>
      </w:r>
      <w:bookmarkEnd w:id="56"/>
    </w:p>
    <w:tbl>
      <w:tblPr>
        <w:tblW w:w="0" w:type="auto"/>
        <w:tblCellMar>
          <w:top w:w="15" w:type="dxa"/>
          <w:left w:w="15" w:type="dxa"/>
          <w:bottom w:w="15" w:type="dxa"/>
          <w:right w:w="15" w:type="dxa"/>
        </w:tblCellMar>
        <w:tblLook w:val="04A0" w:firstRow="1" w:lastRow="0" w:firstColumn="1" w:lastColumn="0" w:noHBand="0" w:noVBand="1"/>
      </w:tblPr>
      <w:tblGrid>
        <w:gridCol w:w="1145"/>
        <w:gridCol w:w="1776"/>
        <w:gridCol w:w="1704"/>
        <w:gridCol w:w="2034"/>
        <w:gridCol w:w="2681"/>
      </w:tblGrid>
      <w:tr w:rsidR="00E9782A" w:rsidRPr="00E069AC" w14:paraId="02CA9FB7" w14:textId="77777777" w:rsidTr="00FB649C">
        <w:trPr>
          <w:trHeight w:val="820"/>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73B5F2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BD60AA"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Cumulative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B320DE8"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Marginal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A4C674E" w14:textId="15C4F03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 xml:space="preserve">Net Operating </w:t>
            </w:r>
            <w:r w:rsidR="00596A99">
              <w:rPr>
                <w:b/>
                <w:bCs/>
                <w:color w:val="FFFFFF" w:themeColor="background1"/>
                <w:sz w:val="20"/>
                <w:szCs w:val="20"/>
                <w:lang w:eastAsia="zh-CN"/>
              </w:rPr>
              <w:t xml:space="preserve">Cost </w:t>
            </w:r>
            <w:r w:rsidRPr="00E069AC">
              <w:rPr>
                <w:b/>
                <w:bCs/>
                <w:color w:val="FFFFFF" w:themeColor="background1"/>
                <w:sz w:val="20"/>
                <w:szCs w:val="20"/>
                <w:lang w:eastAsia="zh-CN"/>
              </w:rPr>
              <w:t>Savings</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8ABD30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Lifetime Cashflow Savings NPV (of All Implementation Units)</w:t>
            </w:r>
          </w:p>
        </w:tc>
      </w:tr>
      <w:tr w:rsidR="00E9782A" w:rsidRPr="00E069AC" w14:paraId="67FE449F" w14:textId="77777777" w:rsidTr="00FB649C">
        <w:trPr>
          <w:trHeight w:val="640"/>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E9782A" w:rsidRPr="00E069AC" w:rsidRDefault="00E9782A" w:rsidP="00912CC8">
            <w:pPr>
              <w:spacing w:after="0" w:line="240" w:lineRule="auto"/>
              <w:rPr>
                <w:rFonts w:eastAsia="Times New Roman" w:cstheme="minorHAnsi"/>
                <w:b/>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4ADDBA3"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CFE258"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2B138C"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2020-2050 Billion USD</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EBAAA5"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Billion USD</w:t>
            </w:r>
          </w:p>
        </w:tc>
      </w:tr>
      <w:tr w:rsidR="00E9782A" w:rsidRPr="00E069AC" w14:paraId="2CCDE781"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B68F2"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2D956E8A" w:rsidR="00E9782A" w:rsidRPr="001025DC" w:rsidRDefault="00596A99" w:rsidP="00912CC8">
            <w:pPr>
              <w:spacing w:after="0" w:line="240" w:lineRule="auto"/>
              <w:jc w:val="center"/>
              <w:rPr>
                <w:rFonts w:eastAsia="Times New Roman" w:cstheme="minorHAnsi"/>
                <w:sz w:val="20"/>
                <w:szCs w:val="20"/>
                <w:highlight w:val="lightGray"/>
                <w:lang w:eastAsia="zh-CN"/>
              </w:rPr>
            </w:pPr>
            <w:r w:rsidRPr="002347A8">
              <w:rPr>
                <w:rFonts w:eastAsia="Times New Roman" w:cstheme="minorHAnsi"/>
                <w:sz w:val="20"/>
                <w:szCs w:val="20"/>
                <w:lang w:eastAsia="zh-CN"/>
              </w:rPr>
              <w:t>1,4</w:t>
            </w:r>
            <w:r w:rsidR="00985E5D">
              <w:rPr>
                <w:rFonts w:eastAsia="Times New Roman" w:cstheme="minorHAnsi"/>
                <w:sz w:val="20"/>
                <w:szCs w:val="20"/>
                <w:lang w:eastAsia="zh-CN"/>
              </w:rPr>
              <w:t>29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1977E5EA" w:rsidR="00E9782A" w:rsidRPr="001025DC" w:rsidRDefault="002347A8" w:rsidP="00912CC8">
            <w:pPr>
              <w:spacing w:after="0" w:line="240" w:lineRule="auto"/>
              <w:jc w:val="center"/>
              <w:rPr>
                <w:rFonts w:eastAsia="Times New Roman" w:cstheme="minorHAnsi"/>
                <w:sz w:val="20"/>
                <w:szCs w:val="20"/>
                <w:highlight w:val="lightGray"/>
                <w:lang w:eastAsia="zh-CN"/>
              </w:rPr>
            </w:pPr>
            <w:r w:rsidRPr="002347A8">
              <w:rPr>
                <w:rFonts w:eastAsia="Times New Roman" w:cstheme="minorHAnsi"/>
                <w:sz w:val="20"/>
                <w:szCs w:val="20"/>
                <w:lang w:eastAsia="zh-CN"/>
              </w:rPr>
              <w:t>6</w:t>
            </w:r>
            <w:r w:rsidR="00985E5D">
              <w:rPr>
                <w:rFonts w:eastAsia="Times New Roman" w:cstheme="minorHAnsi"/>
                <w:sz w:val="20"/>
                <w:szCs w:val="20"/>
                <w:lang w:eastAsia="zh-CN"/>
              </w:rPr>
              <w:t>54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2AF630D1" w:rsidR="00E9782A" w:rsidRPr="00985E5D" w:rsidRDefault="00985E5D" w:rsidP="00912CC8">
            <w:pPr>
              <w:spacing w:after="0" w:line="240" w:lineRule="auto"/>
              <w:jc w:val="center"/>
              <w:rPr>
                <w:rFonts w:eastAsia="Times New Roman" w:cstheme="minorHAnsi"/>
                <w:sz w:val="20"/>
                <w:szCs w:val="20"/>
                <w:lang w:eastAsia="zh-CN"/>
              </w:rPr>
            </w:pPr>
            <w:r w:rsidRPr="00985E5D">
              <w:rPr>
                <w:rFonts w:eastAsia="Times New Roman" w:cstheme="minorHAnsi"/>
                <w:sz w:val="20"/>
                <w:szCs w:val="20"/>
                <w:lang w:eastAsia="zh-CN"/>
              </w:rPr>
              <w:t>324</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22CE9B3A" w:rsidR="00E9782A" w:rsidRPr="00985E5D" w:rsidRDefault="002347A8" w:rsidP="00912CC8">
            <w:pPr>
              <w:spacing w:after="0" w:line="240" w:lineRule="auto"/>
              <w:jc w:val="center"/>
              <w:rPr>
                <w:rFonts w:eastAsia="Times New Roman" w:cstheme="minorHAnsi"/>
                <w:sz w:val="20"/>
                <w:szCs w:val="20"/>
                <w:lang w:eastAsia="zh-CN"/>
              </w:rPr>
            </w:pPr>
            <w:r w:rsidRPr="00985E5D">
              <w:rPr>
                <w:rFonts w:eastAsia="Times New Roman" w:cstheme="minorHAnsi"/>
                <w:sz w:val="20"/>
                <w:szCs w:val="20"/>
                <w:lang w:eastAsia="zh-CN"/>
              </w:rPr>
              <w:t>-</w:t>
            </w:r>
            <w:r w:rsidR="00985E5D" w:rsidRPr="00985E5D">
              <w:rPr>
                <w:rFonts w:eastAsia="Times New Roman" w:cstheme="minorHAnsi"/>
                <w:sz w:val="20"/>
                <w:szCs w:val="20"/>
                <w:lang w:eastAsia="zh-CN"/>
              </w:rPr>
              <w:t>56</w:t>
            </w:r>
            <w:r w:rsidRPr="00985E5D">
              <w:rPr>
                <w:rFonts w:eastAsia="Times New Roman" w:cstheme="minorHAnsi"/>
                <w:sz w:val="20"/>
                <w:szCs w:val="20"/>
                <w:lang w:eastAsia="zh-CN"/>
              </w:rPr>
              <w:t>.</w:t>
            </w:r>
            <w:r w:rsidR="00985E5D" w:rsidRPr="00985E5D">
              <w:rPr>
                <w:rFonts w:eastAsia="Times New Roman" w:cstheme="minorHAnsi"/>
                <w:sz w:val="20"/>
                <w:szCs w:val="20"/>
                <w:lang w:eastAsia="zh-CN"/>
              </w:rPr>
              <w:t>1</w:t>
            </w:r>
          </w:p>
        </w:tc>
      </w:tr>
      <w:tr w:rsidR="00E9782A" w:rsidRPr="00E069AC" w14:paraId="6C3482B4"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370E76"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5B5613B0" w:rsidR="00E9782A" w:rsidRPr="001025DC" w:rsidRDefault="00BC221F" w:rsidP="00912CC8">
            <w:pPr>
              <w:spacing w:after="0" w:line="240" w:lineRule="auto"/>
              <w:jc w:val="center"/>
              <w:rPr>
                <w:rFonts w:eastAsia="Times New Roman" w:cstheme="minorHAnsi"/>
                <w:sz w:val="20"/>
                <w:szCs w:val="20"/>
                <w:highlight w:val="lightGray"/>
                <w:lang w:eastAsia="zh-CN"/>
              </w:rPr>
            </w:pPr>
            <w:r w:rsidRPr="002347A8">
              <w:rPr>
                <w:rFonts w:eastAsia="Times New Roman" w:cstheme="minorHAnsi"/>
                <w:sz w:val="20"/>
                <w:szCs w:val="20"/>
                <w:lang w:eastAsia="zh-CN"/>
              </w:rPr>
              <w:t>1,</w:t>
            </w:r>
            <w:r w:rsidR="00985E5D">
              <w:rPr>
                <w:rFonts w:eastAsia="Times New Roman" w:cstheme="minorHAnsi"/>
                <w:sz w:val="20"/>
                <w:szCs w:val="20"/>
                <w:lang w:eastAsia="zh-CN"/>
              </w:rPr>
              <w:t>639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61EF94AD" w:rsidR="00E9782A" w:rsidRPr="001025DC" w:rsidRDefault="002347A8" w:rsidP="00912CC8">
            <w:pPr>
              <w:spacing w:after="0" w:line="240" w:lineRule="auto"/>
              <w:jc w:val="center"/>
              <w:rPr>
                <w:rFonts w:eastAsia="Times New Roman" w:cstheme="minorHAnsi"/>
                <w:sz w:val="20"/>
                <w:szCs w:val="20"/>
                <w:highlight w:val="lightGray"/>
                <w:lang w:eastAsia="zh-CN"/>
              </w:rPr>
            </w:pPr>
            <w:r w:rsidRPr="002347A8">
              <w:rPr>
                <w:rFonts w:eastAsia="Times New Roman" w:cstheme="minorHAnsi"/>
                <w:sz w:val="20"/>
                <w:szCs w:val="20"/>
                <w:lang w:eastAsia="zh-CN"/>
              </w:rPr>
              <w:t>7</w:t>
            </w:r>
            <w:r w:rsidR="00985E5D">
              <w:rPr>
                <w:rFonts w:eastAsia="Times New Roman" w:cstheme="minorHAnsi"/>
                <w:sz w:val="20"/>
                <w:szCs w:val="20"/>
                <w:lang w:eastAsia="zh-CN"/>
              </w:rPr>
              <w:t>45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41543FCD" w:rsidR="00E9782A" w:rsidRPr="00985E5D" w:rsidRDefault="00985E5D" w:rsidP="00912CC8">
            <w:pPr>
              <w:spacing w:after="0" w:line="240" w:lineRule="auto"/>
              <w:jc w:val="center"/>
              <w:rPr>
                <w:rFonts w:eastAsia="Times New Roman" w:cstheme="minorHAnsi"/>
                <w:sz w:val="20"/>
                <w:szCs w:val="20"/>
                <w:lang w:eastAsia="zh-CN"/>
              </w:rPr>
            </w:pPr>
            <w:r w:rsidRPr="00985E5D">
              <w:rPr>
                <w:rFonts w:eastAsia="Times New Roman" w:cstheme="minorHAnsi"/>
                <w:sz w:val="20"/>
                <w:szCs w:val="20"/>
                <w:lang w:eastAsia="zh-CN"/>
              </w:rPr>
              <w:t>375</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15DC05CC" w:rsidR="00E9782A" w:rsidRPr="00985E5D" w:rsidRDefault="00BC221F" w:rsidP="00912CC8">
            <w:pPr>
              <w:spacing w:after="0" w:line="240" w:lineRule="auto"/>
              <w:jc w:val="center"/>
              <w:rPr>
                <w:rFonts w:eastAsia="Times New Roman" w:cstheme="minorHAnsi"/>
                <w:sz w:val="20"/>
                <w:szCs w:val="20"/>
                <w:lang w:eastAsia="zh-CN"/>
              </w:rPr>
            </w:pPr>
            <w:r w:rsidRPr="00985E5D">
              <w:rPr>
                <w:rFonts w:eastAsia="Times New Roman" w:cstheme="minorHAnsi"/>
                <w:sz w:val="20"/>
                <w:szCs w:val="20"/>
                <w:lang w:eastAsia="zh-CN"/>
              </w:rPr>
              <w:t>-</w:t>
            </w:r>
            <w:r w:rsidR="00985E5D" w:rsidRPr="00985E5D">
              <w:rPr>
                <w:rFonts w:eastAsia="Times New Roman" w:cstheme="minorHAnsi"/>
                <w:sz w:val="20"/>
                <w:szCs w:val="20"/>
                <w:lang w:eastAsia="zh-CN"/>
              </w:rPr>
              <w:t>61</w:t>
            </w:r>
            <w:r w:rsidR="002347A8" w:rsidRPr="00985E5D">
              <w:rPr>
                <w:rFonts w:eastAsia="Times New Roman" w:cstheme="minorHAnsi"/>
                <w:sz w:val="20"/>
                <w:szCs w:val="20"/>
                <w:lang w:eastAsia="zh-CN"/>
              </w:rPr>
              <w:t>.</w:t>
            </w:r>
            <w:r w:rsidR="00985E5D" w:rsidRPr="00985E5D">
              <w:rPr>
                <w:rFonts w:eastAsia="Times New Roman" w:cstheme="minorHAnsi"/>
                <w:sz w:val="20"/>
                <w:szCs w:val="20"/>
                <w:lang w:eastAsia="zh-CN"/>
              </w:rPr>
              <w:t>7</w:t>
            </w:r>
          </w:p>
        </w:tc>
      </w:tr>
      <w:tr w:rsidR="00E9782A" w:rsidRPr="00E069AC" w14:paraId="76A27626"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8728F4" w14:textId="77777777" w:rsidR="00E9782A" w:rsidRPr="00596A99" w:rsidRDefault="00E9782A" w:rsidP="00912CC8">
            <w:pPr>
              <w:spacing w:after="0" w:line="240" w:lineRule="auto"/>
              <w:jc w:val="center"/>
              <w:rPr>
                <w:sz w:val="20"/>
                <w:szCs w:val="20"/>
                <w:lang w:eastAsia="zh-CN"/>
              </w:rPr>
            </w:pPr>
            <w:r w:rsidRPr="00596A99">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31FA24E7" w:rsidR="00E9782A" w:rsidRPr="001025DC" w:rsidRDefault="002347A8" w:rsidP="00912CC8">
            <w:pPr>
              <w:spacing w:after="0" w:line="240" w:lineRule="auto"/>
              <w:jc w:val="center"/>
              <w:rPr>
                <w:rFonts w:eastAsia="Times New Roman" w:cstheme="minorHAnsi"/>
                <w:sz w:val="20"/>
                <w:szCs w:val="20"/>
                <w:highlight w:val="lightGray"/>
                <w:lang w:eastAsia="zh-CN"/>
              </w:rPr>
            </w:pPr>
            <w:r w:rsidRPr="002347A8">
              <w:rPr>
                <w:rFonts w:eastAsia="Times New Roman" w:cstheme="minorHAnsi"/>
                <w:sz w:val="20"/>
                <w:szCs w:val="20"/>
                <w:lang w:eastAsia="zh-CN"/>
              </w:rPr>
              <w:t>2,9</w:t>
            </w:r>
            <w:r w:rsidR="00985E5D">
              <w:rPr>
                <w:rFonts w:eastAsia="Times New Roman" w:cstheme="minorHAnsi"/>
                <w:sz w:val="20"/>
                <w:szCs w:val="20"/>
                <w:lang w:eastAsia="zh-CN"/>
              </w:rPr>
              <w:t>60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0560E042" w:rsidR="00E9782A" w:rsidRPr="001025DC" w:rsidRDefault="002347A8" w:rsidP="00912CC8">
            <w:pPr>
              <w:spacing w:after="0" w:line="240" w:lineRule="auto"/>
              <w:jc w:val="center"/>
              <w:rPr>
                <w:rFonts w:eastAsia="Times New Roman" w:cstheme="minorHAnsi"/>
                <w:sz w:val="20"/>
                <w:szCs w:val="20"/>
                <w:highlight w:val="lightGray"/>
                <w:lang w:eastAsia="zh-CN"/>
              </w:rPr>
            </w:pPr>
            <w:r w:rsidRPr="002347A8">
              <w:rPr>
                <w:rFonts w:eastAsia="Times New Roman" w:cstheme="minorHAnsi"/>
                <w:sz w:val="20"/>
                <w:szCs w:val="20"/>
                <w:lang w:eastAsia="zh-CN"/>
              </w:rPr>
              <w:t>1,</w:t>
            </w:r>
            <w:r w:rsidR="00985E5D">
              <w:rPr>
                <w:rFonts w:eastAsia="Times New Roman" w:cstheme="minorHAnsi"/>
                <w:sz w:val="20"/>
                <w:szCs w:val="20"/>
                <w:lang w:eastAsia="zh-CN"/>
              </w:rPr>
              <w:t>402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57388124" w:rsidR="00E9782A" w:rsidRPr="00985E5D" w:rsidRDefault="00985E5D" w:rsidP="00912CC8">
            <w:pPr>
              <w:spacing w:after="0" w:line="240" w:lineRule="auto"/>
              <w:jc w:val="center"/>
              <w:rPr>
                <w:rFonts w:eastAsia="Times New Roman" w:cstheme="minorHAnsi"/>
                <w:sz w:val="20"/>
                <w:szCs w:val="20"/>
                <w:lang w:eastAsia="zh-CN"/>
              </w:rPr>
            </w:pPr>
            <w:r w:rsidRPr="00985E5D">
              <w:rPr>
                <w:rFonts w:eastAsia="Times New Roman" w:cstheme="minorHAnsi"/>
                <w:sz w:val="20"/>
                <w:szCs w:val="20"/>
                <w:lang w:eastAsia="zh-CN"/>
              </w:rPr>
              <w:t>799</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581AE19E" w:rsidR="00E9782A" w:rsidRPr="00985E5D" w:rsidRDefault="002347A8" w:rsidP="00912CC8">
            <w:pPr>
              <w:spacing w:after="0" w:line="240" w:lineRule="auto"/>
              <w:jc w:val="center"/>
              <w:rPr>
                <w:rFonts w:eastAsia="Times New Roman" w:cstheme="minorHAnsi"/>
                <w:sz w:val="20"/>
                <w:szCs w:val="20"/>
                <w:lang w:eastAsia="zh-CN"/>
              </w:rPr>
            </w:pPr>
            <w:r w:rsidRPr="00985E5D">
              <w:rPr>
                <w:rFonts w:eastAsia="Times New Roman" w:cstheme="minorHAnsi"/>
                <w:sz w:val="20"/>
                <w:szCs w:val="20"/>
                <w:lang w:eastAsia="zh-CN"/>
              </w:rPr>
              <w:t>-</w:t>
            </w:r>
            <w:r w:rsidR="00985E5D" w:rsidRPr="00985E5D">
              <w:rPr>
                <w:rFonts w:eastAsia="Times New Roman" w:cstheme="minorHAnsi"/>
                <w:sz w:val="20"/>
                <w:szCs w:val="20"/>
                <w:lang w:eastAsia="zh-CN"/>
              </w:rPr>
              <w:t>126.1</w:t>
            </w:r>
          </w:p>
        </w:tc>
      </w:tr>
    </w:tbl>
    <w:p w14:paraId="2C06DB22" w14:textId="7A31340A" w:rsidR="006745FF" w:rsidRPr="00E069AC" w:rsidRDefault="006745FF" w:rsidP="00EB247F"/>
    <w:p w14:paraId="638C27B6" w14:textId="477A6E8F" w:rsidR="00F52595" w:rsidRPr="00E069AC" w:rsidRDefault="551A77D0" w:rsidP="00912CC8">
      <w:pPr>
        <w:pStyle w:val="Heading1"/>
      </w:pPr>
      <w:bookmarkStart w:id="57" w:name="_Toc18619530"/>
      <w:r w:rsidRPr="00E069AC">
        <w:t>Discussion</w:t>
      </w:r>
      <w:bookmarkEnd w:id="57"/>
    </w:p>
    <w:p w14:paraId="69F6503E" w14:textId="713D9241" w:rsidR="00506098" w:rsidRDefault="00506098" w:rsidP="00A275A4">
      <w:r>
        <w:t>Offshore wind power presents high capacity, high capacity factor, complementarity (with solar PV), independence of volatile fuel prices, and reduced visual disamenity advantages in meeting the targeted energy pathway consistent with the ambitious Paris Agreement.</w:t>
      </w:r>
    </w:p>
    <w:p w14:paraId="2A7981FE" w14:textId="0A0F90D0" w:rsidR="00A84B41" w:rsidRPr="001C3E6C" w:rsidRDefault="001C3E6C" w:rsidP="00A84B41">
      <w:pPr>
        <w:rPr>
          <w:bCs/>
        </w:rPr>
      </w:pPr>
      <w:r w:rsidRPr="001C3E6C">
        <w:rPr>
          <w:bCs/>
        </w:rPr>
        <w:t>Project Drawdown</w:t>
      </w:r>
      <w:r w:rsidR="00A84B41" w:rsidRPr="001C3E6C">
        <w:rPr>
          <w:bCs/>
        </w:rPr>
        <w:t xml:space="preserve"> models </w:t>
      </w:r>
      <w:r w:rsidRPr="001C3E6C">
        <w:rPr>
          <w:bCs/>
        </w:rPr>
        <w:t xml:space="preserve">three scenarios </w:t>
      </w:r>
      <w:r w:rsidR="00A84B41" w:rsidRPr="001C3E6C">
        <w:rPr>
          <w:bCs/>
        </w:rPr>
        <w:t xml:space="preserve">where wind </w:t>
      </w:r>
      <w:r w:rsidRPr="007E10FF">
        <w:rPr>
          <w:bCs/>
        </w:rPr>
        <w:t xml:space="preserve">offshore </w:t>
      </w:r>
      <w:r w:rsidR="00A84B41" w:rsidRPr="007E10FF">
        <w:rPr>
          <w:bCs/>
        </w:rPr>
        <w:t xml:space="preserve">power provides </w:t>
      </w:r>
      <w:r w:rsidR="002347A8" w:rsidRPr="007E10FF">
        <w:rPr>
          <w:bCs/>
        </w:rPr>
        <w:t>3</w:t>
      </w:r>
      <w:r w:rsidRPr="007E10FF">
        <w:rPr>
          <w:bCs/>
        </w:rPr>
        <w:t xml:space="preserve"> to </w:t>
      </w:r>
      <w:r w:rsidR="002347A8" w:rsidRPr="007E10FF">
        <w:rPr>
          <w:bCs/>
        </w:rPr>
        <w:t xml:space="preserve">near </w:t>
      </w:r>
      <w:r w:rsidRPr="007E10FF">
        <w:rPr>
          <w:bCs/>
        </w:rPr>
        <w:t>6%</w:t>
      </w:r>
      <w:r w:rsidR="00A84B41" w:rsidRPr="007E10FF">
        <w:rPr>
          <w:bCs/>
        </w:rPr>
        <w:t xml:space="preserve"> of</w:t>
      </w:r>
      <w:r w:rsidR="00A84B41" w:rsidRPr="001C3E6C">
        <w:rPr>
          <w:bCs/>
        </w:rPr>
        <w:t xml:space="preserve"> world </w:t>
      </w:r>
      <w:r w:rsidRPr="001C3E6C">
        <w:rPr>
          <w:bCs/>
        </w:rPr>
        <w:t>electricity generation</w:t>
      </w:r>
      <w:r w:rsidR="00A84B41" w:rsidRPr="001C3E6C">
        <w:rPr>
          <w:bCs/>
        </w:rPr>
        <w:t xml:space="preserve"> by 205</w:t>
      </w:r>
      <w:r w:rsidRPr="001C3E6C">
        <w:rPr>
          <w:bCs/>
        </w:rPr>
        <w:t>0</w:t>
      </w:r>
      <w:r w:rsidR="00A84B41" w:rsidRPr="001C3E6C">
        <w:rPr>
          <w:bCs/>
        </w:rPr>
        <w:t>. As abovementioned th</w:t>
      </w:r>
      <w:r w:rsidRPr="001C3E6C">
        <w:rPr>
          <w:bCs/>
        </w:rPr>
        <w:t>ese</w:t>
      </w:r>
      <w:r w:rsidR="00A84B41" w:rsidRPr="001C3E6C">
        <w:rPr>
          <w:bCs/>
        </w:rPr>
        <w:t xml:space="preserve"> scenario</w:t>
      </w:r>
      <w:r w:rsidRPr="001C3E6C">
        <w:rPr>
          <w:bCs/>
        </w:rPr>
        <w:t>s</w:t>
      </w:r>
      <w:r w:rsidR="00A84B41" w:rsidRPr="001C3E6C">
        <w:rPr>
          <w:bCs/>
        </w:rPr>
        <w:t xml:space="preserve"> could significantly reduce future GHG emissions and help drawdown the amount of carbon in the atmosphere</w:t>
      </w:r>
      <w:r w:rsidR="002347A8">
        <w:rPr>
          <w:bCs/>
        </w:rPr>
        <w:t>.</w:t>
      </w:r>
    </w:p>
    <w:p w14:paraId="127CB967" w14:textId="48297462" w:rsidR="00A84B41" w:rsidRPr="001C3E6C" w:rsidRDefault="00A84B41" w:rsidP="00A84B41">
      <w:pPr>
        <w:rPr>
          <w:bCs/>
        </w:rPr>
      </w:pPr>
      <w:r w:rsidRPr="001C3E6C">
        <w:rPr>
          <w:bCs/>
        </w:rPr>
        <w:t>One of the most important determinants of future wind technologies use will be cost. After a brief increase</w:t>
      </w:r>
      <w:r w:rsidR="00506098">
        <w:rPr>
          <w:bCs/>
        </w:rPr>
        <w:t xml:space="preserve"> in mid 2000 due to lack of competition in offshore wind market</w:t>
      </w:r>
      <w:r w:rsidRPr="001C3E6C">
        <w:rPr>
          <w:bCs/>
        </w:rPr>
        <w:t xml:space="preserve">, the LCOE of </w:t>
      </w:r>
      <w:r w:rsidR="00506098">
        <w:rPr>
          <w:bCs/>
        </w:rPr>
        <w:t xml:space="preserve">offshore </w:t>
      </w:r>
      <w:r w:rsidRPr="001C3E6C">
        <w:rPr>
          <w:bCs/>
        </w:rPr>
        <w:t xml:space="preserve">wind has again been on the </w:t>
      </w:r>
      <w:r w:rsidR="00506098">
        <w:rPr>
          <w:bCs/>
        </w:rPr>
        <w:t xml:space="preserve">slow </w:t>
      </w:r>
      <w:r w:rsidRPr="001C3E6C">
        <w:rPr>
          <w:bCs/>
        </w:rPr>
        <w:t>decline</w:t>
      </w:r>
      <w:r w:rsidR="00506098">
        <w:rPr>
          <w:bCs/>
        </w:rPr>
        <w:t>,</w:t>
      </w:r>
      <w:r w:rsidRPr="001C3E6C">
        <w:rPr>
          <w:bCs/>
        </w:rPr>
        <w:t xml:space="preserve"> and </w:t>
      </w:r>
      <w:r w:rsidR="00506098">
        <w:rPr>
          <w:bCs/>
        </w:rPr>
        <w:t xml:space="preserve">could be potentially </w:t>
      </w:r>
      <w:r w:rsidRPr="001C3E6C">
        <w:rPr>
          <w:bCs/>
        </w:rPr>
        <w:t>competitive with new fossil fuel plants in several countries</w:t>
      </w:r>
      <w:r w:rsidR="00506098">
        <w:rPr>
          <w:bCs/>
        </w:rPr>
        <w:t xml:space="preserve"> in the foreseeable future</w:t>
      </w:r>
      <w:r w:rsidRPr="001C3E6C">
        <w:rPr>
          <w:bCs/>
        </w:rPr>
        <w:t>. It is also expected a sharp declining</w:t>
      </w:r>
      <w:r>
        <w:rPr>
          <w:bCs/>
        </w:rPr>
        <w:t xml:space="preserve"> of first costs as the size of the turbines and number of projects increase. </w:t>
      </w:r>
      <w:r w:rsidRPr="00251902">
        <w:rPr>
          <w:bCs/>
        </w:rPr>
        <w:t xml:space="preserve">Financial and regulatory stability could help ensure that </w:t>
      </w:r>
      <w:r w:rsidR="00506098">
        <w:rPr>
          <w:bCs/>
        </w:rPr>
        <w:t xml:space="preserve">offshore </w:t>
      </w:r>
      <w:r w:rsidRPr="00251902">
        <w:rPr>
          <w:bCs/>
        </w:rPr>
        <w:t xml:space="preserve">wind power technologies continue to come down in price, such as long-term tax credits and incentives for production and installation. The use of wind is also aided by renewable energy and portfolio standards; a price or limit on carbon emissions; and policies or </w:t>
      </w:r>
      <w:r w:rsidRPr="001C3E6C">
        <w:rPr>
          <w:bCs/>
        </w:rPr>
        <w:t>regulations that</w:t>
      </w:r>
      <w:r w:rsidR="00506098">
        <w:rPr>
          <w:bCs/>
        </w:rPr>
        <w:t xml:space="preserve"> internalize</w:t>
      </w:r>
      <w:r w:rsidRPr="001C3E6C">
        <w:rPr>
          <w:bCs/>
        </w:rPr>
        <w:t xml:space="preserve"> the external costs of fossil</w:t>
      </w:r>
      <w:r w:rsidR="006C661E">
        <w:rPr>
          <w:bCs/>
        </w:rPr>
        <w:t>-fired power plants.</w:t>
      </w:r>
    </w:p>
    <w:p w14:paraId="4B85720F" w14:textId="4B693043" w:rsidR="00A84B41" w:rsidRPr="002347A8" w:rsidRDefault="00A84B41" w:rsidP="00A84B41">
      <w:r w:rsidRPr="001C3E6C">
        <w:t xml:space="preserve">Notwithstanding its local impacts, using </w:t>
      </w:r>
      <w:r w:rsidR="006C661E">
        <w:t xml:space="preserve">offshore </w:t>
      </w:r>
      <w:r w:rsidRPr="001C3E6C">
        <w:t xml:space="preserve">wind power to </w:t>
      </w:r>
      <w:r w:rsidR="009B17D4">
        <w:t>reduce the use of</w:t>
      </w:r>
      <w:r w:rsidRPr="001C3E6C">
        <w:t xml:space="preserve"> fossil </w:t>
      </w:r>
      <w:r w:rsidR="006C661E">
        <w:t xml:space="preserve">power </w:t>
      </w:r>
      <w:r w:rsidRPr="001C3E6C">
        <w:t xml:space="preserve">generation brings </w:t>
      </w:r>
      <w:r w:rsidR="006C661E">
        <w:t xml:space="preserve">net improvement in </w:t>
      </w:r>
      <w:r w:rsidRPr="001C3E6C">
        <w:t xml:space="preserve">public health and environmental benefits, especially </w:t>
      </w:r>
      <w:r w:rsidR="009B17D4">
        <w:t xml:space="preserve">related to </w:t>
      </w:r>
      <w:r w:rsidRPr="001C3E6C">
        <w:t xml:space="preserve">reduced air pollution since </w:t>
      </w:r>
      <w:r w:rsidR="006C661E">
        <w:t xml:space="preserve">offshore </w:t>
      </w:r>
      <w:r w:rsidRPr="001C3E6C">
        <w:t xml:space="preserve">wind power </w:t>
      </w:r>
      <w:r w:rsidRPr="002347A8">
        <w:t xml:space="preserve">produces no direct air emissions and </w:t>
      </w:r>
      <w:r w:rsidR="00602D83" w:rsidRPr="002347A8">
        <w:t>ha</w:t>
      </w:r>
      <w:r w:rsidR="006C661E" w:rsidRPr="002347A8">
        <w:t>s</w:t>
      </w:r>
      <w:r w:rsidR="00602D83" w:rsidRPr="002347A8">
        <w:t xml:space="preserve"> </w:t>
      </w:r>
      <w:r w:rsidRPr="002347A8">
        <w:t>very low lifecycle emissions</w:t>
      </w:r>
      <w:r w:rsidR="00171DF3" w:rsidRPr="002347A8">
        <w:t xml:space="preserve"> (DOE, 2015)</w:t>
      </w:r>
      <w:r w:rsidRPr="002347A8">
        <w:t>.</w:t>
      </w:r>
    </w:p>
    <w:p w14:paraId="597593D9" w14:textId="66168ABA" w:rsidR="00A84B41" w:rsidRPr="005A3058" w:rsidRDefault="00A84B41" w:rsidP="00A84B41">
      <w:pPr>
        <w:rPr>
          <w:bCs/>
        </w:rPr>
      </w:pPr>
      <w:r w:rsidRPr="002347A8">
        <w:rPr>
          <w:bCs/>
        </w:rPr>
        <w:t>As projected by the several sources, offshore wind could potentially play a large role in future global energy use. This study suggests offshore wind could result in net savings even at currently projected installation costs of US$3</w:t>
      </w:r>
      <w:r w:rsidR="00680C56" w:rsidRPr="002347A8">
        <w:rPr>
          <w:bCs/>
        </w:rPr>
        <w:t>,</w:t>
      </w:r>
      <w:r w:rsidR="002347A8" w:rsidRPr="002347A8">
        <w:rPr>
          <w:bCs/>
        </w:rPr>
        <w:t>486</w:t>
      </w:r>
      <w:r w:rsidRPr="002347A8">
        <w:rPr>
          <w:bCs/>
        </w:rPr>
        <w:t>/kW. However, the roll out of offshore wind could be further boosted by improvements in the technology and reductions in cost</w:t>
      </w:r>
      <w:r w:rsidR="006C661E" w:rsidRPr="002347A8">
        <w:rPr>
          <w:bCs/>
        </w:rPr>
        <w:t>s</w:t>
      </w:r>
      <w:r w:rsidRPr="002347A8">
        <w:rPr>
          <w:bCs/>
        </w:rPr>
        <w:t>. Such technology improvements and cost</w:t>
      </w:r>
      <w:r w:rsidR="006C661E" w:rsidRPr="002347A8">
        <w:rPr>
          <w:bCs/>
        </w:rPr>
        <w:t>s</w:t>
      </w:r>
      <w:r w:rsidRPr="002347A8">
        <w:rPr>
          <w:bCs/>
        </w:rPr>
        <w:t xml:space="preserve"> reductions would be aided by increased R&amp;D into </w:t>
      </w:r>
      <w:r w:rsidR="006C661E" w:rsidRPr="002347A8">
        <w:rPr>
          <w:bCs/>
        </w:rPr>
        <w:t xml:space="preserve">offshore </w:t>
      </w:r>
      <w:r w:rsidRPr="002347A8">
        <w:rPr>
          <w:bCs/>
        </w:rPr>
        <w:t xml:space="preserve">wind </w:t>
      </w:r>
      <w:r w:rsidR="006C661E" w:rsidRPr="002347A8">
        <w:rPr>
          <w:bCs/>
        </w:rPr>
        <w:t>technologies</w:t>
      </w:r>
      <w:r w:rsidR="006C661E">
        <w:rPr>
          <w:bCs/>
        </w:rPr>
        <w:t xml:space="preserve"> for deep offshore applications.</w:t>
      </w:r>
    </w:p>
    <w:p w14:paraId="319DCBD8" w14:textId="4F9ACC7D" w:rsidR="006745FF" w:rsidRPr="00E069AC" w:rsidRDefault="006745FF" w:rsidP="00E069AC">
      <w:pPr>
        <w:pStyle w:val="Heading2"/>
        <w:numPr>
          <w:ilvl w:val="1"/>
          <w:numId w:val="29"/>
        </w:numPr>
      </w:pPr>
      <w:bookmarkStart w:id="58" w:name="_Toc18619531"/>
      <w:r w:rsidRPr="00E069AC">
        <w:t>Limitations</w:t>
      </w:r>
      <w:bookmarkEnd w:id="58"/>
    </w:p>
    <w:p w14:paraId="7205EB77" w14:textId="5E8E8268" w:rsidR="00602D83" w:rsidRDefault="006745FF" w:rsidP="00EB247F">
      <w:r w:rsidRPr="00602D83">
        <w:t xml:space="preserve">The accelerated </w:t>
      </w:r>
      <w:r w:rsidR="006C661E">
        <w:t xml:space="preserve">deployment </w:t>
      </w:r>
      <w:r w:rsidRPr="00602D83">
        <w:t xml:space="preserve">of new </w:t>
      </w:r>
      <w:r w:rsidR="006C661E">
        <w:t xml:space="preserve">offshore </w:t>
      </w:r>
      <w:r w:rsidR="00602D83" w:rsidRPr="00602D83">
        <w:t>wind</w:t>
      </w:r>
      <w:r w:rsidRPr="00602D83">
        <w:t xml:space="preserve"> capacity will not be without</w:t>
      </w:r>
      <w:r w:rsidR="006C661E">
        <w:t xml:space="preserve"> the daunting engineering and economic</w:t>
      </w:r>
      <w:r w:rsidRPr="00602D83">
        <w:t xml:space="preserve"> challenges, however, as </w:t>
      </w:r>
      <w:r w:rsidR="009B17D4">
        <w:t>currently most</w:t>
      </w:r>
      <w:r w:rsidRPr="00602D83">
        <w:t xml:space="preserve"> electricity markets and grids are in many cases not </w:t>
      </w:r>
      <w:r w:rsidR="009B17D4">
        <w:t xml:space="preserve">suited </w:t>
      </w:r>
      <w:r w:rsidRPr="00602D83">
        <w:t>for a high penetration of intermittent</w:t>
      </w:r>
      <w:r w:rsidR="009B17D4">
        <w:t xml:space="preserve"> RES use</w:t>
      </w:r>
      <w:r w:rsidRPr="00602D83">
        <w:t xml:space="preserve">. </w:t>
      </w:r>
      <w:r w:rsidR="00602D83">
        <w:t>W</w:t>
      </w:r>
      <w:r w:rsidR="00602D83" w:rsidRPr="00602D83">
        <w:t>ind speeds vary on a seasonal and hourly basis, requiring back-up power or storage at certain times to meet electricity demand</w:t>
      </w:r>
      <w:r w:rsidR="00602D83">
        <w:t xml:space="preserve">. </w:t>
      </w:r>
      <w:r w:rsidR="00602D83" w:rsidRPr="00602D83">
        <w:t xml:space="preserve">The increased  </w:t>
      </w:r>
      <w:r w:rsidR="006C661E">
        <w:t xml:space="preserve">penetration </w:t>
      </w:r>
      <w:r w:rsidR="00602D83" w:rsidRPr="00602D83">
        <w:t xml:space="preserve">of </w:t>
      </w:r>
      <w:r w:rsidR="006C661E">
        <w:t xml:space="preserve">offshore </w:t>
      </w:r>
      <w:r w:rsidR="00602D83" w:rsidRPr="00602D83">
        <w:t xml:space="preserve">wind and solar </w:t>
      </w:r>
      <w:r w:rsidR="006C661E">
        <w:t>power  will</w:t>
      </w:r>
      <w:r w:rsidR="00602D83" w:rsidRPr="00602D83">
        <w:t xml:space="preserve"> require investments and improvements in grid infrastructure and the flexibility of power systems</w:t>
      </w:r>
      <w:r w:rsidR="006C661E">
        <w:t xml:space="preserve"> to avoid the adverse effects of variable renewable energy on the grid</w:t>
      </w:r>
      <w:r w:rsidR="00602D83" w:rsidRPr="00602D83">
        <w:t>. Yet studies and real-world experience suggest these costs are manageable and affordable, costing less than fossil fuels when externalities are taken into account. Further, many regions do not yet have a centralized electric system designed around fossil use, and may more easily create a more flexible or distributed system.</w:t>
      </w:r>
    </w:p>
    <w:p w14:paraId="56EFA900" w14:textId="415C46D5" w:rsidR="00602D83" w:rsidRPr="00E069AC" w:rsidRDefault="006745FF" w:rsidP="00EB247F">
      <w:r w:rsidRPr="00602D83">
        <w:t xml:space="preserve">There will be economic, policy, and social hurdles to overcome on the pathway set out in </w:t>
      </w:r>
      <w:r w:rsidR="00A84B41" w:rsidRPr="00602D83">
        <w:t>these</w:t>
      </w:r>
      <w:r w:rsidRPr="00602D83">
        <w:t xml:space="preserve"> scenarios, and some of these will require significant changes to the way </w:t>
      </w:r>
      <w:r w:rsidR="00A84B41" w:rsidRPr="00602D83">
        <w:t>electricity is bought, s</w:t>
      </w:r>
      <w:r w:rsidR="00602D83">
        <w:t>old</w:t>
      </w:r>
      <w:r w:rsidR="00A84B41" w:rsidRPr="00602D83">
        <w:t xml:space="preserve"> and used. </w:t>
      </w:r>
      <w:r w:rsidRPr="00602D83">
        <w:t xml:space="preserve"> But given the immense climate and financial impacts of global </w:t>
      </w:r>
      <w:r w:rsidR="00602D83" w:rsidRPr="00602D83">
        <w:t>wind farms</w:t>
      </w:r>
      <w:r w:rsidRPr="00602D83">
        <w:t xml:space="preserve"> adoption, it is imperative that </w:t>
      </w:r>
      <w:r w:rsidR="00602D83" w:rsidRPr="00602D83">
        <w:t xml:space="preserve">these </w:t>
      </w:r>
      <w:r w:rsidRPr="00602D83">
        <w:t xml:space="preserve"> challenges </w:t>
      </w:r>
      <w:r w:rsidR="00602D83" w:rsidRPr="00602D83">
        <w:t xml:space="preserve">are taken </w:t>
      </w:r>
      <w:r w:rsidRPr="00602D83">
        <w:t>in order to realize the benefits.</w:t>
      </w:r>
    </w:p>
    <w:p w14:paraId="2139E8E7" w14:textId="767A0E25" w:rsidR="006745FF" w:rsidRPr="00E069AC" w:rsidRDefault="006745FF" w:rsidP="00483FFA">
      <w:pPr>
        <w:pStyle w:val="Heading2"/>
        <w:numPr>
          <w:ilvl w:val="1"/>
          <w:numId w:val="26"/>
        </w:numPr>
      </w:pPr>
      <w:bookmarkStart w:id="59" w:name="_Toc18619532"/>
      <w:r w:rsidRPr="00E069AC">
        <w:t>Benchmarks</w:t>
      </w:r>
      <w:bookmarkEnd w:id="59"/>
    </w:p>
    <w:p w14:paraId="29497B82" w14:textId="102E3939" w:rsidR="00602D83" w:rsidRPr="001C3E6C" w:rsidRDefault="001C3E6C" w:rsidP="00EB247F">
      <w:pPr>
        <w:rPr>
          <w:bCs/>
          <w:iCs/>
        </w:rPr>
      </w:pPr>
      <w:r w:rsidRPr="000B7D71">
        <w:rPr>
          <w:bCs/>
          <w:iCs/>
        </w:rPr>
        <w:t xml:space="preserve">Table 4.1 depicts a benchmark of Project Drawdown results for 2050 on the three developed scenarios to other six publicly available </w:t>
      </w:r>
      <w:r w:rsidRPr="008F2916">
        <w:rPr>
          <w:bCs/>
          <w:iCs/>
        </w:rPr>
        <w:t>scenarios from IEA (201</w:t>
      </w:r>
      <w:r w:rsidR="00722116">
        <w:rPr>
          <w:bCs/>
          <w:iCs/>
        </w:rPr>
        <w:t>7</w:t>
      </w:r>
      <w:r w:rsidRPr="008F2916">
        <w:rPr>
          <w:bCs/>
          <w:iCs/>
        </w:rPr>
        <w:t xml:space="preserve">) and Greenpeace (2015). </w:t>
      </w:r>
      <w:r w:rsidR="00602D83" w:rsidRPr="008F2916">
        <w:rPr>
          <w:lang w:eastAsia="en-US"/>
        </w:rPr>
        <w:t xml:space="preserve">The results of the </w:t>
      </w:r>
      <w:r w:rsidR="008F2916" w:rsidRPr="008F2916">
        <w:rPr>
          <w:lang w:eastAsia="en-US"/>
        </w:rPr>
        <w:t xml:space="preserve">PD </w:t>
      </w:r>
      <w:r w:rsidR="00602D83" w:rsidRPr="008F2916">
        <w:rPr>
          <w:i/>
          <w:iCs/>
          <w:lang w:eastAsia="en-US"/>
        </w:rPr>
        <w:t xml:space="preserve">Plausible </w:t>
      </w:r>
      <w:r w:rsidR="00602D83" w:rsidRPr="008F2916">
        <w:rPr>
          <w:lang w:eastAsia="en-US"/>
        </w:rPr>
        <w:t xml:space="preserve">Scenario </w:t>
      </w:r>
      <w:r w:rsidR="00722116">
        <w:rPr>
          <w:lang w:eastAsia="en-US"/>
        </w:rPr>
        <w:t>is aligned with</w:t>
      </w:r>
      <w:r w:rsidR="00602D83" w:rsidRPr="008F2916">
        <w:rPr>
          <w:lang w:eastAsia="en-US"/>
        </w:rPr>
        <w:t xml:space="preserve"> </w:t>
      </w:r>
      <w:r w:rsidR="00722116">
        <w:rPr>
          <w:lang w:eastAsia="en-US"/>
        </w:rPr>
        <w:t xml:space="preserve">B2DS and </w:t>
      </w:r>
      <w:r w:rsidR="00602D83" w:rsidRPr="008F2916">
        <w:rPr>
          <w:lang w:eastAsia="en-US"/>
        </w:rPr>
        <w:t>2</w:t>
      </w:r>
      <w:r w:rsidR="008F2916" w:rsidRPr="008F2916">
        <w:rPr>
          <w:lang w:eastAsia="en-US"/>
        </w:rPr>
        <w:t>DS</w:t>
      </w:r>
      <w:r w:rsidR="00602D83" w:rsidRPr="008F2916">
        <w:rPr>
          <w:lang w:eastAsia="en-US"/>
        </w:rPr>
        <w:t xml:space="preserve"> Scenario of IEA ETP (201</w:t>
      </w:r>
      <w:r w:rsidR="00722116">
        <w:rPr>
          <w:lang w:eastAsia="en-US"/>
        </w:rPr>
        <w:t>7</w:t>
      </w:r>
      <w:r w:rsidR="00602D83" w:rsidRPr="008F2916">
        <w:rPr>
          <w:lang w:eastAsia="en-US"/>
        </w:rPr>
        <w:t xml:space="preserve">), which estimates the growth of offshore wind to reach </w:t>
      </w:r>
      <w:r w:rsidR="00722116">
        <w:rPr>
          <w:lang w:eastAsia="en-US"/>
        </w:rPr>
        <w:t>around 4</w:t>
      </w:r>
      <w:r w:rsidR="00602D83" w:rsidRPr="008F2916">
        <w:rPr>
          <w:lang w:eastAsia="en-US"/>
        </w:rPr>
        <w:t xml:space="preserve"> percent of the market in 2050. Compared to the Greenpeace Energy [R]evolution Scenario, however, </w:t>
      </w:r>
      <w:r w:rsidR="008F2916" w:rsidRPr="008F2916">
        <w:rPr>
          <w:lang w:eastAsia="en-US"/>
        </w:rPr>
        <w:t>PD</w:t>
      </w:r>
      <w:r w:rsidR="00602D83" w:rsidRPr="008F2916">
        <w:rPr>
          <w:lang w:eastAsia="en-US"/>
        </w:rPr>
        <w:t xml:space="preserve"> results </w:t>
      </w:r>
      <w:r w:rsidR="00722116">
        <w:rPr>
          <w:lang w:eastAsia="en-US"/>
        </w:rPr>
        <w:t xml:space="preserve">on Plausible scenario </w:t>
      </w:r>
      <w:r w:rsidR="00602D83" w:rsidRPr="008F2916">
        <w:rPr>
          <w:lang w:eastAsia="en-US"/>
        </w:rPr>
        <w:t>for adoption are nearly half, with electricity generated from offshore wind turbines representing up to 8 percent of the market in 2050 (Greenpeace, 2015).</w:t>
      </w:r>
    </w:p>
    <w:p w14:paraId="79DB6E21" w14:textId="77777777" w:rsidR="006745FF" w:rsidRPr="00E069AC" w:rsidRDefault="006745FF" w:rsidP="00EB247F">
      <w:pPr>
        <w:pStyle w:val="Caption"/>
        <w:jc w:val="center"/>
        <w:rPr>
          <w:b/>
          <w:bCs/>
        </w:rPr>
      </w:pPr>
      <w:bookmarkStart w:id="60" w:name="_Toc524993445"/>
      <w:bookmarkStart w:id="61" w:name="_Toc535272085"/>
      <w:r w:rsidRPr="00E069AC">
        <w:t xml:space="preserve">Table </w:t>
      </w:r>
      <w:fldSimple w:instr=" STYLEREF 1 \s ">
        <w:r w:rsidRPr="00E069AC">
          <w:t>4</w:t>
        </w:r>
      </w:fldSimple>
      <w:r w:rsidRPr="00E069AC">
        <w:t>.</w:t>
      </w:r>
      <w:fldSimple w:instr=" SEQ Table \* ARABIC \s 1 ">
        <w:r w:rsidRPr="00E069AC">
          <w:t>1</w:t>
        </w:r>
      </w:fldSimple>
      <w:r w:rsidRPr="00E069AC">
        <w:t xml:space="preserve"> Benchmarks</w:t>
      </w:r>
      <w:bookmarkEnd w:id="60"/>
      <w:bookmarkEnd w:id="61"/>
    </w:p>
    <w:tbl>
      <w:tblPr>
        <w:tblStyle w:val="TableGrid"/>
        <w:tblW w:w="9327" w:type="dxa"/>
        <w:tblLook w:val="04A0" w:firstRow="1" w:lastRow="0" w:firstColumn="1" w:lastColumn="0" w:noHBand="0" w:noVBand="1"/>
      </w:tblPr>
      <w:tblGrid>
        <w:gridCol w:w="4358"/>
        <w:gridCol w:w="2280"/>
        <w:gridCol w:w="2689"/>
      </w:tblGrid>
      <w:tr w:rsidR="00996E91" w:rsidRPr="00E069AC" w14:paraId="70C8E283" w14:textId="77777777" w:rsidTr="008F2916">
        <w:trPr>
          <w:trHeight w:val="328"/>
        </w:trPr>
        <w:tc>
          <w:tcPr>
            <w:tcW w:w="4358" w:type="dxa"/>
            <w:shd w:val="clear" w:color="auto" w:fill="4F81BD" w:themeFill="accent1"/>
            <w:vAlign w:val="center"/>
          </w:tcPr>
          <w:p w14:paraId="721CED95" w14:textId="594D904F" w:rsidR="00996E91" w:rsidRPr="00E069AC" w:rsidRDefault="00996E91" w:rsidP="00912CC8">
            <w:pPr>
              <w:spacing w:line="240" w:lineRule="auto"/>
              <w:jc w:val="center"/>
              <w:rPr>
                <w:b/>
                <w:bCs/>
                <w:color w:val="FFFFFF" w:themeColor="background1"/>
                <w:sz w:val="20"/>
              </w:rPr>
            </w:pPr>
            <w:r w:rsidRPr="00E069AC">
              <w:rPr>
                <w:b/>
                <w:bCs/>
                <w:color w:val="FFFFFF" w:themeColor="background1"/>
                <w:sz w:val="20"/>
              </w:rPr>
              <w:t>Source and Scenario</w:t>
            </w:r>
          </w:p>
        </w:tc>
        <w:tc>
          <w:tcPr>
            <w:tcW w:w="2280" w:type="dxa"/>
            <w:shd w:val="clear" w:color="auto" w:fill="4F81BD" w:themeFill="accent1"/>
            <w:vAlign w:val="center"/>
          </w:tcPr>
          <w:p w14:paraId="2C9D3A78" w14:textId="3930D889" w:rsidR="00996E91" w:rsidRPr="00E069AC" w:rsidRDefault="00996E91" w:rsidP="00912CC8">
            <w:pPr>
              <w:spacing w:line="240" w:lineRule="auto"/>
              <w:jc w:val="center"/>
              <w:rPr>
                <w:b/>
                <w:color w:val="FFFFFF" w:themeColor="background1"/>
                <w:sz w:val="20"/>
              </w:rPr>
            </w:pPr>
            <w:r w:rsidRPr="00E069AC">
              <w:rPr>
                <w:b/>
                <w:color w:val="FFFFFF" w:themeColor="background1"/>
                <w:sz w:val="20"/>
              </w:rPr>
              <w:t>Electricity Generation in 2050 (TWh)</w:t>
            </w:r>
          </w:p>
        </w:tc>
        <w:tc>
          <w:tcPr>
            <w:tcW w:w="2689" w:type="dxa"/>
            <w:shd w:val="clear" w:color="auto" w:fill="4F81BD" w:themeFill="accent1"/>
            <w:vAlign w:val="center"/>
          </w:tcPr>
          <w:p w14:paraId="54169280" w14:textId="7589E293" w:rsidR="00996E91" w:rsidRPr="00E069AC" w:rsidRDefault="00996E91" w:rsidP="00912CC8">
            <w:pPr>
              <w:spacing w:line="240" w:lineRule="auto"/>
              <w:jc w:val="center"/>
              <w:rPr>
                <w:b/>
                <w:color w:val="FFFFFF" w:themeColor="background1"/>
                <w:sz w:val="20"/>
              </w:rPr>
            </w:pPr>
            <w:r w:rsidRPr="00E069AC">
              <w:rPr>
                <w:b/>
                <w:color w:val="FFFFFF" w:themeColor="background1"/>
                <w:sz w:val="20"/>
              </w:rPr>
              <w:t>Market Share in 2050 (%)</w:t>
            </w:r>
          </w:p>
        </w:tc>
      </w:tr>
      <w:tr w:rsidR="006B3BC7" w:rsidRPr="00E069AC" w14:paraId="204DAC62" w14:textId="77777777" w:rsidTr="008F2916">
        <w:trPr>
          <w:trHeight w:val="430"/>
        </w:trPr>
        <w:tc>
          <w:tcPr>
            <w:tcW w:w="4358" w:type="dxa"/>
            <w:vAlign w:val="center"/>
          </w:tcPr>
          <w:p w14:paraId="780B2641" w14:textId="1B327612" w:rsidR="006B3BC7" w:rsidRPr="00722116" w:rsidRDefault="006B3BC7" w:rsidP="006B3BC7">
            <w:pPr>
              <w:spacing w:line="240" w:lineRule="auto"/>
              <w:jc w:val="left"/>
              <w:rPr>
                <w:b/>
                <w:sz w:val="20"/>
              </w:rPr>
            </w:pPr>
            <w:r w:rsidRPr="00722116">
              <w:rPr>
                <w:b/>
                <w:sz w:val="20"/>
              </w:rPr>
              <w:t>Project Drawdown – Plausible Scenario (PDS1)</w:t>
            </w:r>
          </w:p>
        </w:tc>
        <w:tc>
          <w:tcPr>
            <w:tcW w:w="2280" w:type="dxa"/>
            <w:vAlign w:val="center"/>
          </w:tcPr>
          <w:p w14:paraId="5EC78273" w14:textId="6337DDDA" w:rsidR="006B3BC7" w:rsidRPr="00722116" w:rsidRDefault="002347A8" w:rsidP="006B3BC7">
            <w:pPr>
              <w:spacing w:line="240" w:lineRule="auto"/>
              <w:jc w:val="center"/>
              <w:rPr>
                <w:b/>
                <w:bCs/>
                <w:sz w:val="20"/>
              </w:rPr>
            </w:pPr>
            <w:r w:rsidRPr="00722116">
              <w:rPr>
                <w:b/>
                <w:bCs/>
                <w:sz w:val="20"/>
              </w:rPr>
              <w:t>1,</w:t>
            </w:r>
            <w:r w:rsidR="00722116" w:rsidRPr="00722116">
              <w:rPr>
                <w:b/>
                <w:bCs/>
                <w:sz w:val="20"/>
              </w:rPr>
              <w:t>918</w:t>
            </w:r>
          </w:p>
        </w:tc>
        <w:tc>
          <w:tcPr>
            <w:tcW w:w="2689" w:type="dxa"/>
            <w:vAlign w:val="center"/>
          </w:tcPr>
          <w:p w14:paraId="26E452EA" w14:textId="619F3302" w:rsidR="006B3BC7" w:rsidRPr="004F25E9" w:rsidRDefault="00985E5D" w:rsidP="006B3BC7">
            <w:pPr>
              <w:spacing w:line="240" w:lineRule="auto"/>
              <w:jc w:val="center"/>
              <w:rPr>
                <w:b/>
                <w:bCs/>
                <w:sz w:val="20"/>
                <w:highlight w:val="yellow"/>
              </w:rPr>
            </w:pPr>
            <w:r>
              <w:rPr>
                <w:b/>
                <w:bCs/>
                <w:sz w:val="20"/>
              </w:rPr>
              <w:t>4,2</w:t>
            </w:r>
            <w:r w:rsidR="006B3BC7" w:rsidRPr="00722116">
              <w:rPr>
                <w:b/>
                <w:bCs/>
                <w:sz w:val="20"/>
              </w:rPr>
              <w:t>%</w:t>
            </w:r>
          </w:p>
        </w:tc>
      </w:tr>
      <w:tr w:rsidR="006B3BC7" w:rsidRPr="00E069AC" w14:paraId="3629322A" w14:textId="77777777" w:rsidTr="008F2916">
        <w:trPr>
          <w:trHeight w:val="430"/>
        </w:trPr>
        <w:tc>
          <w:tcPr>
            <w:tcW w:w="4358" w:type="dxa"/>
            <w:vAlign w:val="center"/>
          </w:tcPr>
          <w:p w14:paraId="5EDAE91E" w14:textId="235141B3" w:rsidR="006B3BC7" w:rsidRPr="006B3BC7" w:rsidRDefault="006B3BC7" w:rsidP="006B3BC7">
            <w:pPr>
              <w:spacing w:line="240" w:lineRule="auto"/>
              <w:jc w:val="left"/>
              <w:rPr>
                <w:b/>
                <w:sz w:val="20"/>
              </w:rPr>
            </w:pPr>
            <w:r w:rsidRPr="006B3BC7">
              <w:rPr>
                <w:b/>
                <w:sz w:val="20"/>
              </w:rPr>
              <w:t>Project Drawdown – Drawdown Scenario (PDS2)</w:t>
            </w:r>
          </w:p>
        </w:tc>
        <w:tc>
          <w:tcPr>
            <w:tcW w:w="2280" w:type="dxa"/>
            <w:vAlign w:val="center"/>
          </w:tcPr>
          <w:p w14:paraId="0F2E029C" w14:textId="1C1ABBCE" w:rsidR="006B3BC7" w:rsidRPr="004F25E9" w:rsidRDefault="006B3BC7" w:rsidP="006B3BC7">
            <w:pPr>
              <w:spacing w:line="240" w:lineRule="auto"/>
              <w:jc w:val="center"/>
              <w:rPr>
                <w:b/>
                <w:bCs/>
                <w:sz w:val="20"/>
                <w:highlight w:val="yellow"/>
              </w:rPr>
            </w:pPr>
            <w:r w:rsidRPr="00722116">
              <w:rPr>
                <w:b/>
                <w:bCs/>
                <w:sz w:val="20"/>
              </w:rPr>
              <w:t>2,</w:t>
            </w:r>
            <w:r w:rsidR="00722116" w:rsidRPr="00722116">
              <w:rPr>
                <w:b/>
                <w:bCs/>
                <w:sz w:val="20"/>
              </w:rPr>
              <w:t>256</w:t>
            </w:r>
          </w:p>
        </w:tc>
        <w:tc>
          <w:tcPr>
            <w:tcW w:w="2689" w:type="dxa"/>
            <w:vAlign w:val="center"/>
          </w:tcPr>
          <w:p w14:paraId="7326E4EC" w14:textId="1C7C737A" w:rsidR="006B3BC7" w:rsidRPr="004F25E9" w:rsidRDefault="00722116" w:rsidP="006B3BC7">
            <w:pPr>
              <w:spacing w:line="240" w:lineRule="auto"/>
              <w:jc w:val="center"/>
              <w:rPr>
                <w:b/>
                <w:bCs/>
                <w:sz w:val="20"/>
                <w:highlight w:val="yellow"/>
              </w:rPr>
            </w:pPr>
            <w:r w:rsidRPr="00722116">
              <w:rPr>
                <w:b/>
                <w:bCs/>
                <w:sz w:val="20"/>
              </w:rPr>
              <w:t>3.2</w:t>
            </w:r>
            <w:r w:rsidR="006B3BC7" w:rsidRPr="00722116">
              <w:rPr>
                <w:b/>
                <w:bCs/>
                <w:sz w:val="20"/>
              </w:rPr>
              <w:t>%</w:t>
            </w:r>
          </w:p>
        </w:tc>
      </w:tr>
      <w:tr w:rsidR="006B3BC7" w:rsidRPr="00E069AC" w14:paraId="3B88CA27" w14:textId="77777777" w:rsidTr="008F2916">
        <w:trPr>
          <w:trHeight w:val="430"/>
        </w:trPr>
        <w:tc>
          <w:tcPr>
            <w:tcW w:w="4358" w:type="dxa"/>
            <w:vAlign w:val="center"/>
          </w:tcPr>
          <w:p w14:paraId="6576359F" w14:textId="382B8D13" w:rsidR="006B3BC7" w:rsidRPr="006B3BC7" w:rsidRDefault="006B3BC7" w:rsidP="006B3BC7">
            <w:pPr>
              <w:spacing w:line="240" w:lineRule="auto"/>
              <w:jc w:val="left"/>
              <w:rPr>
                <w:b/>
                <w:sz w:val="20"/>
              </w:rPr>
            </w:pPr>
            <w:r w:rsidRPr="006B3BC7">
              <w:rPr>
                <w:b/>
                <w:sz w:val="20"/>
              </w:rPr>
              <w:t>Project Drawdown – Optimum Scenario (PDS3)</w:t>
            </w:r>
          </w:p>
        </w:tc>
        <w:tc>
          <w:tcPr>
            <w:tcW w:w="2280" w:type="dxa"/>
            <w:vAlign w:val="center"/>
          </w:tcPr>
          <w:p w14:paraId="02F3EFBB" w14:textId="5D7D3887" w:rsidR="006B3BC7" w:rsidRPr="00722116" w:rsidRDefault="00722116" w:rsidP="006B3BC7">
            <w:pPr>
              <w:spacing w:line="240" w:lineRule="auto"/>
              <w:jc w:val="center"/>
              <w:rPr>
                <w:b/>
                <w:bCs/>
                <w:sz w:val="20"/>
              </w:rPr>
            </w:pPr>
            <w:r w:rsidRPr="00722116">
              <w:rPr>
                <w:b/>
                <w:bCs/>
                <w:sz w:val="20"/>
              </w:rPr>
              <w:t>4,108</w:t>
            </w:r>
          </w:p>
        </w:tc>
        <w:tc>
          <w:tcPr>
            <w:tcW w:w="2689" w:type="dxa"/>
            <w:vAlign w:val="center"/>
          </w:tcPr>
          <w:p w14:paraId="634079AD" w14:textId="340FD804" w:rsidR="006B3BC7" w:rsidRPr="00722116" w:rsidRDefault="00722116" w:rsidP="006B3BC7">
            <w:pPr>
              <w:spacing w:line="240" w:lineRule="auto"/>
              <w:jc w:val="center"/>
              <w:rPr>
                <w:b/>
                <w:bCs/>
                <w:sz w:val="20"/>
              </w:rPr>
            </w:pPr>
            <w:r w:rsidRPr="00722116">
              <w:rPr>
                <w:b/>
                <w:bCs/>
                <w:sz w:val="20"/>
              </w:rPr>
              <w:t>5.8</w:t>
            </w:r>
            <w:r w:rsidR="006B3BC7" w:rsidRPr="00722116">
              <w:rPr>
                <w:b/>
                <w:bCs/>
                <w:sz w:val="20"/>
              </w:rPr>
              <w:t>%</w:t>
            </w:r>
          </w:p>
        </w:tc>
      </w:tr>
      <w:tr w:rsidR="006B3BC7" w:rsidRPr="00E069AC" w14:paraId="6A3C101E" w14:textId="77777777" w:rsidTr="008F2916">
        <w:trPr>
          <w:trHeight w:val="523"/>
        </w:trPr>
        <w:tc>
          <w:tcPr>
            <w:tcW w:w="4358" w:type="dxa"/>
            <w:vAlign w:val="center"/>
          </w:tcPr>
          <w:p w14:paraId="3D5DBB15" w14:textId="00866ACF" w:rsidR="006B3BC7" w:rsidRPr="00E069AC" w:rsidRDefault="006B3BC7" w:rsidP="006B3BC7">
            <w:pPr>
              <w:spacing w:line="240" w:lineRule="auto"/>
              <w:jc w:val="left"/>
              <w:rPr>
                <w:sz w:val="20"/>
              </w:rPr>
            </w:pPr>
            <w:r w:rsidRPr="00E069AC">
              <w:rPr>
                <w:sz w:val="20"/>
              </w:rPr>
              <w:t xml:space="preserve">Greenpeace Energy [R]evolution </w:t>
            </w:r>
            <w:r>
              <w:rPr>
                <w:sz w:val="20"/>
              </w:rPr>
              <w:t xml:space="preserve">(2015) </w:t>
            </w:r>
            <w:r w:rsidRPr="00E069AC">
              <w:rPr>
                <w:sz w:val="20"/>
              </w:rPr>
              <w:t>– Reference Scenario</w:t>
            </w:r>
          </w:p>
        </w:tc>
        <w:tc>
          <w:tcPr>
            <w:tcW w:w="2280" w:type="dxa"/>
            <w:vAlign w:val="center"/>
          </w:tcPr>
          <w:p w14:paraId="0B74DFEC" w14:textId="55470B8E" w:rsidR="006B3BC7" w:rsidRPr="00593535" w:rsidRDefault="006B3BC7" w:rsidP="006B3BC7">
            <w:pPr>
              <w:spacing w:line="240" w:lineRule="auto"/>
              <w:jc w:val="center"/>
              <w:rPr>
                <w:bCs/>
                <w:sz w:val="20"/>
                <w:highlight w:val="red"/>
              </w:rPr>
            </w:pPr>
            <w:r w:rsidRPr="008F2916">
              <w:rPr>
                <w:bCs/>
                <w:sz w:val="20"/>
              </w:rPr>
              <w:t>521</w:t>
            </w:r>
          </w:p>
        </w:tc>
        <w:tc>
          <w:tcPr>
            <w:tcW w:w="2689" w:type="dxa"/>
            <w:vAlign w:val="center"/>
          </w:tcPr>
          <w:p w14:paraId="33A955C7" w14:textId="2BFB2C89" w:rsidR="006B3BC7" w:rsidRPr="00593535" w:rsidRDefault="006B3BC7" w:rsidP="006B3BC7">
            <w:pPr>
              <w:spacing w:line="240" w:lineRule="auto"/>
              <w:jc w:val="center"/>
              <w:rPr>
                <w:bCs/>
                <w:sz w:val="20"/>
                <w:highlight w:val="red"/>
              </w:rPr>
            </w:pPr>
            <w:r w:rsidRPr="008F2916">
              <w:rPr>
                <w:bCs/>
                <w:sz w:val="20"/>
              </w:rPr>
              <w:t>1.0%</w:t>
            </w:r>
          </w:p>
        </w:tc>
      </w:tr>
      <w:tr w:rsidR="006B3BC7" w:rsidRPr="00E069AC" w14:paraId="0F9AB968" w14:textId="77777777" w:rsidTr="008F2916">
        <w:trPr>
          <w:trHeight w:val="529"/>
        </w:trPr>
        <w:tc>
          <w:tcPr>
            <w:tcW w:w="4358" w:type="dxa"/>
            <w:vAlign w:val="center"/>
          </w:tcPr>
          <w:p w14:paraId="1D433B19" w14:textId="32B0D5B2" w:rsidR="006B3BC7" w:rsidRPr="00E069AC" w:rsidRDefault="006B3BC7" w:rsidP="006B3BC7">
            <w:pPr>
              <w:spacing w:line="240" w:lineRule="auto"/>
              <w:jc w:val="left"/>
              <w:rPr>
                <w:sz w:val="20"/>
              </w:rPr>
            </w:pPr>
            <w:r w:rsidRPr="00E069AC">
              <w:rPr>
                <w:sz w:val="20"/>
              </w:rPr>
              <w:t xml:space="preserve">Greenpeace Energy [R]evolution </w:t>
            </w:r>
            <w:r>
              <w:rPr>
                <w:sz w:val="20"/>
              </w:rPr>
              <w:t xml:space="preserve">(2015) </w:t>
            </w:r>
            <w:r w:rsidRPr="00E069AC">
              <w:rPr>
                <w:sz w:val="20"/>
              </w:rPr>
              <w:t>– Energy Revolution Scenario</w:t>
            </w:r>
          </w:p>
        </w:tc>
        <w:tc>
          <w:tcPr>
            <w:tcW w:w="2280" w:type="dxa"/>
            <w:vAlign w:val="center"/>
          </w:tcPr>
          <w:p w14:paraId="46C7A9AB" w14:textId="5CA2970F" w:rsidR="006B3BC7" w:rsidRPr="00593535" w:rsidRDefault="006B3BC7" w:rsidP="006B3BC7">
            <w:pPr>
              <w:spacing w:line="240" w:lineRule="auto"/>
              <w:jc w:val="center"/>
              <w:rPr>
                <w:bCs/>
                <w:sz w:val="20"/>
                <w:highlight w:val="red"/>
              </w:rPr>
            </w:pPr>
            <w:r w:rsidRPr="008F2916">
              <w:rPr>
                <w:bCs/>
                <w:sz w:val="20"/>
              </w:rPr>
              <w:t>4</w:t>
            </w:r>
            <w:r>
              <w:rPr>
                <w:bCs/>
                <w:sz w:val="20"/>
              </w:rPr>
              <w:t>,</w:t>
            </w:r>
            <w:r w:rsidRPr="008F2916">
              <w:rPr>
                <w:bCs/>
                <w:sz w:val="20"/>
              </w:rPr>
              <w:t>008</w:t>
            </w:r>
          </w:p>
        </w:tc>
        <w:tc>
          <w:tcPr>
            <w:tcW w:w="2689" w:type="dxa"/>
            <w:vAlign w:val="center"/>
          </w:tcPr>
          <w:p w14:paraId="496E1576" w14:textId="62404214" w:rsidR="006B3BC7" w:rsidRPr="00593535" w:rsidRDefault="006B3BC7" w:rsidP="006B3BC7">
            <w:pPr>
              <w:spacing w:line="240" w:lineRule="auto"/>
              <w:jc w:val="center"/>
              <w:rPr>
                <w:bCs/>
                <w:sz w:val="20"/>
                <w:highlight w:val="red"/>
              </w:rPr>
            </w:pPr>
            <w:r w:rsidRPr="008F2916">
              <w:rPr>
                <w:bCs/>
                <w:sz w:val="20"/>
              </w:rPr>
              <w:t>8</w:t>
            </w:r>
            <w:r>
              <w:rPr>
                <w:bCs/>
                <w:sz w:val="20"/>
              </w:rPr>
              <w:t>.0</w:t>
            </w:r>
            <w:r w:rsidRPr="008F2916">
              <w:rPr>
                <w:bCs/>
                <w:sz w:val="20"/>
              </w:rPr>
              <w:t>%</w:t>
            </w:r>
          </w:p>
        </w:tc>
      </w:tr>
      <w:tr w:rsidR="006B3BC7" w:rsidRPr="00E069AC" w14:paraId="0C532171" w14:textId="77777777" w:rsidTr="008F2916">
        <w:trPr>
          <w:trHeight w:val="627"/>
        </w:trPr>
        <w:tc>
          <w:tcPr>
            <w:tcW w:w="4358" w:type="dxa"/>
            <w:vAlign w:val="center"/>
          </w:tcPr>
          <w:p w14:paraId="3DC7800E" w14:textId="1913CD16" w:rsidR="006B3BC7" w:rsidRPr="00E069AC" w:rsidRDefault="006B3BC7" w:rsidP="006B3BC7">
            <w:pPr>
              <w:spacing w:line="240" w:lineRule="auto"/>
              <w:jc w:val="left"/>
              <w:rPr>
                <w:sz w:val="20"/>
              </w:rPr>
            </w:pPr>
            <w:r w:rsidRPr="00E069AC">
              <w:rPr>
                <w:sz w:val="20"/>
              </w:rPr>
              <w:t xml:space="preserve">Greenpeace Energy [R]evolution </w:t>
            </w:r>
            <w:r>
              <w:rPr>
                <w:sz w:val="20"/>
              </w:rPr>
              <w:t xml:space="preserve">(2015) </w:t>
            </w:r>
            <w:r w:rsidRPr="00E069AC">
              <w:rPr>
                <w:sz w:val="20"/>
              </w:rPr>
              <w:t>– Advanced Energy Revolution Scenario</w:t>
            </w:r>
          </w:p>
        </w:tc>
        <w:tc>
          <w:tcPr>
            <w:tcW w:w="2280" w:type="dxa"/>
            <w:vAlign w:val="center"/>
          </w:tcPr>
          <w:p w14:paraId="3F8D9655" w14:textId="5B964114" w:rsidR="006B3BC7" w:rsidRPr="00593535" w:rsidRDefault="006B3BC7" w:rsidP="006B3BC7">
            <w:pPr>
              <w:spacing w:line="240" w:lineRule="auto"/>
              <w:jc w:val="center"/>
              <w:rPr>
                <w:bCs/>
                <w:sz w:val="20"/>
                <w:highlight w:val="red"/>
              </w:rPr>
            </w:pPr>
            <w:r w:rsidRPr="008F2916">
              <w:rPr>
                <w:bCs/>
                <w:sz w:val="20"/>
              </w:rPr>
              <w:t>6</w:t>
            </w:r>
            <w:r>
              <w:rPr>
                <w:bCs/>
                <w:sz w:val="20"/>
              </w:rPr>
              <w:t>,</w:t>
            </w:r>
            <w:r w:rsidRPr="008F2916">
              <w:rPr>
                <w:bCs/>
                <w:sz w:val="20"/>
              </w:rPr>
              <w:t>330</w:t>
            </w:r>
          </w:p>
        </w:tc>
        <w:tc>
          <w:tcPr>
            <w:tcW w:w="2689" w:type="dxa"/>
            <w:vAlign w:val="center"/>
          </w:tcPr>
          <w:p w14:paraId="14B27531" w14:textId="2EC12651" w:rsidR="006B3BC7" w:rsidRPr="00593535" w:rsidRDefault="006B3BC7" w:rsidP="006B3BC7">
            <w:pPr>
              <w:spacing w:line="240" w:lineRule="auto"/>
              <w:jc w:val="center"/>
              <w:rPr>
                <w:bCs/>
                <w:sz w:val="20"/>
                <w:highlight w:val="red"/>
              </w:rPr>
            </w:pPr>
            <w:r w:rsidRPr="008F2916">
              <w:rPr>
                <w:bCs/>
                <w:sz w:val="20"/>
              </w:rPr>
              <w:t>9.4%</w:t>
            </w:r>
          </w:p>
        </w:tc>
      </w:tr>
      <w:tr w:rsidR="00674D3B" w:rsidRPr="00E069AC" w14:paraId="1C7A3D9F" w14:textId="77777777" w:rsidTr="008F2916">
        <w:trPr>
          <w:trHeight w:val="328"/>
        </w:trPr>
        <w:tc>
          <w:tcPr>
            <w:tcW w:w="4358" w:type="dxa"/>
            <w:vAlign w:val="center"/>
          </w:tcPr>
          <w:p w14:paraId="3E637FD7" w14:textId="11E6460B" w:rsidR="00674D3B" w:rsidRPr="00E069AC" w:rsidRDefault="00674D3B" w:rsidP="00674D3B">
            <w:pPr>
              <w:spacing w:line="240" w:lineRule="auto"/>
              <w:jc w:val="left"/>
              <w:rPr>
                <w:bCs/>
                <w:sz w:val="20"/>
              </w:rPr>
            </w:pPr>
            <w:r w:rsidRPr="00290B59">
              <w:rPr>
                <w:sz w:val="20"/>
              </w:rPr>
              <w:t xml:space="preserve">IEA Energy Technologies Perspectives (2017) – Reference Technology Scenario </w:t>
            </w:r>
          </w:p>
        </w:tc>
        <w:tc>
          <w:tcPr>
            <w:tcW w:w="2280" w:type="dxa"/>
            <w:vAlign w:val="center"/>
          </w:tcPr>
          <w:p w14:paraId="17FCA461" w14:textId="7CAD378C" w:rsidR="00674D3B" w:rsidRPr="004C1737" w:rsidRDefault="009376AF" w:rsidP="00674D3B">
            <w:pPr>
              <w:spacing w:line="240" w:lineRule="auto"/>
              <w:jc w:val="center"/>
              <w:rPr>
                <w:bCs/>
                <w:sz w:val="20"/>
              </w:rPr>
            </w:pPr>
            <w:r w:rsidRPr="004C1737">
              <w:rPr>
                <w:bCs/>
                <w:sz w:val="20"/>
              </w:rPr>
              <w:t>573</w:t>
            </w:r>
          </w:p>
        </w:tc>
        <w:tc>
          <w:tcPr>
            <w:tcW w:w="2689" w:type="dxa"/>
            <w:vAlign w:val="center"/>
          </w:tcPr>
          <w:p w14:paraId="37A2A467" w14:textId="78F3A5A4" w:rsidR="00674D3B" w:rsidRPr="004C1737" w:rsidRDefault="009376AF" w:rsidP="00674D3B">
            <w:pPr>
              <w:spacing w:line="240" w:lineRule="auto"/>
              <w:jc w:val="center"/>
              <w:rPr>
                <w:bCs/>
                <w:sz w:val="20"/>
              </w:rPr>
            </w:pPr>
            <w:r w:rsidRPr="004C1737">
              <w:rPr>
                <w:bCs/>
                <w:sz w:val="20"/>
              </w:rPr>
              <w:t>1.2%</w:t>
            </w:r>
          </w:p>
        </w:tc>
      </w:tr>
      <w:tr w:rsidR="00674D3B" w:rsidRPr="00E069AC" w14:paraId="2861B45D" w14:textId="77777777" w:rsidTr="008F2916">
        <w:trPr>
          <w:trHeight w:val="328"/>
        </w:trPr>
        <w:tc>
          <w:tcPr>
            <w:tcW w:w="4358" w:type="dxa"/>
            <w:vAlign w:val="center"/>
          </w:tcPr>
          <w:p w14:paraId="5782CA7E" w14:textId="4A19C3BA" w:rsidR="00674D3B" w:rsidRPr="00E069AC" w:rsidRDefault="00674D3B" w:rsidP="00674D3B">
            <w:pPr>
              <w:spacing w:line="240" w:lineRule="auto"/>
              <w:jc w:val="left"/>
              <w:rPr>
                <w:sz w:val="20"/>
              </w:rPr>
            </w:pPr>
            <w:r w:rsidRPr="00290B59">
              <w:rPr>
                <w:sz w:val="20"/>
              </w:rPr>
              <w:t xml:space="preserve">IEA Energy Technologies Perspectives (2017) – 2DS </w:t>
            </w:r>
          </w:p>
        </w:tc>
        <w:tc>
          <w:tcPr>
            <w:tcW w:w="2280" w:type="dxa"/>
            <w:vAlign w:val="center"/>
          </w:tcPr>
          <w:p w14:paraId="4F9F1598" w14:textId="19DB624E" w:rsidR="00674D3B" w:rsidRPr="004C1737" w:rsidRDefault="009376AF" w:rsidP="00674D3B">
            <w:pPr>
              <w:spacing w:line="240" w:lineRule="auto"/>
              <w:jc w:val="center"/>
              <w:rPr>
                <w:bCs/>
                <w:sz w:val="20"/>
              </w:rPr>
            </w:pPr>
            <w:r w:rsidRPr="004C1737">
              <w:rPr>
                <w:bCs/>
                <w:sz w:val="20"/>
              </w:rPr>
              <w:t>1</w:t>
            </w:r>
            <w:r w:rsidR="00722116">
              <w:rPr>
                <w:bCs/>
                <w:sz w:val="20"/>
              </w:rPr>
              <w:t>,</w:t>
            </w:r>
            <w:r w:rsidRPr="004C1737">
              <w:rPr>
                <w:bCs/>
                <w:sz w:val="20"/>
              </w:rPr>
              <w:t>693</w:t>
            </w:r>
          </w:p>
        </w:tc>
        <w:tc>
          <w:tcPr>
            <w:tcW w:w="2689" w:type="dxa"/>
            <w:vAlign w:val="center"/>
          </w:tcPr>
          <w:p w14:paraId="250C4F8C" w14:textId="44E456B9" w:rsidR="00674D3B" w:rsidRPr="004C1737" w:rsidRDefault="009376AF" w:rsidP="00674D3B">
            <w:pPr>
              <w:spacing w:line="240" w:lineRule="auto"/>
              <w:jc w:val="center"/>
              <w:rPr>
                <w:bCs/>
                <w:sz w:val="20"/>
              </w:rPr>
            </w:pPr>
            <w:r w:rsidRPr="004C1737">
              <w:rPr>
                <w:bCs/>
                <w:sz w:val="20"/>
              </w:rPr>
              <w:t>4.0%</w:t>
            </w:r>
          </w:p>
        </w:tc>
      </w:tr>
      <w:tr w:rsidR="00674D3B" w:rsidRPr="00E069AC" w14:paraId="0C6E4035" w14:textId="77777777" w:rsidTr="008F2916">
        <w:trPr>
          <w:trHeight w:val="328"/>
        </w:trPr>
        <w:tc>
          <w:tcPr>
            <w:tcW w:w="4358" w:type="dxa"/>
            <w:vAlign w:val="center"/>
          </w:tcPr>
          <w:p w14:paraId="2392672B" w14:textId="59768518" w:rsidR="00674D3B" w:rsidRPr="00E069AC" w:rsidRDefault="00674D3B" w:rsidP="00674D3B">
            <w:pPr>
              <w:spacing w:line="240" w:lineRule="auto"/>
              <w:jc w:val="left"/>
              <w:rPr>
                <w:sz w:val="20"/>
              </w:rPr>
            </w:pPr>
            <w:r w:rsidRPr="00290B59">
              <w:rPr>
                <w:sz w:val="20"/>
              </w:rPr>
              <w:t xml:space="preserve">IEA Energy Technologies Perspectives (2017) – B2DS </w:t>
            </w:r>
          </w:p>
        </w:tc>
        <w:tc>
          <w:tcPr>
            <w:tcW w:w="2280" w:type="dxa"/>
            <w:vAlign w:val="center"/>
          </w:tcPr>
          <w:p w14:paraId="428CA8E7" w14:textId="1057156B" w:rsidR="00674D3B" w:rsidRPr="004C1737" w:rsidRDefault="009376AF" w:rsidP="00674D3B">
            <w:pPr>
              <w:spacing w:line="240" w:lineRule="auto"/>
              <w:jc w:val="center"/>
              <w:rPr>
                <w:bCs/>
                <w:sz w:val="20"/>
              </w:rPr>
            </w:pPr>
            <w:r w:rsidRPr="004C1737">
              <w:rPr>
                <w:bCs/>
                <w:sz w:val="20"/>
              </w:rPr>
              <w:t>1</w:t>
            </w:r>
            <w:r w:rsidR="00722116">
              <w:rPr>
                <w:bCs/>
                <w:sz w:val="20"/>
              </w:rPr>
              <w:t>,</w:t>
            </w:r>
            <w:r w:rsidRPr="004C1737">
              <w:rPr>
                <w:bCs/>
                <w:sz w:val="20"/>
              </w:rPr>
              <w:t>802</w:t>
            </w:r>
          </w:p>
        </w:tc>
        <w:tc>
          <w:tcPr>
            <w:tcW w:w="2689" w:type="dxa"/>
            <w:vAlign w:val="center"/>
          </w:tcPr>
          <w:p w14:paraId="29386CF4" w14:textId="1DF18CCE" w:rsidR="00674D3B" w:rsidRPr="004C1737" w:rsidRDefault="009376AF" w:rsidP="00674D3B">
            <w:pPr>
              <w:spacing w:line="240" w:lineRule="auto"/>
              <w:jc w:val="center"/>
              <w:rPr>
                <w:bCs/>
                <w:sz w:val="20"/>
              </w:rPr>
            </w:pPr>
            <w:r w:rsidRPr="004C1737">
              <w:rPr>
                <w:bCs/>
                <w:sz w:val="20"/>
              </w:rPr>
              <w:t>4.1%</w:t>
            </w:r>
          </w:p>
        </w:tc>
      </w:tr>
    </w:tbl>
    <w:p w14:paraId="655D5CC7" w14:textId="77777777" w:rsidR="004C1737" w:rsidRDefault="004C1737">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454D80C" w14:textId="65BED77A" w:rsidR="00434F61" w:rsidRPr="00E069AC" w:rsidRDefault="551A77D0" w:rsidP="00912CC8">
      <w:pPr>
        <w:pStyle w:val="Heading1"/>
      </w:pPr>
      <w:bookmarkStart w:id="62" w:name="_Toc18619533"/>
      <w:r w:rsidRPr="00E069AC">
        <w:t>References</w:t>
      </w:r>
      <w:bookmarkEnd w:id="62"/>
    </w:p>
    <w:p w14:paraId="46331137" w14:textId="77777777" w:rsidR="00C34CCC" w:rsidRPr="00EC195C" w:rsidRDefault="00C34CCC" w:rsidP="004C1737">
      <w:pPr>
        <w:rPr>
          <w:rFonts w:cs="Times New Roman"/>
        </w:rPr>
      </w:pPr>
      <w:r w:rsidRPr="00EC195C">
        <w:rPr>
          <w:rFonts w:cs="Times New Roman"/>
        </w:rPr>
        <w:t xml:space="preserve">American Wind Energy Association. (2015). </w:t>
      </w:r>
      <w:r w:rsidRPr="004C1737">
        <w:rPr>
          <w:rFonts w:cs="Times New Roman"/>
          <w:i/>
        </w:rPr>
        <w:t xml:space="preserve">Wind Energy Helps Build a More Reliable and Balanced Electricity Portfolio. </w:t>
      </w:r>
      <w:r w:rsidRPr="00EC195C">
        <w:rPr>
          <w:rFonts w:cs="Times New Roman"/>
        </w:rPr>
        <w:t>Retrieved from:  http://awea.files.cms-plus.com/AWEA%20Reliability%20White%20Paper%20-%202-12-15.pdf.</w:t>
      </w:r>
    </w:p>
    <w:p w14:paraId="30284C17" w14:textId="77777777" w:rsidR="00C34CCC" w:rsidRPr="00EC195C" w:rsidRDefault="00C34CCC" w:rsidP="004C1737">
      <w:pPr>
        <w:rPr>
          <w:rFonts w:cs="Times New Roman"/>
        </w:rPr>
      </w:pPr>
      <w:r w:rsidRPr="00B31546">
        <w:rPr>
          <w:rFonts w:cs="Times New Roman"/>
          <w:lang w:val="pt-PT"/>
        </w:rPr>
        <w:t xml:space="preserve">AMPERE. (2014). </w:t>
      </w:r>
      <w:r w:rsidRPr="004C1737">
        <w:rPr>
          <w:rFonts w:cs="Times New Roman"/>
          <w:i/>
          <w:lang w:val="pt-PT"/>
        </w:rPr>
        <w:t>AMPERE Database, Regions Definitions,</w:t>
      </w:r>
      <w:r w:rsidRPr="00B31546">
        <w:rPr>
          <w:rFonts w:cs="Times New Roman"/>
          <w:lang w:val="pt-PT"/>
        </w:rPr>
        <w:t xml:space="preserve"> EU FP7 AMPERE Project. </w:t>
      </w:r>
      <w:r w:rsidRPr="00EC195C">
        <w:rPr>
          <w:rFonts w:cs="Times New Roman"/>
        </w:rPr>
        <w:t>Retrieved from: https://secure.iiasa.ac.at/web-apps/ene/AMPEREDB/dsd?Action=htmlpage&amp;page=about#regiondefs</w:t>
      </w:r>
    </w:p>
    <w:p w14:paraId="14FBD16B" w14:textId="77777777" w:rsidR="00C34CCC" w:rsidRPr="00EC195C" w:rsidRDefault="00C34CCC" w:rsidP="004C1737">
      <w:pPr>
        <w:rPr>
          <w:rFonts w:cs="Times New Roman"/>
        </w:rPr>
      </w:pPr>
      <w:r w:rsidRPr="00EC195C">
        <w:rPr>
          <w:rFonts w:cs="Times New Roman"/>
        </w:rPr>
        <w:t xml:space="preserve">Arent, D., Pless, J., Mai, T., Wiser, R., Hand, M., Baldwin, S., Heath, G., Macknick, J., Bazilian, M., Schlosser, A. (2014). Implications of High Renewable Electricity Penetration in the US for Water Use, Greenhouse Gas Emissions, Land-Use, and Materials Supply. </w:t>
      </w:r>
      <w:r w:rsidRPr="004C1737">
        <w:rPr>
          <w:rFonts w:cs="Times New Roman"/>
          <w:i/>
        </w:rPr>
        <w:t>Applied Energy, 123, 368–77.</w:t>
      </w:r>
    </w:p>
    <w:p w14:paraId="1B9DBF27" w14:textId="77777777" w:rsidR="00C34CCC" w:rsidRPr="00EC195C" w:rsidRDefault="00C34CCC" w:rsidP="004C1737">
      <w:pPr>
        <w:rPr>
          <w:rFonts w:cs="Times New Roman"/>
        </w:rPr>
      </w:pPr>
      <w:r w:rsidRPr="00EC195C">
        <w:rPr>
          <w:rFonts w:cs="Times New Roman"/>
        </w:rPr>
        <w:t xml:space="preserve">Black &amp; Veatch for NREL. (2012). </w:t>
      </w:r>
      <w:r w:rsidRPr="004C1737">
        <w:rPr>
          <w:rFonts w:cs="Times New Roman"/>
          <w:i/>
        </w:rPr>
        <w:t>Cost and performance data for power generation technologies. Black &amp; Veatch, National Renewable Energy Laboratory.</w:t>
      </w:r>
      <w:r w:rsidRPr="00EC195C">
        <w:rPr>
          <w:rFonts w:cs="Times New Roman"/>
        </w:rPr>
        <w:t xml:space="preserve"> Retrieved from https://www.bv.com/docs/reports-studies/nrel-cost-report.pdf</w:t>
      </w:r>
    </w:p>
    <w:p w14:paraId="0DBB0760" w14:textId="77777777" w:rsidR="00C34CCC" w:rsidRPr="00EC195C" w:rsidRDefault="00C34CCC" w:rsidP="004C1737">
      <w:pPr>
        <w:rPr>
          <w:rFonts w:cs="Times New Roman"/>
        </w:rPr>
      </w:pPr>
      <w:r w:rsidRPr="00EC195C">
        <w:rPr>
          <w:rFonts w:cs="Times New Roman"/>
        </w:rPr>
        <w:t xml:space="preserve">BNEF. (2014). </w:t>
      </w:r>
      <w:r w:rsidRPr="004C1737">
        <w:rPr>
          <w:rFonts w:cs="Times New Roman"/>
          <w:i/>
        </w:rPr>
        <w:t>Sustainable Energy in America 2014 Factbook.</w:t>
      </w:r>
      <w:r w:rsidRPr="00EC195C">
        <w:rPr>
          <w:rFonts w:cs="Times New Roman"/>
        </w:rPr>
        <w:t xml:space="preserve"> New York, NY: Bloomberg New Energy Finance. Retrieved from: http://about.bnef.com/white-papers/sustainable-energy-in-america-2014-factbook/</w:t>
      </w:r>
    </w:p>
    <w:p w14:paraId="5B1696EF" w14:textId="77777777" w:rsidR="00C34CCC" w:rsidRPr="00EC195C" w:rsidRDefault="00C34CCC" w:rsidP="004C1737">
      <w:pPr>
        <w:rPr>
          <w:rFonts w:cs="Times New Roman"/>
        </w:rPr>
      </w:pPr>
      <w:r w:rsidRPr="00EC195C">
        <w:rPr>
          <w:rFonts w:cs="Times New Roman"/>
        </w:rPr>
        <w:t xml:space="preserve">BP. (2014). </w:t>
      </w:r>
      <w:r w:rsidRPr="004C1737">
        <w:rPr>
          <w:rFonts w:cs="Times New Roman"/>
          <w:i/>
        </w:rPr>
        <w:t xml:space="preserve">Statistical Review of World Energy 2014. </w:t>
      </w:r>
      <w:r w:rsidRPr="00EC195C">
        <w:rPr>
          <w:rFonts w:cs="Times New Roman"/>
        </w:rPr>
        <w:t>Retrieved from: http://www.bp.com/en/global/corporate/about-bp/energy-economics/statistical-review-of-world-energy.html</w:t>
      </w:r>
    </w:p>
    <w:p w14:paraId="0CA93D59" w14:textId="77777777" w:rsidR="00C34CCC" w:rsidRPr="00EC195C" w:rsidRDefault="00C34CCC" w:rsidP="004C1737">
      <w:pPr>
        <w:rPr>
          <w:rFonts w:cs="Times New Roman"/>
        </w:rPr>
      </w:pPr>
      <w:r w:rsidRPr="00EC195C">
        <w:rPr>
          <w:rFonts w:cs="Times New Roman"/>
        </w:rPr>
        <w:t xml:space="preserve">Brown, C., Poudineh, R., &amp; Foley, B. (2015). </w:t>
      </w:r>
      <w:r w:rsidRPr="004C1737">
        <w:rPr>
          <w:rFonts w:cs="Times New Roman"/>
          <w:i/>
        </w:rPr>
        <w:t>Achieving a cost-competitive offshore wind power industry: what is the most effective policy framework?</w:t>
      </w:r>
      <w:r w:rsidRPr="00EC195C">
        <w:rPr>
          <w:rFonts w:cs="Times New Roman"/>
        </w:rPr>
        <w:t xml:space="preserve"> Oxford Institute for Energy Studies. https://doi.org/10.26889/9781784670375</w:t>
      </w:r>
    </w:p>
    <w:p w14:paraId="53A32FBC" w14:textId="77777777" w:rsidR="00C34CCC" w:rsidRPr="00EC195C" w:rsidRDefault="00C34CCC" w:rsidP="004C1737">
      <w:pPr>
        <w:rPr>
          <w:rFonts w:cs="Times New Roman"/>
        </w:rPr>
      </w:pPr>
      <w:r w:rsidRPr="00EC195C">
        <w:rPr>
          <w:rFonts w:cs="Times New Roman"/>
        </w:rPr>
        <w:t xml:space="preserve">Budischak, CC., Sewell, D., Thomson, H., Mach, L., Veron, D.E., Kempton, W. (2013). Cost-minimized combinations of wind power, solar power and electrochemical storage, powering the grid up to 99.9% of the time. </w:t>
      </w:r>
      <w:r w:rsidRPr="004C1737">
        <w:rPr>
          <w:rFonts w:cs="Times New Roman"/>
          <w:i/>
        </w:rPr>
        <w:t>Journal of Power Sources, 225, 60–74.</w:t>
      </w:r>
    </w:p>
    <w:p w14:paraId="366B262D" w14:textId="77777777" w:rsidR="00C34CCC" w:rsidRPr="00EC195C" w:rsidRDefault="00C34CCC" w:rsidP="004C1737">
      <w:pPr>
        <w:rPr>
          <w:rFonts w:cs="Times New Roman"/>
        </w:rPr>
      </w:pPr>
      <w:r w:rsidRPr="00EC195C">
        <w:rPr>
          <w:rFonts w:cs="Times New Roman"/>
        </w:rPr>
        <w:t xml:space="preserve">Carbon Trust. (2008). </w:t>
      </w:r>
      <w:r w:rsidRPr="004C1737">
        <w:rPr>
          <w:rFonts w:cs="Times New Roman"/>
          <w:i/>
        </w:rPr>
        <w:t>Offshore wind power: big challenge, big opportunity - Carbon Trust.</w:t>
      </w:r>
      <w:r w:rsidRPr="00EC195C">
        <w:rPr>
          <w:rFonts w:cs="Times New Roman"/>
        </w:rPr>
        <w:t xml:space="preserve"> The Carbon Trust. Retrieved from https://www.carbontrust.com/resources/reports/technology/offshore-wind-power/</w:t>
      </w:r>
    </w:p>
    <w:p w14:paraId="47A44EE2" w14:textId="77777777" w:rsidR="00C34CCC" w:rsidRPr="00EC195C" w:rsidRDefault="00C34CCC" w:rsidP="004C1737">
      <w:pPr>
        <w:rPr>
          <w:rFonts w:cs="Times New Roman"/>
        </w:rPr>
      </w:pPr>
      <w:r w:rsidRPr="00EC195C">
        <w:rPr>
          <w:rFonts w:cs="Times New Roman"/>
        </w:rPr>
        <w:t>Citi Global Perspectives and Solutions. (2015</w:t>
      </w:r>
      <w:r>
        <w:rPr>
          <w:rFonts w:cs="Times New Roman"/>
        </w:rPr>
        <w:t xml:space="preserve">). </w:t>
      </w:r>
      <w:r w:rsidRPr="00EC195C">
        <w:rPr>
          <w:rFonts w:cs="Times New Roman"/>
        </w:rPr>
        <w:t>E</w:t>
      </w:r>
      <w:r w:rsidRPr="004C1737">
        <w:rPr>
          <w:rFonts w:cs="Times New Roman"/>
          <w:i/>
        </w:rPr>
        <w:t xml:space="preserve">nergy Darwinism II. Why a Low Carbon Future Doesn’t Have to Cost the Earth. </w:t>
      </w:r>
      <w:r w:rsidRPr="00EC195C">
        <w:rPr>
          <w:rFonts w:cs="Times New Roman"/>
        </w:rPr>
        <w:t>Retrieved from: https://www.privatebank.citibank.com/home/fresh-insight/gps-energy-darwinism.html</w:t>
      </w:r>
    </w:p>
    <w:p w14:paraId="05731955" w14:textId="77777777" w:rsidR="00C34CCC" w:rsidRPr="00EC195C" w:rsidRDefault="00C34CCC" w:rsidP="004C1737">
      <w:pPr>
        <w:rPr>
          <w:rFonts w:cs="Times New Roman"/>
        </w:rPr>
      </w:pPr>
      <w:r w:rsidRPr="00EC195C">
        <w:rPr>
          <w:rFonts w:cs="Times New Roman"/>
        </w:rPr>
        <w:t xml:space="preserve">Dalla Longa, F., Kober, T., Badger, J., Volker, P., Hoyer-Klick, C., Hidalgo Gonzalez, I., … Joint Research Centre. (2018). </w:t>
      </w:r>
      <w:r w:rsidRPr="004C1737">
        <w:rPr>
          <w:rFonts w:cs="Times New Roman"/>
          <w:i/>
        </w:rPr>
        <w:t xml:space="preserve">Wind potentials for EU and neighbouring countries input datasets for the JRC-EU-TIMES model. </w:t>
      </w:r>
      <w:r>
        <w:rPr>
          <w:rFonts w:cs="Times New Roman"/>
        </w:rPr>
        <w:t>Joint Research Center, Europe.</w:t>
      </w:r>
    </w:p>
    <w:p w14:paraId="2B9F9491" w14:textId="77777777" w:rsidR="00C34CCC" w:rsidRPr="00C478BD" w:rsidRDefault="00C34CCC" w:rsidP="004C1737">
      <w:pPr>
        <w:rPr>
          <w:rFonts w:cs="Times New Roman"/>
        </w:rPr>
      </w:pPr>
      <w:r w:rsidRPr="00EC195C">
        <w:rPr>
          <w:rFonts w:cs="Times New Roman"/>
        </w:rPr>
        <w:t xml:space="preserve">Danish Energy Agency and Energynet. (2012). </w:t>
      </w:r>
      <w:r w:rsidRPr="004C1737">
        <w:rPr>
          <w:rFonts w:cs="Times New Roman"/>
          <w:i/>
        </w:rPr>
        <w:t>Technology Data for Energy Plants Generation of Electricity and District Heating, Energy Storage and Energy Carrier Generation and Conversion.</w:t>
      </w:r>
      <w:r w:rsidRPr="00EC195C">
        <w:rPr>
          <w:rFonts w:cs="Times New Roman"/>
        </w:rPr>
        <w:t xml:space="preserve"> Danish Energy Agency and Energinet.dk. Retrieved from: </w:t>
      </w:r>
      <w:r w:rsidRPr="00C478BD">
        <w:rPr>
          <w:rFonts w:cs="Times New Roman"/>
        </w:rPr>
        <w:t>https://www.energinet.dk/SiteCollectionDocuments/Danske%20dokumenter/Forskning/Technology_data_for_energy_plants.pdf</w:t>
      </w:r>
    </w:p>
    <w:p w14:paraId="24134B7B" w14:textId="77777777" w:rsidR="00C34CCC" w:rsidRPr="00C478BD" w:rsidRDefault="00C34CCC" w:rsidP="004C1737">
      <w:pPr>
        <w:rPr>
          <w:rFonts w:cs="Times New Roman"/>
        </w:rPr>
      </w:pPr>
      <w:r w:rsidRPr="00C478BD">
        <w:rPr>
          <w:rFonts w:cs="Times New Roman"/>
        </w:rPr>
        <w:t xml:space="preserve">DNV GL. (2018). </w:t>
      </w:r>
      <w:r w:rsidRPr="00C478BD">
        <w:rPr>
          <w:rFonts w:cs="Times New Roman"/>
          <w:i/>
        </w:rPr>
        <w:t xml:space="preserve">DNV GL Energy Transition Outlook 2018: A global and regional forecast of the energy transition to 2050. </w:t>
      </w:r>
      <w:r w:rsidRPr="00C478BD">
        <w:rPr>
          <w:rFonts w:cs="Times New Roman"/>
        </w:rPr>
        <w:t>DNV GL. Retrieved from https://eto.dnvgl.com/2018/</w:t>
      </w:r>
    </w:p>
    <w:p w14:paraId="13436821" w14:textId="77777777" w:rsidR="00C34CCC" w:rsidRPr="00C478BD" w:rsidRDefault="00C34CCC" w:rsidP="004C1737">
      <w:pPr>
        <w:rPr>
          <w:rFonts w:cs="Times New Roman"/>
        </w:rPr>
      </w:pPr>
      <w:r w:rsidRPr="00C478BD">
        <w:rPr>
          <w:rFonts w:cs="Times New Roman"/>
        </w:rPr>
        <w:t xml:space="preserve">DOE (n.d.). </w:t>
      </w:r>
      <w:r w:rsidRPr="00C478BD">
        <w:rPr>
          <w:rFonts w:cs="Times New Roman"/>
          <w:i/>
        </w:rPr>
        <w:t>Wind Manufacturing and Supply Chain.</w:t>
      </w:r>
      <w:r w:rsidRPr="00C478BD">
        <w:rPr>
          <w:rFonts w:cs="Times New Roman"/>
        </w:rPr>
        <w:t xml:space="preserve"> U.S. Department of Energy. Retrieved January 3, 2019, from https://www.energy.gov/eere/wind/wind-manufacturing-and-supply-chain</w:t>
      </w:r>
    </w:p>
    <w:p w14:paraId="1BFE878B" w14:textId="77777777" w:rsidR="00C34CCC" w:rsidRPr="00C478BD" w:rsidRDefault="00C34CCC" w:rsidP="004C1737">
      <w:pPr>
        <w:rPr>
          <w:rFonts w:cs="Times New Roman"/>
        </w:rPr>
      </w:pPr>
      <w:r>
        <w:rPr>
          <w:rFonts w:cs="Times New Roman"/>
        </w:rPr>
        <w:t>DOE</w:t>
      </w:r>
      <w:r w:rsidRPr="00C478BD">
        <w:rPr>
          <w:rFonts w:cs="Times New Roman"/>
        </w:rPr>
        <w:t xml:space="preserve">. (2015). </w:t>
      </w:r>
      <w:r w:rsidRPr="00C478BD">
        <w:rPr>
          <w:rFonts w:cs="Times New Roman"/>
          <w:i/>
        </w:rPr>
        <w:t>Wind Vision: A New Era for Wind Power in the United States.</w:t>
      </w:r>
      <w:r w:rsidRPr="00C478BD">
        <w:rPr>
          <w:rFonts w:cs="Times New Roman"/>
        </w:rPr>
        <w:t xml:space="preserve"> Washington DC: U.S. Department of Energy. Retrieved from:  http://energy.gov/sites/prod/files/WindVision_Report_final.pdf.</w:t>
      </w:r>
    </w:p>
    <w:p w14:paraId="0EA292E6" w14:textId="77777777" w:rsidR="00C34CCC" w:rsidRPr="00C478BD" w:rsidRDefault="00C34CCC" w:rsidP="004C1737">
      <w:pPr>
        <w:rPr>
          <w:rFonts w:cs="Times New Roman"/>
          <w:color w:val="000000" w:themeColor="text1"/>
        </w:rPr>
      </w:pPr>
      <w:r w:rsidRPr="00C478BD">
        <w:rPr>
          <w:rFonts w:cs="Times New Roman"/>
          <w:color w:val="000000" w:themeColor="text1"/>
        </w:rPr>
        <w:t xml:space="preserve">DOE. (2016). </w:t>
      </w:r>
      <w:r w:rsidRPr="00C478BD">
        <w:rPr>
          <w:rFonts w:cs="Times New Roman"/>
          <w:i/>
          <w:color w:val="000000" w:themeColor="text1"/>
        </w:rPr>
        <w:t>2015 Wind Technologies Market Report | Department of Energy.</w:t>
      </w:r>
      <w:r w:rsidRPr="00C478BD">
        <w:rPr>
          <w:rFonts w:cs="Times New Roman"/>
          <w:color w:val="000000" w:themeColor="text1"/>
        </w:rPr>
        <w:t xml:space="preserve"> US Department of Energy, Office of Energy Efficiency and Renewable Energy. Retrieved from https://www.energy.gov/eere/wind/downloads/2015-wind-technologies-market-report</w:t>
      </w:r>
    </w:p>
    <w:p w14:paraId="0DEA4C43" w14:textId="77777777" w:rsidR="00C34CCC" w:rsidRPr="00EC195C" w:rsidRDefault="00C34CCC" w:rsidP="004C1737">
      <w:pPr>
        <w:rPr>
          <w:rFonts w:cs="Times New Roman"/>
        </w:rPr>
      </w:pPr>
      <w:r w:rsidRPr="00C478BD">
        <w:rPr>
          <w:rFonts w:cs="Times New Roman" w:hint="eastAsia"/>
        </w:rPr>
        <w:t>Dolan, S. L., Heath, G.A. (2012). Life Cycle Greenhouse Gas Emissions of Utility</w:t>
      </w:r>
      <w:r w:rsidRPr="00C478BD">
        <w:rPr>
          <w:rFonts w:cs="Times New Roman" w:hint="eastAsia"/>
        </w:rPr>
        <w:t>‐</w:t>
      </w:r>
      <w:r w:rsidRPr="00C478BD">
        <w:rPr>
          <w:rFonts w:cs="Times New Roman" w:hint="eastAsia"/>
        </w:rPr>
        <w:t xml:space="preserve">Scale Wind Power. </w:t>
      </w:r>
      <w:r w:rsidRPr="00C478BD">
        <w:rPr>
          <w:rFonts w:cs="Times New Roman" w:hint="eastAsia"/>
          <w:i/>
        </w:rPr>
        <w:t>Journal of Industrial Ecology 16, no. s1, S136</w:t>
      </w:r>
      <w:r w:rsidRPr="00C478BD">
        <w:rPr>
          <w:rFonts w:cs="Times New Roman" w:hint="eastAsia"/>
          <w:i/>
        </w:rPr>
        <w:t>–</w:t>
      </w:r>
      <w:r w:rsidRPr="00C478BD">
        <w:rPr>
          <w:rFonts w:cs="Times New Roman" w:hint="eastAsia"/>
          <w:i/>
        </w:rPr>
        <w:t>54.</w:t>
      </w:r>
    </w:p>
    <w:p w14:paraId="707C5D7C" w14:textId="77777777" w:rsidR="00C34CCC" w:rsidRPr="00EC195C" w:rsidRDefault="00C34CCC" w:rsidP="004C1737">
      <w:pPr>
        <w:rPr>
          <w:rFonts w:cs="Times New Roman"/>
        </w:rPr>
      </w:pPr>
      <w:r w:rsidRPr="00EC195C">
        <w:rPr>
          <w:rFonts w:cs="Times New Roman"/>
        </w:rPr>
        <w:t xml:space="preserve">E.ON Climate &amp; Renewables. (2012). </w:t>
      </w:r>
      <w:r w:rsidRPr="007C1A70">
        <w:rPr>
          <w:rFonts w:cs="Times New Roman"/>
          <w:i/>
        </w:rPr>
        <w:t>Rampion Offshore Wind Farm-Carbon Balance.</w:t>
      </w:r>
      <w:r w:rsidRPr="00EC195C">
        <w:rPr>
          <w:rFonts w:cs="Times New Roman"/>
        </w:rPr>
        <w:t xml:space="preserve"> RSK Environmental Ltd. Retrieved from https://infrastructure.planninginspectorate.gov.uk/wp-content/ipc/uploads/projects/EN010032/EN010032-001550-6.1.30%20Carbon%20Lifecycle%20and%20Balance.pdf</w:t>
      </w:r>
    </w:p>
    <w:p w14:paraId="292FA3B1" w14:textId="77777777" w:rsidR="00C34CCC" w:rsidRPr="00EC195C" w:rsidRDefault="00C34CCC" w:rsidP="004C1737">
      <w:pPr>
        <w:rPr>
          <w:rFonts w:cs="Times New Roman"/>
        </w:rPr>
      </w:pPr>
      <w:r w:rsidRPr="00EC195C">
        <w:rPr>
          <w:rFonts w:cs="Times New Roman"/>
        </w:rPr>
        <w:t xml:space="preserve">Ecofys. (2018). </w:t>
      </w:r>
      <w:r w:rsidRPr="007C1A70">
        <w:rPr>
          <w:rFonts w:cs="Times New Roman"/>
          <w:i/>
        </w:rPr>
        <w:t>Energy transition within 1.5°C: A disruptive approach to 100% decarbonisation of the global energy system by 2050.</w:t>
      </w:r>
      <w:r w:rsidRPr="00EC195C">
        <w:rPr>
          <w:rFonts w:cs="Times New Roman"/>
        </w:rPr>
        <w:t xml:space="preserve"> Ecofys - A Navigant Company. Retrieved from: https://www.ecofys.com/files/files/ecofys-a-navigant-company-2018-energy-transition-within-1.5c.pdf</w:t>
      </w:r>
    </w:p>
    <w:p w14:paraId="23A77E91" w14:textId="77777777" w:rsidR="00C34CCC" w:rsidRPr="00EC195C" w:rsidRDefault="00C34CCC" w:rsidP="004C1737">
      <w:pPr>
        <w:rPr>
          <w:rFonts w:cs="Times New Roman"/>
        </w:rPr>
      </w:pPr>
      <w:r w:rsidRPr="00EC195C">
        <w:rPr>
          <w:rFonts w:cs="Times New Roman"/>
        </w:rPr>
        <w:t xml:space="preserve">Ederer, N. (2015). Evaluating capital and operating cost efficiency of offshore wind farms: A DEA approach. </w:t>
      </w:r>
      <w:r w:rsidRPr="007C1A70">
        <w:rPr>
          <w:rFonts w:cs="Times New Roman"/>
          <w:i/>
        </w:rPr>
        <w:t>Renewable and Sustainable Energy Reviews, 42, 1034–1046.</w:t>
      </w:r>
      <w:r w:rsidRPr="00EC195C">
        <w:rPr>
          <w:rFonts w:cs="Times New Roman"/>
        </w:rPr>
        <w:t xml:space="preserve"> https://doi.org/10.1016/j.rser.2014.10.071</w:t>
      </w:r>
    </w:p>
    <w:p w14:paraId="6BAF3C2B" w14:textId="77777777" w:rsidR="00C34CCC" w:rsidRPr="00EC195C" w:rsidRDefault="00C34CCC" w:rsidP="004C1737">
      <w:pPr>
        <w:rPr>
          <w:rFonts w:cs="Times New Roman"/>
        </w:rPr>
      </w:pPr>
      <w:r w:rsidRPr="00EC195C">
        <w:rPr>
          <w:rFonts w:cs="Times New Roman"/>
        </w:rPr>
        <w:t xml:space="preserve">EIA. (2013). </w:t>
      </w:r>
      <w:r w:rsidRPr="007C1A70">
        <w:rPr>
          <w:rFonts w:cs="Times New Roman"/>
          <w:i/>
        </w:rPr>
        <w:t>Updated Capital Cost Estimates for Utility Scale Electricity Generating Plants.</w:t>
      </w:r>
      <w:r w:rsidRPr="00EC195C">
        <w:rPr>
          <w:rFonts w:cs="Times New Roman"/>
        </w:rPr>
        <w:t xml:space="preserve"> U.S. Energy Information Administration (EIA) under</w:t>
      </w:r>
      <w:r>
        <w:rPr>
          <w:rFonts w:cs="Times New Roman"/>
        </w:rPr>
        <w:t xml:space="preserve"> </w:t>
      </w:r>
      <w:r w:rsidRPr="00EC195C">
        <w:rPr>
          <w:rFonts w:cs="Times New Roman"/>
        </w:rPr>
        <w:t>the U.S. Department of Energy. Retrieved from https://www.eia.gov/outlooks/capitalcost/</w:t>
      </w:r>
    </w:p>
    <w:p w14:paraId="7F6C8CDE" w14:textId="77777777" w:rsidR="00C34CCC" w:rsidRPr="00EC195C" w:rsidRDefault="00C34CCC" w:rsidP="004C1737">
      <w:pPr>
        <w:rPr>
          <w:rFonts w:cs="Times New Roman"/>
        </w:rPr>
      </w:pPr>
      <w:r w:rsidRPr="00EC195C">
        <w:rPr>
          <w:rFonts w:cs="Times New Roman"/>
        </w:rPr>
        <w:t xml:space="preserve">Equinor. (2018). </w:t>
      </w:r>
      <w:r w:rsidRPr="007C1A70">
        <w:rPr>
          <w:rFonts w:cs="Times New Roman"/>
          <w:i/>
        </w:rPr>
        <w:t>Equinor’s Energy Perspectives 2018: A Call for Action.</w:t>
      </w:r>
      <w:r w:rsidRPr="00EC195C">
        <w:rPr>
          <w:rFonts w:cs="Times New Roman"/>
        </w:rPr>
        <w:t xml:space="preserve"> Equinor. Retrieved from https://www.equinor.com/en/how-and-why/sustainability/energy-perspectives.html</w:t>
      </w:r>
    </w:p>
    <w:p w14:paraId="02651DEF" w14:textId="77777777" w:rsidR="00C34CCC" w:rsidRPr="00EC195C" w:rsidRDefault="00C34CCC" w:rsidP="004C1737">
      <w:pPr>
        <w:rPr>
          <w:rFonts w:cs="Times New Roman"/>
        </w:rPr>
      </w:pPr>
      <w:r w:rsidRPr="00EC195C">
        <w:rPr>
          <w:rFonts w:cs="Times New Roman"/>
        </w:rPr>
        <w:t xml:space="preserve">European Commission. (2014). </w:t>
      </w:r>
      <w:r w:rsidRPr="007C1A70">
        <w:rPr>
          <w:rFonts w:cs="Times New Roman"/>
          <w:i/>
        </w:rPr>
        <w:t>Impact Assessment accompanying the Communication from the European Commission: A policy framework for climate and energy in the period from 2020 to 2030.</w:t>
      </w:r>
      <w:r w:rsidRPr="00EC195C">
        <w:rPr>
          <w:rFonts w:cs="Times New Roman"/>
        </w:rPr>
        <w:t xml:space="preserve"> European Commission.</w:t>
      </w:r>
    </w:p>
    <w:p w14:paraId="7C3A01E8" w14:textId="77777777" w:rsidR="00C34CCC" w:rsidRPr="00EC195C" w:rsidRDefault="00C34CCC" w:rsidP="004C1737">
      <w:pPr>
        <w:rPr>
          <w:rFonts w:cs="Times New Roman"/>
        </w:rPr>
      </w:pPr>
      <w:r w:rsidRPr="00EC195C">
        <w:rPr>
          <w:rFonts w:cs="Times New Roman"/>
        </w:rPr>
        <w:t xml:space="preserve">European Wind Energy Association. (2013). </w:t>
      </w:r>
      <w:r w:rsidRPr="007C1A70">
        <w:rPr>
          <w:rFonts w:cs="Times New Roman"/>
          <w:i/>
        </w:rPr>
        <w:t>Deep water. The next step for offshore wind energy.</w:t>
      </w:r>
      <w:r w:rsidRPr="00EC195C">
        <w:rPr>
          <w:rFonts w:cs="Times New Roman"/>
        </w:rPr>
        <w:t xml:space="preserve"> Retrieved from: http://www.ewea.org/fileadmin/files/library/publications/reports/Deep_Water.pdf</w:t>
      </w:r>
    </w:p>
    <w:p w14:paraId="5868284E" w14:textId="77777777" w:rsidR="00C34CCC" w:rsidRPr="00EC195C" w:rsidRDefault="00C34CCC" w:rsidP="004C1737">
      <w:pPr>
        <w:rPr>
          <w:rFonts w:cs="Times New Roman"/>
        </w:rPr>
      </w:pPr>
      <w:r w:rsidRPr="00EC195C">
        <w:rPr>
          <w:rFonts w:cs="Times New Roman"/>
        </w:rPr>
        <w:t xml:space="preserve">Ferioli, F, Schoots, K., van der Zwaan, B.C.C. (2009). Use and limitations of learning curves for energy technology policy: a component-learning hypothesis. </w:t>
      </w:r>
      <w:r w:rsidRPr="007C1A70">
        <w:rPr>
          <w:rFonts w:cs="Times New Roman"/>
          <w:i/>
        </w:rPr>
        <w:t>Energy Policy 37, 2525-2535.</w:t>
      </w:r>
    </w:p>
    <w:p w14:paraId="2EDF0F08" w14:textId="77777777" w:rsidR="00C34CCC" w:rsidRPr="00EC195C" w:rsidRDefault="00C34CCC" w:rsidP="004C1737">
      <w:pPr>
        <w:rPr>
          <w:rFonts w:cs="Times New Roman"/>
        </w:rPr>
      </w:pPr>
      <w:r w:rsidRPr="0028022C">
        <w:rPr>
          <w:rFonts w:cs="Times New Roman"/>
        </w:rPr>
        <w:t xml:space="preserve">Garcia Gusano, D., Iribarren, D., Martín-Gamboa, M., Dufour, J., Espegren, K., Lind, A. (2016). </w:t>
      </w:r>
      <w:r w:rsidRPr="00EC195C">
        <w:rPr>
          <w:rFonts w:cs="Times New Roman"/>
        </w:rPr>
        <w:t xml:space="preserve">Integration of life-cycle indicators into energy optimisation models: the case study of power generation in Norway. </w:t>
      </w:r>
      <w:r w:rsidRPr="007C1A70">
        <w:rPr>
          <w:rFonts w:cs="Times New Roman"/>
          <w:i/>
        </w:rPr>
        <w:t>Journal of Cleaner Production 112, 2693-2696.</w:t>
      </w:r>
      <w:r w:rsidRPr="00EC195C">
        <w:rPr>
          <w:rFonts w:cs="Times New Roman"/>
        </w:rPr>
        <w:t xml:space="preserve"> </w:t>
      </w:r>
    </w:p>
    <w:p w14:paraId="3E505F74" w14:textId="77777777" w:rsidR="00C34CCC" w:rsidRPr="00EC195C" w:rsidRDefault="00C34CCC" w:rsidP="004C1737">
      <w:pPr>
        <w:rPr>
          <w:rFonts w:cs="Times New Roman"/>
        </w:rPr>
      </w:pPr>
      <w:r w:rsidRPr="00EC195C">
        <w:rPr>
          <w:rFonts w:cs="Times New Roman"/>
        </w:rPr>
        <w:t xml:space="preserve">Greenacre, P., Gross, R., Heptonstall, P., &amp; UKERC. (2010). </w:t>
      </w:r>
      <w:r w:rsidRPr="007C1A70">
        <w:rPr>
          <w:rFonts w:cs="Times New Roman"/>
          <w:i/>
        </w:rPr>
        <w:t>Great expectations: the cost of offshore wind in UK waters - understanding the past and projecting the future</w:t>
      </w:r>
      <w:r w:rsidRPr="00EC195C">
        <w:rPr>
          <w:rFonts w:cs="Times New Roman"/>
        </w:rPr>
        <w:t>. London: UK Energy Research Centre.</w:t>
      </w:r>
    </w:p>
    <w:p w14:paraId="2C6AABCD" w14:textId="77777777" w:rsidR="00C34CCC" w:rsidRPr="00EC195C" w:rsidRDefault="00C34CCC" w:rsidP="004C1737">
      <w:pPr>
        <w:rPr>
          <w:rFonts w:cs="Times New Roman"/>
        </w:rPr>
      </w:pPr>
      <w:r w:rsidRPr="00EC195C">
        <w:rPr>
          <w:rFonts w:cs="Times New Roman"/>
        </w:rPr>
        <w:t xml:space="preserve">Greenpeace. (2014). </w:t>
      </w:r>
      <w:r w:rsidRPr="007C1A70">
        <w:rPr>
          <w:rFonts w:cs="Times New Roman"/>
          <w:i/>
        </w:rPr>
        <w:t>Global Wind Energy Outlook 2014.</w:t>
      </w:r>
      <w:r w:rsidRPr="00EC195C">
        <w:rPr>
          <w:rFonts w:cs="Times New Roman"/>
        </w:rPr>
        <w:t xml:space="preserve"> Retrieved from: http://www.gwec.net/wp-content/uploads/2014/10/GWEO2014_WEB.pdf</w:t>
      </w:r>
    </w:p>
    <w:p w14:paraId="134D95F7" w14:textId="77777777" w:rsidR="00C34CCC" w:rsidRPr="00EC195C" w:rsidRDefault="00C34CCC" w:rsidP="004C1737">
      <w:pPr>
        <w:rPr>
          <w:rFonts w:cs="Times New Roman"/>
        </w:rPr>
      </w:pPr>
      <w:r w:rsidRPr="00EC195C">
        <w:rPr>
          <w:rFonts w:cs="Times New Roman"/>
        </w:rPr>
        <w:t xml:space="preserve">Greenpeace. (2015). </w:t>
      </w:r>
      <w:r w:rsidRPr="007C1A70">
        <w:rPr>
          <w:rFonts w:cs="Times New Roman"/>
          <w:i/>
        </w:rPr>
        <w:t>World Energy [R]evolution, a sustainable world energy outlook</w:t>
      </w:r>
      <w:r w:rsidRPr="00EC195C">
        <w:rPr>
          <w:rFonts w:cs="Times New Roman"/>
        </w:rPr>
        <w:t>. Retrieved from: http://www.greenpeace.org/international/Global/international/publications/climate/2015/Energy-Revolution-2015-Full.pdf</w:t>
      </w:r>
    </w:p>
    <w:p w14:paraId="7A07DA97" w14:textId="4721FC05" w:rsidR="00C34CCC" w:rsidRPr="00EC195C" w:rsidRDefault="00C34CCC" w:rsidP="004C1737">
      <w:pPr>
        <w:rPr>
          <w:rFonts w:cs="Times New Roman"/>
        </w:rPr>
      </w:pPr>
      <w:r w:rsidRPr="00EC195C">
        <w:rPr>
          <w:rFonts w:cs="Times New Roman"/>
        </w:rPr>
        <w:t xml:space="preserve">Griffith, D.T (2015) </w:t>
      </w:r>
      <w:r w:rsidRPr="007C1A70">
        <w:rPr>
          <w:rFonts w:cs="Times New Roman"/>
          <w:i/>
        </w:rPr>
        <w:t>Innovative Offshore Vertical-Axis Wind Turbine Rotors. In Sandia Energy.</w:t>
      </w:r>
      <w:r w:rsidRPr="00EC195C">
        <w:rPr>
          <w:rFonts w:cs="Times New Roman"/>
        </w:rPr>
        <w:t xml:space="preserve"> Sandia National Laboratories. Retrieved from</w:t>
      </w:r>
      <w:r>
        <w:rPr>
          <w:rFonts w:cs="Times New Roman"/>
        </w:rPr>
        <w:t>:</w:t>
      </w:r>
      <w:r w:rsidRPr="00EC195C">
        <w:rPr>
          <w:rFonts w:cs="Times New Roman"/>
        </w:rPr>
        <w:t xml:space="preserve"> https://energy.sandia.gov/energy/renewable-energy/wind-power/offshore-wind/innovative-offshore-vertical-axis-wind-turbine-rotors/</w:t>
      </w:r>
    </w:p>
    <w:p w14:paraId="1A59D828" w14:textId="77777777" w:rsidR="00C34CCC" w:rsidRPr="00EC195C" w:rsidRDefault="00C34CCC" w:rsidP="004C1737">
      <w:pPr>
        <w:rPr>
          <w:rFonts w:cs="Times New Roman"/>
        </w:rPr>
      </w:pPr>
      <w:r w:rsidRPr="00EC195C">
        <w:rPr>
          <w:rFonts w:cs="Times New Roman"/>
        </w:rPr>
        <w:t xml:space="preserve">GWEC. (2017). </w:t>
      </w:r>
      <w:r w:rsidRPr="007C1A70">
        <w:rPr>
          <w:rFonts w:cs="Times New Roman"/>
          <w:i/>
        </w:rPr>
        <w:t>Wind Numbers | GWEC.</w:t>
      </w:r>
      <w:r w:rsidRPr="00EC195C">
        <w:rPr>
          <w:rFonts w:cs="Times New Roman"/>
        </w:rPr>
        <w:t xml:space="preserve"> Retrieved November 14, 2018, from http://gwec.net/global-figures/wind-in-numbers/</w:t>
      </w:r>
    </w:p>
    <w:p w14:paraId="03C62F68" w14:textId="77777777" w:rsidR="00C34CCC" w:rsidRPr="00EC195C" w:rsidRDefault="00C34CCC" w:rsidP="004C1737">
      <w:pPr>
        <w:rPr>
          <w:rFonts w:cs="Times New Roman"/>
        </w:rPr>
      </w:pPr>
      <w:r w:rsidRPr="00EC195C">
        <w:rPr>
          <w:rFonts w:cs="Times New Roman"/>
        </w:rPr>
        <w:t xml:space="preserve">Hahn, M., Gilman, P. (2014). </w:t>
      </w:r>
      <w:r w:rsidRPr="007C1A70">
        <w:rPr>
          <w:rFonts w:cs="Times New Roman"/>
          <w:i/>
        </w:rPr>
        <w:t xml:space="preserve">Offshore Wind Market and Economic Analysis: 2014 Annual Market Assessment. </w:t>
      </w:r>
      <w:r w:rsidRPr="00EC195C">
        <w:rPr>
          <w:rFonts w:cs="Times New Roman"/>
        </w:rPr>
        <w:t>Burlington, MA: Navigant Consulting. Retrieved from: http://energy.gov/sites/prod/files/2014/08/f18/2014%20Navigant%20Offshore%20Wind%20Market%20&amp;%20Economic%20Analysis.pdf.</w:t>
      </w:r>
    </w:p>
    <w:p w14:paraId="65155716" w14:textId="77777777" w:rsidR="00C34CCC" w:rsidRPr="00EC195C" w:rsidRDefault="00C34CCC" w:rsidP="004C1737">
      <w:pPr>
        <w:rPr>
          <w:rFonts w:cs="Times New Roman"/>
        </w:rPr>
      </w:pPr>
      <w:r w:rsidRPr="00EC195C">
        <w:rPr>
          <w:rFonts w:cs="Times New Roman"/>
        </w:rPr>
        <w:t xml:space="preserve">Hansen, J., Sato, M., Kharecha, P., Beerling, D., Berner, R., Masson-Delmotte, V., Pagani, M., Raymo, M., Royer, D.L., Zachos, J.C. (2008). Target atmospheric </w:t>
      </w:r>
      <w:r>
        <w:rPr>
          <w:rFonts w:cs="Times New Roman"/>
        </w:rPr>
        <w:t>CO</w:t>
      </w:r>
      <w:r w:rsidRPr="007C1A70">
        <w:rPr>
          <w:rFonts w:cs="Times New Roman"/>
          <w:vertAlign w:val="subscript"/>
        </w:rPr>
        <w:t>2</w:t>
      </w:r>
      <w:r w:rsidRPr="00EC195C">
        <w:rPr>
          <w:rFonts w:cs="Times New Roman"/>
        </w:rPr>
        <w:t>: where should humanity aim?</w:t>
      </w:r>
      <w:r w:rsidRPr="007C1A70">
        <w:rPr>
          <w:rFonts w:cs="Times New Roman"/>
          <w:i/>
        </w:rPr>
        <w:t xml:space="preserve"> Open Atmospheric Science Journal 2, 217–31.</w:t>
      </w:r>
    </w:p>
    <w:p w14:paraId="7EBACA92" w14:textId="77777777" w:rsidR="00C34CCC" w:rsidRPr="007C1A70" w:rsidRDefault="00C34CCC" w:rsidP="004C1737">
      <w:pPr>
        <w:rPr>
          <w:rFonts w:cs="Times New Roman"/>
          <w:i/>
        </w:rPr>
      </w:pPr>
      <w:r w:rsidRPr="00EC195C">
        <w:rPr>
          <w:rFonts w:cs="Times New Roman"/>
        </w:rPr>
        <w:t xml:space="preserve">Hart, E.K., Jacobson, M.Z. (2011). A Monte Carlo approach to generator portfolio planning and carbon emissions assessments of systems with large penetrations of variable renewables. </w:t>
      </w:r>
      <w:r w:rsidRPr="007C1A70">
        <w:rPr>
          <w:rFonts w:cs="Times New Roman"/>
          <w:i/>
        </w:rPr>
        <w:t>Renewable Energy 36, no. 8, 2278–86.</w:t>
      </w:r>
    </w:p>
    <w:p w14:paraId="5EFA2C3D" w14:textId="77777777" w:rsidR="00C34CCC" w:rsidRPr="00EC195C" w:rsidRDefault="00C34CCC" w:rsidP="004C1737">
      <w:pPr>
        <w:rPr>
          <w:rFonts w:cs="Times New Roman"/>
        </w:rPr>
      </w:pPr>
      <w:r w:rsidRPr="00EC195C">
        <w:rPr>
          <w:rFonts w:cs="Times New Roman"/>
        </w:rPr>
        <w:t xml:space="preserve">Hayashi, D., Huenteler, J., &amp; Lewis, J. I. (2018). Gone with the wind: A learning curve analysis of China’s wind power industry. </w:t>
      </w:r>
      <w:r w:rsidRPr="007C1A70">
        <w:rPr>
          <w:rFonts w:cs="Times New Roman"/>
          <w:i/>
        </w:rPr>
        <w:t>Energy Policy, 120, 38–51.</w:t>
      </w:r>
      <w:r w:rsidRPr="00EC195C">
        <w:rPr>
          <w:rFonts w:cs="Times New Roman"/>
        </w:rPr>
        <w:t xml:space="preserve"> https://doi.org/10.1016/j.enpol.2018.05.012</w:t>
      </w:r>
    </w:p>
    <w:p w14:paraId="3E7FFAE6" w14:textId="77777777" w:rsidR="00C34CCC" w:rsidRPr="00EC195C" w:rsidRDefault="00C34CCC" w:rsidP="004C1737">
      <w:pPr>
        <w:rPr>
          <w:rFonts w:cs="Times New Roman"/>
        </w:rPr>
      </w:pPr>
      <w:r w:rsidRPr="00EC195C">
        <w:rPr>
          <w:rFonts w:cs="Times New Roman"/>
        </w:rPr>
        <w:t xml:space="preserve">Hayward, J. A., Graham, P. W. (2017). </w:t>
      </w:r>
      <w:r w:rsidRPr="007C1A70">
        <w:rPr>
          <w:rFonts w:cs="Times New Roman"/>
          <w:i/>
        </w:rPr>
        <w:t>Electricity generation technology cost projections: 2017-2050.</w:t>
      </w:r>
      <w:r w:rsidRPr="00EC195C">
        <w:rPr>
          <w:rFonts w:cs="Times New Roman"/>
        </w:rPr>
        <w:t xml:space="preserve"> Commonwealth Scientific and Industrial Research Organisation (CSIRO). Retrieved from https://publications.csiro.au/rpr/pub?pid=csiro:EP178771</w:t>
      </w:r>
    </w:p>
    <w:p w14:paraId="4EC9221F" w14:textId="77777777" w:rsidR="00C34CCC" w:rsidRPr="00EC195C" w:rsidRDefault="00C34CCC" w:rsidP="004C1737">
      <w:pPr>
        <w:rPr>
          <w:rFonts w:cs="Times New Roman"/>
        </w:rPr>
      </w:pPr>
      <w:r w:rsidRPr="00EC195C">
        <w:rPr>
          <w:rFonts w:cs="Times New Roman"/>
        </w:rPr>
        <w:t xml:space="preserve">Hayward, J., Graham, P.W. (2013). A global and local endogenous experience curve model for projecting future uptake and cost of electricity generation technologies. </w:t>
      </w:r>
      <w:r w:rsidRPr="007C1A70">
        <w:rPr>
          <w:rFonts w:cs="Times New Roman"/>
          <w:i/>
        </w:rPr>
        <w:t>Energy Economics, 40, 537-548.</w:t>
      </w:r>
      <w:r w:rsidRPr="00EC195C">
        <w:rPr>
          <w:rFonts w:cs="Times New Roman"/>
        </w:rPr>
        <w:t xml:space="preserve"> https://doi.org/10.1016/j.eneco.2013.08.010</w:t>
      </w:r>
    </w:p>
    <w:p w14:paraId="152ECD91" w14:textId="77777777" w:rsidR="00C34CCC" w:rsidRPr="00EC195C" w:rsidRDefault="00C34CCC" w:rsidP="004C1737">
      <w:pPr>
        <w:rPr>
          <w:rFonts w:cs="Times New Roman"/>
        </w:rPr>
      </w:pPr>
      <w:r w:rsidRPr="00EC195C">
        <w:rPr>
          <w:rFonts w:cs="Times New Roman"/>
        </w:rPr>
        <w:t xml:space="preserve">Hertwich, E., Gibon, T., Bouman, E., Arvesen, A., Suh, S., Heath, G., Bergesen, J., Ramirez, A., Vega, M., Shi, L. (2015). Integrated life-cycle assessment of electricity-supply scenarios confirms global environmental benefit of low-carbon technologies. </w:t>
      </w:r>
      <w:r w:rsidRPr="007C1A70">
        <w:rPr>
          <w:rFonts w:cs="Times New Roman"/>
          <w:i/>
        </w:rPr>
        <w:t>Proceedings of the National Academy of Sciences of the United States of America (PNAS) vol. 112, nº20, 6277-6282</w:t>
      </w:r>
      <w:r w:rsidRPr="00EC195C">
        <w:rPr>
          <w:rFonts w:cs="Times New Roman"/>
        </w:rPr>
        <w:t>. Retrieved from: www.pnas.org/cgi/doi/10.1073/pnas.1312753111</w:t>
      </w:r>
    </w:p>
    <w:p w14:paraId="3F90E009" w14:textId="77777777" w:rsidR="00C34CCC" w:rsidRPr="00C34CCC" w:rsidRDefault="00C34CCC" w:rsidP="004C1737">
      <w:pPr>
        <w:rPr>
          <w:rFonts w:cs="Times New Roman"/>
        </w:rPr>
      </w:pPr>
      <w:r w:rsidRPr="00EC195C">
        <w:rPr>
          <w:rFonts w:cs="Times New Roman"/>
        </w:rPr>
        <w:t>Hondo, H. (2005). Life cycle GHG emission analysis of power generation systems: Japanese case</w:t>
      </w:r>
      <w:r w:rsidRPr="007C1A70">
        <w:rPr>
          <w:rFonts w:cs="Times New Roman"/>
          <w:i/>
        </w:rPr>
        <w:t xml:space="preserve">. Energy </w:t>
      </w:r>
      <w:r w:rsidRPr="00C34CCC">
        <w:rPr>
          <w:rFonts w:cs="Times New Roman"/>
          <w:i/>
        </w:rPr>
        <w:t>30, 2042–2056.</w:t>
      </w:r>
      <w:r w:rsidRPr="00C34CCC">
        <w:rPr>
          <w:rFonts w:cs="Times New Roman"/>
        </w:rPr>
        <w:t xml:space="preserve"> Retrieved from http://www.univie.ac.at/photovoltaik/umwelt/LCA_japanstudy.pdf</w:t>
      </w:r>
    </w:p>
    <w:p w14:paraId="33EF8120" w14:textId="37652EFE" w:rsidR="00C34CCC" w:rsidRPr="00C34CCC" w:rsidRDefault="00C34CCC" w:rsidP="00C34CCC">
      <w:pPr>
        <w:rPr>
          <w:rFonts w:cs="Times New Roman"/>
        </w:rPr>
      </w:pPr>
      <w:r w:rsidRPr="00C34CCC">
        <w:rPr>
          <w:rFonts w:cs="Times New Roman"/>
        </w:rPr>
        <w:t xml:space="preserve">IEA (2017). </w:t>
      </w:r>
      <w:r w:rsidRPr="00C34CCC">
        <w:rPr>
          <w:rFonts w:cs="Times New Roman"/>
          <w:i/>
        </w:rPr>
        <w:t>Energy Technology Perspectives 2017 - Catalysing Energy Technology Transformations.</w:t>
      </w:r>
      <w:r w:rsidRPr="00C34CCC">
        <w:rPr>
          <w:rFonts w:cs="Times New Roman"/>
        </w:rPr>
        <w:t xml:space="preserve"> International Energy Agency (IEA). Paris, France. Retrieved from: </w:t>
      </w:r>
      <w:hyperlink r:id="rId29" w:history="1">
        <w:r w:rsidRPr="00C34CCC">
          <w:rPr>
            <w:rStyle w:val="Hyperlink"/>
            <w:rFonts w:cs="Times New Roman"/>
          </w:rPr>
          <w:t>https://www.iea.org/etp/</w:t>
        </w:r>
      </w:hyperlink>
    </w:p>
    <w:p w14:paraId="063989E3" w14:textId="77777777" w:rsidR="00C34CCC" w:rsidRPr="00C34CCC" w:rsidRDefault="00C34CCC" w:rsidP="004C1737">
      <w:pPr>
        <w:rPr>
          <w:rFonts w:cs="Times New Roman"/>
        </w:rPr>
      </w:pPr>
      <w:r w:rsidRPr="00C34CCC">
        <w:rPr>
          <w:rFonts w:cs="Times New Roman"/>
        </w:rPr>
        <w:t xml:space="preserve">IEA (2017). </w:t>
      </w:r>
      <w:r w:rsidRPr="00C34CCC">
        <w:rPr>
          <w:rFonts w:cs="Times New Roman"/>
          <w:i/>
        </w:rPr>
        <w:t>Energy Technology Perspectives 2017</w:t>
      </w:r>
      <w:r w:rsidRPr="00C34CCC">
        <w:rPr>
          <w:rFonts w:cs="Times New Roman"/>
        </w:rPr>
        <w:t xml:space="preserve"> (p. 443). International Energy Agency. France. Retrieved from: https://www.iea.org/etp/etp2017/</w:t>
      </w:r>
    </w:p>
    <w:p w14:paraId="686B7419" w14:textId="7AFACF5E" w:rsidR="00C34CCC" w:rsidRPr="00C34CCC" w:rsidRDefault="00C34CCC" w:rsidP="00C34CCC">
      <w:pPr>
        <w:rPr>
          <w:rFonts w:cs="Times New Roman"/>
        </w:rPr>
      </w:pPr>
      <w:r w:rsidRPr="00C34CCC">
        <w:rPr>
          <w:rFonts w:cs="Times New Roman"/>
        </w:rPr>
        <w:t xml:space="preserve">IEA (2018). </w:t>
      </w:r>
      <w:r w:rsidRPr="00C34CCC">
        <w:rPr>
          <w:rFonts w:cs="Times New Roman"/>
          <w:i/>
        </w:rPr>
        <w:t>World Energy Outlook 2018.</w:t>
      </w:r>
      <w:r w:rsidRPr="00C34CCC">
        <w:rPr>
          <w:rFonts w:cs="Times New Roman"/>
        </w:rPr>
        <w:t xml:space="preserve"> International Energy Agency (IEA). Paris, France. Retrieved from : </w:t>
      </w:r>
      <w:hyperlink r:id="rId30" w:history="1">
        <w:r w:rsidRPr="00C34CCC">
          <w:rPr>
            <w:rStyle w:val="Hyperlink"/>
            <w:rFonts w:cs="Times New Roman"/>
          </w:rPr>
          <w:t>https://webstore.iea.org/world-energy-outlook-2018</w:t>
        </w:r>
      </w:hyperlink>
    </w:p>
    <w:p w14:paraId="7D51CA7B" w14:textId="77777777" w:rsidR="00C34CCC" w:rsidRPr="00EC195C" w:rsidRDefault="00C34CCC" w:rsidP="004C1737">
      <w:pPr>
        <w:rPr>
          <w:rFonts w:cs="Times New Roman"/>
        </w:rPr>
      </w:pPr>
      <w:r w:rsidRPr="00EC195C">
        <w:rPr>
          <w:rFonts w:cs="Times New Roman"/>
        </w:rPr>
        <w:t xml:space="preserve">IEA and NEA (2010). </w:t>
      </w:r>
      <w:r w:rsidRPr="007C1A70">
        <w:rPr>
          <w:rFonts w:cs="Times New Roman"/>
          <w:i/>
        </w:rPr>
        <w:t>Projected Costs of Generating Electricity – edition 2010</w:t>
      </w:r>
      <w:r w:rsidRPr="00EC195C">
        <w:rPr>
          <w:rFonts w:cs="Times New Roman"/>
        </w:rPr>
        <w:t>. Organisation for Economic Co-operation and Development - International Energy Agency and Nuclear Energy Agency. France. Retrieved from http://www.worldenergyoutlook.org/media/weowebsite/energymodel/ProjectedCostsofGeneratingElectricity2010.pdf</w:t>
      </w:r>
    </w:p>
    <w:p w14:paraId="45D1C400" w14:textId="77777777" w:rsidR="00C34CCC" w:rsidRPr="00EC195C" w:rsidRDefault="00C34CCC" w:rsidP="004C1737">
      <w:pPr>
        <w:rPr>
          <w:rFonts w:cs="Times New Roman"/>
        </w:rPr>
      </w:pPr>
      <w:r w:rsidRPr="00EC195C">
        <w:rPr>
          <w:rFonts w:cs="Times New Roman"/>
        </w:rPr>
        <w:t xml:space="preserve">IEA and NEA (2015). </w:t>
      </w:r>
      <w:r w:rsidRPr="007C1A70">
        <w:rPr>
          <w:rFonts w:cs="Times New Roman"/>
          <w:i/>
        </w:rPr>
        <w:t>Projected Costs of Generating Electricity – edition 201</w:t>
      </w:r>
      <w:r w:rsidRPr="00EC195C">
        <w:rPr>
          <w:rFonts w:cs="Times New Roman"/>
        </w:rPr>
        <w:t>5. Organisation for Economic Co-operation and Development - International Energy Agency and Nuclear Energy Agency. France. Retrieved from https://www.oecd-nea.org/ndd/pubs/2015/7057-proj-costs-electricity-2015.pdf</w:t>
      </w:r>
    </w:p>
    <w:p w14:paraId="1B58FC75" w14:textId="77777777" w:rsidR="00C34CCC" w:rsidRPr="00EC195C" w:rsidRDefault="00C34CCC" w:rsidP="004C1737">
      <w:pPr>
        <w:rPr>
          <w:rFonts w:cs="Times New Roman"/>
        </w:rPr>
      </w:pPr>
      <w:r w:rsidRPr="00EC195C">
        <w:rPr>
          <w:rFonts w:cs="Times New Roman"/>
        </w:rPr>
        <w:t xml:space="preserve">IEA. (2010). </w:t>
      </w:r>
      <w:r w:rsidRPr="007C1A70">
        <w:rPr>
          <w:rFonts w:cs="Times New Roman"/>
          <w:i/>
        </w:rPr>
        <w:t>Energy Technology System Analysis Programme (ETSAP)  - Technology Brief E02.</w:t>
      </w:r>
      <w:r w:rsidRPr="00EC195C">
        <w:rPr>
          <w:rFonts w:cs="Times New Roman"/>
        </w:rPr>
        <w:t xml:space="preserve"> International Energy Agency (IEA). Retrieved from https://iea-etsap.org/index.php/energy-technology-data/energy-supply-technologies-data</w:t>
      </w:r>
    </w:p>
    <w:p w14:paraId="3FD9E0C8" w14:textId="77777777" w:rsidR="00C34CCC" w:rsidRPr="00EC195C" w:rsidRDefault="00C34CCC" w:rsidP="004C1737">
      <w:pPr>
        <w:rPr>
          <w:rFonts w:cs="Times New Roman"/>
        </w:rPr>
      </w:pPr>
      <w:r w:rsidRPr="00EC195C">
        <w:rPr>
          <w:rFonts w:cs="Times New Roman"/>
        </w:rPr>
        <w:t xml:space="preserve">IEA. (2013). </w:t>
      </w:r>
      <w:r w:rsidRPr="007C1A70">
        <w:rPr>
          <w:rFonts w:cs="Times New Roman"/>
          <w:i/>
        </w:rPr>
        <w:t>Technology Roadmap: Wind Energy</w:t>
      </w:r>
      <w:r w:rsidRPr="00EC195C">
        <w:rPr>
          <w:rFonts w:cs="Times New Roman"/>
        </w:rPr>
        <w:t>. Paris, France. Retrieved from: https://www.iea.org/publications/freepublications/publication/Wind_2013_Roadmap.pdf.</w:t>
      </w:r>
    </w:p>
    <w:p w14:paraId="24912F0D" w14:textId="77777777" w:rsidR="00C34CCC" w:rsidRPr="00EC195C" w:rsidRDefault="00C34CCC" w:rsidP="004C1737">
      <w:pPr>
        <w:rPr>
          <w:rFonts w:cs="Times New Roman"/>
        </w:rPr>
      </w:pPr>
      <w:r w:rsidRPr="00EC195C">
        <w:rPr>
          <w:rFonts w:cs="Times New Roman"/>
        </w:rPr>
        <w:t xml:space="preserve">IEA. (2014). </w:t>
      </w:r>
      <w:r w:rsidRPr="007C1A70">
        <w:rPr>
          <w:rFonts w:cs="Times New Roman"/>
          <w:i/>
        </w:rPr>
        <w:t>Energy Technology Perspectives 2014 - Harnessing Electricity’s Potential.</w:t>
      </w:r>
      <w:r w:rsidRPr="00EC195C">
        <w:rPr>
          <w:rFonts w:cs="Times New Roman"/>
        </w:rPr>
        <w:t xml:space="preserve"> Retrieved from: http://www.iea.org/etp/etp2014/.</w:t>
      </w:r>
    </w:p>
    <w:p w14:paraId="70C6C9C1" w14:textId="77777777" w:rsidR="00C34CCC" w:rsidRPr="00EC195C" w:rsidRDefault="00C34CCC" w:rsidP="004C1737">
      <w:pPr>
        <w:rPr>
          <w:rFonts w:cs="Times New Roman"/>
        </w:rPr>
      </w:pPr>
      <w:r w:rsidRPr="00EC195C">
        <w:rPr>
          <w:rFonts w:cs="Times New Roman"/>
        </w:rPr>
        <w:t xml:space="preserve">IEA. (2016a). </w:t>
      </w:r>
      <w:r w:rsidRPr="007C1A70">
        <w:rPr>
          <w:rFonts w:cs="Times New Roman"/>
          <w:i/>
        </w:rPr>
        <w:t>Next Generation Wind and Solar Power – From cost to value.</w:t>
      </w:r>
      <w:r w:rsidRPr="00EC195C">
        <w:rPr>
          <w:rFonts w:cs="Times New Roman"/>
        </w:rPr>
        <w:t xml:space="preserve"> International Energy Agency and Clean Energy Ministrial. OECD/IEA, Paris. Retrieved from: https://www.iea.org/publications/freepublications/publication/NextGenerationWindandSolarPower.pdf</w:t>
      </w:r>
    </w:p>
    <w:p w14:paraId="1536EE9F" w14:textId="77777777" w:rsidR="00C34CCC" w:rsidRPr="00EC195C" w:rsidRDefault="00C34CCC" w:rsidP="004C1737">
      <w:pPr>
        <w:rPr>
          <w:rFonts w:cs="Times New Roman"/>
        </w:rPr>
      </w:pPr>
      <w:r w:rsidRPr="00EC195C">
        <w:rPr>
          <w:rFonts w:cs="Times New Roman"/>
        </w:rPr>
        <w:t xml:space="preserve">IEA. (2016b). </w:t>
      </w:r>
      <w:r w:rsidRPr="007C1A70">
        <w:rPr>
          <w:rFonts w:cs="Times New Roman"/>
          <w:i/>
        </w:rPr>
        <w:t>Energy Technology Perspectives 2016 - Towards Sustainable Urban Energy Systems.</w:t>
      </w:r>
      <w:r w:rsidRPr="00EC195C">
        <w:rPr>
          <w:rFonts w:cs="Times New Roman"/>
        </w:rPr>
        <w:t xml:space="preserve"> International Energy Agency. OECD/IEA, Paris. Retrieved from: https://www.iea.org/publications/freepublications/publication/EnergyTechnologyPerspectives2016_ExecutiveSummary_EnglishVersion.pdf</w:t>
      </w:r>
    </w:p>
    <w:p w14:paraId="0F8A3B35" w14:textId="05EA60B4" w:rsidR="00825FD5" w:rsidRDefault="00825FD5" w:rsidP="004C1737">
      <w:pPr>
        <w:rPr>
          <w:rFonts w:cs="Times New Roman"/>
        </w:rPr>
      </w:pPr>
      <w:r>
        <w:rPr>
          <w:rFonts w:cs="Times New Roman"/>
        </w:rPr>
        <w:t xml:space="preserve">IEA (2019). Energy Prices and Taxes – Quarterly Statistics – First Quarter 2019. International Energy Agency. </w:t>
      </w:r>
      <w:r w:rsidRPr="00EC195C">
        <w:rPr>
          <w:rFonts w:cs="Times New Roman"/>
        </w:rPr>
        <w:t>OECD/IEA, Paris.</w:t>
      </w:r>
    </w:p>
    <w:p w14:paraId="2CABCE48" w14:textId="064E93D6" w:rsidR="00C34CCC" w:rsidRPr="00EC195C" w:rsidRDefault="00C34CCC" w:rsidP="004C1737">
      <w:pPr>
        <w:rPr>
          <w:rFonts w:cs="Times New Roman"/>
        </w:rPr>
      </w:pPr>
      <w:r w:rsidRPr="00EC195C">
        <w:rPr>
          <w:rFonts w:cs="Times New Roman"/>
        </w:rPr>
        <w:t xml:space="preserve">IEEJ. (2018). </w:t>
      </w:r>
      <w:r w:rsidRPr="007C1A70">
        <w:rPr>
          <w:rFonts w:cs="Times New Roman"/>
          <w:i/>
        </w:rPr>
        <w:t>IEEJ Outlook 2019 — Energy transition and a thorny path for 3E challenges.</w:t>
      </w:r>
      <w:r w:rsidRPr="00EC195C">
        <w:rPr>
          <w:rFonts w:cs="Times New Roman"/>
        </w:rPr>
        <w:t xml:space="preserve"> The Institute of Energy Economics, Japan (IEEJ). Retrieved from: https://eneken.ieej.or.jp/en/whatsnew/430.html</w:t>
      </w:r>
    </w:p>
    <w:p w14:paraId="56155CEC" w14:textId="77777777" w:rsidR="00C34CCC" w:rsidRPr="00EC195C" w:rsidRDefault="00C34CCC" w:rsidP="004C1737">
      <w:pPr>
        <w:rPr>
          <w:rFonts w:cs="Times New Roman"/>
        </w:rPr>
      </w:pPr>
      <w:r w:rsidRPr="00EC195C">
        <w:rPr>
          <w:rFonts w:cs="Times New Roman"/>
        </w:rPr>
        <w:t xml:space="preserve">IPCC. (2014). </w:t>
      </w:r>
      <w:r w:rsidRPr="007C1A70">
        <w:rPr>
          <w:rFonts w:cs="Times New Roman"/>
          <w:i/>
        </w:rPr>
        <w:t>Climate Change 2014: Mitigation of Climate Change.</w:t>
      </w:r>
      <w:r w:rsidRPr="00EC195C">
        <w:rPr>
          <w:rFonts w:cs="Times New Roman"/>
        </w:rPr>
        <w:t xml:space="preserve"> Contribution of Working Group III to the Fifth Assessment Report of the Intergovernmental Panel on Climate Change [Edenhofer, O., R. Pichs-Madruga, Y. Sokona, E. Farahani, S. Kadner, K. Seyboth, A. Adler, I. Baum, S. Brunner, P. Eickemeier, B. Kriemann, J. Savolainen, S. Schlömer, C. von Stechow, T. Zwickel and J.C. Minx (eds.)]. Cambridge University Press, Cambridge, United Kingdom and New York, NY, USA Retrieved from: https://www.ipcc.ch/pdf/assessment-report/ar5/wg3/ipcc_wg3_ar5_full.pdf</w:t>
      </w:r>
    </w:p>
    <w:p w14:paraId="57E647C6" w14:textId="77777777" w:rsidR="00C34CCC" w:rsidRPr="00EC195C" w:rsidRDefault="00C34CCC" w:rsidP="004C1737">
      <w:pPr>
        <w:rPr>
          <w:rFonts w:cs="Times New Roman"/>
        </w:rPr>
      </w:pPr>
      <w:r w:rsidRPr="00EC195C">
        <w:rPr>
          <w:rFonts w:cs="Times New Roman"/>
        </w:rPr>
        <w:t xml:space="preserve">IRENA. (2015). </w:t>
      </w:r>
      <w:r w:rsidRPr="007C1A70">
        <w:rPr>
          <w:rFonts w:cs="Times New Roman"/>
          <w:i/>
        </w:rPr>
        <w:t>Renewable Power Generation Costs in 2014.</w:t>
      </w:r>
      <w:r w:rsidRPr="00EC195C">
        <w:rPr>
          <w:rFonts w:cs="Times New Roman"/>
        </w:rPr>
        <w:t xml:space="preserve"> Abu Dhabi, United Arab Emirates: International Renewable Energy Agency, 2015. Retrieved from: http://www.irena.org/DocumentDownloads/Publications/IRENA_RE_Power_Costs_2014_report.pdf.</w:t>
      </w:r>
    </w:p>
    <w:p w14:paraId="385C4FCC" w14:textId="68E78015" w:rsidR="00C34CCC" w:rsidRPr="00EC195C" w:rsidRDefault="00C34CCC" w:rsidP="00C34CCC">
      <w:pPr>
        <w:rPr>
          <w:rFonts w:cs="Times New Roman"/>
        </w:rPr>
      </w:pPr>
      <w:r w:rsidRPr="00EC195C">
        <w:rPr>
          <w:rFonts w:cs="Times New Roman"/>
        </w:rPr>
        <w:t xml:space="preserve">IRENA. (2016). </w:t>
      </w:r>
      <w:r w:rsidRPr="007C1A70">
        <w:rPr>
          <w:rFonts w:cs="Times New Roman"/>
          <w:i/>
        </w:rPr>
        <w:t>The Power to Change: Solar and Wind Cost Reduction Potential to 202</w:t>
      </w:r>
      <w:r w:rsidRPr="00EC195C">
        <w:rPr>
          <w:rFonts w:cs="Times New Roman"/>
        </w:rPr>
        <w:t>5. International Renewable Energy Agency. Retrieved from: http://www.irena.org/DocumentDownloads/Publications/IRENA_Power_to_Change_2016.pdf</w:t>
      </w:r>
    </w:p>
    <w:p w14:paraId="652692BB" w14:textId="77777777" w:rsidR="00C34CCC" w:rsidRPr="00EC195C" w:rsidRDefault="00C34CCC" w:rsidP="00C34CCC">
      <w:pPr>
        <w:rPr>
          <w:rFonts w:cs="Times New Roman"/>
        </w:rPr>
      </w:pPr>
      <w:r w:rsidRPr="00EC195C">
        <w:rPr>
          <w:rFonts w:cs="Times New Roman"/>
        </w:rPr>
        <w:t>IRENA. (2018</w:t>
      </w:r>
      <w:r>
        <w:rPr>
          <w:rFonts w:cs="Times New Roman"/>
        </w:rPr>
        <w:t>a</w:t>
      </w:r>
      <w:r w:rsidRPr="00EC195C">
        <w:rPr>
          <w:rFonts w:cs="Times New Roman"/>
        </w:rPr>
        <w:t xml:space="preserve">). </w:t>
      </w:r>
      <w:r w:rsidRPr="007C1A70">
        <w:rPr>
          <w:rFonts w:cs="Times New Roman"/>
          <w:i/>
        </w:rPr>
        <w:t>Renewable Energy Benefits: Leveraging local capacity for offshore wind</w:t>
      </w:r>
      <w:r w:rsidRPr="00EC195C">
        <w:rPr>
          <w:rFonts w:cs="Times New Roman"/>
        </w:rPr>
        <w:t>. Retrieved from /publications/2018/May/Leveraging-Local-Capacity-for-Offshore-Wind</w:t>
      </w:r>
    </w:p>
    <w:p w14:paraId="3EE01DDC" w14:textId="09FA574D" w:rsidR="00C34CCC" w:rsidRDefault="00C34CCC" w:rsidP="00C34CCC">
      <w:pPr>
        <w:rPr>
          <w:rFonts w:cs="Times New Roman"/>
        </w:rPr>
      </w:pPr>
      <w:r w:rsidRPr="00C34CCC">
        <w:rPr>
          <w:rFonts w:cs="Times New Roman"/>
        </w:rPr>
        <w:t>IRENA. (2019</w:t>
      </w:r>
      <w:r>
        <w:rPr>
          <w:rFonts w:cs="Times New Roman"/>
        </w:rPr>
        <w:t>a</w:t>
      </w:r>
      <w:r w:rsidRPr="00C34CCC">
        <w:rPr>
          <w:rFonts w:cs="Times New Roman"/>
        </w:rPr>
        <w:t>).</w:t>
      </w:r>
      <w:r w:rsidRPr="00C34CCC">
        <w:rPr>
          <w:rFonts w:cs="Times New Roman"/>
          <w:i/>
        </w:rPr>
        <w:t xml:space="preserve"> </w:t>
      </w:r>
      <w:r w:rsidRPr="007C1A70">
        <w:rPr>
          <w:rFonts w:cs="Times New Roman"/>
          <w:i/>
        </w:rPr>
        <w:t>Data and Statistics Dashboard</w:t>
      </w:r>
      <w:r w:rsidRPr="00C34CCC">
        <w:rPr>
          <w:rFonts w:cs="Times New Roman"/>
          <w:i/>
        </w:rPr>
        <w:t xml:space="preserve">. </w:t>
      </w:r>
      <w:r w:rsidRPr="00C34CCC">
        <w:rPr>
          <w:rFonts w:cs="Times New Roman"/>
        </w:rPr>
        <w:t xml:space="preserve">International Renewable Energy Agency. Retrieved from: </w:t>
      </w:r>
      <w:hyperlink r:id="rId31" w:history="1">
        <w:r w:rsidRPr="00FA7932">
          <w:rPr>
            <w:rStyle w:val="Hyperlink"/>
            <w:rFonts w:cs="Times New Roman"/>
          </w:rPr>
          <w:t>http://resourceirena.irena.org/gateway/dashboard/?topic=4&amp;subTopic=16</w:t>
        </w:r>
      </w:hyperlink>
    </w:p>
    <w:p w14:paraId="3C571173" w14:textId="63F3D620" w:rsidR="00C34CCC" w:rsidRPr="00C34CCC" w:rsidRDefault="00C34CCC" w:rsidP="00C34CCC">
      <w:pPr>
        <w:rPr>
          <w:rFonts w:cs="Times New Roman"/>
        </w:rPr>
      </w:pPr>
      <w:r w:rsidRPr="00C34CCC">
        <w:rPr>
          <w:rFonts w:cs="Times New Roman"/>
        </w:rPr>
        <w:t>IRENA</w:t>
      </w:r>
      <w:r>
        <w:rPr>
          <w:rFonts w:cs="Times New Roman"/>
        </w:rPr>
        <w:t>.</w:t>
      </w:r>
      <w:r w:rsidRPr="00C34CCC">
        <w:rPr>
          <w:rFonts w:cs="Times New Roman"/>
        </w:rPr>
        <w:t xml:space="preserve"> (2019</w:t>
      </w:r>
      <w:r>
        <w:rPr>
          <w:rFonts w:cs="Times New Roman"/>
        </w:rPr>
        <w:t>b</w:t>
      </w:r>
      <w:r w:rsidRPr="00C34CCC">
        <w:rPr>
          <w:rFonts w:cs="Times New Roman"/>
        </w:rPr>
        <w:t>)</w:t>
      </w:r>
      <w:r>
        <w:rPr>
          <w:rFonts w:cs="Times New Roman"/>
        </w:rPr>
        <w:t>.</w:t>
      </w:r>
      <w:r w:rsidRPr="00C34CCC">
        <w:rPr>
          <w:rFonts w:cs="Times New Roman"/>
          <w:i/>
        </w:rPr>
        <w:t xml:space="preserve"> Global energy transformation: </w:t>
      </w:r>
      <w:r w:rsidRPr="00C34CCC">
        <w:rPr>
          <w:rFonts w:cs="Times New Roman"/>
        </w:rPr>
        <w:t>The REmap transition pathway (Background report to 2019 edition), International Renewable Energy Agency, Abu Dhabi.</w:t>
      </w:r>
    </w:p>
    <w:p w14:paraId="0E565C3E" w14:textId="77777777" w:rsidR="00C34CCC" w:rsidRPr="00EC195C" w:rsidRDefault="00C34CCC" w:rsidP="00C34CCC">
      <w:pPr>
        <w:rPr>
          <w:rFonts w:cs="Times New Roman"/>
        </w:rPr>
      </w:pPr>
      <w:r w:rsidRPr="00EC195C">
        <w:rPr>
          <w:rFonts w:cs="Times New Roman"/>
        </w:rPr>
        <w:t xml:space="preserve">JRC. (2014). </w:t>
      </w:r>
      <w:r w:rsidRPr="00714542">
        <w:rPr>
          <w:rFonts w:cs="Times New Roman"/>
          <w:i/>
        </w:rPr>
        <w:t>ETRI 2014 - Energy Technology Reference Indicator projections for 2010-2050 (EUR - Scientific and Technical Research Reports).</w:t>
      </w:r>
      <w:r w:rsidRPr="00EC195C">
        <w:rPr>
          <w:rFonts w:cs="Times New Roman"/>
        </w:rPr>
        <w:t xml:space="preserve"> Publications Office of the European Union. https://doi.org/10.2790/057687</w:t>
      </w:r>
    </w:p>
    <w:p w14:paraId="221D65BB" w14:textId="77777777" w:rsidR="00C34CCC" w:rsidRPr="00EC195C" w:rsidRDefault="00C34CCC" w:rsidP="00C34CCC">
      <w:pPr>
        <w:rPr>
          <w:rFonts w:cs="Times New Roman"/>
        </w:rPr>
      </w:pPr>
      <w:r w:rsidRPr="00EC195C">
        <w:rPr>
          <w:rFonts w:cs="Times New Roman"/>
        </w:rPr>
        <w:t>Kost, C., Shammugam, S., Jülch, V., Nguyen, H.-T., &amp; Schlegl, T. (2018).</w:t>
      </w:r>
      <w:r w:rsidRPr="00714542">
        <w:rPr>
          <w:rFonts w:cs="Times New Roman"/>
          <w:i/>
        </w:rPr>
        <w:t xml:space="preserve"> Levelized Cost of Electricity- Renewable Energy Technologies (p. 42). </w:t>
      </w:r>
      <w:r w:rsidRPr="00EC195C">
        <w:rPr>
          <w:rFonts w:cs="Times New Roman"/>
        </w:rPr>
        <w:t>Fraunhofer Institute for Solar Energy Systems ISE. Retrieved from https://www.ise.fraunhofer.de/content/dam/ise/en/documents/publications/studies/EN2018_Fraunhofer-ISE_LCOE_Renewable_Energy_Technologies.pdf</w:t>
      </w:r>
    </w:p>
    <w:p w14:paraId="5CD47B0B" w14:textId="77777777" w:rsidR="00C34CCC" w:rsidRPr="00EC195C" w:rsidRDefault="00C34CCC" w:rsidP="004C1737">
      <w:pPr>
        <w:rPr>
          <w:rFonts w:cs="Times New Roman"/>
        </w:rPr>
      </w:pPr>
      <w:r w:rsidRPr="00EC195C">
        <w:rPr>
          <w:rFonts w:cs="Times New Roman"/>
        </w:rPr>
        <w:t xml:space="preserve">Lantz, E., Wiser, R. Hand, M. (2012). </w:t>
      </w:r>
      <w:r w:rsidRPr="00714542">
        <w:rPr>
          <w:rFonts w:cs="Times New Roman"/>
          <w:i/>
        </w:rPr>
        <w:t>The Past and Future Cost of Wind Energy.</w:t>
      </w:r>
      <w:r w:rsidRPr="00EC195C">
        <w:rPr>
          <w:rFonts w:cs="Times New Roman"/>
        </w:rPr>
        <w:t xml:space="preserve"> National Renewable Energy Laboratory, Golden, CO, Report No. NREL/TP-6A20-53510. Retrieved from: http://www.nrel.gov/docs/fy12osti/54526.pdf.</w:t>
      </w:r>
    </w:p>
    <w:p w14:paraId="5E81331B" w14:textId="77777777" w:rsidR="00C34CCC" w:rsidRPr="00EC195C" w:rsidRDefault="00C34CCC" w:rsidP="004C1737">
      <w:pPr>
        <w:rPr>
          <w:rFonts w:cs="Times New Roman"/>
        </w:rPr>
      </w:pPr>
      <w:r w:rsidRPr="00EC195C">
        <w:rPr>
          <w:rFonts w:cs="Times New Roman"/>
        </w:rPr>
        <w:t xml:space="preserve">Lazard. (2016). </w:t>
      </w:r>
      <w:r w:rsidRPr="00714542">
        <w:rPr>
          <w:rFonts w:cs="Times New Roman"/>
          <w:i/>
        </w:rPr>
        <w:t>Lazard’s Levelized Cost of Energy Analysis – Version 10.0.</w:t>
      </w:r>
      <w:r w:rsidRPr="00EC195C">
        <w:rPr>
          <w:rFonts w:cs="Times New Roman"/>
        </w:rPr>
        <w:t xml:space="preserve"> Retrieved from https://www.lazard.com/perspective/levelized-cost-of-energy-analysis-100/</w:t>
      </w:r>
    </w:p>
    <w:p w14:paraId="1D92720B" w14:textId="77777777" w:rsidR="00C34CCC" w:rsidRPr="00EC195C" w:rsidRDefault="00C34CCC" w:rsidP="004C1737">
      <w:pPr>
        <w:rPr>
          <w:rFonts w:cs="Times New Roman"/>
        </w:rPr>
      </w:pPr>
      <w:r w:rsidRPr="00EC195C">
        <w:rPr>
          <w:rFonts w:cs="Times New Roman"/>
        </w:rPr>
        <w:t xml:space="preserve">Lazard. (2018). </w:t>
      </w:r>
      <w:r w:rsidRPr="00714542">
        <w:rPr>
          <w:rFonts w:cs="Times New Roman"/>
          <w:i/>
        </w:rPr>
        <w:t>Levelized Cost of Energy and Levelized Cost of Storage 2018, version 12.0</w:t>
      </w:r>
      <w:r w:rsidRPr="00EC195C">
        <w:rPr>
          <w:rFonts w:cs="Times New Roman"/>
        </w:rPr>
        <w:t>. Lazard. Retrieved from /perspective/levelized-cost-of-energy-and-levelized-cost-of-storage-2018/</w:t>
      </w:r>
    </w:p>
    <w:p w14:paraId="162DE4AB" w14:textId="77777777" w:rsidR="00C34CCC" w:rsidRPr="00EC195C" w:rsidRDefault="00C34CCC" w:rsidP="004C1737">
      <w:pPr>
        <w:rPr>
          <w:rFonts w:cs="Times New Roman"/>
        </w:rPr>
      </w:pPr>
      <w:r w:rsidRPr="00EC195C">
        <w:rPr>
          <w:rFonts w:cs="Times New Roman"/>
        </w:rPr>
        <w:t xml:space="preserve">Lemming, J.K., Morthorst, P.E., Clausen, N.E. (2009). </w:t>
      </w:r>
      <w:r w:rsidRPr="00714542">
        <w:rPr>
          <w:rFonts w:cs="Times New Roman"/>
          <w:i/>
        </w:rPr>
        <w:t>Offshore Wind Power Experiences, Potential and Key Issues for Deployment.</w:t>
      </w:r>
      <w:r w:rsidRPr="00EC195C">
        <w:rPr>
          <w:rFonts w:cs="Times New Roman"/>
        </w:rPr>
        <w:t xml:space="preserve"> Forskningscenter Risø Roskilde. </w:t>
      </w:r>
    </w:p>
    <w:p w14:paraId="79AA3156" w14:textId="77777777" w:rsidR="00C34CCC" w:rsidRPr="00EC195C" w:rsidRDefault="00C34CCC" w:rsidP="004C1737">
      <w:pPr>
        <w:rPr>
          <w:rFonts w:cs="Times New Roman"/>
        </w:rPr>
      </w:pPr>
      <w:r w:rsidRPr="00EC195C">
        <w:rPr>
          <w:rFonts w:cs="Times New Roman"/>
        </w:rPr>
        <w:t xml:space="preserve">Loftus, P.J., Armond M Cohen, Jane A.M., Long, J., Jenkins, J.D. (2015). A critical review of global decarbonization scenarios: what do they tell us about feasibility? </w:t>
      </w:r>
      <w:r w:rsidRPr="00714542">
        <w:rPr>
          <w:rFonts w:cs="Times New Roman"/>
          <w:i/>
        </w:rPr>
        <w:t>Wiley Interdisciplinary Reviews: Climate Change 6, no. 1 (2015): 93–112.</w:t>
      </w:r>
    </w:p>
    <w:p w14:paraId="11339972" w14:textId="77777777" w:rsidR="00C34CCC" w:rsidRPr="00EC195C" w:rsidRDefault="00C34CCC" w:rsidP="004C1737">
      <w:pPr>
        <w:rPr>
          <w:rFonts w:cs="Times New Roman"/>
        </w:rPr>
      </w:pPr>
      <w:r w:rsidRPr="00EC195C">
        <w:rPr>
          <w:rFonts w:cs="Times New Roman"/>
        </w:rPr>
        <w:t xml:space="preserve">Masanet, E, Chag, Y., Gopal, A., Larsen, P., Morrow III, W., Sathre, R., Shehabi, A., Zhai, P. (2013). Life cycle assessment of electric power systems. </w:t>
      </w:r>
      <w:r w:rsidRPr="00714542">
        <w:rPr>
          <w:rFonts w:cs="Times New Roman"/>
          <w:i/>
        </w:rPr>
        <w:t>Annu. Rev. Environ. Resour, 38:107–36.</w:t>
      </w:r>
      <w:r w:rsidRPr="00EC195C">
        <w:rPr>
          <w:rFonts w:cs="Times New Roman"/>
        </w:rPr>
        <w:t xml:space="preserve"> Doi: 10.1146/annurev-environ-010710-100408  </w:t>
      </w:r>
    </w:p>
    <w:p w14:paraId="03925ECB" w14:textId="77777777" w:rsidR="00C34CCC" w:rsidRPr="00EC195C" w:rsidRDefault="00C34CCC" w:rsidP="004C1737">
      <w:pPr>
        <w:rPr>
          <w:rFonts w:cs="Times New Roman"/>
        </w:rPr>
      </w:pPr>
      <w:r w:rsidRPr="0028022C">
        <w:rPr>
          <w:rFonts w:cs="Times New Roman"/>
        </w:rPr>
        <w:t xml:space="preserve">Nakata, T., Silva, D., &amp; Rodionov, M. (2011). </w:t>
      </w:r>
      <w:r w:rsidRPr="00E202C1">
        <w:rPr>
          <w:rFonts w:cs="Times New Roman"/>
        </w:rPr>
        <w:t>Application of energy system models for designing a low-carbon society. Progress in Energy and Combustion Science, 37(4), 462–502. https://doi.org/10.1016/j.pecs.2010.08.001</w:t>
      </w:r>
    </w:p>
    <w:p w14:paraId="214B43F3" w14:textId="77777777" w:rsidR="00C34CCC" w:rsidRPr="00EC195C" w:rsidRDefault="00C34CCC" w:rsidP="004C1737">
      <w:pPr>
        <w:rPr>
          <w:rFonts w:cs="Times New Roman"/>
        </w:rPr>
      </w:pPr>
      <w:r w:rsidRPr="00EC195C">
        <w:rPr>
          <w:rFonts w:cs="Times New Roman"/>
        </w:rPr>
        <w:t xml:space="preserve">National Renewable Energy Laboratory (NREL). (2018a). </w:t>
      </w:r>
      <w:r w:rsidRPr="00714542">
        <w:rPr>
          <w:rFonts w:cs="Times New Roman"/>
          <w:i/>
        </w:rPr>
        <w:t>2017 Offshore Wind Technologies Market</w:t>
      </w:r>
      <w:r w:rsidRPr="00EC195C">
        <w:rPr>
          <w:rFonts w:cs="Times New Roman"/>
        </w:rPr>
        <w:t xml:space="preserve"> Update | Department of Energy. Retrieved from https://www.energy.gov/eere/wind/downloads/2017-offshore-wind-technologies-market-update</w:t>
      </w:r>
    </w:p>
    <w:p w14:paraId="5F7A8F93" w14:textId="77777777" w:rsidR="00C34CCC" w:rsidRPr="00EC195C" w:rsidRDefault="00C34CCC" w:rsidP="004C1737">
      <w:pPr>
        <w:rPr>
          <w:rFonts w:cs="Times New Roman"/>
        </w:rPr>
      </w:pPr>
      <w:r w:rsidRPr="00EC195C">
        <w:rPr>
          <w:rFonts w:cs="Times New Roman"/>
        </w:rPr>
        <w:t xml:space="preserve">National Renewable Energy Laboratory (NREL). (2018b). </w:t>
      </w:r>
      <w:r w:rsidRPr="00714542">
        <w:rPr>
          <w:rFonts w:cs="Times New Roman"/>
          <w:i/>
        </w:rPr>
        <w:t>2017 Wind Technologies Market Report</w:t>
      </w:r>
      <w:r w:rsidRPr="00EC195C">
        <w:rPr>
          <w:rFonts w:cs="Times New Roman"/>
        </w:rPr>
        <w:t xml:space="preserve"> | Department of Energy. Retrieved from https://www.energy.gov/eere/wind/downloads/2017-wind-technologies-market-report</w:t>
      </w:r>
    </w:p>
    <w:p w14:paraId="7BE2F37C" w14:textId="77777777" w:rsidR="00C34CCC" w:rsidRPr="00EC195C" w:rsidRDefault="00C34CCC" w:rsidP="004C1737">
      <w:pPr>
        <w:rPr>
          <w:rFonts w:cs="Times New Roman"/>
        </w:rPr>
      </w:pPr>
      <w:r w:rsidRPr="00EC195C">
        <w:rPr>
          <w:rFonts w:cs="Times New Roman"/>
        </w:rPr>
        <w:t xml:space="preserve">Navigant Research. (2015). </w:t>
      </w:r>
      <w:r w:rsidRPr="00714542">
        <w:rPr>
          <w:rFonts w:cs="Times New Roman"/>
          <w:i/>
        </w:rPr>
        <w:t>World Wind Energy Market Update 2015</w:t>
      </w:r>
      <w:r w:rsidRPr="00EC195C">
        <w:rPr>
          <w:rFonts w:cs="Times New Roman"/>
        </w:rPr>
        <w:t>. Burlington, MA. Retrieved from: http://www.navigantresearch.com/research/world-wind-energy-market-update-2015</w:t>
      </w:r>
    </w:p>
    <w:p w14:paraId="4CA3CA44" w14:textId="77777777" w:rsidR="00C34CCC" w:rsidRPr="00EC195C" w:rsidRDefault="00C34CCC" w:rsidP="004C1737">
      <w:pPr>
        <w:rPr>
          <w:rFonts w:cs="Times New Roman"/>
        </w:rPr>
      </w:pPr>
      <w:r w:rsidRPr="00EC195C">
        <w:rPr>
          <w:rFonts w:cs="Times New Roman"/>
        </w:rPr>
        <w:t xml:space="preserve">NETL (2013). </w:t>
      </w:r>
      <w:r w:rsidRPr="00714542">
        <w:rPr>
          <w:rFonts w:cs="Times New Roman"/>
          <w:i/>
        </w:rPr>
        <w:t>Power Generation Technology Comparison from a Life Cycle Perspective.</w:t>
      </w:r>
      <w:r w:rsidRPr="00EC195C">
        <w:rPr>
          <w:rFonts w:cs="Times New Roman"/>
        </w:rPr>
        <w:t xml:space="preserve"> National Energy Technology Laboratory. Retrieved from https://www.netl.doe.gov/File%20Library/Research/Energy%20Analysis/Life%20Cycle%20Analysis/Technology-Assessment-Compilation-Report.pdf</w:t>
      </w:r>
    </w:p>
    <w:p w14:paraId="42937409" w14:textId="77777777" w:rsidR="00C34CCC" w:rsidRPr="00EC195C" w:rsidRDefault="00C34CCC" w:rsidP="004C1737">
      <w:pPr>
        <w:rPr>
          <w:rFonts w:cs="Times New Roman"/>
        </w:rPr>
      </w:pPr>
      <w:r w:rsidRPr="00EC195C">
        <w:rPr>
          <w:rFonts w:cs="Times New Roman"/>
        </w:rPr>
        <w:t>NGS (2011)</w:t>
      </w:r>
      <w:r>
        <w:rPr>
          <w:rFonts w:cs="Times New Roman"/>
        </w:rPr>
        <w:t>.</w:t>
      </w:r>
      <w:r w:rsidRPr="00EC195C">
        <w:rPr>
          <w:rFonts w:cs="Times New Roman"/>
        </w:rPr>
        <w:t xml:space="preserve"> </w:t>
      </w:r>
      <w:r w:rsidRPr="00714542">
        <w:rPr>
          <w:rFonts w:cs="Times New Roman"/>
          <w:i/>
        </w:rPr>
        <w:t>Continental shelf.</w:t>
      </w:r>
      <w:r w:rsidRPr="00EC195C">
        <w:rPr>
          <w:rFonts w:cs="Times New Roman"/>
        </w:rPr>
        <w:t xml:space="preserve"> In National Geographic Society. Retrieved from http://www.nationalgeographic.org/encyclopedia/continental-shelf/</w:t>
      </w:r>
    </w:p>
    <w:p w14:paraId="2DD7553D" w14:textId="77777777" w:rsidR="00C34CCC" w:rsidRPr="00EC195C" w:rsidRDefault="00C34CCC" w:rsidP="004C1737">
      <w:pPr>
        <w:rPr>
          <w:rFonts w:cs="Times New Roman"/>
        </w:rPr>
      </w:pPr>
      <w:r w:rsidRPr="00EC195C">
        <w:rPr>
          <w:rFonts w:cs="Times New Roman"/>
        </w:rPr>
        <w:t xml:space="preserve">NREL. (2018). </w:t>
      </w:r>
      <w:r w:rsidRPr="00714542">
        <w:rPr>
          <w:rFonts w:cs="Times New Roman"/>
          <w:i/>
        </w:rPr>
        <w:t>Annual Technology Baseline.</w:t>
      </w:r>
      <w:r w:rsidRPr="00EC195C">
        <w:rPr>
          <w:rFonts w:cs="Times New Roman"/>
        </w:rPr>
        <w:t xml:space="preserve"> Retrieved January 3, 2019, from https://atb.nrel.gov/electricity/2018/index.html?t=lw</w:t>
      </w:r>
    </w:p>
    <w:p w14:paraId="38EDC214" w14:textId="77777777" w:rsidR="00C34CCC" w:rsidRPr="00EC195C" w:rsidRDefault="00C34CCC" w:rsidP="004C1737">
      <w:pPr>
        <w:rPr>
          <w:rFonts w:cs="Times New Roman"/>
        </w:rPr>
      </w:pPr>
      <w:r w:rsidRPr="00EC195C">
        <w:rPr>
          <w:rFonts w:cs="Times New Roman"/>
        </w:rPr>
        <w:t xml:space="preserve">Principle Power. (2015). </w:t>
      </w:r>
      <w:r w:rsidRPr="00714542">
        <w:rPr>
          <w:rFonts w:cs="Times New Roman"/>
          <w:i/>
        </w:rPr>
        <w:t>Windfloat.</w:t>
      </w:r>
      <w:r w:rsidRPr="00EC195C">
        <w:rPr>
          <w:rFonts w:cs="Times New Roman"/>
        </w:rPr>
        <w:t xml:space="preserve"> Principle Power, Inc. Retrieved from: http://www.principlepowerinc.com/en/windfloat</w:t>
      </w:r>
    </w:p>
    <w:p w14:paraId="143B4698" w14:textId="77777777" w:rsidR="00C34CCC" w:rsidRPr="00EC195C" w:rsidRDefault="00C34CCC" w:rsidP="004C1737">
      <w:pPr>
        <w:rPr>
          <w:rFonts w:cs="Times New Roman"/>
        </w:rPr>
      </w:pPr>
      <w:r>
        <w:rPr>
          <w:rFonts w:cs="Times New Roman"/>
        </w:rPr>
        <w:t xml:space="preserve">PwC (2010) </w:t>
      </w:r>
      <w:r w:rsidRPr="00E90016">
        <w:rPr>
          <w:rFonts w:cs="Times New Roman"/>
          <w:i/>
        </w:rPr>
        <w:t>Meeting the 2020 renewable energy targets: Filling the offshore wind financing gap</w:t>
      </w:r>
      <w:r w:rsidRPr="00EC195C">
        <w:rPr>
          <w:rFonts w:cs="Times New Roman"/>
        </w:rPr>
        <w:t>, PricewaterhouseCoopers</w:t>
      </w:r>
      <w:r>
        <w:rPr>
          <w:rFonts w:cs="Times New Roman"/>
        </w:rPr>
        <w:t xml:space="preserve"> LLP (PwC)</w:t>
      </w:r>
      <w:r w:rsidRPr="00EC195C">
        <w:rPr>
          <w:rFonts w:cs="Times New Roman"/>
        </w:rPr>
        <w:t>.</w:t>
      </w:r>
    </w:p>
    <w:p w14:paraId="410FFA14" w14:textId="77777777" w:rsidR="00C34CCC" w:rsidRPr="004F25E9" w:rsidRDefault="00C34CCC" w:rsidP="00C34CCC">
      <w:pPr>
        <w:rPr>
          <w:rFonts w:cs="Times New Roman"/>
        </w:rPr>
      </w:pPr>
      <w:r w:rsidRPr="004F25E9">
        <w:rPr>
          <w:rFonts w:cs="Times New Roman"/>
        </w:rPr>
        <w:t xml:space="preserve">Ram M., Bogdanov D., Aghahosseini A., Gulagi A., Oyewo A.S., Child M., Caldera U., Sadovskaia K., Farfan J., Barbosa LSNS., Fasihi M., Khalili S., Dalheimer B.,Gruber G., Traber T., De Caluwe F., Fell H.-J., Breyer C. (2019). </w:t>
      </w:r>
      <w:r w:rsidRPr="004F25E9">
        <w:rPr>
          <w:rFonts w:cs="Times New Roman"/>
          <w:i/>
        </w:rPr>
        <w:t xml:space="preserve">Global Energy System based on 100% Renewable Energy –Power, Heat, Transport and Desalination Sectors. </w:t>
      </w:r>
      <w:r w:rsidRPr="004F25E9">
        <w:rPr>
          <w:rFonts w:cs="Times New Roman"/>
        </w:rPr>
        <w:t xml:space="preserve">Study by Lappeenranta University of Technology and Energy Watch Group, Lappeenranta, Berlin, March 2019. Available at: </w:t>
      </w:r>
      <w:hyperlink r:id="rId32" w:history="1">
        <w:r w:rsidRPr="004F25E9">
          <w:rPr>
            <w:rStyle w:val="Hyperlink"/>
            <w:rFonts w:cs="Times New Roman"/>
          </w:rPr>
          <w:t>http://energywatchgroup.org/wp-content/uploads/EWG_LUT_100RE_All_Sectors_Global_Report_2019.pdf</w:t>
        </w:r>
      </w:hyperlink>
    </w:p>
    <w:p w14:paraId="30BBA144" w14:textId="77777777" w:rsidR="00C34CCC" w:rsidRPr="00EC195C" w:rsidRDefault="00C34CCC" w:rsidP="004C1737">
      <w:pPr>
        <w:rPr>
          <w:rFonts w:cs="Times New Roman"/>
        </w:rPr>
      </w:pPr>
      <w:r w:rsidRPr="00EC195C">
        <w:rPr>
          <w:rFonts w:cs="Times New Roman"/>
        </w:rPr>
        <w:t xml:space="preserve">Ram, M., Bogdanov, D., Aghahosseini, A., Oyewo, A. S., Gulagi, A., Child, M., … Breyer, C. (2017). </w:t>
      </w:r>
      <w:r w:rsidRPr="00714542">
        <w:rPr>
          <w:rFonts w:cs="Times New Roman"/>
          <w:i/>
        </w:rPr>
        <w:t>Global Energy System based on 100% Renewable Energy-Power Sectors. (p. 156).</w:t>
      </w:r>
      <w:r w:rsidRPr="00EC195C">
        <w:rPr>
          <w:rFonts w:cs="Times New Roman"/>
        </w:rPr>
        <w:t xml:space="preserve"> Lappeenranta, Berlin: Study by Lappeenranta University of Technology and Energy Watch Group. Retrieved from: http://energywatchgroup.org/wp-content/uploads/2017/11/Full-Study-100-Renewable-Energy-Worldwide-Power-Sector.pdf</w:t>
      </w:r>
    </w:p>
    <w:p w14:paraId="2926861F" w14:textId="77777777" w:rsidR="00C34CCC" w:rsidRPr="00EC195C" w:rsidRDefault="00C34CCC" w:rsidP="004C1737">
      <w:pPr>
        <w:rPr>
          <w:rFonts w:cs="Times New Roman"/>
        </w:rPr>
      </w:pPr>
      <w:r w:rsidRPr="00EC195C">
        <w:rPr>
          <w:rFonts w:cs="Times New Roman"/>
        </w:rPr>
        <w:t xml:space="preserve">REN21. (2016). </w:t>
      </w:r>
      <w:r w:rsidRPr="00714542">
        <w:rPr>
          <w:rFonts w:cs="Times New Roman"/>
          <w:i/>
        </w:rPr>
        <w:t>Renewables 2016 – Global Status Report</w:t>
      </w:r>
      <w:r w:rsidRPr="00EC195C">
        <w:rPr>
          <w:rFonts w:cs="Times New Roman"/>
        </w:rPr>
        <w:t>. REN 21 – Renewable Energy Policy Network for the 21st Century. Retrieved from: http://www.ren21.net/wp-content/uploads/2016/06/GSR_2016_Full_Report_REN21.pdf</w:t>
      </w:r>
    </w:p>
    <w:p w14:paraId="45F413A0" w14:textId="77777777" w:rsidR="00C34CCC" w:rsidRPr="00EC195C" w:rsidRDefault="00C34CCC" w:rsidP="004C1737">
      <w:pPr>
        <w:rPr>
          <w:rFonts w:cs="Times New Roman"/>
        </w:rPr>
      </w:pPr>
      <w:r w:rsidRPr="00EC195C">
        <w:rPr>
          <w:rFonts w:cs="Times New Roman"/>
        </w:rPr>
        <w:t xml:space="preserve">Rubin, E.S., Azevedo, I.M.L., Jaramillo, P., Yeh, S. (2015). A review of learning rates for electricity supply technologies. </w:t>
      </w:r>
      <w:r w:rsidRPr="00714542">
        <w:rPr>
          <w:rFonts w:cs="Times New Roman"/>
          <w:i/>
        </w:rPr>
        <w:t>Energy Policy 86, 198-218.</w:t>
      </w:r>
    </w:p>
    <w:p w14:paraId="3FA1BC17" w14:textId="77777777" w:rsidR="00C34CCC" w:rsidRPr="00EC195C" w:rsidRDefault="00C34CCC" w:rsidP="004C1737">
      <w:pPr>
        <w:rPr>
          <w:rFonts w:cs="Times New Roman"/>
        </w:rPr>
      </w:pPr>
      <w:r w:rsidRPr="00EC195C">
        <w:rPr>
          <w:rFonts w:cs="Times New Roman"/>
        </w:rPr>
        <w:t>Rule, B.M., Worth, Z.J., Boyle, C.A. (2009). Comparison of Life Cycle Carbon Dioxide Emissions and Embodied Energy in Four Renewable Electricity Generation Technologies in New Zealand.</w:t>
      </w:r>
      <w:r w:rsidRPr="00714542">
        <w:rPr>
          <w:rFonts w:cs="Times New Roman"/>
          <w:i/>
        </w:rPr>
        <w:t xml:space="preserve"> Environ Sci Technol. 15;43(16):6406-13. </w:t>
      </w:r>
      <w:r w:rsidRPr="00EC195C">
        <w:rPr>
          <w:rFonts w:cs="Times New Roman"/>
        </w:rPr>
        <w:t>Retrieved from https://www.ncbi.nlm.nih.gov/pubmed/19746744</w:t>
      </w:r>
    </w:p>
    <w:p w14:paraId="3AB98577" w14:textId="77777777" w:rsidR="00C34CCC" w:rsidRPr="00EC195C" w:rsidRDefault="00C34CCC" w:rsidP="004C1737">
      <w:pPr>
        <w:rPr>
          <w:rFonts w:cs="Times New Roman"/>
        </w:rPr>
      </w:pPr>
      <w:r w:rsidRPr="00EC195C">
        <w:rPr>
          <w:rFonts w:cs="Times New Roman"/>
        </w:rPr>
        <w:t xml:space="preserve">Schmidt T.  S., R.  Born, and M.  Schneider (2012). Assessing the costs of photovoltaic and wind power in six developing countries. </w:t>
      </w:r>
      <w:r w:rsidRPr="00714542">
        <w:rPr>
          <w:rFonts w:cs="Times New Roman"/>
          <w:i/>
        </w:rPr>
        <w:t>Nature Climate Change 2, 548 – 553.</w:t>
      </w:r>
      <w:r w:rsidRPr="00EC195C">
        <w:rPr>
          <w:rFonts w:cs="Times New Roman"/>
        </w:rPr>
        <w:t xml:space="preserve">  </w:t>
      </w:r>
    </w:p>
    <w:p w14:paraId="7A41E82A" w14:textId="77777777" w:rsidR="00C34CCC" w:rsidRPr="00EC195C" w:rsidRDefault="00C34CCC" w:rsidP="004C1737">
      <w:pPr>
        <w:rPr>
          <w:rFonts w:cs="Times New Roman"/>
        </w:rPr>
      </w:pPr>
      <w:r w:rsidRPr="00EC195C">
        <w:rPr>
          <w:rFonts w:cs="Times New Roman"/>
        </w:rPr>
        <w:t xml:space="preserve">Shell International B.V. (2018). </w:t>
      </w:r>
      <w:r w:rsidRPr="00714542">
        <w:rPr>
          <w:rFonts w:cs="Times New Roman"/>
          <w:i/>
        </w:rPr>
        <w:t xml:space="preserve">Sky Scenario. </w:t>
      </w:r>
      <w:r w:rsidRPr="00EC195C">
        <w:rPr>
          <w:rFonts w:cs="Times New Roman"/>
        </w:rPr>
        <w:t>Shell International</w:t>
      </w:r>
      <w:r>
        <w:rPr>
          <w:rFonts w:cs="Times New Roman"/>
        </w:rPr>
        <w:t xml:space="preserve">. </w:t>
      </w:r>
      <w:r w:rsidRPr="00EC195C">
        <w:rPr>
          <w:rFonts w:cs="Times New Roman"/>
        </w:rPr>
        <w:t>Retrieved from: https://www.shell.com/energy-and-innovation/the-energy-future/scenarios/shell-scenario-sky.html</w:t>
      </w:r>
    </w:p>
    <w:p w14:paraId="4D748D77" w14:textId="77777777" w:rsidR="00C34CCC" w:rsidRPr="00EC195C" w:rsidRDefault="00C34CCC" w:rsidP="004C1737">
      <w:pPr>
        <w:rPr>
          <w:rFonts w:cs="Times New Roman"/>
        </w:rPr>
      </w:pPr>
      <w:r w:rsidRPr="00EC195C">
        <w:rPr>
          <w:rFonts w:cs="Times New Roman"/>
        </w:rPr>
        <w:t xml:space="preserve">Sieros, G., Chaviaropolous, F., Sorensen, J., Bulder, B, Jamieson, F. (2010). Upscaling wind turbines: theoretical and practical aspect and the impact on the cost of energy. </w:t>
      </w:r>
      <w:r w:rsidRPr="00714542">
        <w:rPr>
          <w:rFonts w:cs="Times New Roman"/>
          <w:i/>
        </w:rPr>
        <w:t>Wind Energy 15, 3-17.</w:t>
      </w:r>
    </w:p>
    <w:p w14:paraId="0B63F1F7" w14:textId="77777777" w:rsidR="00C34CCC" w:rsidRPr="00EC195C" w:rsidRDefault="00C34CCC" w:rsidP="004C1737">
      <w:pPr>
        <w:rPr>
          <w:rFonts w:cs="Times New Roman"/>
        </w:rPr>
      </w:pPr>
      <w:r w:rsidRPr="00EC195C">
        <w:rPr>
          <w:rFonts w:cs="Times New Roman"/>
        </w:rPr>
        <w:t xml:space="preserve">Sovacool, B. K., Enevoldsen, P., Koch, C., &amp; Barthelmie, R. J. (2017). Cost performance and risk in the construction of offshore and onshore wind farms. </w:t>
      </w:r>
      <w:r w:rsidRPr="00714542">
        <w:rPr>
          <w:rFonts w:cs="Times New Roman"/>
          <w:i/>
        </w:rPr>
        <w:t>Wind Energy, 20(5), 891–908.</w:t>
      </w:r>
      <w:r w:rsidRPr="00EC195C">
        <w:rPr>
          <w:rFonts w:cs="Times New Roman"/>
        </w:rPr>
        <w:t xml:space="preserve"> https://doi.org/10.1002/we.2069</w:t>
      </w:r>
    </w:p>
    <w:p w14:paraId="14463B25" w14:textId="77777777" w:rsidR="00C34CCC" w:rsidRPr="008A56F8" w:rsidRDefault="00C34CCC" w:rsidP="00714542">
      <w:pPr>
        <w:rPr>
          <w:rFonts w:cs="Times New Roman"/>
        </w:rPr>
      </w:pPr>
      <w:r w:rsidRPr="008A56F8">
        <w:rPr>
          <w:rFonts w:cs="Times New Roman"/>
        </w:rPr>
        <w:t xml:space="preserve">Staffell, I., &amp; Green, R. (2014). How does wind farm performance decline with age? </w:t>
      </w:r>
      <w:r w:rsidRPr="00BF67FA">
        <w:rPr>
          <w:rFonts w:cs="Times New Roman"/>
          <w:i/>
        </w:rPr>
        <w:t xml:space="preserve">Renewable Energy, 66, 775–786. </w:t>
      </w:r>
      <w:r w:rsidRPr="008A56F8">
        <w:rPr>
          <w:rFonts w:cs="Times New Roman"/>
        </w:rPr>
        <w:t>https://doi.org/10.1016/j.renene.2013.10.041</w:t>
      </w:r>
    </w:p>
    <w:p w14:paraId="6557A692" w14:textId="77777777" w:rsidR="00C34CCC" w:rsidRPr="00EC195C" w:rsidRDefault="00C34CCC" w:rsidP="004C1737">
      <w:pPr>
        <w:rPr>
          <w:rFonts w:cs="Times New Roman"/>
        </w:rPr>
      </w:pPr>
      <w:r w:rsidRPr="00EC195C">
        <w:rPr>
          <w:rFonts w:cs="Times New Roman"/>
        </w:rPr>
        <w:t>Stehly, T. J., Beiter, P. C., Heimiller, D. M., &amp; Scott, G. N. (2018).</w:t>
      </w:r>
      <w:r w:rsidRPr="00714542">
        <w:rPr>
          <w:rFonts w:cs="Times New Roman"/>
          <w:i/>
        </w:rPr>
        <w:t xml:space="preserve"> 2017 Cost of Wind Energy Review </w:t>
      </w:r>
      <w:r w:rsidRPr="00EC195C">
        <w:rPr>
          <w:rFonts w:cs="Times New Roman"/>
        </w:rPr>
        <w:t>(No. NREL/TP-6A20-72167). National Renewable Energy Lab. (NREL), Golden, CO (United States). https://doi.org/10.2172/1475534</w:t>
      </w:r>
    </w:p>
    <w:p w14:paraId="6E9E2EB7" w14:textId="77777777" w:rsidR="00C34CCC" w:rsidRPr="00EC195C" w:rsidRDefault="00C34CCC" w:rsidP="004C1737">
      <w:pPr>
        <w:rPr>
          <w:rFonts w:cs="Times New Roman"/>
        </w:rPr>
      </w:pPr>
      <w:r w:rsidRPr="00EC195C">
        <w:rPr>
          <w:rFonts w:cs="Times New Roman"/>
        </w:rPr>
        <w:t xml:space="preserve">Thomson, C., &amp; Harrison, G. (2015). </w:t>
      </w:r>
      <w:r w:rsidRPr="00714542">
        <w:rPr>
          <w:rFonts w:cs="Times New Roman"/>
          <w:i/>
        </w:rPr>
        <w:t>Assessing the life cycle costs and carbon emissions of wind power</w:t>
      </w:r>
      <w:r w:rsidRPr="00EC195C">
        <w:rPr>
          <w:rFonts w:cs="Times New Roman"/>
        </w:rPr>
        <w:t>. ClimateXChange. Retrieved from https://www.climatexchange.org.uk/research/projects/assessing-the-life-cycle-costs-and-carbon-emissions-of-wind-power/</w:t>
      </w:r>
    </w:p>
    <w:p w14:paraId="4573101A" w14:textId="77777777" w:rsidR="00C34CCC" w:rsidRPr="00EC195C" w:rsidRDefault="00C34CCC" w:rsidP="004C1737">
      <w:pPr>
        <w:rPr>
          <w:rFonts w:cs="Times New Roman"/>
        </w:rPr>
      </w:pPr>
      <w:r w:rsidRPr="00B31546">
        <w:rPr>
          <w:rFonts w:cs="Times New Roman"/>
          <w:lang w:val="pt-PT"/>
        </w:rPr>
        <w:t xml:space="preserve">Tsiropoulos, I., Tarvydas, D., &amp; Zucker, A. (2018). </w:t>
      </w:r>
      <w:r w:rsidRPr="00714542">
        <w:rPr>
          <w:rFonts w:cs="Times New Roman"/>
          <w:i/>
        </w:rPr>
        <w:t>Cost development of low carbon energy technologies: Scenario-based cost trajectories to 2050</w:t>
      </w:r>
      <w:r w:rsidRPr="00EC195C">
        <w:rPr>
          <w:rFonts w:cs="Times New Roman"/>
        </w:rPr>
        <w:t>, 2017 edition - EU Science Hub - European Commission. Retrieved December 11, 2018, from: https://ec.europa.eu/jrc/en/publication/cost-development-low-carbon-energy-technologies-scenario-based-cost-trajectories-2050-2017-edition</w:t>
      </w:r>
    </w:p>
    <w:p w14:paraId="6A3D8564" w14:textId="77777777" w:rsidR="00C34CCC" w:rsidRPr="00EC195C" w:rsidRDefault="00C34CCC" w:rsidP="004C1737">
      <w:pPr>
        <w:rPr>
          <w:rFonts w:cs="Times New Roman"/>
        </w:rPr>
      </w:pPr>
      <w:r w:rsidRPr="00EC195C">
        <w:rPr>
          <w:rFonts w:cs="Times New Roman"/>
        </w:rPr>
        <w:t xml:space="preserve">U.S. D.O.E (2015). </w:t>
      </w:r>
      <w:r w:rsidRPr="00714542">
        <w:rPr>
          <w:rFonts w:cs="Times New Roman"/>
          <w:i/>
        </w:rPr>
        <w:t>2015 Wind Technologies Market Report</w:t>
      </w:r>
      <w:r w:rsidRPr="00EC195C">
        <w:rPr>
          <w:rFonts w:cs="Times New Roman"/>
        </w:rPr>
        <w:t xml:space="preserve">. U.S. Department of Energy. Retrieved from: http://energy.gov/sites/prod/files/2016/08/f33/2015­Wind­Technologies­Market­Report­08162016.pdf </w:t>
      </w:r>
    </w:p>
    <w:p w14:paraId="55334643" w14:textId="77777777" w:rsidR="00C34CCC" w:rsidRPr="00EC195C" w:rsidRDefault="00C34CCC" w:rsidP="004C1737">
      <w:pPr>
        <w:rPr>
          <w:rFonts w:cs="Times New Roman"/>
        </w:rPr>
      </w:pPr>
      <w:r w:rsidRPr="00EC195C">
        <w:rPr>
          <w:rFonts w:cs="Times New Roman"/>
        </w:rPr>
        <w:t xml:space="preserve">UNDESA. (2015). </w:t>
      </w:r>
      <w:r w:rsidRPr="00714542">
        <w:rPr>
          <w:rFonts w:cs="Times New Roman"/>
          <w:i/>
        </w:rPr>
        <w:t>World Population Prospects: The 2015 Revision</w:t>
      </w:r>
      <w:r w:rsidRPr="00EC195C">
        <w:rPr>
          <w:rFonts w:cs="Times New Roman"/>
        </w:rPr>
        <w:t>. United Nations Department of Economic and Social Aﬀairs, Population Division, United Nations, New York. Retrieved from: https://esa.un.org/unpd/wpp/</w:t>
      </w:r>
    </w:p>
    <w:p w14:paraId="2B1B58A0" w14:textId="77777777" w:rsidR="00C34CCC" w:rsidRPr="00EC195C" w:rsidRDefault="00C34CCC" w:rsidP="004C1737">
      <w:pPr>
        <w:rPr>
          <w:rFonts w:cs="Times New Roman"/>
        </w:rPr>
      </w:pPr>
      <w:r w:rsidRPr="00EC195C">
        <w:rPr>
          <w:rFonts w:cs="Times New Roman"/>
        </w:rPr>
        <w:t xml:space="preserve">van der Zwaan, B., Rivera-Tinoco, R., Lensink, S., &amp; van den Oosterkamp, P. (2012). Cost reductions for offshore wind power: Exploring the balance between scaling, learning and R&amp;D. </w:t>
      </w:r>
      <w:r w:rsidRPr="00714542">
        <w:rPr>
          <w:rFonts w:cs="Times New Roman"/>
          <w:i/>
        </w:rPr>
        <w:t>Renewable Energy, 41, 389–393</w:t>
      </w:r>
      <w:r w:rsidRPr="00EC195C">
        <w:rPr>
          <w:rFonts w:cs="Times New Roman"/>
        </w:rPr>
        <w:t>. https://doi.org/10.1016/j.renene.2011.11.014</w:t>
      </w:r>
    </w:p>
    <w:p w14:paraId="5323B543" w14:textId="77777777" w:rsidR="00C34CCC" w:rsidRPr="00EC195C" w:rsidRDefault="00C34CCC" w:rsidP="004C1737">
      <w:pPr>
        <w:rPr>
          <w:rFonts w:cs="Times New Roman"/>
        </w:rPr>
      </w:pPr>
      <w:r w:rsidRPr="00EC195C">
        <w:rPr>
          <w:rFonts w:cs="Times New Roman"/>
        </w:rPr>
        <w:t xml:space="preserve">WEC. (2013). </w:t>
      </w:r>
      <w:r w:rsidRPr="00714542">
        <w:rPr>
          <w:rFonts w:cs="Times New Roman"/>
          <w:i/>
        </w:rPr>
        <w:t>World Energy Perspective: Cost of Energy Technologies</w:t>
      </w:r>
      <w:r w:rsidRPr="00EC195C">
        <w:rPr>
          <w:rFonts w:cs="Times New Roman"/>
        </w:rPr>
        <w:t>. New York, NY: Bloomberg New Energy Finance. Retrieved from: http://www.worldenergy.org/wp-content/uploads/2013/09/WEC_J1143_CostofTECHNOLOGIES_021013_WEB_Final.pdf</w:t>
      </w:r>
    </w:p>
    <w:p w14:paraId="1BED9B97" w14:textId="77777777" w:rsidR="00C34CCC" w:rsidRPr="00EC195C" w:rsidRDefault="00C34CCC" w:rsidP="004C1737">
      <w:pPr>
        <w:rPr>
          <w:rFonts w:cs="Times New Roman"/>
        </w:rPr>
      </w:pPr>
      <w:r w:rsidRPr="00EC195C">
        <w:rPr>
          <w:rFonts w:cs="Times New Roman"/>
        </w:rPr>
        <w:t xml:space="preserve">Wiser, R. Bollinger, M. (2014). </w:t>
      </w:r>
      <w:r w:rsidRPr="00847BDA">
        <w:rPr>
          <w:rFonts w:cs="Times New Roman"/>
          <w:i/>
        </w:rPr>
        <w:t>2013 Wind Technologies Market Report.</w:t>
      </w:r>
      <w:r w:rsidRPr="00EC195C">
        <w:rPr>
          <w:rFonts w:cs="Times New Roman"/>
        </w:rPr>
        <w:t xml:space="preserve"> Oak Ridge, TN: Lawrence Berkeley National Laboratory. Retrieved from: http://emp.lbl.gov/sites/all/files/2013_Wind_Technologies_Market_Report_Final3.pdf</w:t>
      </w:r>
    </w:p>
    <w:p w14:paraId="0576B7F1" w14:textId="77777777" w:rsidR="00C34CCC" w:rsidRPr="00EC195C" w:rsidRDefault="00C34CCC" w:rsidP="004C1737">
      <w:pPr>
        <w:rPr>
          <w:rFonts w:cs="Times New Roman"/>
        </w:rPr>
      </w:pPr>
      <w:r w:rsidRPr="00EC195C">
        <w:rPr>
          <w:rFonts w:cs="Times New Roman"/>
        </w:rPr>
        <w:t xml:space="preserve">Wiser, R., Jenni, K., Seel, J., Baker, E., Hand, M., Lantz, E., &amp; Smith, A. (2016). Expert elicitation survey on future wind energy costs. </w:t>
      </w:r>
      <w:r w:rsidRPr="00847BDA">
        <w:rPr>
          <w:rFonts w:cs="Times New Roman"/>
          <w:i/>
        </w:rPr>
        <w:t>Nature Energy, 1, 16135.</w:t>
      </w:r>
      <w:r w:rsidRPr="00EC195C">
        <w:rPr>
          <w:rFonts w:cs="Times New Roman"/>
        </w:rPr>
        <w:t xml:space="preserve"> doi: http://dx.doi.org/10.1038/nenergy.2016.135</w:t>
      </w:r>
    </w:p>
    <w:p w14:paraId="3B85DC3C" w14:textId="7DC790C2" w:rsidR="00C34CCC" w:rsidRPr="001C5172" w:rsidRDefault="00C34CCC" w:rsidP="004C1737">
      <w:pPr>
        <w:rPr>
          <w:rFonts w:cs="Times New Roman"/>
        </w:rPr>
      </w:pPr>
      <w:r w:rsidRPr="00EC195C">
        <w:rPr>
          <w:rFonts w:cs="Times New Roman"/>
        </w:rPr>
        <w:t xml:space="preserve">Wiser, R., Yang, Z. (2011). </w:t>
      </w:r>
      <w:r w:rsidRPr="00847BDA">
        <w:rPr>
          <w:rFonts w:cs="Times New Roman"/>
          <w:i/>
        </w:rPr>
        <w:t>Chapter 7: Wind Energy.</w:t>
      </w:r>
      <w:r w:rsidRPr="00EC195C">
        <w:rPr>
          <w:rFonts w:cs="Times New Roman"/>
        </w:rPr>
        <w:t xml:space="preserve"> In IPCC Special Report on Renewable Energy Sources and Climate Change Mitigation. Cambridge, UK: Cambridge University Press. Retrieved from: </w:t>
      </w:r>
      <w:hyperlink r:id="rId33" w:history="1">
        <w:r w:rsidRPr="00FA7932">
          <w:rPr>
            <w:rStyle w:val="Hyperlink"/>
            <w:rFonts w:cs="Times New Roman"/>
          </w:rPr>
          <w:t>http://srren.ipcc-wg3.de/report/IPCC_SRREN_Ch07.pdf</w:t>
        </w:r>
      </w:hyperlink>
    </w:p>
    <w:p w14:paraId="641B6AEF" w14:textId="3EA9D390" w:rsidR="006745FF" w:rsidRPr="00A84B41" w:rsidRDefault="006745FF" w:rsidP="00A84B41">
      <w:pPr>
        <w:rPr>
          <w:rFonts w:eastAsia="Times New Roman"/>
        </w:rPr>
      </w:pPr>
      <w:r w:rsidRPr="00E069AC">
        <w:br w:type="page"/>
      </w:r>
    </w:p>
    <w:p w14:paraId="02EABFF3" w14:textId="40A66302" w:rsidR="006745FF" w:rsidRPr="00A84B41" w:rsidRDefault="006745FF" w:rsidP="00A84B41">
      <w:pPr>
        <w:pStyle w:val="Heading1"/>
      </w:pPr>
      <w:bookmarkStart w:id="63" w:name="_Toc18619534"/>
      <w:r w:rsidRPr="00E069AC">
        <w:t>Glossary</w:t>
      </w:r>
      <w:bookmarkEnd w:id="63"/>
    </w:p>
    <w:p w14:paraId="3C2A7379" w14:textId="77777777" w:rsidR="00593535" w:rsidRPr="00E069AC" w:rsidRDefault="00593535" w:rsidP="00593535">
      <w:r w:rsidRPr="00E069AC">
        <w:rPr>
          <w:b/>
        </w:rPr>
        <w:t>Adoption Scenario</w:t>
      </w:r>
      <w:r w:rsidRPr="00E069AC">
        <w:t xml:space="preserve"> – the predicted annual adoption over the period 2015 to 2060, which is usually measured in </w:t>
      </w:r>
      <w:r w:rsidRPr="00E069AC">
        <w:rPr>
          <w:b/>
        </w:rPr>
        <w:t>Functional Units</w:t>
      </w:r>
      <w:r w:rsidRPr="00E069AC">
        <w:t>. A range of scenarios is programmed in the model, but the user may enter her own. Note that the assumption behind most scenarios is one of growth. If for instance</w:t>
      </w:r>
      <w:r>
        <w:t>,</w:t>
      </w:r>
      <w:r w:rsidRPr="00E069AC">
        <w:t xml:space="preserve"> a solution is one of reduced heating energy usage due to better insulation, then the solution adoption is translated into an increase in </w:t>
      </w:r>
      <w:r>
        <w:t xml:space="preserve">the </w:t>
      </w:r>
      <w:r w:rsidRPr="00E069AC">
        <w:t xml:space="preserve">use of insulation. There are two types of adoption scenarios in use: </w:t>
      </w:r>
      <w:r w:rsidRPr="00E069AC">
        <w:rPr>
          <w:b/>
        </w:rPr>
        <w:t>Reference (REF)</w:t>
      </w:r>
      <w:r w:rsidRPr="00E069AC">
        <w:t xml:space="preserve"> where global adoption remains mostly constant, and </w:t>
      </w:r>
      <w:r w:rsidRPr="00E069AC">
        <w:rPr>
          <w:b/>
        </w:rPr>
        <w:t>Project Drawdown Scenarios (PDS)</w:t>
      </w:r>
      <w:r w:rsidRPr="00E069AC">
        <w:t xml:space="preserve"> which illustrate </w:t>
      </w:r>
      <w:r>
        <w:t xml:space="preserve">the </w:t>
      </w:r>
      <w:r w:rsidRPr="00E069AC">
        <w:t>high growth of the solution.</w:t>
      </w:r>
    </w:p>
    <w:p w14:paraId="439CB5FC" w14:textId="77777777" w:rsidR="00593535" w:rsidRPr="00E069AC" w:rsidRDefault="00593535" w:rsidP="00593535">
      <w:r w:rsidRPr="00E069AC">
        <w:rPr>
          <w:b/>
        </w:rPr>
        <w:t>Approximate PPM Equivalent</w:t>
      </w:r>
      <w:r w:rsidRPr="00E069AC">
        <w:t xml:space="preserve"> – the reduction in </w:t>
      </w:r>
      <w:r>
        <w:t xml:space="preserve">the </w:t>
      </w:r>
      <w:r w:rsidRPr="00E069AC">
        <w:t>atmospheric concentration of CO</w:t>
      </w:r>
      <w:r w:rsidRPr="00E069AC">
        <w:rPr>
          <w:vertAlign w:val="subscript"/>
        </w:rPr>
        <w:t>2</w:t>
      </w:r>
      <w:r w:rsidRPr="00E069AC">
        <w:t xml:space="preserve"> (in </w:t>
      </w:r>
      <w:r w:rsidRPr="00E069AC">
        <w:rPr>
          <w:b/>
        </w:rPr>
        <w:t>PPM</w:t>
      </w:r>
      <w:r w:rsidRPr="00E069AC">
        <w:t xml:space="preserve">) that is expected to result if the </w:t>
      </w:r>
      <w:r w:rsidRPr="00E069AC">
        <w:rPr>
          <w:b/>
        </w:rPr>
        <w:t>PDS Scenario</w:t>
      </w:r>
      <w:r w:rsidRPr="00E069AC">
        <w:t xml:space="preserve"> occurs. This assumes a discrete avoided pulse model based on the Bern Carbon Cycle model.</w:t>
      </w:r>
    </w:p>
    <w:p w14:paraId="6DFE53E5" w14:textId="77777777" w:rsidR="00593535" w:rsidRPr="00E069AC" w:rsidRDefault="00593535" w:rsidP="00593535">
      <w:r w:rsidRPr="00E069AC">
        <w:rPr>
          <w:b/>
        </w:rPr>
        <w:t>Average Abatement Cost</w:t>
      </w:r>
      <w:r w:rsidRPr="00E069AC">
        <w:t xml:space="preserve"> – the ratio of the present value of the solution (</w:t>
      </w:r>
      <w:r w:rsidRPr="00E069AC">
        <w:rPr>
          <w:b/>
        </w:rPr>
        <w:t>Net</w:t>
      </w:r>
      <w:r w:rsidRPr="00E069AC">
        <w:t xml:space="preserve"> </w:t>
      </w:r>
      <w:r w:rsidRPr="00E069AC">
        <w:rPr>
          <w:b/>
        </w:rPr>
        <w:t xml:space="preserve">Operating Savings </w:t>
      </w:r>
      <w:r w:rsidRPr="00E069AC">
        <w:t>minus</w:t>
      </w:r>
      <w:r w:rsidRPr="00E069AC">
        <w:rPr>
          <w:b/>
        </w:rPr>
        <w:t xml:space="preserve"> Marginal First Costs</w:t>
      </w:r>
      <w:r w:rsidRPr="00E069AC">
        <w:t xml:space="preserve">) and the </w:t>
      </w:r>
      <w:r w:rsidRPr="00E069AC">
        <w:rPr>
          <w:b/>
        </w:rPr>
        <w:t>Total Emissions Reduction</w:t>
      </w:r>
      <w:r w:rsidRPr="00E069AC">
        <w:t xml:space="preserve">. This is a single value for each solution for each </w:t>
      </w:r>
      <w:r w:rsidRPr="00E069AC">
        <w:rPr>
          <w:b/>
        </w:rPr>
        <w:t>PDS Scenario</w:t>
      </w:r>
      <w:r w:rsidRPr="00E069AC">
        <w:t xml:space="preserve"> and is used to build the characteristic “</w:t>
      </w:r>
      <w:r w:rsidRPr="00E069AC">
        <w:rPr>
          <w:i/>
        </w:rPr>
        <w:t>Marginal Abatement Cost</w:t>
      </w:r>
      <w:r w:rsidRPr="00E069AC">
        <w:t>” curves when Average Abatement Cost values for each solution are ordered and graphed.</w:t>
      </w:r>
    </w:p>
    <w:p w14:paraId="50E55FBE" w14:textId="77777777" w:rsidR="00593535" w:rsidRPr="00E069AC" w:rsidRDefault="00593535" w:rsidP="00593535">
      <w:r w:rsidRPr="00E069AC">
        <w:rPr>
          <w:b/>
        </w:rPr>
        <w:t>Average Annual Use</w:t>
      </w:r>
      <w:r w:rsidRPr="00E069AC">
        <w:t xml:space="preserve"> – the average number of functional units that a single implementation unit typically provides in one year. This is usually a weighted average for all users according to the data available. For instance, </w:t>
      </w:r>
      <w:r>
        <w:t xml:space="preserve">the </w:t>
      </w:r>
      <w:r w:rsidRPr="00E069AC">
        <w:t xml:space="preserve">total number of passenger-km driven by a hybrid vehicle in a year depends on </w:t>
      </w:r>
      <w:r>
        <w:t xml:space="preserve">the </w:t>
      </w:r>
      <w:r w:rsidRPr="00E069AC">
        <w:t xml:space="preserve">country and </w:t>
      </w:r>
      <w:r>
        <w:t xml:space="preserve">the </w:t>
      </w:r>
      <w:r w:rsidRPr="00E069AC">
        <w:t xml:space="preserve">typical number of occupants. We take global weighted averages for this input. This is used to estimate the </w:t>
      </w:r>
      <w:r w:rsidRPr="00E069AC">
        <w:rPr>
          <w:b/>
        </w:rPr>
        <w:t>Replacement Time</w:t>
      </w:r>
      <w:r w:rsidRPr="00E069AC">
        <w:t>.</w:t>
      </w:r>
    </w:p>
    <w:p w14:paraId="0A96D711" w14:textId="77777777" w:rsidR="00593535" w:rsidRPr="00E069AC" w:rsidRDefault="00593535" w:rsidP="00593535">
      <w:r w:rsidRPr="00E069AC">
        <w:rPr>
          <w:b/>
        </w:rPr>
        <w:t>Cumulative First Cost</w:t>
      </w:r>
      <w:r w:rsidRPr="00E069AC">
        <w:t xml:space="preserve"> – the total </w:t>
      </w:r>
      <w:r w:rsidRPr="00E069AC">
        <w:rPr>
          <w:b/>
        </w:rPr>
        <w:t>First Cost</w:t>
      </w:r>
      <w:r w:rsidRPr="00E069AC">
        <w:t xml:space="preserve"> of solution </w:t>
      </w:r>
      <w:r w:rsidRPr="00E069AC">
        <w:rPr>
          <w:b/>
        </w:rPr>
        <w:t>Implementation Units</w:t>
      </w:r>
      <w:r w:rsidRPr="00E069AC">
        <w:t xml:space="preserve"> purchased in the </w:t>
      </w:r>
      <w:r w:rsidRPr="00E069AC">
        <w:rPr>
          <w:b/>
        </w:rPr>
        <w:t>PDS Scenario</w:t>
      </w:r>
      <w:r w:rsidRPr="00E069AC">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7C54EE3" w14:textId="77777777" w:rsidR="00593535" w:rsidRPr="00E069AC" w:rsidRDefault="00593535" w:rsidP="00593535">
      <w:r w:rsidRPr="00E069AC">
        <w:rPr>
          <w:b/>
        </w:rPr>
        <w:t>Direct Emissions</w:t>
      </w:r>
      <w:r w:rsidRPr="00E069AC">
        <w:t xml:space="preserve"> – emissions caused by the operation of the solution, which are typically caused </w:t>
      </w:r>
      <w:r>
        <w:t>by</w:t>
      </w:r>
      <w:r w:rsidRPr="00E069AC">
        <w:t xml:space="preserve"> the lifetime </w:t>
      </w:r>
      <w:r>
        <w:t xml:space="preserve">use </w:t>
      </w:r>
      <w:r w:rsidRPr="00E069AC">
        <w:t>of the solution. They should be entered into the model normalized per functional unit.</w:t>
      </w:r>
    </w:p>
    <w:p w14:paraId="47703EA5" w14:textId="77777777" w:rsidR="00593535" w:rsidRPr="00E069AC" w:rsidRDefault="00593535" w:rsidP="00593535">
      <w:r w:rsidRPr="00E069AC">
        <w:rPr>
          <w:b/>
        </w:rPr>
        <w:t>Discount Rate</w:t>
      </w:r>
      <w:r w:rsidRPr="00E069AC">
        <w:t>- the interest rate used in discounted cash flow (DCF) analysis to determine the present value of future cash flows. The discount rate in DCF analysis takes into account</w:t>
      </w:r>
      <w:r>
        <w:t>,</w:t>
      </w:r>
      <w:r w:rsidRPr="00E069AC">
        <w:t xml:space="preserve"> not just the time value of money, but also the risk or uncertainty of future cash flows; the greater the uncertainty of future cash flows, the </w:t>
      </w:r>
      <w:r>
        <w:t>higher the discount rate.</w:t>
      </w:r>
      <w:r w:rsidRPr="00E069AC">
        <w:t xml:space="preserve"> Most importantly, the greater the discount rate, the more the future savings are devalued (which impacts the financial but not the climate impacts of the solution).  </w:t>
      </w:r>
    </w:p>
    <w:p w14:paraId="38201429" w14:textId="77777777" w:rsidR="00593535" w:rsidRPr="00E069AC" w:rsidRDefault="00593535" w:rsidP="00593535">
      <w:r w:rsidRPr="00E069AC">
        <w:rPr>
          <w:b/>
        </w:rPr>
        <w:t>Emissions</w:t>
      </w:r>
      <w:r w:rsidRPr="00E069AC">
        <w:t xml:space="preserve"> </w:t>
      </w:r>
      <w:r w:rsidRPr="00E069AC">
        <w:rPr>
          <w:b/>
        </w:rPr>
        <w:t>Factor</w:t>
      </w:r>
      <w:r w:rsidRPr="00E069AC">
        <w:t>– the average normalized emissions resulting from consumption of a unit of electricity across the global grid. Typical units are kg CO</w:t>
      </w:r>
      <w:r w:rsidRPr="00E069AC">
        <w:rPr>
          <w:vertAlign w:val="subscript"/>
        </w:rPr>
        <w:t>2</w:t>
      </w:r>
      <w:r w:rsidRPr="00E069AC">
        <w:t>e/kWh.</w:t>
      </w:r>
    </w:p>
    <w:p w14:paraId="41B24907" w14:textId="77777777" w:rsidR="00593535" w:rsidRPr="00E069AC" w:rsidRDefault="00593535" w:rsidP="00593535">
      <w:r w:rsidRPr="00E069AC">
        <w:rPr>
          <w:b/>
        </w:rPr>
        <w:t>First Cost</w:t>
      </w:r>
      <w:r w:rsidRPr="00E069AC">
        <w:t xml:space="preserve">- the investment cost per </w:t>
      </w:r>
      <w:r w:rsidRPr="00E069AC">
        <w:rPr>
          <w:b/>
        </w:rPr>
        <w:t>Implementation Unit</w:t>
      </w:r>
      <w:r w:rsidRPr="00E069AC">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6FA86D1A" w14:textId="77777777" w:rsidR="00593535" w:rsidRPr="00E069AC" w:rsidRDefault="00593535" w:rsidP="00593535">
      <w:r w:rsidRPr="00E069AC">
        <w:rPr>
          <w:b/>
        </w:rPr>
        <w:t>Functional Unit</w:t>
      </w:r>
      <w:r w:rsidRPr="00E069AC">
        <w:t xml:space="preserve"> – a measurement unit that represents the value, provided to the world, of the function that the solution performs. This depends on the solution. Therefore, LED Lighting provides petalumen-hours of light, Biomass provides tera-watt-hours of electricity and</w:t>
      </w:r>
      <w:r>
        <w:t xml:space="preserve"> high-</w:t>
      </w:r>
      <w:r w:rsidRPr="00E069AC">
        <w:t>speed rail provides billions of passenger-km of mobility.</w:t>
      </w:r>
    </w:p>
    <w:p w14:paraId="2B6E7D4D" w14:textId="77777777" w:rsidR="00593535" w:rsidRPr="00E069AC" w:rsidRDefault="00593535" w:rsidP="00593535">
      <w:r w:rsidRPr="00E069AC">
        <w:rPr>
          <w:b/>
        </w:rPr>
        <w:t>Grid Emissions</w:t>
      </w:r>
      <w:r w:rsidRPr="00E069AC">
        <w:t xml:space="preserve"> – emissions caused by </w:t>
      </w:r>
      <w:r>
        <w:t xml:space="preserve">the </w:t>
      </w:r>
      <w:r w:rsidRPr="00E069AC">
        <w:t>use of the electricity grid in supplying power to any operation associated with a solution. They should be in the units described below each variable entry cell. Drawdown models assume that the global electric grid, even in a Reference Sce</w:t>
      </w:r>
      <w:r>
        <w:t>nario, is slowly getting cleaner</w:t>
      </w:r>
      <w:r w:rsidRPr="00E069AC">
        <w:t xml:space="preserve"> and that emissions factors fall over time resulting in lower grid emissions for the same electricity demand.</w:t>
      </w:r>
    </w:p>
    <w:p w14:paraId="48C9BA61" w14:textId="77777777" w:rsidR="00593535" w:rsidRPr="00E069AC" w:rsidRDefault="00593535" w:rsidP="00593535">
      <w:r w:rsidRPr="00E069AC">
        <w:rPr>
          <w:b/>
        </w:rPr>
        <w:t>Implementation Unit</w:t>
      </w:r>
      <w:r w:rsidRPr="00E069AC">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7DFFF90C" w14:textId="77777777" w:rsidR="00593535" w:rsidRPr="00E069AC" w:rsidRDefault="00593535" w:rsidP="00593535">
      <w:r w:rsidRPr="00E069AC">
        <w:rPr>
          <w:b/>
        </w:rPr>
        <w:t>Indirect Emissions</w:t>
      </w:r>
      <w:r w:rsidRPr="00E069AC">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60022B15" w14:textId="77777777" w:rsidR="00593535" w:rsidRPr="00E069AC" w:rsidRDefault="00593535" w:rsidP="00593535">
      <w:r w:rsidRPr="00E069AC">
        <w:rPr>
          <w:b/>
        </w:rPr>
        <w:t>Learning Rate/Learning Curve</w:t>
      </w:r>
      <w:r w:rsidRPr="00E069AC">
        <w:t xml:space="preserve"> - Learning curves (sometimes called experience curves) are used to analyze a well-known and easily observed phenomenon: humans become increasingly efficient with experience. The first time a product is manufactured, or a service </w:t>
      </w:r>
      <w:r>
        <w:t xml:space="preserve">is </w:t>
      </w:r>
      <w:r w:rsidRPr="00E069AC">
        <w:t xml:space="preserve">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A84924">
        <w:t>good</w:t>
      </w:r>
      <w:r w:rsidRPr="00E069AC">
        <w:t xml:space="preserve"> drops by 2% every time total production doubles.</w:t>
      </w:r>
    </w:p>
    <w:p w14:paraId="4E3BA9DB" w14:textId="77777777" w:rsidR="00593535" w:rsidRPr="00E069AC" w:rsidRDefault="00593535" w:rsidP="00593535">
      <w:r w:rsidRPr="00E069AC">
        <w:rPr>
          <w:b/>
        </w:rPr>
        <w:t>Lifetime Capacity</w:t>
      </w:r>
      <w:r w:rsidRPr="00E069AC">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E069AC">
        <w:rPr>
          <w:b/>
        </w:rPr>
        <w:t>Replacement Time</w:t>
      </w:r>
      <w:r w:rsidRPr="00E069AC">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1F01F9B" w14:textId="77777777" w:rsidR="00593535" w:rsidRPr="00E069AC" w:rsidRDefault="00593535" w:rsidP="00593535">
      <w:r w:rsidRPr="00E069AC">
        <w:rPr>
          <w:b/>
        </w:rPr>
        <w:t>Lifetime Operating Savings</w:t>
      </w:r>
      <w:r w:rsidRPr="00E069AC">
        <w:t>–the operating cost in the PDS versus the REF scenarios over the lifetime of the implementation units purchased during the model period regardless of when their useful life ends.</w:t>
      </w:r>
    </w:p>
    <w:p w14:paraId="53F97079" w14:textId="77777777" w:rsidR="00593535" w:rsidRPr="00E069AC" w:rsidRDefault="00593535" w:rsidP="00593535">
      <w:r w:rsidRPr="00E069AC">
        <w:rPr>
          <w:b/>
        </w:rPr>
        <w:t>Lifetime Cashflow NPV</w:t>
      </w:r>
      <w:r w:rsidRPr="00E069AC">
        <w:t xml:space="preserve">-the present value (PV) of the net cash flows (PDS versus REF) in each year of the model period (2015-2060). The net cash flows include net operating costs and first costs. There are two results in the model: Lifetime Cashflow NPV for a Single </w:t>
      </w:r>
      <w:r w:rsidRPr="00E069AC">
        <w:rPr>
          <w:b/>
        </w:rPr>
        <w:t>Implementation Unit</w:t>
      </w:r>
      <w:r w:rsidRPr="00E069AC">
        <w:t xml:space="preserve">, which refers to the installation of one </w:t>
      </w:r>
      <w:r w:rsidRPr="00E069AC">
        <w:rPr>
          <w:b/>
        </w:rPr>
        <w:t>Implementation Unit</w:t>
      </w:r>
      <w:r w:rsidRPr="00E069AC">
        <w:t xml:space="preserve">, and Lifetime Cashflow NPV of All Units, which refers to all </w:t>
      </w:r>
      <w:r w:rsidRPr="00E069AC">
        <w:rPr>
          <w:b/>
        </w:rPr>
        <w:t>Implementation Units</w:t>
      </w:r>
      <w:r w:rsidRPr="00E069AC">
        <w:t xml:space="preserve"> installed in a particular scenario. These calculations are also available using profit inputs instead of operating costs.</w:t>
      </w:r>
    </w:p>
    <w:p w14:paraId="235CB2C4" w14:textId="77777777" w:rsidR="00593535" w:rsidRPr="00E069AC" w:rsidRDefault="00593535" w:rsidP="00593535">
      <w:r w:rsidRPr="00E069AC">
        <w:rPr>
          <w:b/>
        </w:rPr>
        <w:t>Marginal First Cost</w:t>
      </w:r>
      <w:r w:rsidRPr="00E069AC">
        <w:t xml:space="preserve"> – the difference between the </w:t>
      </w:r>
      <w:r w:rsidRPr="00E069AC">
        <w:rPr>
          <w:b/>
        </w:rPr>
        <w:t>First Cost</w:t>
      </w:r>
      <w:r w:rsidRPr="00E069AC">
        <w:t xml:space="preserve"> of all units (solution and conventional) installed in the </w:t>
      </w:r>
      <w:r w:rsidRPr="00E069AC">
        <w:rPr>
          <w:b/>
        </w:rPr>
        <w:t>PDS Scenario</w:t>
      </w:r>
      <w:r w:rsidRPr="00E069AC">
        <w:t xml:space="preserve"> and the </w:t>
      </w:r>
      <w:r w:rsidRPr="00E069AC">
        <w:rPr>
          <w:b/>
        </w:rPr>
        <w:t>First Cost</w:t>
      </w:r>
      <w:r w:rsidRPr="00E069AC">
        <w:t xml:space="preserve"> of all units installed in the </w:t>
      </w:r>
      <w:r w:rsidRPr="00E069AC">
        <w:rPr>
          <w:b/>
        </w:rPr>
        <w:t>REF Scenario</w:t>
      </w:r>
      <w:r w:rsidRPr="00E069AC">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3642D6C1" w14:textId="77777777" w:rsidR="00593535" w:rsidRPr="00E069AC" w:rsidRDefault="00593535" w:rsidP="00593535">
      <w:r w:rsidRPr="00E069AC">
        <w:rPr>
          <w:b/>
        </w:rPr>
        <w:t>Net Annual Functional Units (NAFU)</w:t>
      </w:r>
      <w:r w:rsidRPr="00E069AC">
        <w:t xml:space="preserve"> – the adoption in the PDS minus the adoption in the REF in each year of analysis. In the model, this represents the additional annual functional demand captured either by the solution in the </w:t>
      </w:r>
      <w:r w:rsidRPr="00E069AC">
        <w:rPr>
          <w:b/>
        </w:rPr>
        <w:t>PDS Scenario</w:t>
      </w:r>
      <w:r w:rsidRPr="00E069AC">
        <w:t xml:space="preserve"> or the conventional in the </w:t>
      </w:r>
      <w:r w:rsidRPr="00E069AC">
        <w:rPr>
          <w:b/>
        </w:rPr>
        <w:t>REF Scenario</w:t>
      </w:r>
      <w:r w:rsidRPr="00E069AC">
        <w:t>.</w:t>
      </w:r>
    </w:p>
    <w:p w14:paraId="3D3583E1" w14:textId="77777777" w:rsidR="00593535" w:rsidRPr="00E069AC" w:rsidRDefault="00593535" w:rsidP="00593535">
      <w:r w:rsidRPr="00E069AC">
        <w:rPr>
          <w:b/>
        </w:rPr>
        <w:t>Net Annual Implementation Units (NAIU)</w:t>
      </w:r>
      <w:r w:rsidRPr="00E069AC">
        <w:t xml:space="preserve"> – the number of </w:t>
      </w:r>
      <w:r w:rsidRPr="00E069AC">
        <w:rPr>
          <w:b/>
        </w:rPr>
        <w:t>Implementation Units</w:t>
      </w:r>
      <w:r w:rsidRPr="00E069AC">
        <w:t xml:space="preserve"> of the solution that are needed in the PDS to supply the </w:t>
      </w:r>
      <w:r w:rsidRPr="00E069AC">
        <w:rPr>
          <w:b/>
        </w:rPr>
        <w:t>Net Annual Functional Units (NAFU).</w:t>
      </w:r>
      <w:r w:rsidRPr="00E069AC">
        <w:t xml:space="preserve"> This equals the adoption in the PDS minus the adoption in the REF in each year of analysis divided by the average annual use.</w:t>
      </w:r>
    </w:p>
    <w:p w14:paraId="49111971" w14:textId="77777777" w:rsidR="00593535" w:rsidRPr="00E069AC" w:rsidRDefault="00593535" w:rsidP="00593535">
      <w:r w:rsidRPr="00E069AC">
        <w:rPr>
          <w:b/>
        </w:rPr>
        <w:t>Net Operating Savings</w:t>
      </w:r>
      <w:r w:rsidRPr="00E069AC">
        <w:t xml:space="preserve"> – The undiscounted difference between the operating cost of all units (solution and conventional) in the </w:t>
      </w:r>
      <w:r w:rsidRPr="00E069AC">
        <w:rPr>
          <w:b/>
        </w:rPr>
        <w:t>PDS Scenario</w:t>
      </w:r>
      <w:r w:rsidRPr="00E069AC">
        <w:t xml:space="preserve"> minus that of all units in the </w:t>
      </w:r>
      <w:r w:rsidRPr="00E069AC">
        <w:rPr>
          <w:b/>
        </w:rPr>
        <w:t>REF Scenario</w:t>
      </w:r>
      <w:r w:rsidRPr="00E069AC">
        <w:t>.</w:t>
      </w:r>
    </w:p>
    <w:p w14:paraId="3009E190" w14:textId="77777777" w:rsidR="00593535" w:rsidRPr="00E069AC" w:rsidRDefault="00593535" w:rsidP="00593535">
      <w:r w:rsidRPr="00E069AC">
        <w:rPr>
          <w:b/>
        </w:rPr>
        <w:t xml:space="preserve">Operating Costs </w:t>
      </w:r>
      <w:r w:rsidRPr="00E069AC">
        <w:t xml:space="preserve">– the average cost to ensure </w:t>
      </w:r>
      <w:r>
        <w:t xml:space="preserve">the </w:t>
      </w:r>
      <w:r w:rsidRPr="00E069AC">
        <w:t>operation of an activity (conventional or solution) which is measured in 2014$US/</w:t>
      </w:r>
      <w:r w:rsidRPr="00E069AC">
        <w:rPr>
          <w:b/>
        </w:rPr>
        <w:t>Functional Unit</w:t>
      </w:r>
      <w:r w:rsidRPr="00E069AC">
        <w:t xml:space="preserve">.  This is needed to estimate how much it would cost to achieve the adoption projected when compared to the </w:t>
      </w:r>
      <w:r w:rsidRPr="00E069AC">
        <w:rPr>
          <w:b/>
        </w:rPr>
        <w:t>REF Case</w:t>
      </w:r>
      <w:r w:rsidRPr="00E069AC">
        <w:t xml:space="preserve">. Note that this excludes </w:t>
      </w:r>
      <w:r w:rsidRPr="00E069AC">
        <w:rPr>
          <w:b/>
        </w:rPr>
        <w:t>First Costs</w:t>
      </w:r>
      <w:r w:rsidRPr="00E069AC">
        <w:t xml:space="preserve"> for implementing the solution.</w:t>
      </w:r>
    </w:p>
    <w:p w14:paraId="061F1F2B" w14:textId="77777777" w:rsidR="00593535" w:rsidRPr="00E069AC" w:rsidRDefault="00593535" w:rsidP="00593535">
      <w:r w:rsidRPr="00E069AC">
        <w:rPr>
          <w:b/>
        </w:rPr>
        <w:t>Payback Period</w:t>
      </w:r>
      <w:r w:rsidRPr="00E069AC">
        <w:t xml:space="preserve"> – the number of years required to pay all the </w:t>
      </w:r>
      <w:r w:rsidRPr="00E069AC">
        <w:rPr>
          <w:b/>
        </w:rPr>
        <w:t>First Costs</w:t>
      </w:r>
      <w:r w:rsidRPr="00E069AC">
        <w:t xml:space="preserve"> of the solution using </w:t>
      </w:r>
      <w:r w:rsidRPr="00E069AC">
        <w:rPr>
          <w:b/>
        </w:rPr>
        <w:t>Net Operating Savings</w:t>
      </w:r>
      <w:r w:rsidRPr="00E069AC">
        <w:t xml:space="preserve">. There are four specific metrics each with one of </w:t>
      </w:r>
      <w:r w:rsidRPr="00E069AC">
        <w:rPr>
          <w:b/>
        </w:rPr>
        <w:t>Marginal First Costs</w:t>
      </w:r>
      <w:r w:rsidRPr="00E069AC">
        <w:t xml:space="preserve"> or </w:t>
      </w:r>
      <w:r w:rsidRPr="00E069AC">
        <w:rPr>
          <w:b/>
        </w:rPr>
        <w:t>First Costs</w:t>
      </w:r>
      <w:r w:rsidRPr="00E069AC">
        <w:t xml:space="preserve"> of the solution only combined with either discounted or non-discounted values. All four are in the model. Additionally, the four outputs are calculated using the increased profit estimation instead of </w:t>
      </w:r>
      <w:r w:rsidRPr="00E069AC">
        <w:rPr>
          <w:b/>
        </w:rPr>
        <w:t>Net Operating Savings</w:t>
      </w:r>
      <w:r w:rsidRPr="00E069AC">
        <w:t>.</w:t>
      </w:r>
    </w:p>
    <w:p w14:paraId="72FB5D87" w14:textId="77777777" w:rsidR="00593535" w:rsidRPr="00E069AC" w:rsidRDefault="00593535" w:rsidP="00593535">
      <w:r w:rsidRPr="00E069AC">
        <w:rPr>
          <w:b/>
        </w:rPr>
        <w:t>PDS/ Project Drawdown Scenario</w:t>
      </w:r>
      <w:r w:rsidRPr="00E069AC">
        <w:t xml:space="preserve"> – this is the high growth scenario for </w:t>
      </w:r>
      <w:r>
        <w:t xml:space="preserve">the </w:t>
      </w:r>
      <w:r w:rsidRPr="00E069AC">
        <w:t>adoption of the solution</w:t>
      </w:r>
      <w:r>
        <w:t>.</w:t>
      </w:r>
    </w:p>
    <w:p w14:paraId="30400AFD" w14:textId="77777777" w:rsidR="00593535" w:rsidRPr="00E069AC" w:rsidRDefault="00593535" w:rsidP="00593535">
      <w:r w:rsidRPr="00E069AC">
        <w:rPr>
          <w:b/>
        </w:rPr>
        <w:t>PPB/ Parts per Billion</w:t>
      </w:r>
      <w:r w:rsidRPr="00E069AC">
        <w:t xml:space="preserve"> – a measure of concentration for atmospheric gases. 10 million PPB = 1%.</w:t>
      </w:r>
    </w:p>
    <w:p w14:paraId="23F26AFF" w14:textId="77777777" w:rsidR="00593535" w:rsidRPr="00E069AC" w:rsidRDefault="00593535" w:rsidP="00593535">
      <w:r w:rsidRPr="00E069AC">
        <w:rPr>
          <w:b/>
        </w:rPr>
        <w:t>PPM/ Parts per Million</w:t>
      </w:r>
      <w:r w:rsidRPr="00E069AC">
        <w:t xml:space="preserve"> – a measure of concentration for atmospheric gases. 10 thousand PPM = 1%.</w:t>
      </w:r>
    </w:p>
    <w:p w14:paraId="25FF7F5F" w14:textId="77777777" w:rsidR="00593535" w:rsidRPr="00E069AC" w:rsidRDefault="00593535" w:rsidP="00593535">
      <w:r w:rsidRPr="00E069AC">
        <w:rPr>
          <w:b/>
        </w:rPr>
        <w:t>REF/ Reference Scenario</w:t>
      </w:r>
      <w:r w:rsidRPr="00E069AC">
        <w:t xml:space="preserve"> – this is the low growth scenario for </w:t>
      </w:r>
      <w:r>
        <w:t xml:space="preserve">the </w:t>
      </w:r>
      <w:r w:rsidRPr="00E069AC">
        <w:t xml:space="preserve">adoption of the solution against which all </w:t>
      </w:r>
      <w:r w:rsidRPr="00E069AC">
        <w:rPr>
          <w:b/>
        </w:rPr>
        <w:t>PDS scenarios</w:t>
      </w:r>
      <w:r w:rsidRPr="00E069AC">
        <w:t xml:space="preserve"> are compared.</w:t>
      </w:r>
    </w:p>
    <w:p w14:paraId="2D85268C" w14:textId="77777777" w:rsidR="00593535" w:rsidRPr="00E069AC" w:rsidRDefault="00593535" w:rsidP="00593535">
      <w:r w:rsidRPr="00E069AC">
        <w:rPr>
          <w:b/>
        </w:rPr>
        <w:t>Replacement Time</w:t>
      </w:r>
      <w:r w:rsidRPr="00E069AC">
        <w:t xml:space="preserve">- the length of time in years, from installation/acquisition/setup of the solution through usage until a new installation/acquisition/setup is required to replace the earlier one.  This is calculated as the ratio of </w:t>
      </w:r>
      <w:r w:rsidRPr="00E069AC">
        <w:rPr>
          <w:b/>
        </w:rPr>
        <w:t>Lifetime Capacity</w:t>
      </w:r>
      <w:r w:rsidRPr="00E069AC">
        <w:t xml:space="preserve"> and the </w:t>
      </w:r>
      <w:r w:rsidRPr="00E069AC">
        <w:rPr>
          <w:b/>
        </w:rPr>
        <w:t>Average Annual Use</w:t>
      </w:r>
      <w:r w:rsidRPr="00E069AC">
        <w:t>.</w:t>
      </w:r>
    </w:p>
    <w:p w14:paraId="68248446" w14:textId="77777777" w:rsidR="00593535" w:rsidRPr="00E069AC" w:rsidRDefault="00593535" w:rsidP="00593535">
      <w:r w:rsidRPr="00E069AC">
        <w:rPr>
          <w:b/>
        </w:rPr>
        <w:t xml:space="preserve">TAM/ Total Addressable Market </w:t>
      </w:r>
      <w:r w:rsidRPr="00E069AC">
        <w:t xml:space="preserve">– represents the total potential market of functional demand provided by the technologies and practices under investigation, adjusting for estimated economic and population growth. For this solutions sector, it represents </w:t>
      </w:r>
      <w:r>
        <w:t xml:space="preserve">the </w:t>
      </w:r>
      <w:r w:rsidRPr="00E069AC">
        <w:t>world and regional total addressable markets for electricity generation technologies in which the solutions are considered.</w:t>
      </w:r>
    </w:p>
    <w:p w14:paraId="5BF37334" w14:textId="77777777" w:rsidR="00593535" w:rsidRPr="00E069AC" w:rsidRDefault="00593535" w:rsidP="00593535">
      <w:r w:rsidRPr="00E069AC">
        <w:rPr>
          <w:b/>
        </w:rPr>
        <w:t>Total Emissions Reduction</w:t>
      </w:r>
      <w:r w:rsidRPr="00E069AC">
        <w:t xml:space="preserve"> – the sum of </w:t>
      </w:r>
      <w:r>
        <w:t xml:space="preserve">the </w:t>
      </w:r>
      <w:r w:rsidRPr="00E069AC">
        <w:t xml:space="preserve">grid, fuel, indirect, and other direct emissions reductions over the analysis period. The emissions reduction of each of these is the difference between the emissions that would have resulted in the </w:t>
      </w:r>
      <w:r w:rsidRPr="00E069AC">
        <w:rPr>
          <w:b/>
        </w:rPr>
        <w:t>REF Scenario</w:t>
      </w:r>
      <w:r w:rsidRPr="00E069AC">
        <w:t xml:space="preserve"> (from both solution and conventional) and the emissions that would result in the </w:t>
      </w:r>
      <w:r w:rsidRPr="00E069AC">
        <w:rPr>
          <w:b/>
        </w:rPr>
        <w:t>PDS Scenario</w:t>
      </w:r>
      <w:r w:rsidRPr="00E069AC">
        <w:t>. These may also be considered as “emissions avoided” as they may have occurred in the REF Scenario, but not in the PDS Scenario.</w:t>
      </w:r>
    </w:p>
    <w:p w14:paraId="259782CF" w14:textId="77777777" w:rsidR="00593535" w:rsidRPr="00E069AC" w:rsidRDefault="00593535" w:rsidP="00593535">
      <w:pPr>
        <w:rPr>
          <w:rFonts w:cstheme="minorHAnsi"/>
        </w:rPr>
      </w:pPr>
      <w:r w:rsidRPr="00E069AC">
        <w:rPr>
          <w:rFonts w:cstheme="minorHAnsi"/>
          <w:b/>
        </w:rPr>
        <w:t>Transition solutions</w:t>
      </w:r>
      <w:r w:rsidRPr="00E069AC">
        <w:rPr>
          <w:rFonts w:cstheme="minorHAnsi"/>
        </w:rPr>
        <w:t xml:space="preserve"> </w:t>
      </w:r>
      <w:r>
        <w:rPr>
          <w:rFonts w:cstheme="minorHAnsi"/>
        </w:rPr>
        <w:t xml:space="preserve">- </w:t>
      </w:r>
      <w:r w:rsidRPr="00E069AC">
        <w:rPr>
          <w:rFonts w:cstheme="minorHAnsi"/>
        </w:rPr>
        <w:t>are considered till better technologies a</w:t>
      </w:r>
      <w:r>
        <w:rPr>
          <w:rFonts w:cstheme="minorHAnsi"/>
        </w:rPr>
        <w:t>nd less impactful are more cost-</w:t>
      </w:r>
      <w:r w:rsidRPr="00E069AC">
        <w:rPr>
          <w:rFonts w:cstheme="minorHAnsi"/>
        </w:rPr>
        <w:t xml:space="preserve">effective and mature. </w:t>
      </w:r>
    </w:p>
    <w:p w14:paraId="57B3845F" w14:textId="587D9805" w:rsidR="006745FF" w:rsidRPr="00996E91" w:rsidRDefault="00593535" w:rsidP="00593535">
      <w:r w:rsidRPr="00E069AC">
        <w:rPr>
          <w:b/>
        </w:rPr>
        <w:t>TWh/ Terawatt-hour</w:t>
      </w:r>
      <w:r w:rsidRPr="00E069AC">
        <w:t xml:space="preserve"> – A unit of energy equal to 1 billion kilowatt-hours</w:t>
      </w:r>
      <w:r>
        <w:t>.</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D4B93" w14:textId="77777777" w:rsidR="00726209" w:rsidRDefault="00726209" w:rsidP="00D26F59">
      <w:pPr>
        <w:spacing w:after="0"/>
      </w:pPr>
      <w:r>
        <w:separator/>
      </w:r>
    </w:p>
  </w:endnote>
  <w:endnote w:type="continuationSeparator" w:id="0">
    <w:p w14:paraId="655821D6" w14:textId="77777777" w:rsidR="00726209" w:rsidRDefault="00726209"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1B406" w14:textId="77777777" w:rsidR="00D03FA0" w:rsidRDefault="00D03FA0"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B432DB" w14:textId="77777777" w:rsidR="00D03FA0" w:rsidRDefault="00D03FA0"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D6C26" w14:textId="77777777" w:rsidR="00D03FA0" w:rsidRDefault="00D03FA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8FADFEC" w14:textId="77777777" w:rsidR="00D03FA0" w:rsidRDefault="00D03FA0" w:rsidP="00EB247F">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D03FA0" w:rsidRDefault="00D03FA0"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D03FA0" w:rsidRDefault="00D03FA0" w:rsidP="00F5259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1670" w14:textId="77777777" w:rsidR="00D03FA0" w:rsidRDefault="00D03FA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D03FA0" w:rsidRDefault="00D03FA0"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C459" w14:textId="77777777" w:rsidR="00726209" w:rsidRDefault="00726209" w:rsidP="00D26F59">
      <w:pPr>
        <w:spacing w:after="0"/>
      </w:pPr>
      <w:r>
        <w:separator/>
      </w:r>
    </w:p>
  </w:footnote>
  <w:footnote w:type="continuationSeparator" w:id="0">
    <w:p w14:paraId="5073AAFA" w14:textId="77777777" w:rsidR="00726209" w:rsidRDefault="00726209" w:rsidP="00D26F59">
      <w:pPr>
        <w:spacing w:after="0"/>
      </w:pPr>
      <w:r>
        <w:continuationSeparator/>
      </w:r>
    </w:p>
  </w:footnote>
  <w:footnote w:id="1">
    <w:p w14:paraId="78D1EC0C" w14:textId="71A52946" w:rsidR="00D03FA0" w:rsidRPr="007B7096" w:rsidRDefault="00D03FA0" w:rsidP="007B7096">
      <w:pPr>
        <w:spacing w:after="0" w:line="240" w:lineRule="auto"/>
        <w:jc w:val="left"/>
        <w:rPr>
          <w:rFonts w:eastAsia="Times New Roman" w:cs="Times New Roman"/>
          <w:sz w:val="18"/>
          <w:szCs w:val="18"/>
          <w:lang w:eastAsia="en-US"/>
        </w:rPr>
      </w:pPr>
      <w:r w:rsidRPr="007864AB">
        <w:rPr>
          <w:rStyle w:val="FootnoteReference"/>
          <w:rFonts w:cstheme="minorHAnsi"/>
        </w:rPr>
        <w:footnoteRef/>
      </w:r>
      <w:r w:rsidRPr="007864AB">
        <w:rPr>
          <w:rFonts w:cstheme="minorHAnsi"/>
        </w:rPr>
        <w:t xml:space="preserve"> </w:t>
      </w:r>
      <w:r w:rsidRPr="002971A6">
        <w:rPr>
          <w:rFonts w:eastAsia="Times New Roman" w:cs="Times New Roman"/>
          <w:sz w:val="18"/>
          <w:szCs w:val="18"/>
          <w:lang w:eastAsia="en-US"/>
        </w:rPr>
        <w:t>Current adoption is defined as the amount of functional demand supplied by the solution in 2018. This study uses 2014 as the base year due to the availability of global adoption data for all Project Drawdown solutions evaluated</w:t>
      </w:r>
      <w:r>
        <w:rPr>
          <w:rFonts w:eastAsia="Times New Roman" w:cs="Times New Roman"/>
          <w:sz w:val="18"/>
          <w:szCs w:val="18"/>
          <w:lang w:eastAsia="en-US"/>
        </w:rPr>
        <w:t>.</w:t>
      </w:r>
    </w:p>
  </w:footnote>
  <w:footnote w:id="2">
    <w:p w14:paraId="23312108" w14:textId="5F1C10E8" w:rsidR="00D03FA0" w:rsidRDefault="00D03FA0" w:rsidP="005C2BC8">
      <w:pPr>
        <w:pStyle w:val="FootnoteText"/>
      </w:pPr>
      <w:r w:rsidRPr="005B2173">
        <w:rPr>
          <w:rStyle w:val="FootnoteReference"/>
          <w:color w:val="000000" w:themeColor="text1"/>
        </w:rPr>
        <w:footnoteRef/>
      </w:r>
      <w:r w:rsidRPr="005B2173">
        <w:rPr>
          <w:color w:val="000000" w:themeColor="text1"/>
        </w:rPr>
        <w:t xml:space="preserve"> </w:t>
      </w:r>
      <w:r w:rsidRPr="005B2173">
        <w:rPr>
          <w:rFonts w:asciiTheme="majorHAnsi" w:hAnsiTheme="majorHAnsi"/>
          <w:color w:val="000000" w:themeColor="text1"/>
        </w:rPr>
        <w:t xml:space="preserve">Only Arent </w:t>
      </w:r>
      <w:r w:rsidRPr="005B2173">
        <w:rPr>
          <w:rFonts w:asciiTheme="majorHAnsi" w:hAnsiTheme="majorHAnsi"/>
          <w:i/>
          <w:color w:val="000000" w:themeColor="text1"/>
        </w:rPr>
        <w:t>et al.</w:t>
      </w:r>
      <w:r w:rsidRPr="005B2173">
        <w:rPr>
          <w:rFonts w:asciiTheme="majorHAnsi" w:hAnsiTheme="majorHAnsi"/>
          <w:color w:val="000000" w:themeColor="text1"/>
        </w:rPr>
        <w:t xml:space="preserve"> </w:t>
      </w:r>
      <w:r>
        <w:rPr>
          <w:rFonts w:asciiTheme="majorHAnsi" w:hAnsiTheme="majorHAnsi"/>
          <w:color w:val="000000" w:themeColor="text1"/>
        </w:rPr>
        <w:t xml:space="preserve">(2014) </w:t>
      </w:r>
      <w:r w:rsidRPr="005B2173">
        <w:rPr>
          <w:rFonts w:asciiTheme="majorHAnsi" w:hAnsiTheme="majorHAnsi"/>
          <w:color w:val="000000" w:themeColor="text1"/>
        </w:rPr>
        <w:t>include biomass as renewable energy.</w:t>
      </w:r>
      <w:r w:rsidRPr="005B2173">
        <w:rPr>
          <w:color w:val="000000" w:themeColor="text1"/>
        </w:rPr>
        <w:t xml:space="preserve"> </w:t>
      </w:r>
    </w:p>
  </w:footnote>
  <w:footnote w:id="3">
    <w:p w14:paraId="73480CD1" w14:textId="77777777" w:rsidR="00D03FA0" w:rsidRPr="00602D83" w:rsidRDefault="00D03FA0" w:rsidP="00602D83">
      <w:pPr>
        <w:pStyle w:val="FootnoteText"/>
      </w:pPr>
      <w:r>
        <w:rPr>
          <w:rStyle w:val="FootnoteReference"/>
        </w:rPr>
        <w:footnoteRef/>
      </w:r>
      <w:r>
        <w:t xml:space="preserve"> </w:t>
      </w:r>
      <w:r w:rsidRPr="00E615DE">
        <w:t xml:space="preserve">Current adoption is defined as the amount of functional demand supplied by the solution in the base year of study. This study uses </w:t>
      </w:r>
      <w:r w:rsidRPr="00602D83">
        <w:t>2014 as the base year due to the availability of global adoption data for all Project Drawdown solutions evaluated.</w:t>
      </w:r>
    </w:p>
  </w:footnote>
  <w:footnote w:id="4">
    <w:p w14:paraId="7183C9BF" w14:textId="77777777" w:rsidR="00D03FA0" w:rsidRDefault="00D03FA0" w:rsidP="00A04734">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111E58CC"/>
    <w:multiLevelType w:val="hybridMultilevel"/>
    <w:tmpl w:val="5C8844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9"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1" w15:restartNumberingAfterBreak="0">
    <w:nsid w:val="24C01383"/>
    <w:multiLevelType w:val="hybridMultilevel"/>
    <w:tmpl w:val="6848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F4F1E"/>
    <w:multiLevelType w:val="hybridMultilevel"/>
    <w:tmpl w:val="15C6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E4AB3"/>
    <w:multiLevelType w:val="multilevel"/>
    <w:tmpl w:val="97CAB304"/>
    <w:lvl w:ilvl="0">
      <w:start w:val="1"/>
      <w:numFmt w:val="decimal"/>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E94073E"/>
    <w:multiLevelType w:val="multilevel"/>
    <w:tmpl w:val="845A0176"/>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0"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2" w15:restartNumberingAfterBreak="0">
    <w:nsid w:val="5222233E"/>
    <w:multiLevelType w:val="multilevel"/>
    <w:tmpl w:val="974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25"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687883"/>
    <w:multiLevelType w:val="multilevel"/>
    <w:tmpl w:val="0E00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30"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21"/>
  </w:num>
  <w:num w:numId="4">
    <w:abstractNumId w:val="6"/>
  </w:num>
  <w:num w:numId="5">
    <w:abstractNumId w:val="29"/>
  </w:num>
  <w:num w:numId="6">
    <w:abstractNumId w:val="19"/>
  </w:num>
  <w:num w:numId="7">
    <w:abstractNumId w:val="24"/>
  </w:num>
  <w:num w:numId="8">
    <w:abstractNumId w:val="3"/>
  </w:num>
  <w:num w:numId="9">
    <w:abstractNumId w:val="7"/>
  </w:num>
  <w:num w:numId="10">
    <w:abstractNumId w:val="18"/>
  </w:num>
  <w:num w:numId="11">
    <w:abstractNumId w:val="15"/>
  </w:num>
  <w:num w:numId="12">
    <w:abstractNumId w:val="23"/>
  </w:num>
  <w:num w:numId="13">
    <w:abstractNumId w:val="9"/>
  </w:num>
  <w:num w:numId="14">
    <w:abstractNumId w:val="13"/>
  </w:num>
  <w:num w:numId="15">
    <w:abstractNumId w:val="2"/>
  </w:num>
  <w:num w:numId="16">
    <w:abstractNumId w:val="5"/>
  </w:num>
  <w:num w:numId="17">
    <w:abstractNumId w:val="25"/>
  </w:num>
  <w:num w:numId="18">
    <w:abstractNumId w:val="28"/>
  </w:num>
  <w:num w:numId="19">
    <w:abstractNumId w:val="26"/>
  </w:num>
  <w:num w:numId="20">
    <w:abstractNumId w:val="14"/>
  </w:num>
  <w:num w:numId="21">
    <w:abstractNumId w:val="7"/>
  </w:num>
  <w:num w:numId="22">
    <w:abstractNumId w:val="7"/>
  </w:num>
  <w:num w:numId="23">
    <w:abstractNumId w:val="10"/>
  </w:num>
  <w:num w:numId="24">
    <w:abstractNumId w:val="16"/>
  </w:num>
  <w:num w:numId="25">
    <w:abstractNumId w:val="20"/>
  </w:num>
  <w:num w:numId="26">
    <w:abstractNumId w:val="17"/>
  </w:num>
  <w:num w:numId="27">
    <w:abstractNumId w:val="17"/>
  </w:num>
  <w:num w:numId="28">
    <w:abstractNumId w:val="17"/>
    <w:lvlOverride w:ilvl="0">
      <w:startOverride w:val="2"/>
    </w:lvlOverride>
    <w:lvlOverride w:ilvl="1">
      <w:startOverride w:val="1"/>
    </w:lvlOverride>
  </w:num>
  <w:num w:numId="29">
    <w:abstractNumId w:val="17"/>
    <w:lvlOverride w:ilvl="0">
      <w:startOverride w:val="4"/>
    </w:lvlOverride>
    <w:lvlOverride w:ilvl="1">
      <w:startOverride w:val="1"/>
    </w:lvlOverride>
  </w:num>
  <w:num w:numId="30">
    <w:abstractNumId w:val="17"/>
    <w:lvlOverride w:ilvl="0">
      <w:startOverride w:val="3"/>
    </w:lvlOverride>
    <w:lvlOverride w:ilvl="1">
      <w:startOverride w:val="1"/>
    </w:lvlOverride>
  </w:num>
  <w:num w:numId="31">
    <w:abstractNumId w:val="4"/>
  </w:num>
  <w:num w:numId="32">
    <w:abstractNumId w:val="22"/>
  </w:num>
  <w:num w:numId="33">
    <w:abstractNumId w:val="27"/>
  </w:num>
  <w:num w:numId="34">
    <w:abstractNumId w:val="12"/>
  </w:num>
  <w:num w:numId="35">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C08"/>
    <w:rsid w:val="0000143C"/>
    <w:rsid w:val="00014CE5"/>
    <w:rsid w:val="00014DE8"/>
    <w:rsid w:val="0001563F"/>
    <w:rsid w:val="000178CE"/>
    <w:rsid w:val="00024F11"/>
    <w:rsid w:val="00027B88"/>
    <w:rsid w:val="000330C6"/>
    <w:rsid w:val="00033F5F"/>
    <w:rsid w:val="00035415"/>
    <w:rsid w:val="00041854"/>
    <w:rsid w:val="00043370"/>
    <w:rsid w:val="0004423B"/>
    <w:rsid w:val="000538DD"/>
    <w:rsid w:val="00054158"/>
    <w:rsid w:val="00056ED1"/>
    <w:rsid w:val="00057050"/>
    <w:rsid w:val="00071651"/>
    <w:rsid w:val="000731BB"/>
    <w:rsid w:val="00075F31"/>
    <w:rsid w:val="000760BA"/>
    <w:rsid w:val="000828F9"/>
    <w:rsid w:val="000829DC"/>
    <w:rsid w:val="00084D89"/>
    <w:rsid w:val="000856B7"/>
    <w:rsid w:val="000875B5"/>
    <w:rsid w:val="0009232E"/>
    <w:rsid w:val="0009271D"/>
    <w:rsid w:val="0009541F"/>
    <w:rsid w:val="000A4727"/>
    <w:rsid w:val="000A6F40"/>
    <w:rsid w:val="000B1609"/>
    <w:rsid w:val="000B1918"/>
    <w:rsid w:val="000B3EE3"/>
    <w:rsid w:val="000C0082"/>
    <w:rsid w:val="000C04D3"/>
    <w:rsid w:val="000C3205"/>
    <w:rsid w:val="000C3F49"/>
    <w:rsid w:val="000C7A55"/>
    <w:rsid w:val="000D2966"/>
    <w:rsid w:val="000D30DE"/>
    <w:rsid w:val="000D3855"/>
    <w:rsid w:val="000D7BC5"/>
    <w:rsid w:val="000E3CD2"/>
    <w:rsid w:val="000E594F"/>
    <w:rsid w:val="000E7237"/>
    <w:rsid w:val="000F131E"/>
    <w:rsid w:val="000F4B1F"/>
    <w:rsid w:val="000F57BD"/>
    <w:rsid w:val="00101408"/>
    <w:rsid w:val="0010165C"/>
    <w:rsid w:val="001025DC"/>
    <w:rsid w:val="001073C8"/>
    <w:rsid w:val="00112479"/>
    <w:rsid w:val="00116FAB"/>
    <w:rsid w:val="001228B8"/>
    <w:rsid w:val="00123A28"/>
    <w:rsid w:val="00124262"/>
    <w:rsid w:val="00124C49"/>
    <w:rsid w:val="00125B80"/>
    <w:rsid w:val="00127562"/>
    <w:rsid w:val="00132606"/>
    <w:rsid w:val="00136093"/>
    <w:rsid w:val="00137B91"/>
    <w:rsid w:val="00137C55"/>
    <w:rsid w:val="00140F1E"/>
    <w:rsid w:val="00144585"/>
    <w:rsid w:val="00152E5D"/>
    <w:rsid w:val="001534F5"/>
    <w:rsid w:val="00157B59"/>
    <w:rsid w:val="00166C53"/>
    <w:rsid w:val="00171DF3"/>
    <w:rsid w:val="001759D2"/>
    <w:rsid w:val="00176B3E"/>
    <w:rsid w:val="0018020D"/>
    <w:rsid w:val="0018298D"/>
    <w:rsid w:val="00182BC2"/>
    <w:rsid w:val="001A1AB8"/>
    <w:rsid w:val="001A6EB0"/>
    <w:rsid w:val="001B1300"/>
    <w:rsid w:val="001B3003"/>
    <w:rsid w:val="001B58F5"/>
    <w:rsid w:val="001B6745"/>
    <w:rsid w:val="001C2B6F"/>
    <w:rsid w:val="001C3DC0"/>
    <w:rsid w:val="001C3E6C"/>
    <w:rsid w:val="001C49CB"/>
    <w:rsid w:val="001C5172"/>
    <w:rsid w:val="001C5872"/>
    <w:rsid w:val="001D09CF"/>
    <w:rsid w:val="001D17E8"/>
    <w:rsid w:val="001E0FF2"/>
    <w:rsid w:val="001E3B1E"/>
    <w:rsid w:val="001F005B"/>
    <w:rsid w:val="001F25B9"/>
    <w:rsid w:val="001F2EFC"/>
    <w:rsid w:val="001F6FB0"/>
    <w:rsid w:val="00202788"/>
    <w:rsid w:val="00204C4C"/>
    <w:rsid w:val="002054FC"/>
    <w:rsid w:val="0021082B"/>
    <w:rsid w:val="00215F04"/>
    <w:rsid w:val="00216886"/>
    <w:rsid w:val="00216B08"/>
    <w:rsid w:val="00217720"/>
    <w:rsid w:val="00217DF9"/>
    <w:rsid w:val="00221954"/>
    <w:rsid w:val="0023130D"/>
    <w:rsid w:val="0023178B"/>
    <w:rsid w:val="00232AAA"/>
    <w:rsid w:val="00233C0E"/>
    <w:rsid w:val="00234500"/>
    <w:rsid w:val="002347A8"/>
    <w:rsid w:val="00245E78"/>
    <w:rsid w:val="002476A8"/>
    <w:rsid w:val="00254A8D"/>
    <w:rsid w:val="00255D19"/>
    <w:rsid w:val="00260326"/>
    <w:rsid w:val="002603E9"/>
    <w:rsid w:val="00262D72"/>
    <w:rsid w:val="0026327C"/>
    <w:rsid w:val="00264D1A"/>
    <w:rsid w:val="00266635"/>
    <w:rsid w:val="00270442"/>
    <w:rsid w:val="0027094E"/>
    <w:rsid w:val="00272912"/>
    <w:rsid w:val="00274B56"/>
    <w:rsid w:val="0027545E"/>
    <w:rsid w:val="00276E19"/>
    <w:rsid w:val="0028022C"/>
    <w:rsid w:val="002811D8"/>
    <w:rsid w:val="002836FE"/>
    <w:rsid w:val="0028546D"/>
    <w:rsid w:val="00290222"/>
    <w:rsid w:val="00290D71"/>
    <w:rsid w:val="00291D3C"/>
    <w:rsid w:val="00296448"/>
    <w:rsid w:val="002A4E84"/>
    <w:rsid w:val="002A58D4"/>
    <w:rsid w:val="002A6219"/>
    <w:rsid w:val="002A62C7"/>
    <w:rsid w:val="002B3035"/>
    <w:rsid w:val="002B4E23"/>
    <w:rsid w:val="002C0282"/>
    <w:rsid w:val="002D337D"/>
    <w:rsid w:val="002D402C"/>
    <w:rsid w:val="002D4B9E"/>
    <w:rsid w:val="002D5C14"/>
    <w:rsid w:val="002D6588"/>
    <w:rsid w:val="002E49AA"/>
    <w:rsid w:val="002E69FF"/>
    <w:rsid w:val="0030099E"/>
    <w:rsid w:val="00300CEE"/>
    <w:rsid w:val="00301EF7"/>
    <w:rsid w:val="00303670"/>
    <w:rsid w:val="003069EE"/>
    <w:rsid w:val="0031519D"/>
    <w:rsid w:val="00320F90"/>
    <w:rsid w:val="00323154"/>
    <w:rsid w:val="00325AF7"/>
    <w:rsid w:val="003260E9"/>
    <w:rsid w:val="00327B08"/>
    <w:rsid w:val="003310DC"/>
    <w:rsid w:val="00333492"/>
    <w:rsid w:val="00333748"/>
    <w:rsid w:val="00344262"/>
    <w:rsid w:val="0034746E"/>
    <w:rsid w:val="003562D0"/>
    <w:rsid w:val="00367667"/>
    <w:rsid w:val="0037089C"/>
    <w:rsid w:val="003727F8"/>
    <w:rsid w:val="003736CE"/>
    <w:rsid w:val="00374564"/>
    <w:rsid w:val="00380F26"/>
    <w:rsid w:val="003830B7"/>
    <w:rsid w:val="0038334F"/>
    <w:rsid w:val="0038570B"/>
    <w:rsid w:val="00390124"/>
    <w:rsid w:val="003922A1"/>
    <w:rsid w:val="00395868"/>
    <w:rsid w:val="00396031"/>
    <w:rsid w:val="003A2697"/>
    <w:rsid w:val="003A4CBC"/>
    <w:rsid w:val="003A7929"/>
    <w:rsid w:val="003A7FE2"/>
    <w:rsid w:val="003B20EF"/>
    <w:rsid w:val="003B2BDF"/>
    <w:rsid w:val="003B4C27"/>
    <w:rsid w:val="003C025A"/>
    <w:rsid w:val="003C04AF"/>
    <w:rsid w:val="003C3271"/>
    <w:rsid w:val="003C3D28"/>
    <w:rsid w:val="003C69B0"/>
    <w:rsid w:val="003E0AE3"/>
    <w:rsid w:val="003E497B"/>
    <w:rsid w:val="00404ED5"/>
    <w:rsid w:val="004057C8"/>
    <w:rsid w:val="004104B4"/>
    <w:rsid w:val="00416A4B"/>
    <w:rsid w:val="004178AA"/>
    <w:rsid w:val="00433358"/>
    <w:rsid w:val="00434F61"/>
    <w:rsid w:val="0044137C"/>
    <w:rsid w:val="00442F4B"/>
    <w:rsid w:val="00445583"/>
    <w:rsid w:val="0045676A"/>
    <w:rsid w:val="004575C6"/>
    <w:rsid w:val="00481F8C"/>
    <w:rsid w:val="00483FFA"/>
    <w:rsid w:val="004858E0"/>
    <w:rsid w:val="00486C75"/>
    <w:rsid w:val="00487017"/>
    <w:rsid w:val="00490F36"/>
    <w:rsid w:val="00492F5E"/>
    <w:rsid w:val="004964A7"/>
    <w:rsid w:val="00496526"/>
    <w:rsid w:val="004A0129"/>
    <w:rsid w:val="004A4DFA"/>
    <w:rsid w:val="004A6074"/>
    <w:rsid w:val="004B1A0B"/>
    <w:rsid w:val="004B45D0"/>
    <w:rsid w:val="004B4859"/>
    <w:rsid w:val="004B4939"/>
    <w:rsid w:val="004B75B7"/>
    <w:rsid w:val="004B77E6"/>
    <w:rsid w:val="004C1461"/>
    <w:rsid w:val="004C1737"/>
    <w:rsid w:val="004D345F"/>
    <w:rsid w:val="004D5520"/>
    <w:rsid w:val="004E4047"/>
    <w:rsid w:val="004E4194"/>
    <w:rsid w:val="004F1696"/>
    <w:rsid w:val="004F25E9"/>
    <w:rsid w:val="004F5425"/>
    <w:rsid w:val="00502A30"/>
    <w:rsid w:val="00503F11"/>
    <w:rsid w:val="00506098"/>
    <w:rsid w:val="0051140E"/>
    <w:rsid w:val="00511CAD"/>
    <w:rsid w:val="00521896"/>
    <w:rsid w:val="00524CDD"/>
    <w:rsid w:val="005251A9"/>
    <w:rsid w:val="00531A73"/>
    <w:rsid w:val="0053240D"/>
    <w:rsid w:val="005341AC"/>
    <w:rsid w:val="00535AC0"/>
    <w:rsid w:val="00540434"/>
    <w:rsid w:val="00540530"/>
    <w:rsid w:val="00541D39"/>
    <w:rsid w:val="00555FC1"/>
    <w:rsid w:val="00557A3B"/>
    <w:rsid w:val="00561650"/>
    <w:rsid w:val="005630C4"/>
    <w:rsid w:val="00564C96"/>
    <w:rsid w:val="00565099"/>
    <w:rsid w:val="00570840"/>
    <w:rsid w:val="00570C51"/>
    <w:rsid w:val="00571C64"/>
    <w:rsid w:val="00574C7F"/>
    <w:rsid w:val="00583101"/>
    <w:rsid w:val="00584CBD"/>
    <w:rsid w:val="00584ECC"/>
    <w:rsid w:val="00586AA5"/>
    <w:rsid w:val="0058784B"/>
    <w:rsid w:val="00592C39"/>
    <w:rsid w:val="00592D80"/>
    <w:rsid w:val="00593535"/>
    <w:rsid w:val="00596A99"/>
    <w:rsid w:val="005A0949"/>
    <w:rsid w:val="005A1599"/>
    <w:rsid w:val="005A6986"/>
    <w:rsid w:val="005A7A64"/>
    <w:rsid w:val="005B653E"/>
    <w:rsid w:val="005B7A11"/>
    <w:rsid w:val="005C2BC8"/>
    <w:rsid w:val="005C6EC2"/>
    <w:rsid w:val="005C77F5"/>
    <w:rsid w:val="005D026A"/>
    <w:rsid w:val="005D2C9C"/>
    <w:rsid w:val="005D3EE6"/>
    <w:rsid w:val="005D49A8"/>
    <w:rsid w:val="005E3729"/>
    <w:rsid w:val="005E40E9"/>
    <w:rsid w:val="005F1E2F"/>
    <w:rsid w:val="005F38E3"/>
    <w:rsid w:val="005F6F5D"/>
    <w:rsid w:val="00602D83"/>
    <w:rsid w:val="00602DF7"/>
    <w:rsid w:val="006035E9"/>
    <w:rsid w:val="00604810"/>
    <w:rsid w:val="0060672D"/>
    <w:rsid w:val="00625990"/>
    <w:rsid w:val="00630CD1"/>
    <w:rsid w:val="00631D39"/>
    <w:rsid w:val="00632A8F"/>
    <w:rsid w:val="006330C6"/>
    <w:rsid w:val="00635618"/>
    <w:rsid w:val="00640665"/>
    <w:rsid w:val="00652B00"/>
    <w:rsid w:val="0065340D"/>
    <w:rsid w:val="00654D87"/>
    <w:rsid w:val="0065579A"/>
    <w:rsid w:val="00660424"/>
    <w:rsid w:val="00666AAB"/>
    <w:rsid w:val="0066753A"/>
    <w:rsid w:val="0066787A"/>
    <w:rsid w:val="006745FF"/>
    <w:rsid w:val="00674D3B"/>
    <w:rsid w:val="00680C56"/>
    <w:rsid w:val="00683100"/>
    <w:rsid w:val="0069370D"/>
    <w:rsid w:val="00695682"/>
    <w:rsid w:val="00695E13"/>
    <w:rsid w:val="006A106E"/>
    <w:rsid w:val="006A2F28"/>
    <w:rsid w:val="006A4A08"/>
    <w:rsid w:val="006A7503"/>
    <w:rsid w:val="006B267A"/>
    <w:rsid w:val="006B3BC7"/>
    <w:rsid w:val="006B710C"/>
    <w:rsid w:val="006C273F"/>
    <w:rsid w:val="006C661E"/>
    <w:rsid w:val="006D5441"/>
    <w:rsid w:val="006D6012"/>
    <w:rsid w:val="006D6758"/>
    <w:rsid w:val="006E32FC"/>
    <w:rsid w:val="006E4269"/>
    <w:rsid w:val="006E6C65"/>
    <w:rsid w:val="006F2600"/>
    <w:rsid w:val="006F505C"/>
    <w:rsid w:val="006F6334"/>
    <w:rsid w:val="006F71CD"/>
    <w:rsid w:val="0070159D"/>
    <w:rsid w:val="007102BE"/>
    <w:rsid w:val="00714542"/>
    <w:rsid w:val="00714C19"/>
    <w:rsid w:val="00717861"/>
    <w:rsid w:val="0072014F"/>
    <w:rsid w:val="00720F3A"/>
    <w:rsid w:val="00722116"/>
    <w:rsid w:val="00725619"/>
    <w:rsid w:val="0072606A"/>
    <w:rsid w:val="00726209"/>
    <w:rsid w:val="00740504"/>
    <w:rsid w:val="00745F9C"/>
    <w:rsid w:val="007500D3"/>
    <w:rsid w:val="00753F11"/>
    <w:rsid w:val="007546AE"/>
    <w:rsid w:val="007546C9"/>
    <w:rsid w:val="007576C6"/>
    <w:rsid w:val="00761959"/>
    <w:rsid w:val="00762877"/>
    <w:rsid w:val="00763931"/>
    <w:rsid w:val="00767F96"/>
    <w:rsid w:val="007771B4"/>
    <w:rsid w:val="00786079"/>
    <w:rsid w:val="007864AB"/>
    <w:rsid w:val="00791571"/>
    <w:rsid w:val="00791619"/>
    <w:rsid w:val="00792058"/>
    <w:rsid w:val="0079350D"/>
    <w:rsid w:val="007A58F9"/>
    <w:rsid w:val="007A5989"/>
    <w:rsid w:val="007A7D1B"/>
    <w:rsid w:val="007B7096"/>
    <w:rsid w:val="007B7B61"/>
    <w:rsid w:val="007C1A70"/>
    <w:rsid w:val="007C2326"/>
    <w:rsid w:val="007C28E3"/>
    <w:rsid w:val="007C645A"/>
    <w:rsid w:val="007C7D44"/>
    <w:rsid w:val="007D1608"/>
    <w:rsid w:val="007D2C50"/>
    <w:rsid w:val="007D2C6A"/>
    <w:rsid w:val="007D4C43"/>
    <w:rsid w:val="007E10FF"/>
    <w:rsid w:val="007E1FF0"/>
    <w:rsid w:val="007F1A54"/>
    <w:rsid w:val="007F218C"/>
    <w:rsid w:val="007F3083"/>
    <w:rsid w:val="008006D0"/>
    <w:rsid w:val="00801004"/>
    <w:rsid w:val="00806847"/>
    <w:rsid w:val="00807D37"/>
    <w:rsid w:val="008113FA"/>
    <w:rsid w:val="00814EF4"/>
    <w:rsid w:val="008203FB"/>
    <w:rsid w:val="00825FD5"/>
    <w:rsid w:val="00826C41"/>
    <w:rsid w:val="008274C2"/>
    <w:rsid w:val="008332CA"/>
    <w:rsid w:val="0083647A"/>
    <w:rsid w:val="008368CA"/>
    <w:rsid w:val="00837784"/>
    <w:rsid w:val="00843F48"/>
    <w:rsid w:val="0084641A"/>
    <w:rsid w:val="00847BDA"/>
    <w:rsid w:val="00847D79"/>
    <w:rsid w:val="00852036"/>
    <w:rsid w:val="0085286D"/>
    <w:rsid w:val="00862373"/>
    <w:rsid w:val="008627CC"/>
    <w:rsid w:val="00867601"/>
    <w:rsid w:val="0087124F"/>
    <w:rsid w:val="0087457C"/>
    <w:rsid w:val="008806DE"/>
    <w:rsid w:val="0088329E"/>
    <w:rsid w:val="008840C1"/>
    <w:rsid w:val="00896408"/>
    <w:rsid w:val="008B5BA7"/>
    <w:rsid w:val="008C0741"/>
    <w:rsid w:val="008C2394"/>
    <w:rsid w:val="008D0372"/>
    <w:rsid w:val="008D097C"/>
    <w:rsid w:val="008D1491"/>
    <w:rsid w:val="008D6D1A"/>
    <w:rsid w:val="008D6FF5"/>
    <w:rsid w:val="008E16AC"/>
    <w:rsid w:val="008E6B1D"/>
    <w:rsid w:val="008F0F3F"/>
    <w:rsid w:val="008F2916"/>
    <w:rsid w:val="008F2ACC"/>
    <w:rsid w:val="00905FBB"/>
    <w:rsid w:val="00907B1B"/>
    <w:rsid w:val="00910DE0"/>
    <w:rsid w:val="0091177E"/>
    <w:rsid w:val="00912CC8"/>
    <w:rsid w:val="00912F43"/>
    <w:rsid w:val="0091496E"/>
    <w:rsid w:val="0091502A"/>
    <w:rsid w:val="0092248E"/>
    <w:rsid w:val="00923F5D"/>
    <w:rsid w:val="009267BF"/>
    <w:rsid w:val="0093067B"/>
    <w:rsid w:val="00930DE7"/>
    <w:rsid w:val="009323F1"/>
    <w:rsid w:val="00933FD7"/>
    <w:rsid w:val="00936B09"/>
    <w:rsid w:val="009376AF"/>
    <w:rsid w:val="00937AD9"/>
    <w:rsid w:val="00937CEB"/>
    <w:rsid w:val="00941CE1"/>
    <w:rsid w:val="0094349E"/>
    <w:rsid w:val="00944B6D"/>
    <w:rsid w:val="009470AC"/>
    <w:rsid w:val="00951B63"/>
    <w:rsid w:val="00953AFD"/>
    <w:rsid w:val="00954872"/>
    <w:rsid w:val="00954CF1"/>
    <w:rsid w:val="0096211B"/>
    <w:rsid w:val="00962201"/>
    <w:rsid w:val="00962393"/>
    <w:rsid w:val="00966563"/>
    <w:rsid w:val="00967E71"/>
    <w:rsid w:val="009715E2"/>
    <w:rsid w:val="00971BA5"/>
    <w:rsid w:val="00972080"/>
    <w:rsid w:val="00972F68"/>
    <w:rsid w:val="00975091"/>
    <w:rsid w:val="0097537C"/>
    <w:rsid w:val="009777E1"/>
    <w:rsid w:val="00977F6D"/>
    <w:rsid w:val="00980026"/>
    <w:rsid w:val="00981A95"/>
    <w:rsid w:val="00982379"/>
    <w:rsid w:val="00983E39"/>
    <w:rsid w:val="00985E5D"/>
    <w:rsid w:val="00992B8D"/>
    <w:rsid w:val="00996186"/>
    <w:rsid w:val="00996E91"/>
    <w:rsid w:val="009A4537"/>
    <w:rsid w:val="009B17D4"/>
    <w:rsid w:val="009B7C4C"/>
    <w:rsid w:val="009C0F77"/>
    <w:rsid w:val="009C30D4"/>
    <w:rsid w:val="009C57FB"/>
    <w:rsid w:val="009D118F"/>
    <w:rsid w:val="009D3B78"/>
    <w:rsid w:val="009E6074"/>
    <w:rsid w:val="009E6E89"/>
    <w:rsid w:val="009F306A"/>
    <w:rsid w:val="009F3BE3"/>
    <w:rsid w:val="009F4361"/>
    <w:rsid w:val="009F5599"/>
    <w:rsid w:val="00A0321D"/>
    <w:rsid w:val="00A0399A"/>
    <w:rsid w:val="00A03A5C"/>
    <w:rsid w:val="00A04734"/>
    <w:rsid w:val="00A07B5E"/>
    <w:rsid w:val="00A15761"/>
    <w:rsid w:val="00A2204D"/>
    <w:rsid w:val="00A275A4"/>
    <w:rsid w:val="00A30010"/>
    <w:rsid w:val="00A34C76"/>
    <w:rsid w:val="00A35BB5"/>
    <w:rsid w:val="00A44819"/>
    <w:rsid w:val="00A473BA"/>
    <w:rsid w:val="00A52E22"/>
    <w:rsid w:val="00A53CDF"/>
    <w:rsid w:val="00A54B9F"/>
    <w:rsid w:val="00A5758D"/>
    <w:rsid w:val="00A63B16"/>
    <w:rsid w:val="00A63C99"/>
    <w:rsid w:val="00A65656"/>
    <w:rsid w:val="00A6575C"/>
    <w:rsid w:val="00A67518"/>
    <w:rsid w:val="00A7030F"/>
    <w:rsid w:val="00A70D18"/>
    <w:rsid w:val="00A821E2"/>
    <w:rsid w:val="00A82E0D"/>
    <w:rsid w:val="00A84B41"/>
    <w:rsid w:val="00A8560C"/>
    <w:rsid w:val="00A87030"/>
    <w:rsid w:val="00A87D0F"/>
    <w:rsid w:val="00A91392"/>
    <w:rsid w:val="00A928B1"/>
    <w:rsid w:val="00A94106"/>
    <w:rsid w:val="00A95567"/>
    <w:rsid w:val="00A957B7"/>
    <w:rsid w:val="00AA228F"/>
    <w:rsid w:val="00AB01A1"/>
    <w:rsid w:val="00AB423D"/>
    <w:rsid w:val="00AB71E0"/>
    <w:rsid w:val="00AC07CF"/>
    <w:rsid w:val="00AC10F9"/>
    <w:rsid w:val="00AC493E"/>
    <w:rsid w:val="00AD1DAA"/>
    <w:rsid w:val="00AD3ABE"/>
    <w:rsid w:val="00AD4ACE"/>
    <w:rsid w:val="00AD7415"/>
    <w:rsid w:val="00AD791A"/>
    <w:rsid w:val="00AE1C1F"/>
    <w:rsid w:val="00AE3F8B"/>
    <w:rsid w:val="00AE5D42"/>
    <w:rsid w:val="00AE749D"/>
    <w:rsid w:val="00AE7A86"/>
    <w:rsid w:val="00AF0AA6"/>
    <w:rsid w:val="00AF1049"/>
    <w:rsid w:val="00AF3E60"/>
    <w:rsid w:val="00AF78D3"/>
    <w:rsid w:val="00AF7DA5"/>
    <w:rsid w:val="00B0563B"/>
    <w:rsid w:val="00B06CCF"/>
    <w:rsid w:val="00B126CE"/>
    <w:rsid w:val="00B144E5"/>
    <w:rsid w:val="00B2203A"/>
    <w:rsid w:val="00B22963"/>
    <w:rsid w:val="00B22ACE"/>
    <w:rsid w:val="00B24F59"/>
    <w:rsid w:val="00B261E0"/>
    <w:rsid w:val="00B30C96"/>
    <w:rsid w:val="00B31546"/>
    <w:rsid w:val="00B36063"/>
    <w:rsid w:val="00B404A4"/>
    <w:rsid w:val="00B43EF7"/>
    <w:rsid w:val="00B502A3"/>
    <w:rsid w:val="00B51ACB"/>
    <w:rsid w:val="00B5320C"/>
    <w:rsid w:val="00B55D9B"/>
    <w:rsid w:val="00B56E3C"/>
    <w:rsid w:val="00B6183A"/>
    <w:rsid w:val="00B620E2"/>
    <w:rsid w:val="00B62FFA"/>
    <w:rsid w:val="00B65A3B"/>
    <w:rsid w:val="00B7202B"/>
    <w:rsid w:val="00B76D3C"/>
    <w:rsid w:val="00B814C1"/>
    <w:rsid w:val="00B826D7"/>
    <w:rsid w:val="00B945AD"/>
    <w:rsid w:val="00B94F2A"/>
    <w:rsid w:val="00B952BF"/>
    <w:rsid w:val="00B96AE0"/>
    <w:rsid w:val="00BA08BA"/>
    <w:rsid w:val="00BB79D6"/>
    <w:rsid w:val="00BC221F"/>
    <w:rsid w:val="00BD136D"/>
    <w:rsid w:val="00BD4917"/>
    <w:rsid w:val="00BD5090"/>
    <w:rsid w:val="00BD662B"/>
    <w:rsid w:val="00BD7E70"/>
    <w:rsid w:val="00BE11C0"/>
    <w:rsid w:val="00BE2EE4"/>
    <w:rsid w:val="00BE3E63"/>
    <w:rsid w:val="00BE6836"/>
    <w:rsid w:val="00BF0C67"/>
    <w:rsid w:val="00BF23E7"/>
    <w:rsid w:val="00C002D1"/>
    <w:rsid w:val="00C04501"/>
    <w:rsid w:val="00C057BF"/>
    <w:rsid w:val="00C06335"/>
    <w:rsid w:val="00C110B5"/>
    <w:rsid w:val="00C15067"/>
    <w:rsid w:val="00C15551"/>
    <w:rsid w:val="00C23CAC"/>
    <w:rsid w:val="00C2602C"/>
    <w:rsid w:val="00C34CCC"/>
    <w:rsid w:val="00C434A5"/>
    <w:rsid w:val="00C43694"/>
    <w:rsid w:val="00C446DC"/>
    <w:rsid w:val="00C478BD"/>
    <w:rsid w:val="00C5139E"/>
    <w:rsid w:val="00C53A13"/>
    <w:rsid w:val="00C57FAA"/>
    <w:rsid w:val="00C60BC9"/>
    <w:rsid w:val="00C64B2E"/>
    <w:rsid w:val="00C70809"/>
    <w:rsid w:val="00C81D94"/>
    <w:rsid w:val="00C82E2D"/>
    <w:rsid w:val="00C904CD"/>
    <w:rsid w:val="00C95D0F"/>
    <w:rsid w:val="00C96E49"/>
    <w:rsid w:val="00CA093B"/>
    <w:rsid w:val="00CA2EB1"/>
    <w:rsid w:val="00CA2ED2"/>
    <w:rsid w:val="00CA3FF5"/>
    <w:rsid w:val="00CB000A"/>
    <w:rsid w:val="00CB452F"/>
    <w:rsid w:val="00CB603A"/>
    <w:rsid w:val="00CC3B2F"/>
    <w:rsid w:val="00CC5BF4"/>
    <w:rsid w:val="00CC6139"/>
    <w:rsid w:val="00CD1975"/>
    <w:rsid w:val="00CD5DCA"/>
    <w:rsid w:val="00CD7D13"/>
    <w:rsid w:val="00CE0777"/>
    <w:rsid w:val="00CE184B"/>
    <w:rsid w:val="00CE2FEA"/>
    <w:rsid w:val="00CE38A3"/>
    <w:rsid w:val="00CF6336"/>
    <w:rsid w:val="00CF6B3C"/>
    <w:rsid w:val="00D03FA0"/>
    <w:rsid w:val="00D1007B"/>
    <w:rsid w:val="00D14B14"/>
    <w:rsid w:val="00D1508C"/>
    <w:rsid w:val="00D158BC"/>
    <w:rsid w:val="00D201BF"/>
    <w:rsid w:val="00D203BF"/>
    <w:rsid w:val="00D2050B"/>
    <w:rsid w:val="00D21799"/>
    <w:rsid w:val="00D24983"/>
    <w:rsid w:val="00D25FC7"/>
    <w:rsid w:val="00D26F59"/>
    <w:rsid w:val="00D27C35"/>
    <w:rsid w:val="00D30E16"/>
    <w:rsid w:val="00D34DF6"/>
    <w:rsid w:val="00D35569"/>
    <w:rsid w:val="00D4582D"/>
    <w:rsid w:val="00D541B8"/>
    <w:rsid w:val="00D6471D"/>
    <w:rsid w:val="00D81B0F"/>
    <w:rsid w:val="00D85366"/>
    <w:rsid w:val="00D9073E"/>
    <w:rsid w:val="00D93B1F"/>
    <w:rsid w:val="00D93BC3"/>
    <w:rsid w:val="00DA06FE"/>
    <w:rsid w:val="00DA1392"/>
    <w:rsid w:val="00DA3F8A"/>
    <w:rsid w:val="00DA44EB"/>
    <w:rsid w:val="00DA4A53"/>
    <w:rsid w:val="00DC1888"/>
    <w:rsid w:val="00DD2BFC"/>
    <w:rsid w:val="00DD34C2"/>
    <w:rsid w:val="00DD43B9"/>
    <w:rsid w:val="00DD47C5"/>
    <w:rsid w:val="00DE3956"/>
    <w:rsid w:val="00DF4904"/>
    <w:rsid w:val="00E00A37"/>
    <w:rsid w:val="00E069AC"/>
    <w:rsid w:val="00E07015"/>
    <w:rsid w:val="00E116B4"/>
    <w:rsid w:val="00E11CD2"/>
    <w:rsid w:val="00E126AE"/>
    <w:rsid w:val="00E131B4"/>
    <w:rsid w:val="00E13D82"/>
    <w:rsid w:val="00E146E1"/>
    <w:rsid w:val="00E14F94"/>
    <w:rsid w:val="00E202C1"/>
    <w:rsid w:val="00E20721"/>
    <w:rsid w:val="00E23241"/>
    <w:rsid w:val="00E2663F"/>
    <w:rsid w:val="00E2775F"/>
    <w:rsid w:val="00E30692"/>
    <w:rsid w:val="00E33621"/>
    <w:rsid w:val="00E36AAB"/>
    <w:rsid w:val="00E36F06"/>
    <w:rsid w:val="00E439FB"/>
    <w:rsid w:val="00E43DEA"/>
    <w:rsid w:val="00E440C9"/>
    <w:rsid w:val="00E46095"/>
    <w:rsid w:val="00E54229"/>
    <w:rsid w:val="00E56167"/>
    <w:rsid w:val="00E62D9D"/>
    <w:rsid w:val="00E74BD5"/>
    <w:rsid w:val="00E805A1"/>
    <w:rsid w:val="00E815C8"/>
    <w:rsid w:val="00E82D62"/>
    <w:rsid w:val="00E8320F"/>
    <w:rsid w:val="00E844EA"/>
    <w:rsid w:val="00E90016"/>
    <w:rsid w:val="00E9782A"/>
    <w:rsid w:val="00E978D4"/>
    <w:rsid w:val="00E97B6E"/>
    <w:rsid w:val="00EA34EF"/>
    <w:rsid w:val="00EA7E2F"/>
    <w:rsid w:val="00EB247F"/>
    <w:rsid w:val="00EC195C"/>
    <w:rsid w:val="00EC3F0F"/>
    <w:rsid w:val="00EC5171"/>
    <w:rsid w:val="00EC57B8"/>
    <w:rsid w:val="00ED7489"/>
    <w:rsid w:val="00EE0272"/>
    <w:rsid w:val="00EE274A"/>
    <w:rsid w:val="00EF21F4"/>
    <w:rsid w:val="00EF2247"/>
    <w:rsid w:val="00EF69C6"/>
    <w:rsid w:val="00F03E3B"/>
    <w:rsid w:val="00F04418"/>
    <w:rsid w:val="00F05491"/>
    <w:rsid w:val="00F0595F"/>
    <w:rsid w:val="00F0598F"/>
    <w:rsid w:val="00F06F88"/>
    <w:rsid w:val="00F15AEE"/>
    <w:rsid w:val="00F30144"/>
    <w:rsid w:val="00F30BA5"/>
    <w:rsid w:val="00F33675"/>
    <w:rsid w:val="00F346F2"/>
    <w:rsid w:val="00F3570C"/>
    <w:rsid w:val="00F41119"/>
    <w:rsid w:val="00F46737"/>
    <w:rsid w:val="00F52595"/>
    <w:rsid w:val="00F53092"/>
    <w:rsid w:val="00F530FC"/>
    <w:rsid w:val="00F61DCA"/>
    <w:rsid w:val="00F66D25"/>
    <w:rsid w:val="00F70BD1"/>
    <w:rsid w:val="00F71B62"/>
    <w:rsid w:val="00F73235"/>
    <w:rsid w:val="00F74517"/>
    <w:rsid w:val="00F74F4E"/>
    <w:rsid w:val="00F80C0E"/>
    <w:rsid w:val="00F84DB6"/>
    <w:rsid w:val="00F85FFB"/>
    <w:rsid w:val="00F90D56"/>
    <w:rsid w:val="00F94A05"/>
    <w:rsid w:val="00F95D1C"/>
    <w:rsid w:val="00FA2194"/>
    <w:rsid w:val="00FA5114"/>
    <w:rsid w:val="00FA6897"/>
    <w:rsid w:val="00FA7C26"/>
    <w:rsid w:val="00FB2DC0"/>
    <w:rsid w:val="00FB3AB3"/>
    <w:rsid w:val="00FB539E"/>
    <w:rsid w:val="00FB649C"/>
    <w:rsid w:val="00FC2C8B"/>
    <w:rsid w:val="00FC7036"/>
    <w:rsid w:val="00FC79C2"/>
    <w:rsid w:val="00FD2788"/>
    <w:rsid w:val="00FD75ED"/>
    <w:rsid w:val="00FD77AF"/>
    <w:rsid w:val="00FE53D4"/>
    <w:rsid w:val="00FF038A"/>
    <w:rsid w:val="00FF3A1A"/>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12CC8"/>
    <w:pPr>
      <w:keepNext/>
      <w:keepLines/>
      <w:numPr>
        <w:numId w:val="2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4"/>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12CC8"/>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table" w:styleId="ListTable6Colorful">
    <w:name w:val="List Table 6 Colorful"/>
    <w:basedOn w:val="TableNormal"/>
    <w:uiPriority w:val="51"/>
    <w:rsid w:val="0013260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191">
      <w:bodyDiv w:val="1"/>
      <w:marLeft w:val="0"/>
      <w:marRight w:val="0"/>
      <w:marTop w:val="0"/>
      <w:marBottom w:val="0"/>
      <w:divBdr>
        <w:top w:val="none" w:sz="0" w:space="0" w:color="auto"/>
        <w:left w:val="none" w:sz="0" w:space="0" w:color="auto"/>
        <w:bottom w:val="none" w:sz="0" w:space="0" w:color="auto"/>
        <w:right w:val="none" w:sz="0" w:space="0" w:color="auto"/>
      </w:divBdr>
      <w:divsChild>
        <w:div w:id="718358610">
          <w:marLeft w:val="480"/>
          <w:marRight w:val="0"/>
          <w:marTop w:val="0"/>
          <w:marBottom w:val="0"/>
          <w:divBdr>
            <w:top w:val="none" w:sz="0" w:space="0" w:color="auto"/>
            <w:left w:val="none" w:sz="0" w:space="0" w:color="auto"/>
            <w:bottom w:val="none" w:sz="0" w:space="0" w:color="auto"/>
            <w:right w:val="none" w:sz="0" w:space="0" w:color="auto"/>
          </w:divBdr>
          <w:divsChild>
            <w:div w:id="20621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397">
      <w:bodyDiv w:val="1"/>
      <w:marLeft w:val="0"/>
      <w:marRight w:val="0"/>
      <w:marTop w:val="0"/>
      <w:marBottom w:val="0"/>
      <w:divBdr>
        <w:top w:val="none" w:sz="0" w:space="0" w:color="auto"/>
        <w:left w:val="none" w:sz="0" w:space="0" w:color="auto"/>
        <w:bottom w:val="none" w:sz="0" w:space="0" w:color="auto"/>
        <w:right w:val="none" w:sz="0" w:space="0" w:color="auto"/>
      </w:divBdr>
      <w:divsChild>
        <w:div w:id="1301879056">
          <w:marLeft w:val="480"/>
          <w:marRight w:val="0"/>
          <w:marTop w:val="0"/>
          <w:marBottom w:val="0"/>
          <w:divBdr>
            <w:top w:val="none" w:sz="0" w:space="0" w:color="auto"/>
            <w:left w:val="none" w:sz="0" w:space="0" w:color="auto"/>
            <w:bottom w:val="none" w:sz="0" w:space="0" w:color="auto"/>
            <w:right w:val="none" w:sz="0" w:space="0" w:color="auto"/>
          </w:divBdr>
          <w:divsChild>
            <w:div w:id="6941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611">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82384789">
      <w:bodyDiv w:val="1"/>
      <w:marLeft w:val="0"/>
      <w:marRight w:val="0"/>
      <w:marTop w:val="0"/>
      <w:marBottom w:val="0"/>
      <w:divBdr>
        <w:top w:val="none" w:sz="0" w:space="0" w:color="auto"/>
        <w:left w:val="none" w:sz="0" w:space="0" w:color="auto"/>
        <w:bottom w:val="none" w:sz="0" w:space="0" w:color="auto"/>
        <w:right w:val="none" w:sz="0" w:space="0" w:color="auto"/>
      </w:divBdr>
    </w:div>
    <w:div w:id="95102697">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73884577">
      <w:bodyDiv w:val="1"/>
      <w:marLeft w:val="0"/>
      <w:marRight w:val="0"/>
      <w:marTop w:val="0"/>
      <w:marBottom w:val="0"/>
      <w:divBdr>
        <w:top w:val="none" w:sz="0" w:space="0" w:color="auto"/>
        <w:left w:val="none" w:sz="0" w:space="0" w:color="auto"/>
        <w:bottom w:val="none" w:sz="0" w:space="0" w:color="auto"/>
        <w:right w:val="none" w:sz="0" w:space="0" w:color="auto"/>
      </w:divBdr>
      <w:divsChild>
        <w:div w:id="2003266501">
          <w:marLeft w:val="480"/>
          <w:marRight w:val="0"/>
          <w:marTop w:val="0"/>
          <w:marBottom w:val="0"/>
          <w:divBdr>
            <w:top w:val="none" w:sz="0" w:space="0" w:color="auto"/>
            <w:left w:val="none" w:sz="0" w:space="0" w:color="auto"/>
            <w:bottom w:val="none" w:sz="0" w:space="0" w:color="auto"/>
            <w:right w:val="none" w:sz="0" w:space="0" w:color="auto"/>
          </w:divBdr>
          <w:divsChild>
            <w:div w:id="17861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19560435">
      <w:bodyDiv w:val="1"/>
      <w:marLeft w:val="0"/>
      <w:marRight w:val="0"/>
      <w:marTop w:val="0"/>
      <w:marBottom w:val="0"/>
      <w:divBdr>
        <w:top w:val="none" w:sz="0" w:space="0" w:color="auto"/>
        <w:left w:val="none" w:sz="0" w:space="0" w:color="auto"/>
        <w:bottom w:val="none" w:sz="0" w:space="0" w:color="auto"/>
        <w:right w:val="none" w:sz="0" w:space="0" w:color="auto"/>
      </w:divBdr>
      <w:divsChild>
        <w:div w:id="1244416255">
          <w:marLeft w:val="0"/>
          <w:marRight w:val="0"/>
          <w:marTop w:val="0"/>
          <w:marBottom w:val="0"/>
          <w:divBdr>
            <w:top w:val="single" w:sz="6" w:space="2" w:color="AAAAAA"/>
            <w:left w:val="single" w:sz="6" w:space="2" w:color="AAAAAA"/>
            <w:bottom w:val="single" w:sz="6" w:space="2" w:color="AAAAAA"/>
            <w:right w:val="single" w:sz="6" w:space="2" w:color="AAAAAA"/>
          </w:divBdr>
          <w:divsChild>
            <w:div w:id="155729849">
              <w:marLeft w:val="0"/>
              <w:marRight w:val="0"/>
              <w:marTop w:val="0"/>
              <w:marBottom w:val="0"/>
              <w:divBdr>
                <w:top w:val="none" w:sz="0" w:space="0" w:color="auto"/>
                <w:left w:val="none" w:sz="0" w:space="0" w:color="auto"/>
                <w:bottom w:val="none" w:sz="0" w:space="0" w:color="auto"/>
                <w:right w:val="none" w:sz="0" w:space="0" w:color="auto"/>
              </w:divBdr>
              <w:divsChild>
                <w:div w:id="2063097052">
                  <w:marLeft w:val="0"/>
                  <w:marRight w:val="0"/>
                  <w:marTop w:val="0"/>
                  <w:marBottom w:val="0"/>
                  <w:divBdr>
                    <w:top w:val="none" w:sz="0" w:space="0" w:color="auto"/>
                    <w:left w:val="none" w:sz="0" w:space="0" w:color="auto"/>
                    <w:bottom w:val="none" w:sz="0" w:space="0" w:color="auto"/>
                    <w:right w:val="none" w:sz="0" w:space="0" w:color="auto"/>
                  </w:divBdr>
                  <w:divsChild>
                    <w:div w:id="466825596">
                      <w:marLeft w:val="75"/>
                      <w:marRight w:val="75"/>
                      <w:marTop w:val="75"/>
                      <w:marBottom w:val="75"/>
                      <w:divBdr>
                        <w:top w:val="single" w:sz="6" w:space="2" w:color="D5D5D5"/>
                        <w:left w:val="single" w:sz="6" w:space="2" w:color="D5D5D5"/>
                        <w:bottom w:val="single" w:sz="6" w:space="2" w:color="D5D5D5"/>
                        <w:right w:val="single" w:sz="6" w:space="2" w:color="D5D5D5"/>
                      </w:divBdr>
                      <w:divsChild>
                        <w:div w:id="554899071">
                          <w:marLeft w:val="0"/>
                          <w:marRight w:val="0"/>
                          <w:marTop w:val="0"/>
                          <w:marBottom w:val="0"/>
                          <w:divBdr>
                            <w:top w:val="none" w:sz="0" w:space="0" w:color="auto"/>
                            <w:left w:val="none" w:sz="0" w:space="0" w:color="auto"/>
                            <w:bottom w:val="none" w:sz="0" w:space="0" w:color="auto"/>
                            <w:right w:val="none" w:sz="0" w:space="0" w:color="auto"/>
                          </w:divBdr>
                          <w:divsChild>
                            <w:div w:id="939289595">
                              <w:marLeft w:val="0"/>
                              <w:marRight w:val="0"/>
                              <w:marTop w:val="0"/>
                              <w:marBottom w:val="240"/>
                              <w:divBdr>
                                <w:top w:val="none" w:sz="0" w:space="0" w:color="auto"/>
                                <w:left w:val="none" w:sz="0" w:space="0" w:color="auto"/>
                                <w:bottom w:val="none" w:sz="0" w:space="0" w:color="auto"/>
                                <w:right w:val="none" w:sz="0" w:space="0" w:color="auto"/>
                              </w:divBdr>
                            </w:div>
                            <w:div w:id="837843994">
                              <w:marLeft w:val="0"/>
                              <w:marRight w:val="0"/>
                              <w:marTop w:val="0"/>
                              <w:marBottom w:val="240"/>
                              <w:divBdr>
                                <w:top w:val="none" w:sz="0" w:space="0" w:color="auto"/>
                                <w:left w:val="none" w:sz="0" w:space="0" w:color="auto"/>
                                <w:bottom w:val="none" w:sz="0" w:space="0" w:color="auto"/>
                                <w:right w:val="none" w:sz="0" w:space="0" w:color="auto"/>
                              </w:divBdr>
                            </w:div>
                            <w:div w:id="473839845">
                              <w:marLeft w:val="0"/>
                              <w:marRight w:val="0"/>
                              <w:marTop w:val="0"/>
                              <w:marBottom w:val="240"/>
                              <w:divBdr>
                                <w:top w:val="none" w:sz="0" w:space="0" w:color="auto"/>
                                <w:left w:val="none" w:sz="0" w:space="0" w:color="auto"/>
                                <w:bottom w:val="none" w:sz="0" w:space="0" w:color="auto"/>
                                <w:right w:val="none" w:sz="0" w:space="0" w:color="auto"/>
                              </w:divBdr>
                            </w:div>
                            <w:div w:id="811750171">
                              <w:marLeft w:val="0"/>
                              <w:marRight w:val="0"/>
                              <w:marTop w:val="0"/>
                              <w:marBottom w:val="240"/>
                              <w:divBdr>
                                <w:top w:val="none" w:sz="0" w:space="0" w:color="auto"/>
                                <w:left w:val="none" w:sz="0" w:space="0" w:color="auto"/>
                                <w:bottom w:val="none" w:sz="0" w:space="0" w:color="auto"/>
                                <w:right w:val="none" w:sz="0" w:space="0" w:color="auto"/>
                              </w:divBdr>
                            </w:div>
                            <w:div w:id="1369186524">
                              <w:marLeft w:val="0"/>
                              <w:marRight w:val="0"/>
                              <w:marTop w:val="0"/>
                              <w:marBottom w:val="240"/>
                              <w:divBdr>
                                <w:top w:val="none" w:sz="0" w:space="0" w:color="auto"/>
                                <w:left w:val="none" w:sz="0" w:space="0" w:color="auto"/>
                                <w:bottom w:val="none" w:sz="0" w:space="0" w:color="auto"/>
                                <w:right w:val="none" w:sz="0" w:space="0" w:color="auto"/>
                              </w:divBdr>
                            </w:div>
                            <w:div w:id="537741329">
                              <w:marLeft w:val="0"/>
                              <w:marRight w:val="0"/>
                              <w:marTop w:val="0"/>
                              <w:marBottom w:val="240"/>
                              <w:divBdr>
                                <w:top w:val="none" w:sz="0" w:space="0" w:color="auto"/>
                                <w:left w:val="none" w:sz="0" w:space="0" w:color="auto"/>
                                <w:bottom w:val="none" w:sz="0" w:space="0" w:color="auto"/>
                                <w:right w:val="none" w:sz="0" w:space="0" w:color="auto"/>
                              </w:divBdr>
                            </w:div>
                            <w:div w:id="1506935717">
                              <w:marLeft w:val="0"/>
                              <w:marRight w:val="0"/>
                              <w:marTop w:val="0"/>
                              <w:marBottom w:val="240"/>
                              <w:divBdr>
                                <w:top w:val="none" w:sz="0" w:space="0" w:color="auto"/>
                                <w:left w:val="none" w:sz="0" w:space="0" w:color="auto"/>
                                <w:bottom w:val="none" w:sz="0" w:space="0" w:color="auto"/>
                                <w:right w:val="none" w:sz="0" w:space="0" w:color="auto"/>
                              </w:divBdr>
                            </w:div>
                            <w:div w:id="1400012340">
                              <w:marLeft w:val="0"/>
                              <w:marRight w:val="0"/>
                              <w:marTop w:val="0"/>
                              <w:marBottom w:val="240"/>
                              <w:divBdr>
                                <w:top w:val="none" w:sz="0" w:space="0" w:color="auto"/>
                                <w:left w:val="none" w:sz="0" w:space="0" w:color="auto"/>
                                <w:bottom w:val="none" w:sz="0" w:space="0" w:color="auto"/>
                                <w:right w:val="none" w:sz="0" w:space="0" w:color="auto"/>
                              </w:divBdr>
                            </w:div>
                            <w:div w:id="1155216786">
                              <w:marLeft w:val="0"/>
                              <w:marRight w:val="0"/>
                              <w:marTop w:val="0"/>
                              <w:marBottom w:val="240"/>
                              <w:divBdr>
                                <w:top w:val="none" w:sz="0" w:space="0" w:color="auto"/>
                                <w:left w:val="none" w:sz="0" w:space="0" w:color="auto"/>
                                <w:bottom w:val="none" w:sz="0" w:space="0" w:color="auto"/>
                                <w:right w:val="none" w:sz="0" w:space="0" w:color="auto"/>
                              </w:divBdr>
                            </w:div>
                            <w:div w:id="797531494">
                              <w:marLeft w:val="0"/>
                              <w:marRight w:val="0"/>
                              <w:marTop w:val="0"/>
                              <w:marBottom w:val="240"/>
                              <w:divBdr>
                                <w:top w:val="none" w:sz="0" w:space="0" w:color="auto"/>
                                <w:left w:val="none" w:sz="0" w:space="0" w:color="auto"/>
                                <w:bottom w:val="none" w:sz="0" w:space="0" w:color="auto"/>
                                <w:right w:val="none" w:sz="0" w:space="0" w:color="auto"/>
                              </w:divBdr>
                            </w:div>
                            <w:div w:id="860316814">
                              <w:marLeft w:val="0"/>
                              <w:marRight w:val="0"/>
                              <w:marTop w:val="0"/>
                              <w:marBottom w:val="240"/>
                              <w:divBdr>
                                <w:top w:val="none" w:sz="0" w:space="0" w:color="auto"/>
                                <w:left w:val="none" w:sz="0" w:space="0" w:color="auto"/>
                                <w:bottom w:val="none" w:sz="0" w:space="0" w:color="auto"/>
                                <w:right w:val="none" w:sz="0" w:space="0" w:color="auto"/>
                              </w:divBdr>
                            </w:div>
                            <w:div w:id="938217907">
                              <w:marLeft w:val="0"/>
                              <w:marRight w:val="0"/>
                              <w:marTop w:val="0"/>
                              <w:marBottom w:val="240"/>
                              <w:divBdr>
                                <w:top w:val="none" w:sz="0" w:space="0" w:color="auto"/>
                                <w:left w:val="none" w:sz="0" w:space="0" w:color="auto"/>
                                <w:bottom w:val="none" w:sz="0" w:space="0" w:color="auto"/>
                                <w:right w:val="none" w:sz="0" w:space="0" w:color="auto"/>
                              </w:divBdr>
                            </w:div>
                            <w:div w:id="479733286">
                              <w:marLeft w:val="0"/>
                              <w:marRight w:val="0"/>
                              <w:marTop w:val="0"/>
                              <w:marBottom w:val="240"/>
                              <w:divBdr>
                                <w:top w:val="none" w:sz="0" w:space="0" w:color="auto"/>
                                <w:left w:val="none" w:sz="0" w:space="0" w:color="auto"/>
                                <w:bottom w:val="none" w:sz="0" w:space="0" w:color="auto"/>
                                <w:right w:val="none" w:sz="0" w:space="0" w:color="auto"/>
                              </w:divBdr>
                            </w:div>
                            <w:div w:id="596866236">
                              <w:marLeft w:val="0"/>
                              <w:marRight w:val="0"/>
                              <w:marTop w:val="0"/>
                              <w:marBottom w:val="240"/>
                              <w:divBdr>
                                <w:top w:val="none" w:sz="0" w:space="0" w:color="auto"/>
                                <w:left w:val="none" w:sz="0" w:space="0" w:color="auto"/>
                                <w:bottom w:val="none" w:sz="0" w:space="0" w:color="auto"/>
                                <w:right w:val="none" w:sz="0" w:space="0" w:color="auto"/>
                              </w:divBdr>
                            </w:div>
                            <w:div w:id="1858154820">
                              <w:marLeft w:val="0"/>
                              <w:marRight w:val="0"/>
                              <w:marTop w:val="0"/>
                              <w:marBottom w:val="240"/>
                              <w:divBdr>
                                <w:top w:val="none" w:sz="0" w:space="0" w:color="auto"/>
                                <w:left w:val="none" w:sz="0" w:space="0" w:color="auto"/>
                                <w:bottom w:val="none" w:sz="0" w:space="0" w:color="auto"/>
                                <w:right w:val="none" w:sz="0" w:space="0" w:color="auto"/>
                              </w:divBdr>
                            </w:div>
                            <w:div w:id="464087506">
                              <w:marLeft w:val="0"/>
                              <w:marRight w:val="0"/>
                              <w:marTop w:val="0"/>
                              <w:marBottom w:val="240"/>
                              <w:divBdr>
                                <w:top w:val="none" w:sz="0" w:space="0" w:color="auto"/>
                                <w:left w:val="none" w:sz="0" w:space="0" w:color="auto"/>
                                <w:bottom w:val="none" w:sz="0" w:space="0" w:color="auto"/>
                                <w:right w:val="none" w:sz="0" w:space="0" w:color="auto"/>
                              </w:divBdr>
                            </w:div>
                            <w:div w:id="929696434">
                              <w:marLeft w:val="0"/>
                              <w:marRight w:val="0"/>
                              <w:marTop w:val="0"/>
                              <w:marBottom w:val="240"/>
                              <w:divBdr>
                                <w:top w:val="none" w:sz="0" w:space="0" w:color="auto"/>
                                <w:left w:val="none" w:sz="0" w:space="0" w:color="auto"/>
                                <w:bottom w:val="none" w:sz="0" w:space="0" w:color="auto"/>
                                <w:right w:val="none" w:sz="0" w:space="0" w:color="auto"/>
                              </w:divBdr>
                            </w:div>
                            <w:div w:id="1199394995">
                              <w:marLeft w:val="0"/>
                              <w:marRight w:val="0"/>
                              <w:marTop w:val="0"/>
                              <w:marBottom w:val="240"/>
                              <w:divBdr>
                                <w:top w:val="none" w:sz="0" w:space="0" w:color="auto"/>
                                <w:left w:val="none" w:sz="0" w:space="0" w:color="auto"/>
                                <w:bottom w:val="none" w:sz="0" w:space="0" w:color="auto"/>
                                <w:right w:val="none" w:sz="0" w:space="0" w:color="auto"/>
                              </w:divBdr>
                            </w:div>
                            <w:div w:id="1895462468">
                              <w:marLeft w:val="0"/>
                              <w:marRight w:val="0"/>
                              <w:marTop w:val="0"/>
                              <w:marBottom w:val="240"/>
                              <w:divBdr>
                                <w:top w:val="none" w:sz="0" w:space="0" w:color="auto"/>
                                <w:left w:val="none" w:sz="0" w:space="0" w:color="auto"/>
                                <w:bottom w:val="none" w:sz="0" w:space="0" w:color="auto"/>
                                <w:right w:val="none" w:sz="0" w:space="0" w:color="auto"/>
                              </w:divBdr>
                            </w:div>
                            <w:div w:id="696547054">
                              <w:marLeft w:val="0"/>
                              <w:marRight w:val="0"/>
                              <w:marTop w:val="0"/>
                              <w:marBottom w:val="240"/>
                              <w:divBdr>
                                <w:top w:val="none" w:sz="0" w:space="0" w:color="auto"/>
                                <w:left w:val="none" w:sz="0" w:space="0" w:color="auto"/>
                                <w:bottom w:val="none" w:sz="0" w:space="0" w:color="auto"/>
                                <w:right w:val="none" w:sz="0" w:space="0" w:color="auto"/>
                              </w:divBdr>
                            </w:div>
                            <w:div w:id="780878268">
                              <w:marLeft w:val="0"/>
                              <w:marRight w:val="0"/>
                              <w:marTop w:val="0"/>
                              <w:marBottom w:val="240"/>
                              <w:divBdr>
                                <w:top w:val="none" w:sz="0" w:space="0" w:color="auto"/>
                                <w:left w:val="none" w:sz="0" w:space="0" w:color="auto"/>
                                <w:bottom w:val="none" w:sz="0" w:space="0" w:color="auto"/>
                                <w:right w:val="none" w:sz="0" w:space="0" w:color="auto"/>
                              </w:divBdr>
                            </w:div>
                            <w:div w:id="1528785899">
                              <w:marLeft w:val="0"/>
                              <w:marRight w:val="0"/>
                              <w:marTop w:val="0"/>
                              <w:marBottom w:val="240"/>
                              <w:divBdr>
                                <w:top w:val="none" w:sz="0" w:space="0" w:color="auto"/>
                                <w:left w:val="none" w:sz="0" w:space="0" w:color="auto"/>
                                <w:bottom w:val="none" w:sz="0" w:space="0" w:color="auto"/>
                                <w:right w:val="none" w:sz="0" w:space="0" w:color="auto"/>
                              </w:divBdr>
                            </w:div>
                            <w:div w:id="9911783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006515">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28139715">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81373349">
      <w:bodyDiv w:val="1"/>
      <w:marLeft w:val="0"/>
      <w:marRight w:val="0"/>
      <w:marTop w:val="0"/>
      <w:marBottom w:val="0"/>
      <w:divBdr>
        <w:top w:val="none" w:sz="0" w:space="0" w:color="auto"/>
        <w:left w:val="none" w:sz="0" w:space="0" w:color="auto"/>
        <w:bottom w:val="none" w:sz="0" w:space="0" w:color="auto"/>
        <w:right w:val="none" w:sz="0" w:space="0" w:color="auto"/>
      </w:divBdr>
    </w:div>
    <w:div w:id="394398678">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24804875">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492767767">
      <w:bodyDiv w:val="1"/>
      <w:marLeft w:val="0"/>
      <w:marRight w:val="0"/>
      <w:marTop w:val="0"/>
      <w:marBottom w:val="0"/>
      <w:divBdr>
        <w:top w:val="none" w:sz="0" w:space="0" w:color="auto"/>
        <w:left w:val="none" w:sz="0" w:space="0" w:color="auto"/>
        <w:bottom w:val="none" w:sz="0" w:space="0" w:color="auto"/>
        <w:right w:val="none" w:sz="0" w:space="0" w:color="auto"/>
      </w:divBdr>
    </w:div>
    <w:div w:id="587423052">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75766545">
      <w:bodyDiv w:val="1"/>
      <w:marLeft w:val="0"/>
      <w:marRight w:val="0"/>
      <w:marTop w:val="0"/>
      <w:marBottom w:val="0"/>
      <w:divBdr>
        <w:top w:val="none" w:sz="0" w:space="0" w:color="auto"/>
        <w:left w:val="none" w:sz="0" w:space="0" w:color="auto"/>
        <w:bottom w:val="none" w:sz="0" w:space="0" w:color="auto"/>
        <w:right w:val="none" w:sz="0" w:space="0" w:color="auto"/>
      </w:divBdr>
      <w:divsChild>
        <w:div w:id="557596119">
          <w:marLeft w:val="0"/>
          <w:marRight w:val="0"/>
          <w:marTop w:val="0"/>
          <w:marBottom w:val="0"/>
          <w:divBdr>
            <w:top w:val="none" w:sz="0" w:space="0" w:color="auto"/>
            <w:left w:val="none" w:sz="0" w:space="0" w:color="auto"/>
            <w:bottom w:val="none" w:sz="0" w:space="0" w:color="auto"/>
            <w:right w:val="none" w:sz="0" w:space="0" w:color="auto"/>
          </w:divBdr>
        </w:div>
        <w:div w:id="2125729664">
          <w:marLeft w:val="0"/>
          <w:marRight w:val="0"/>
          <w:marTop w:val="0"/>
          <w:marBottom w:val="0"/>
          <w:divBdr>
            <w:top w:val="none" w:sz="0" w:space="0" w:color="auto"/>
            <w:left w:val="none" w:sz="0" w:space="0" w:color="auto"/>
            <w:bottom w:val="none" w:sz="0" w:space="0" w:color="auto"/>
            <w:right w:val="none" w:sz="0" w:space="0" w:color="auto"/>
          </w:divBdr>
        </w:div>
        <w:div w:id="775708578">
          <w:marLeft w:val="0"/>
          <w:marRight w:val="0"/>
          <w:marTop w:val="0"/>
          <w:marBottom w:val="0"/>
          <w:divBdr>
            <w:top w:val="none" w:sz="0" w:space="0" w:color="auto"/>
            <w:left w:val="none" w:sz="0" w:space="0" w:color="auto"/>
            <w:bottom w:val="none" w:sz="0" w:space="0" w:color="auto"/>
            <w:right w:val="none" w:sz="0" w:space="0" w:color="auto"/>
          </w:divBdr>
        </w:div>
        <w:div w:id="1776822085">
          <w:marLeft w:val="0"/>
          <w:marRight w:val="0"/>
          <w:marTop w:val="0"/>
          <w:marBottom w:val="0"/>
          <w:divBdr>
            <w:top w:val="none" w:sz="0" w:space="0" w:color="auto"/>
            <w:left w:val="none" w:sz="0" w:space="0" w:color="auto"/>
            <w:bottom w:val="none" w:sz="0" w:space="0" w:color="auto"/>
            <w:right w:val="none" w:sz="0" w:space="0" w:color="auto"/>
          </w:divBdr>
        </w:div>
      </w:divsChild>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83037534">
      <w:bodyDiv w:val="1"/>
      <w:marLeft w:val="0"/>
      <w:marRight w:val="0"/>
      <w:marTop w:val="0"/>
      <w:marBottom w:val="0"/>
      <w:divBdr>
        <w:top w:val="none" w:sz="0" w:space="0" w:color="auto"/>
        <w:left w:val="none" w:sz="0" w:space="0" w:color="auto"/>
        <w:bottom w:val="none" w:sz="0" w:space="0" w:color="auto"/>
        <w:right w:val="none" w:sz="0" w:space="0" w:color="auto"/>
      </w:divBdr>
    </w:div>
    <w:div w:id="79194076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94269024">
      <w:bodyDiv w:val="1"/>
      <w:marLeft w:val="0"/>
      <w:marRight w:val="0"/>
      <w:marTop w:val="0"/>
      <w:marBottom w:val="0"/>
      <w:divBdr>
        <w:top w:val="none" w:sz="0" w:space="0" w:color="auto"/>
        <w:left w:val="none" w:sz="0" w:space="0" w:color="auto"/>
        <w:bottom w:val="none" w:sz="0" w:space="0" w:color="auto"/>
        <w:right w:val="none" w:sz="0" w:space="0" w:color="auto"/>
      </w:divBdr>
    </w:div>
    <w:div w:id="927350681">
      <w:bodyDiv w:val="1"/>
      <w:marLeft w:val="0"/>
      <w:marRight w:val="0"/>
      <w:marTop w:val="0"/>
      <w:marBottom w:val="0"/>
      <w:divBdr>
        <w:top w:val="none" w:sz="0" w:space="0" w:color="auto"/>
        <w:left w:val="none" w:sz="0" w:space="0" w:color="auto"/>
        <w:bottom w:val="none" w:sz="0" w:space="0" w:color="auto"/>
        <w:right w:val="none" w:sz="0" w:space="0" w:color="auto"/>
      </w:divBdr>
      <w:divsChild>
        <w:div w:id="963266136">
          <w:marLeft w:val="0"/>
          <w:marRight w:val="0"/>
          <w:marTop w:val="0"/>
          <w:marBottom w:val="0"/>
          <w:divBdr>
            <w:top w:val="single" w:sz="6" w:space="2" w:color="AAAAAA"/>
            <w:left w:val="single" w:sz="6" w:space="2" w:color="AAAAAA"/>
            <w:bottom w:val="single" w:sz="6" w:space="2" w:color="AAAAAA"/>
            <w:right w:val="single" w:sz="6" w:space="2" w:color="AAAAAA"/>
          </w:divBdr>
          <w:divsChild>
            <w:div w:id="1824273013">
              <w:marLeft w:val="0"/>
              <w:marRight w:val="0"/>
              <w:marTop w:val="0"/>
              <w:marBottom w:val="0"/>
              <w:divBdr>
                <w:top w:val="none" w:sz="0" w:space="0" w:color="auto"/>
                <w:left w:val="none" w:sz="0" w:space="0" w:color="auto"/>
                <w:bottom w:val="none" w:sz="0" w:space="0" w:color="auto"/>
                <w:right w:val="none" w:sz="0" w:space="0" w:color="auto"/>
              </w:divBdr>
              <w:divsChild>
                <w:div w:id="1161430903">
                  <w:marLeft w:val="0"/>
                  <w:marRight w:val="0"/>
                  <w:marTop w:val="0"/>
                  <w:marBottom w:val="0"/>
                  <w:divBdr>
                    <w:top w:val="none" w:sz="0" w:space="0" w:color="auto"/>
                    <w:left w:val="none" w:sz="0" w:space="0" w:color="auto"/>
                    <w:bottom w:val="none" w:sz="0" w:space="0" w:color="auto"/>
                    <w:right w:val="none" w:sz="0" w:space="0" w:color="auto"/>
                  </w:divBdr>
                  <w:divsChild>
                    <w:div w:id="1206526480">
                      <w:marLeft w:val="75"/>
                      <w:marRight w:val="75"/>
                      <w:marTop w:val="75"/>
                      <w:marBottom w:val="75"/>
                      <w:divBdr>
                        <w:top w:val="single" w:sz="6" w:space="2" w:color="D5D5D5"/>
                        <w:left w:val="single" w:sz="6" w:space="2" w:color="D5D5D5"/>
                        <w:bottom w:val="single" w:sz="6" w:space="2" w:color="D5D5D5"/>
                        <w:right w:val="single" w:sz="6" w:space="2" w:color="D5D5D5"/>
                      </w:divBdr>
                      <w:divsChild>
                        <w:div w:id="57218275">
                          <w:marLeft w:val="0"/>
                          <w:marRight w:val="0"/>
                          <w:marTop w:val="0"/>
                          <w:marBottom w:val="0"/>
                          <w:divBdr>
                            <w:top w:val="none" w:sz="0" w:space="0" w:color="auto"/>
                            <w:left w:val="none" w:sz="0" w:space="0" w:color="auto"/>
                            <w:bottom w:val="none" w:sz="0" w:space="0" w:color="auto"/>
                            <w:right w:val="none" w:sz="0" w:space="0" w:color="auto"/>
                          </w:divBdr>
                          <w:divsChild>
                            <w:div w:id="657460031">
                              <w:marLeft w:val="0"/>
                              <w:marRight w:val="0"/>
                              <w:marTop w:val="0"/>
                              <w:marBottom w:val="240"/>
                              <w:divBdr>
                                <w:top w:val="none" w:sz="0" w:space="0" w:color="auto"/>
                                <w:left w:val="none" w:sz="0" w:space="0" w:color="auto"/>
                                <w:bottom w:val="none" w:sz="0" w:space="0" w:color="auto"/>
                                <w:right w:val="none" w:sz="0" w:space="0" w:color="auto"/>
                              </w:divBdr>
                            </w:div>
                            <w:div w:id="1832481570">
                              <w:marLeft w:val="0"/>
                              <w:marRight w:val="0"/>
                              <w:marTop w:val="0"/>
                              <w:marBottom w:val="240"/>
                              <w:divBdr>
                                <w:top w:val="none" w:sz="0" w:space="0" w:color="auto"/>
                                <w:left w:val="none" w:sz="0" w:space="0" w:color="auto"/>
                                <w:bottom w:val="none" w:sz="0" w:space="0" w:color="auto"/>
                                <w:right w:val="none" w:sz="0" w:space="0" w:color="auto"/>
                              </w:divBdr>
                            </w:div>
                            <w:div w:id="2071420760">
                              <w:marLeft w:val="0"/>
                              <w:marRight w:val="0"/>
                              <w:marTop w:val="0"/>
                              <w:marBottom w:val="240"/>
                              <w:divBdr>
                                <w:top w:val="none" w:sz="0" w:space="0" w:color="auto"/>
                                <w:left w:val="none" w:sz="0" w:space="0" w:color="auto"/>
                                <w:bottom w:val="none" w:sz="0" w:space="0" w:color="auto"/>
                                <w:right w:val="none" w:sz="0" w:space="0" w:color="auto"/>
                              </w:divBdr>
                            </w:div>
                            <w:div w:id="1315455292">
                              <w:marLeft w:val="0"/>
                              <w:marRight w:val="0"/>
                              <w:marTop w:val="0"/>
                              <w:marBottom w:val="240"/>
                              <w:divBdr>
                                <w:top w:val="none" w:sz="0" w:space="0" w:color="auto"/>
                                <w:left w:val="none" w:sz="0" w:space="0" w:color="auto"/>
                                <w:bottom w:val="none" w:sz="0" w:space="0" w:color="auto"/>
                                <w:right w:val="none" w:sz="0" w:space="0" w:color="auto"/>
                              </w:divBdr>
                            </w:div>
                            <w:div w:id="814416113">
                              <w:marLeft w:val="0"/>
                              <w:marRight w:val="0"/>
                              <w:marTop w:val="0"/>
                              <w:marBottom w:val="240"/>
                              <w:divBdr>
                                <w:top w:val="none" w:sz="0" w:space="0" w:color="auto"/>
                                <w:left w:val="none" w:sz="0" w:space="0" w:color="auto"/>
                                <w:bottom w:val="none" w:sz="0" w:space="0" w:color="auto"/>
                                <w:right w:val="none" w:sz="0" w:space="0" w:color="auto"/>
                              </w:divBdr>
                            </w:div>
                            <w:div w:id="635572807">
                              <w:marLeft w:val="0"/>
                              <w:marRight w:val="0"/>
                              <w:marTop w:val="0"/>
                              <w:marBottom w:val="240"/>
                              <w:divBdr>
                                <w:top w:val="none" w:sz="0" w:space="0" w:color="auto"/>
                                <w:left w:val="none" w:sz="0" w:space="0" w:color="auto"/>
                                <w:bottom w:val="none" w:sz="0" w:space="0" w:color="auto"/>
                                <w:right w:val="none" w:sz="0" w:space="0" w:color="auto"/>
                              </w:divBdr>
                            </w:div>
                            <w:div w:id="1239557861">
                              <w:marLeft w:val="0"/>
                              <w:marRight w:val="0"/>
                              <w:marTop w:val="0"/>
                              <w:marBottom w:val="240"/>
                              <w:divBdr>
                                <w:top w:val="none" w:sz="0" w:space="0" w:color="auto"/>
                                <w:left w:val="none" w:sz="0" w:space="0" w:color="auto"/>
                                <w:bottom w:val="none" w:sz="0" w:space="0" w:color="auto"/>
                                <w:right w:val="none" w:sz="0" w:space="0" w:color="auto"/>
                              </w:divBdr>
                            </w:div>
                            <w:div w:id="962660256">
                              <w:marLeft w:val="0"/>
                              <w:marRight w:val="0"/>
                              <w:marTop w:val="0"/>
                              <w:marBottom w:val="240"/>
                              <w:divBdr>
                                <w:top w:val="none" w:sz="0" w:space="0" w:color="auto"/>
                                <w:left w:val="none" w:sz="0" w:space="0" w:color="auto"/>
                                <w:bottom w:val="none" w:sz="0" w:space="0" w:color="auto"/>
                                <w:right w:val="none" w:sz="0" w:space="0" w:color="auto"/>
                              </w:divBdr>
                            </w:div>
                            <w:div w:id="2106880410">
                              <w:marLeft w:val="0"/>
                              <w:marRight w:val="0"/>
                              <w:marTop w:val="0"/>
                              <w:marBottom w:val="240"/>
                              <w:divBdr>
                                <w:top w:val="none" w:sz="0" w:space="0" w:color="auto"/>
                                <w:left w:val="none" w:sz="0" w:space="0" w:color="auto"/>
                                <w:bottom w:val="none" w:sz="0" w:space="0" w:color="auto"/>
                                <w:right w:val="none" w:sz="0" w:space="0" w:color="auto"/>
                              </w:divBdr>
                            </w:div>
                            <w:div w:id="1494686968">
                              <w:marLeft w:val="0"/>
                              <w:marRight w:val="0"/>
                              <w:marTop w:val="0"/>
                              <w:marBottom w:val="240"/>
                              <w:divBdr>
                                <w:top w:val="none" w:sz="0" w:space="0" w:color="auto"/>
                                <w:left w:val="none" w:sz="0" w:space="0" w:color="auto"/>
                                <w:bottom w:val="none" w:sz="0" w:space="0" w:color="auto"/>
                                <w:right w:val="none" w:sz="0" w:space="0" w:color="auto"/>
                              </w:divBdr>
                            </w:div>
                            <w:div w:id="1425414537">
                              <w:marLeft w:val="0"/>
                              <w:marRight w:val="0"/>
                              <w:marTop w:val="0"/>
                              <w:marBottom w:val="240"/>
                              <w:divBdr>
                                <w:top w:val="none" w:sz="0" w:space="0" w:color="auto"/>
                                <w:left w:val="none" w:sz="0" w:space="0" w:color="auto"/>
                                <w:bottom w:val="none" w:sz="0" w:space="0" w:color="auto"/>
                                <w:right w:val="none" w:sz="0" w:space="0" w:color="auto"/>
                              </w:divBdr>
                            </w:div>
                            <w:div w:id="9262302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56333606">
      <w:bodyDiv w:val="1"/>
      <w:marLeft w:val="0"/>
      <w:marRight w:val="0"/>
      <w:marTop w:val="0"/>
      <w:marBottom w:val="0"/>
      <w:divBdr>
        <w:top w:val="none" w:sz="0" w:space="0" w:color="auto"/>
        <w:left w:val="none" w:sz="0" w:space="0" w:color="auto"/>
        <w:bottom w:val="none" w:sz="0" w:space="0" w:color="auto"/>
        <w:right w:val="none" w:sz="0" w:space="0" w:color="auto"/>
      </w:divBdr>
    </w:div>
    <w:div w:id="999112448">
      <w:bodyDiv w:val="1"/>
      <w:marLeft w:val="0"/>
      <w:marRight w:val="0"/>
      <w:marTop w:val="0"/>
      <w:marBottom w:val="0"/>
      <w:divBdr>
        <w:top w:val="none" w:sz="0" w:space="0" w:color="auto"/>
        <w:left w:val="none" w:sz="0" w:space="0" w:color="auto"/>
        <w:bottom w:val="none" w:sz="0" w:space="0" w:color="auto"/>
        <w:right w:val="none" w:sz="0" w:space="0" w:color="auto"/>
      </w:divBdr>
      <w:divsChild>
        <w:div w:id="1956985792">
          <w:marLeft w:val="480"/>
          <w:marRight w:val="0"/>
          <w:marTop w:val="0"/>
          <w:marBottom w:val="0"/>
          <w:divBdr>
            <w:top w:val="none" w:sz="0" w:space="0" w:color="auto"/>
            <w:left w:val="none" w:sz="0" w:space="0" w:color="auto"/>
            <w:bottom w:val="none" w:sz="0" w:space="0" w:color="auto"/>
            <w:right w:val="none" w:sz="0" w:space="0" w:color="auto"/>
          </w:divBdr>
          <w:divsChild>
            <w:div w:id="6220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7705">
      <w:bodyDiv w:val="1"/>
      <w:marLeft w:val="0"/>
      <w:marRight w:val="0"/>
      <w:marTop w:val="0"/>
      <w:marBottom w:val="0"/>
      <w:divBdr>
        <w:top w:val="none" w:sz="0" w:space="0" w:color="auto"/>
        <w:left w:val="none" w:sz="0" w:space="0" w:color="auto"/>
        <w:bottom w:val="none" w:sz="0" w:space="0" w:color="auto"/>
        <w:right w:val="none" w:sz="0" w:space="0" w:color="auto"/>
      </w:divBdr>
    </w:div>
    <w:div w:id="1063797822">
      <w:bodyDiv w:val="1"/>
      <w:marLeft w:val="0"/>
      <w:marRight w:val="0"/>
      <w:marTop w:val="0"/>
      <w:marBottom w:val="0"/>
      <w:divBdr>
        <w:top w:val="none" w:sz="0" w:space="0" w:color="auto"/>
        <w:left w:val="none" w:sz="0" w:space="0" w:color="auto"/>
        <w:bottom w:val="none" w:sz="0" w:space="0" w:color="auto"/>
        <w:right w:val="none" w:sz="0" w:space="0" w:color="auto"/>
      </w:divBdr>
    </w:div>
    <w:div w:id="1084453642">
      <w:bodyDiv w:val="1"/>
      <w:marLeft w:val="0"/>
      <w:marRight w:val="0"/>
      <w:marTop w:val="0"/>
      <w:marBottom w:val="0"/>
      <w:divBdr>
        <w:top w:val="none" w:sz="0" w:space="0" w:color="auto"/>
        <w:left w:val="none" w:sz="0" w:space="0" w:color="auto"/>
        <w:bottom w:val="none" w:sz="0" w:space="0" w:color="auto"/>
        <w:right w:val="none" w:sz="0" w:space="0" w:color="auto"/>
      </w:divBdr>
      <w:divsChild>
        <w:div w:id="959145106">
          <w:marLeft w:val="0"/>
          <w:marRight w:val="0"/>
          <w:marTop w:val="0"/>
          <w:marBottom w:val="0"/>
          <w:divBdr>
            <w:top w:val="none" w:sz="0" w:space="0" w:color="auto"/>
            <w:left w:val="none" w:sz="0" w:space="0" w:color="auto"/>
            <w:bottom w:val="none" w:sz="0" w:space="0" w:color="auto"/>
            <w:right w:val="none" w:sz="0" w:space="0" w:color="auto"/>
          </w:divBdr>
        </w:div>
        <w:div w:id="1337489701">
          <w:marLeft w:val="0"/>
          <w:marRight w:val="0"/>
          <w:marTop w:val="0"/>
          <w:marBottom w:val="0"/>
          <w:divBdr>
            <w:top w:val="none" w:sz="0" w:space="0" w:color="auto"/>
            <w:left w:val="none" w:sz="0" w:space="0" w:color="auto"/>
            <w:bottom w:val="none" w:sz="0" w:space="0" w:color="auto"/>
            <w:right w:val="none" w:sz="0" w:space="0" w:color="auto"/>
          </w:divBdr>
        </w:div>
        <w:div w:id="455683233">
          <w:marLeft w:val="0"/>
          <w:marRight w:val="0"/>
          <w:marTop w:val="0"/>
          <w:marBottom w:val="0"/>
          <w:divBdr>
            <w:top w:val="none" w:sz="0" w:space="0" w:color="auto"/>
            <w:left w:val="none" w:sz="0" w:space="0" w:color="auto"/>
            <w:bottom w:val="none" w:sz="0" w:space="0" w:color="auto"/>
            <w:right w:val="none" w:sz="0" w:space="0" w:color="auto"/>
          </w:divBdr>
        </w:div>
      </w:divsChild>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81372768">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61936062">
      <w:bodyDiv w:val="1"/>
      <w:marLeft w:val="0"/>
      <w:marRight w:val="0"/>
      <w:marTop w:val="0"/>
      <w:marBottom w:val="0"/>
      <w:divBdr>
        <w:top w:val="none" w:sz="0" w:space="0" w:color="auto"/>
        <w:left w:val="none" w:sz="0" w:space="0" w:color="auto"/>
        <w:bottom w:val="none" w:sz="0" w:space="0" w:color="auto"/>
        <w:right w:val="none" w:sz="0" w:space="0" w:color="auto"/>
      </w:divBdr>
    </w:div>
    <w:div w:id="1417361700">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505515208">
      <w:bodyDiv w:val="1"/>
      <w:marLeft w:val="0"/>
      <w:marRight w:val="0"/>
      <w:marTop w:val="0"/>
      <w:marBottom w:val="0"/>
      <w:divBdr>
        <w:top w:val="none" w:sz="0" w:space="0" w:color="auto"/>
        <w:left w:val="none" w:sz="0" w:space="0" w:color="auto"/>
        <w:bottom w:val="none" w:sz="0" w:space="0" w:color="auto"/>
        <w:right w:val="none" w:sz="0" w:space="0" w:color="auto"/>
      </w:divBdr>
    </w:div>
    <w:div w:id="1512722855">
      <w:bodyDiv w:val="1"/>
      <w:marLeft w:val="0"/>
      <w:marRight w:val="0"/>
      <w:marTop w:val="0"/>
      <w:marBottom w:val="0"/>
      <w:divBdr>
        <w:top w:val="none" w:sz="0" w:space="0" w:color="auto"/>
        <w:left w:val="none" w:sz="0" w:space="0" w:color="auto"/>
        <w:bottom w:val="none" w:sz="0" w:space="0" w:color="auto"/>
        <w:right w:val="none" w:sz="0" w:space="0" w:color="auto"/>
      </w:divBdr>
    </w:div>
    <w:div w:id="1622883425">
      <w:bodyDiv w:val="1"/>
      <w:marLeft w:val="0"/>
      <w:marRight w:val="0"/>
      <w:marTop w:val="0"/>
      <w:marBottom w:val="0"/>
      <w:divBdr>
        <w:top w:val="none" w:sz="0" w:space="0" w:color="auto"/>
        <w:left w:val="none" w:sz="0" w:space="0" w:color="auto"/>
        <w:bottom w:val="none" w:sz="0" w:space="0" w:color="auto"/>
        <w:right w:val="none" w:sz="0" w:space="0" w:color="auto"/>
      </w:divBdr>
    </w:div>
    <w:div w:id="1714963152">
      <w:bodyDiv w:val="1"/>
      <w:marLeft w:val="0"/>
      <w:marRight w:val="0"/>
      <w:marTop w:val="0"/>
      <w:marBottom w:val="0"/>
      <w:divBdr>
        <w:top w:val="none" w:sz="0" w:space="0" w:color="auto"/>
        <w:left w:val="none" w:sz="0" w:space="0" w:color="auto"/>
        <w:bottom w:val="none" w:sz="0" w:space="0" w:color="auto"/>
        <w:right w:val="none" w:sz="0" w:space="0" w:color="auto"/>
      </w:divBdr>
      <w:divsChild>
        <w:div w:id="545459157">
          <w:marLeft w:val="0"/>
          <w:marRight w:val="0"/>
          <w:marTop w:val="0"/>
          <w:marBottom w:val="0"/>
          <w:divBdr>
            <w:top w:val="single" w:sz="6" w:space="2" w:color="AAAAAA"/>
            <w:left w:val="single" w:sz="6" w:space="2" w:color="AAAAAA"/>
            <w:bottom w:val="single" w:sz="6" w:space="2" w:color="AAAAAA"/>
            <w:right w:val="single" w:sz="6" w:space="2" w:color="AAAAAA"/>
          </w:divBdr>
          <w:divsChild>
            <w:div w:id="1913932339">
              <w:marLeft w:val="0"/>
              <w:marRight w:val="0"/>
              <w:marTop w:val="0"/>
              <w:marBottom w:val="0"/>
              <w:divBdr>
                <w:top w:val="none" w:sz="0" w:space="0" w:color="auto"/>
                <w:left w:val="none" w:sz="0" w:space="0" w:color="auto"/>
                <w:bottom w:val="none" w:sz="0" w:space="0" w:color="auto"/>
                <w:right w:val="none" w:sz="0" w:space="0" w:color="auto"/>
              </w:divBdr>
              <w:divsChild>
                <w:div w:id="1853563295">
                  <w:marLeft w:val="0"/>
                  <w:marRight w:val="0"/>
                  <w:marTop w:val="0"/>
                  <w:marBottom w:val="0"/>
                  <w:divBdr>
                    <w:top w:val="none" w:sz="0" w:space="0" w:color="auto"/>
                    <w:left w:val="none" w:sz="0" w:space="0" w:color="auto"/>
                    <w:bottom w:val="none" w:sz="0" w:space="0" w:color="auto"/>
                    <w:right w:val="none" w:sz="0" w:space="0" w:color="auto"/>
                  </w:divBdr>
                  <w:divsChild>
                    <w:div w:id="1588079635">
                      <w:marLeft w:val="75"/>
                      <w:marRight w:val="75"/>
                      <w:marTop w:val="75"/>
                      <w:marBottom w:val="75"/>
                      <w:divBdr>
                        <w:top w:val="single" w:sz="6" w:space="2" w:color="D5D5D5"/>
                        <w:left w:val="single" w:sz="6" w:space="2" w:color="D5D5D5"/>
                        <w:bottom w:val="single" w:sz="6" w:space="2" w:color="D5D5D5"/>
                        <w:right w:val="single" w:sz="6" w:space="2" w:color="D5D5D5"/>
                      </w:divBdr>
                      <w:divsChild>
                        <w:div w:id="1680547391">
                          <w:marLeft w:val="0"/>
                          <w:marRight w:val="0"/>
                          <w:marTop w:val="0"/>
                          <w:marBottom w:val="0"/>
                          <w:divBdr>
                            <w:top w:val="none" w:sz="0" w:space="0" w:color="auto"/>
                            <w:left w:val="none" w:sz="0" w:space="0" w:color="auto"/>
                            <w:bottom w:val="none" w:sz="0" w:space="0" w:color="auto"/>
                            <w:right w:val="none" w:sz="0" w:space="0" w:color="auto"/>
                          </w:divBdr>
                          <w:divsChild>
                            <w:div w:id="1233932031">
                              <w:marLeft w:val="0"/>
                              <w:marRight w:val="0"/>
                              <w:marTop w:val="0"/>
                              <w:marBottom w:val="240"/>
                              <w:divBdr>
                                <w:top w:val="none" w:sz="0" w:space="0" w:color="auto"/>
                                <w:left w:val="none" w:sz="0" w:space="0" w:color="auto"/>
                                <w:bottom w:val="none" w:sz="0" w:space="0" w:color="auto"/>
                                <w:right w:val="none" w:sz="0" w:space="0" w:color="auto"/>
                              </w:divBdr>
                            </w:div>
                            <w:div w:id="724717945">
                              <w:marLeft w:val="0"/>
                              <w:marRight w:val="0"/>
                              <w:marTop w:val="0"/>
                              <w:marBottom w:val="240"/>
                              <w:divBdr>
                                <w:top w:val="none" w:sz="0" w:space="0" w:color="auto"/>
                                <w:left w:val="none" w:sz="0" w:space="0" w:color="auto"/>
                                <w:bottom w:val="none" w:sz="0" w:space="0" w:color="auto"/>
                                <w:right w:val="none" w:sz="0" w:space="0" w:color="auto"/>
                              </w:divBdr>
                            </w:div>
                            <w:div w:id="886649463">
                              <w:marLeft w:val="0"/>
                              <w:marRight w:val="0"/>
                              <w:marTop w:val="0"/>
                              <w:marBottom w:val="240"/>
                              <w:divBdr>
                                <w:top w:val="none" w:sz="0" w:space="0" w:color="auto"/>
                                <w:left w:val="none" w:sz="0" w:space="0" w:color="auto"/>
                                <w:bottom w:val="none" w:sz="0" w:space="0" w:color="auto"/>
                                <w:right w:val="none" w:sz="0" w:space="0" w:color="auto"/>
                              </w:divBdr>
                            </w:div>
                            <w:div w:id="685519238">
                              <w:marLeft w:val="0"/>
                              <w:marRight w:val="0"/>
                              <w:marTop w:val="0"/>
                              <w:marBottom w:val="240"/>
                              <w:divBdr>
                                <w:top w:val="none" w:sz="0" w:space="0" w:color="auto"/>
                                <w:left w:val="none" w:sz="0" w:space="0" w:color="auto"/>
                                <w:bottom w:val="none" w:sz="0" w:space="0" w:color="auto"/>
                                <w:right w:val="none" w:sz="0" w:space="0" w:color="auto"/>
                              </w:divBdr>
                            </w:div>
                            <w:div w:id="1728185452">
                              <w:marLeft w:val="0"/>
                              <w:marRight w:val="0"/>
                              <w:marTop w:val="0"/>
                              <w:marBottom w:val="240"/>
                              <w:divBdr>
                                <w:top w:val="none" w:sz="0" w:space="0" w:color="auto"/>
                                <w:left w:val="none" w:sz="0" w:space="0" w:color="auto"/>
                                <w:bottom w:val="none" w:sz="0" w:space="0" w:color="auto"/>
                                <w:right w:val="none" w:sz="0" w:space="0" w:color="auto"/>
                              </w:divBdr>
                            </w:div>
                            <w:div w:id="812797429">
                              <w:marLeft w:val="0"/>
                              <w:marRight w:val="0"/>
                              <w:marTop w:val="0"/>
                              <w:marBottom w:val="240"/>
                              <w:divBdr>
                                <w:top w:val="none" w:sz="0" w:space="0" w:color="auto"/>
                                <w:left w:val="none" w:sz="0" w:space="0" w:color="auto"/>
                                <w:bottom w:val="none" w:sz="0" w:space="0" w:color="auto"/>
                                <w:right w:val="none" w:sz="0" w:space="0" w:color="auto"/>
                              </w:divBdr>
                            </w:div>
                            <w:div w:id="1592199991">
                              <w:marLeft w:val="0"/>
                              <w:marRight w:val="0"/>
                              <w:marTop w:val="0"/>
                              <w:marBottom w:val="240"/>
                              <w:divBdr>
                                <w:top w:val="none" w:sz="0" w:space="0" w:color="auto"/>
                                <w:left w:val="none" w:sz="0" w:space="0" w:color="auto"/>
                                <w:bottom w:val="none" w:sz="0" w:space="0" w:color="auto"/>
                                <w:right w:val="none" w:sz="0" w:space="0" w:color="auto"/>
                              </w:divBdr>
                            </w:div>
                            <w:div w:id="1052189128">
                              <w:marLeft w:val="0"/>
                              <w:marRight w:val="0"/>
                              <w:marTop w:val="0"/>
                              <w:marBottom w:val="240"/>
                              <w:divBdr>
                                <w:top w:val="none" w:sz="0" w:space="0" w:color="auto"/>
                                <w:left w:val="none" w:sz="0" w:space="0" w:color="auto"/>
                                <w:bottom w:val="none" w:sz="0" w:space="0" w:color="auto"/>
                                <w:right w:val="none" w:sz="0" w:space="0" w:color="auto"/>
                              </w:divBdr>
                            </w:div>
                            <w:div w:id="362290800">
                              <w:marLeft w:val="0"/>
                              <w:marRight w:val="0"/>
                              <w:marTop w:val="0"/>
                              <w:marBottom w:val="240"/>
                              <w:divBdr>
                                <w:top w:val="none" w:sz="0" w:space="0" w:color="auto"/>
                                <w:left w:val="none" w:sz="0" w:space="0" w:color="auto"/>
                                <w:bottom w:val="none" w:sz="0" w:space="0" w:color="auto"/>
                                <w:right w:val="none" w:sz="0" w:space="0" w:color="auto"/>
                              </w:divBdr>
                            </w:div>
                            <w:div w:id="1346781511">
                              <w:marLeft w:val="0"/>
                              <w:marRight w:val="0"/>
                              <w:marTop w:val="0"/>
                              <w:marBottom w:val="240"/>
                              <w:divBdr>
                                <w:top w:val="none" w:sz="0" w:space="0" w:color="auto"/>
                                <w:left w:val="none" w:sz="0" w:space="0" w:color="auto"/>
                                <w:bottom w:val="none" w:sz="0" w:space="0" w:color="auto"/>
                                <w:right w:val="none" w:sz="0" w:space="0" w:color="auto"/>
                              </w:divBdr>
                            </w:div>
                            <w:div w:id="1320187358">
                              <w:marLeft w:val="0"/>
                              <w:marRight w:val="0"/>
                              <w:marTop w:val="0"/>
                              <w:marBottom w:val="240"/>
                              <w:divBdr>
                                <w:top w:val="none" w:sz="0" w:space="0" w:color="auto"/>
                                <w:left w:val="none" w:sz="0" w:space="0" w:color="auto"/>
                                <w:bottom w:val="none" w:sz="0" w:space="0" w:color="auto"/>
                                <w:right w:val="none" w:sz="0" w:space="0" w:color="auto"/>
                              </w:divBdr>
                            </w:div>
                            <w:div w:id="2012177184">
                              <w:marLeft w:val="0"/>
                              <w:marRight w:val="0"/>
                              <w:marTop w:val="0"/>
                              <w:marBottom w:val="240"/>
                              <w:divBdr>
                                <w:top w:val="none" w:sz="0" w:space="0" w:color="auto"/>
                                <w:left w:val="none" w:sz="0" w:space="0" w:color="auto"/>
                                <w:bottom w:val="none" w:sz="0" w:space="0" w:color="auto"/>
                                <w:right w:val="none" w:sz="0" w:space="0" w:color="auto"/>
                              </w:divBdr>
                            </w:div>
                            <w:div w:id="1528055104">
                              <w:marLeft w:val="0"/>
                              <w:marRight w:val="0"/>
                              <w:marTop w:val="0"/>
                              <w:marBottom w:val="240"/>
                              <w:divBdr>
                                <w:top w:val="none" w:sz="0" w:space="0" w:color="auto"/>
                                <w:left w:val="none" w:sz="0" w:space="0" w:color="auto"/>
                                <w:bottom w:val="none" w:sz="0" w:space="0" w:color="auto"/>
                                <w:right w:val="none" w:sz="0" w:space="0" w:color="auto"/>
                              </w:divBdr>
                            </w:div>
                            <w:div w:id="1381978177">
                              <w:marLeft w:val="0"/>
                              <w:marRight w:val="0"/>
                              <w:marTop w:val="0"/>
                              <w:marBottom w:val="240"/>
                              <w:divBdr>
                                <w:top w:val="none" w:sz="0" w:space="0" w:color="auto"/>
                                <w:left w:val="none" w:sz="0" w:space="0" w:color="auto"/>
                                <w:bottom w:val="none" w:sz="0" w:space="0" w:color="auto"/>
                                <w:right w:val="none" w:sz="0" w:space="0" w:color="auto"/>
                              </w:divBdr>
                            </w:div>
                            <w:div w:id="8915348">
                              <w:marLeft w:val="0"/>
                              <w:marRight w:val="0"/>
                              <w:marTop w:val="0"/>
                              <w:marBottom w:val="240"/>
                              <w:divBdr>
                                <w:top w:val="none" w:sz="0" w:space="0" w:color="auto"/>
                                <w:left w:val="none" w:sz="0" w:space="0" w:color="auto"/>
                                <w:bottom w:val="none" w:sz="0" w:space="0" w:color="auto"/>
                                <w:right w:val="none" w:sz="0" w:space="0" w:color="auto"/>
                              </w:divBdr>
                            </w:div>
                            <w:div w:id="193927699">
                              <w:marLeft w:val="0"/>
                              <w:marRight w:val="0"/>
                              <w:marTop w:val="0"/>
                              <w:marBottom w:val="240"/>
                              <w:divBdr>
                                <w:top w:val="none" w:sz="0" w:space="0" w:color="auto"/>
                                <w:left w:val="none" w:sz="0" w:space="0" w:color="auto"/>
                                <w:bottom w:val="none" w:sz="0" w:space="0" w:color="auto"/>
                                <w:right w:val="none" w:sz="0" w:space="0" w:color="auto"/>
                              </w:divBdr>
                            </w:div>
                            <w:div w:id="1691100295">
                              <w:marLeft w:val="0"/>
                              <w:marRight w:val="0"/>
                              <w:marTop w:val="0"/>
                              <w:marBottom w:val="240"/>
                              <w:divBdr>
                                <w:top w:val="none" w:sz="0" w:space="0" w:color="auto"/>
                                <w:left w:val="none" w:sz="0" w:space="0" w:color="auto"/>
                                <w:bottom w:val="none" w:sz="0" w:space="0" w:color="auto"/>
                                <w:right w:val="none" w:sz="0" w:space="0" w:color="auto"/>
                              </w:divBdr>
                            </w:div>
                            <w:div w:id="1927112252">
                              <w:marLeft w:val="0"/>
                              <w:marRight w:val="0"/>
                              <w:marTop w:val="0"/>
                              <w:marBottom w:val="240"/>
                              <w:divBdr>
                                <w:top w:val="none" w:sz="0" w:space="0" w:color="auto"/>
                                <w:left w:val="none" w:sz="0" w:space="0" w:color="auto"/>
                                <w:bottom w:val="none" w:sz="0" w:space="0" w:color="auto"/>
                                <w:right w:val="none" w:sz="0" w:space="0" w:color="auto"/>
                              </w:divBdr>
                            </w:div>
                            <w:div w:id="567153029">
                              <w:marLeft w:val="0"/>
                              <w:marRight w:val="0"/>
                              <w:marTop w:val="0"/>
                              <w:marBottom w:val="240"/>
                              <w:divBdr>
                                <w:top w:val="none" w:sz="0" w:space="0" w:color="auto"/>
                                <w:left w:val="none" w:sz="0" w:space="0" w:color="auto"/>
                                <w:bottom w:val="none" w:sz="0" w:space="0" w:color="auto"/>
                                <w:right w:val="none" w:sz="0" w:space="0" w:color="auto"/>
                              </w:divBdr>
                            </w:div>
                            <w:div w:id="541795383">
                              <w:marLeft w:val="0"/>
                              <w:marRight w:val="0"/>
                              <w:marTop w:val="0"/>
                              <w:marBottom w:val="240"/>
                              <w:divBdr>
                                <w:top w:val="none" w:sz="0" w:space="0" w:color="auto"/>
                                <w:left w:val="none" w:sz="0" w:space="0" w:color="auto"/>
                                <w:bottom w:val="none" w:sz="0" w:space="0" w:color="auto"/>
                                <w:right w:val="none" w:sz="0" w:space="0" w:color="auto"/>
                              </w:divBdr>
                            </w:div>
                            <w:div w:id="1659646597">
                              <w:marLeft w:val="0"/>
                              <w:marRight w:val="0"/>
                              <w:marTop w:val="0"/>
                              <w:marBottom w:val="240"/>
                              <w:divBdr>
                                <w:top w:val="none" w:sz="0" w:space="0" w:color="auto"/>
                                <w:left w:val="none" w:sz="0" w:space="0" w:color="auto"/>
                                <w:bottom w:val="none" w:sz="0" w:space="0" w:color="auto"/>
                                <w:right w:val="none" w:sz="0" w:space="0" w:color="auto"/>
                              </w:divBdr>
                            </w:div>
                            <w:div w:id="1061904467">
                              <w:marLeft w:val="0"/>
                              <w:marRight w:val="0"/>
                              <w:marTop w:val="0"/>
                              <w:marBottom w:val="240"/>
                              <w:divBdr>
                                <w:top w:val="none" w:sz="0" w:space="0" w:color="auto"/>
                                <w:left w:val="none" w:sz="0" w:space="0" w:color="auto"/>
                                <w:bottom w:val="none" w:sz="0" w:space="0" w:color="auto"/>
                                <w:right w:val="none" w:sz="0" w:space="0" w:color="auto"/>
                              </w:divBdr>
                            </w:div>
                            <w:div w:id="21095017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60561981">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53690285">
      <w:bodyDiv w:val="1"/>
      <w:marLeft w:val="0"/>
      <w:marRight w:val="0"/>
      <w:marTop w:val="0"/>
      <w:marBottom w:val="0"/>
      <w:divBdr>
        <w:top w:val="none" w:sz="0" w:space="0" w:color="auto"/>
        <w:left w:val="none" w:sz="0" w:space="0" w:color="auto"/>
        <w:bottom w:val="none" w:sz="0" w:space="0" w:color="auto"/>
        <w:right w:val="none" w:sz="0" w:space="0" w:color="auto"/>
      </w:divBdr>
    </w:div>
    <w:div w:id="1888101194">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49727180">
      <w:bodyDiv w:val="1"/>
      <w:marLeft w:val="0"/>
      <w:marRight w:val="0"/>
      <w:marTop w:val="0"/>
      <w:marBottom w:val="0"/>
      <w:divBdr>
        <w:top w:val="none" w:sz="0" w:space="0" w:color="auto"/>
        <w:left w:val="none" w:sz="0" w:space="0" w:color="auto"/>
        <w:bottom w:val="none" w:sz="0" w:space="0" w:color="auto"/>
        <w:right w:val="none" w:sz="0" w:space="0" w:color="auto"/>
      </w:divBdr>
    </w:div>
    <w:div w:id="1998997469">
      <w:bodyDiv w:val="1"/>
      <w:marLeft w:val="0"/>
      <w:marRight w:val="0"/>
      <w:marTop w:val="0"/>
      <w:marBottom w:val="0"/>
      <w:divBdr>
        <w:top w:val="none" w:sz="0" w:space="0" w:color="auto"/>
        <w:left w:val="none" w:sz="0" w:space="0" w:color="auto"/>
        <w:bottom w:val="none" w:sz="0" w:space="0" w:color="auto"/>
        <w:right w:val="none" w:sz="0" w:space="0" w:color="auto"/>
      </w:divBdr>
      <w:divsChild>
        <w:div w:id="130563680">
          <w:marLeft w:val="480"/>
          <w:marRight w:val="0"/>
          <w:marTop w:val="0"/>
          <w:marBottom w:val="0"/>
          <w:divBdr>
            <w:top w:val="none" w:sz="0" w:space="0" w:color="auto"/>
            <w:left w:val="none" w:sz="0" w:space="0" w:color="auto"/>
            <w:bottom w:val="none" w:sz="0" w:space="0" w:color="auto"/>
            <w:right w:val="none" w:sz="0" w:space="0" w:color="auto"/>
          </w:divBdr>
          <w:divsChild>
            <w:div w:id="15095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595">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66298863">
      <w:bodyDiv w:val="1"/>
      <w:marLeft w:val="0"/>
      <w:marRight w:val="0"/>
      <w:marTop w:val="0"/>
      <w:marBottom w:val="0"/>
      <w:divBdr>
        <w:top w:val="none" w:sz="0" w:space="0" w:color="auto"/>
        <w:left w:val="none" w:sz="0" w:space="0" w:color="auto"/>
        <w:bottom w:val="none" w:sz="0" w:space="0" w:color="auto"/>
        <w:right w:val="none" w:sz="0" w:space="0" w:color="auto"/>
      </w:divBdr>
      <w:divsChild>
        <w:div w:id="740829207">
          <w:marLeft w:val="480"/>
          <w:marRight w:val="0"/>
          <w:marTop w:val="0"/>
          <w:marBottom w:val="0"/>
          <w:divBdr>
            <w:top w:val="none" w:sz="0" w:space="0" w:color="auto"/>
            <w:left w:val="none" w:sz="0" w:space="0" w:color="auto"/>
            <w:bottom w:val="none" w:sz="0" w:space="0" w:color="auto"/>
            <w:right w:val="none" w:sz="0" w:space="0" w:color="auto"/>
          </w:divBdr>
          <w:divsChild>
            <w:div w:id="13854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074886824">
      <w:bodyDiv w:val="1"/>
      <w:marLeft w:val="0"/>
      <w:marRight w:val="0"/>
      <w:marTop w:val="0"/>
      <w:marBottom w:val="0"/>
      <w:divBdr>
        <w:top w:val="none" w:sz="0" w:space="0" w:color="auto"/>
        <w:left w:val="none" w:sz="0" w:space="0" w:color="auto"/>
        <w:bottom w:val="none" w:sz="0" w:space="0" w:color="auto"/>
        <w:right w:val="none" w:sz="0" w:space="0" w:color="auto"/>
      </w:divBdr>
    </w:div>
    <w:div w:id="21119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drawdown.org" TargetMode="External"/><Relationship Id="rId18" Type="http://schemas.openxmlformats.org/officeDocument/2006/relationships/footer" Target="footer4.xml"/><Relationship Id="rId26" Type="http://schemas.openxmlformats.org/officeDocument/2006/relationships/hyperlink" Target="http://www.drawdown.org" TargetMode="External"/><Relationship Id="rId3" Type="http://schemas.openxmlformats.org/officeDocument/2006/relationships/numbering" Target="numbering.xml"/><Relationship Id="rId21" Type="http://schemas.openxmlformats.org/officeDocument/2006/relationships/hyperlink" Target="https://www.4coffshore.com/windfarms/bockstigen-sweden-se02.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hyperlink" Target="http://srren.ipcc-wg3.de/report/IPCC_SRREN_Ch07.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en.wikipedia.org/wiki/Donghai_Bridge_Wind_Farm" TargetMode="External"/><Relationship Id="rId29" Type="http://schemas.openxmlformats.org/officeDocument/2006/relationships/hyperlink" Target="https://www.iea.org/et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image" Target="media/image4.png"/><Relationship Id="rId32" Type="http://schemas.openxmlformats.org/officeDocument/2006/relationships/hyperlink" Target="http://energywatchgroup.org/wp-content/uploads/EWG_LUT_100RE_All_Sectors_Global_Report_2019.pdf"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chart" Target="charts/chart2.xml"/><Relationship Id="rId10" Type="http://schemas.openxmlformats.org/officeDocument/2006/relationships/hyperlink" Target="mailto:info@drawdown.org" TargetMode="External"/><Relationship Id="rId19" Type="http://schemas.openxmlformats.org/officeDocument/2006/relationships/hyperlink" Target="https://www.google.com/search?q=%C3%98rsted&amp;stick=H4sIAAAAAAAAAOPgE-LVT9c3NEzOycktyMgpUOLUz9U3MMkwM0vRkssot9JPzs_JSU0uyczP08_JT04EMYqt8svzUosA-kExdzwAAAA&amp;sa=X&amp;ved=2ahUKEwj48uf5wfDfAhXWUhUIHe7JCXQQmxMoATATegQIBxAH" TargetMode="External"/><Relationship Id="rId31" Type="http://schemas.openxmlformats.org/officeDocument/2006/relationships/hyperlink" Target="http://resourceirena.irena.org/gateway/dashboard/?topic=4&amp;subTopic=16"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image" Target="media/image2.png"/><Relationship Id="rId27" Type="http://schemas.openxmlformats.org/officeDocument/2006/relationships/chart" Target="charts/chart1.xml"/><Relationship Id="rId30" Type="http://schemas.openxmlformats.org/officeDocument/2006/relationships/hyperlink" Target="https://webstore.iea.org/world-energy-outlook-2018"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joaopedrogouveia/Desktop/DD/1_Technical%20Reports/02_Latest%20Reports%20%20(September2019)/Wind%20Offshore/1_Template%20Excel%20Graphs%20Wind%20offshor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joaopedrogouveia/Desktop/DD/1_Technical%20Reports/02_Latest%20Reports%20%20(September2019)/Wind%20Offshore/1_Template%20Excel%20Graphs%20Wind%20offsho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Functional Units</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7206362204724407"/>
          <c:y val="0.14773994741546972"/>
          <c:w val="0.61071979002624677"/>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 ##0_-;\-* #\ ##0_-;_-* "-"??_-;_-@_-</c:formatCode>
                <c:ptCount val="46"/>
                <c:pt idx="0">
                  <c:v>23.573170740790477</c:v>
                </c:pt>
                <c:pt idx="1">
                  <c:v>32.265618366171893</c:v>
                </c:pt>
                <c:pt idx="2">
                  <c:v>43.727672024150976</c:v>
                </c:pt>
                <c:pt idx="3">
                  <c:v>61.926733333332777</c:v>
                </c:pt>
                <c:pt idx="4">
                  <c:v>64.090881395757606</c:v>
                </c:pt>
                <c:pt idx="5">
                  <c:v>66.255029458182435</c:v>
                </c:pt>
                <c:pt idx="6">
                  <c:v>68.419177520607263</c:v>
                </c:pt>
                <c:pt idx="7">
                  <c:v>70.583325583032092</c:v>
                </c:pt>
                <c:pt idx="8">
                  <c:v>72.747473645456921</c:v>
                </c:pt>
                <c:pt idx="9">
                  <c:v>74.91162170788175</c:v>
                </c:pt>
                <c:pt idx="10">
                  <c:v>77.075769770306579</c:v>
                </c:pt>
                <c:pt idx="11">
                  <c:v>79.239917832731408</c:v>
                </c:pt>
                <c:pt idx="12">
                  <c:v>81.404065895156236</c:v>
                </c:pt>
                <c:pt idx="13">
                  <c:v>83.568213957581065</c:v>
                </c:pt>
                <c:pt idx="14">
                  <c:v>85.732362020005894</c:v>
                </c:pt>
                <c:pt idx="15">
                  <c:v>87.896510082430723</c:v>
                </c:pt>
                <c:pt idx="16">
                  <c:v>90.060658144855552</c:v>
                </c:pt>
                <c:pt idx="17">
                  <c:v>92.22480620728038</c:v>
                </c:pt>
                <c:pt idx="18">
                  <c:v>94.388954269705209</c:v>
                </c:pt>
                <c:pt idx="19">
                  <c:v>96.553102332130038</c:v>
                </c:pt>
                <c:pt idx="20">
                  <c:v>98.717250394553957</c:v>
                </c:pt>
                <c:pt idx="21">
                  <c:v>100.88139845697879</c:v>
                </c:pt>
                <c:pt idx="22">
                  <c:v>103.04554651940362</c:v>
                </c:pt>
                <c:pt idx="23">
                  <c:v>105.20969458182844</c:v>
                </c:pt>
                <c:pt idx="24">
                  <c:v>107.37384264425327</c:v>
                </c:pt>
                <c:pt idx="25">
                  <c:v>109.5379907066781</c:v>
                </c:pt>
                <c:pt idx="26">
                  <c:v>111.70213876910293</c:v>
                </c:pt>
                <c:pt idx="27">
                  <c:v>113.86628683152776</c:v>
                </c:pt>
                <c:pt idx="28">
                  <c:v>116.03043489395259</c:v>
                </c:pt>
                <c:pt idx="29">
                  <c:v>118.19458295637742</c:v>
                </c:pt>
                <c:pt idx="30">
                  <c:v>120.35873101880225</c:v>
                </c:pt>
                <c:pt idx="31">
                  <c:v>122.52287908122707</c:v>
                </c:pt>
                <c:pt idx="32">
                  <c:v>124.6870271436519</c:v>
                </c:pt>
                <c:pt idx="33">
                  <c:v>126.85117520607673</c:v>
                </c:pt>
                <c:pt idx="34">
                  <c:v>129.01532326850156</c:v>
                </c:pt>
                <c:pt idx="35">
                  <c:v>131.17947133092639</c:v>
                </c:pt>
                <c:pt idx="36">
                  <c:v>133.34361939335122</c:v>
                </c:pt>
                <c:pt idx="37">
                  <c:v>135.50776745577605</c:v>
                </c:pt>
                <c:pt idx="38">
                  <c:v>137.67191551820088</c:v>
                </c:pt>
                <c:pt idx="39">
                  <c:v>139.83606358062571</c:v>
                </c:pt>
                <c:pt idx="40">
                  <c:v>142.00021164305053</c:v>
                </c:pt>
                <c:pt idx="41">
                  <c:v>144.16435970547536</c:v>
                </c:pt>
                <c:pt idx="42">
                  <c:v>146.32850776790019</c:v>
                </c:pt>
                <c:pt idx="43">
                  <c:v>148.49265583032502</c:v>
                </c:pt>
                <c:pt idx="44">
                  <c:v>150.65680389274985</c:v>
                </c:pt>
                <c:pt idx="45">
                  <c:v>152.82095195517468</c:v>
                </c:pt>
              </c:numCache>
            </c:numRef>
          </c:val>
          <c:smooth val="1"/>
          <c:extLst>
            <c:ext xmlns:c16="http://schemas.microsoft.com/office/drawing/2014/chart" uri="{C3380CC4-5D6E-409C-BE32-E72D297353CC}">
              <c16:uniqueId val="{00000000-A035-1F48-BD73-F556CB6886B7}"/>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 ##0_-;\-* #\ ##0_-;_-* "-"??_-;_-@_-</c:formatCode>
                <c:ptCount val="46"/>
                <c:pt idx="0">
                  <c:v>23.573170740790477</c:v>
                </c:pt>
                <c:pt idx="1">
                  <c:v>32.265618366171893</c:v>
                </c:pt>
                <c:pt idx="2">
                  <c:v>43.727672024150976</c:v>
                </c:pt>
                <c:pt idx="3">
                  <c:v>61.926733333332777</c:v>
                </c:pt>
                <c:pt idx="4">
                  <c:v>74.925181070094126</c:v>
                </c:pt>
                <c:pt idx="5">
                  <c:v>94.642928274154229</c:v>
                </c:pt>
                <c:pt idx="6">
                  <c:v>117.09486514300397</c:v>
                </c:pt>
                <c:pt idx="7">
                  <c:v>142.27213758469145</c:v>
                </c:pt>
                <c:pt idx="8">
                  <c:v>170.16589150726458</c:v>
                </c:pt>
                <c:pt idx="9">
                  <c:v>200.7672728187714</c:v>
                </c:pt>
                <c:pt idx="10">
                  <c:v>234.06742742725993</c:v>
                </c:pt>
                <c:pt idx="11">
                  <c:v>270.05750124077821</c:v>
                </c:pt>
                <c:pt idx="12">
                  <c:v>308.72864016737412</c:v>
                </c:pt>
                <c:pt idx="13">
                  <c:v>350.07199011509579</c:v>
                </c:pt>
                <c:pt idx="14">
                  <c:v>394.07869699199119</c:v>
                </c:pt>
                <c:pt idx="15">
                  <c:v>440.73990670610823</c:v>
                </c:pt>
                <c:pt idx="16">
                  <c:v>490.04676516549506</c:v>
                </c:pt>
                <c:pt idx="17">
                  <c:v>541.99041827819963</c:v>
                </c:pt>
                <c:pt idx="18">
                  <c:v>596.56201195226981</c:v>
                </c:pt>
                <c:pt idx="19">
                  <c:v>653.75269209575379</c:v>
                </c:pt>
                <c:pt idx="20">
                  <c:v>713.55360461669966</c:v>
                </c:pt>
                <c:pt idx="21">
                  <c:v>775.95589542315508</c:v>
                </c:pt>
                <c:pt idx="22">
                  <c:v>840.9507104231684</c:v>
                </c:pt>
                <c:pt idx="23">
                  <c:v>908.5291955247875</c:v>
                </c:pt>
                <c:pt idx="24">
                  <c:v>978.68249663606025</c:v>
                </c:pt>
                <c:pt idx="25">
                  <c:v>1051.4017596650349</c:v>
                </c:pt>
                <c:pt idx="26">
                  <c:v>1126.6781305197594</c:v>
                </c:pt>
                <c:pt idx="27">
                  <c:v>1204.5027551082815</c:v>
                </c:pt>
                <c:pt idx="28">
                  <c:v>1284.8667793386494</c:v>
                </c:pt>
                <c:pt idx="29">
                  <c:v>1367.7613491189109</c:v>
                </c:pt>
                <c:pt idx="30">
                  <c:v>1453.1776103571146</c:v>
                </c:pt>
                <c:pt idx="31">
                  <c:v>1541.1067089613077</c:v>
                </c:pt>
                <c:pt idx="32">
                  <c:v>1631.5397908395387</c:v>
                </c:pt>
                <c:pt idx="33">
                  <c:v>1724.4680018998556</c:v>
                </c:pt>
                <c:pt idx="34">
                  <c:v>1819.8824880503062</c:v>
                </c:pt>
                <c:pt idx="35">
                  <c:v>1917.7743951989389</c:v>
                </c:pt>
                <c:pt idx="36">
                  <c:v>2018.1348692538011</c:v>
                </c:pt>
                <c:pt idx="37">
                  <c:v>2120.9550561229412</c:v>
                </c:pt>
                <c:pt idx="38">
                  <c:v>2226.2261017144069</c:v>
                </c:pt>
                <c:pt idx="39">
                  <c:v>2333.9391519362466</c:v>
                </c:pt>
                <c:pt idx="40">
                  <c:v>2444.0853526965088</c:v>
                </c:pt>
                <c:pt idx="41">
                  <c:v>2556.6558499032403</c:v>
                </c:pt>
                <c:pt idx="42">
                  <c:v>2671.6417894644892</c:v>
                </c:pt>
                <c:pt idx="43">
                  <c:v>2789.034317288304</c:v>
                </c:pt>
                <c:pt idx="44">
                  <c:v>2908.8245792827333</c:v>
                </c:pt>
                <c:pt idx="45">
                  <c:v>3031.0037213558244</c:v>
                </c:pt>
              </c:numCache>
            </c:numRef>
          </c:val>
          <c:smooth val="0"/>
          <c:extLst>
            <c:ext xmlns:c16="http://schemas.microsoft.com/office/drawing/2014/chart" uri="{C3380CC4-5D6E-409C-BE32-E72D297353CC}">
              <c16:uniqueId val="{00000001-A035-1F48-BD73-F556CB6886B7}"/>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 ##0_-;\-* #\ ##0_-;_-* "-"??_-;_-@_-</c:formatCode>
                <c:ptCount val="46"/>
                <c:pt idx="0">
                  <c:v>24.090465882471999</c:v>
                </c:pt>
                <c:pt idx="1">
                  <c:v>32.622046891387129</c:v>
                </c:pt>
                <c:pt idx="2">
                  <c:v>44.190990631033024</c:v>
                </c:pt>
                <c:pt idx="3">
                  <c:v>61.926733333332777</c:v>
                </c:pt>
                <c:pt idx="4">
                  <c:v>76.517715319223768</c:v>
                </c:pt>
                <c:pt idx="5">
                  <c:v>97.313870776121931</c:v>
                </c:pt>
                <c:pt idx="6">
                  <c:v>121.22413798045751</c:v>
                </c:pt>
                <c:pt idx="7">
                  <c:v>148.26770418640717</c:v>
                </c:pt>
                <c:pt idx="8">
                  <c:v>178.46375664814752</c:v>
                </c:pt>
                <c:pt idx="9">
                  <c:v>211.83148261985531</c:v>
                </c:pt>
                <c:pt idx="10">
                  <c:v>248.39006935570711</c:v>
                </c:pt>
                <c:pt idx="11">
                  <c:v>288.15870410987964</c:v>
                </c:pt>
                <c:pt idx="12">
                  <c:v>331.15657413654958</c:v>
                </c:pt>
                <c:pt idx="13">
                  <c:v>377.40286668989353</c:v>
                </c:pt>
                <c:pt idx="14">
                  <c:v>426.91676902408813</c:v>
                </c:pt>
                <c:pt idx="15">
                  <c:v>479.71746839331007</c:v>
                </c:pt>
                <c:pt idx="16">
                  <c:v>535.82415205173606</c:v>
                </c:pt>
                <c:pt idx="17">
                  <c:v>595.25600725354263</c:v>
                </c:pt>
                <c:pt idx="18">
                  <c:v>658.03222125290677</c:v>
                </c:pt>
                <c:pt idx="19">
                  <c:v>724.1719813040047</c:v>
                </c:pt>
                <c:pt idx="20">
                  <c:v>793.69447466101326</c:v>
                </c:pt>
                <c:pt idx="21">
                  <c:v>866.61888857810914</c:v>
                </c:pt>
                <c:pt idx="22">
                  <c:v>942.96441030946903</c:v>
                </c:pt>
                <c:pt idx="23">
                  <c:v>1022.7502271092696</c:v>
                </c:pt>
                <c:pt idx="24">
                  <c:v>1105.9955262316873</c:v>
                </c:pt>
                <c:pt idx="25">
                  <c:v>1192.7194949308991</c:v>
                </c:pt>
                <c:pt idx="26">
                  <c:v>1282.9413204610817</c:v>
                </c:pt>
                <c:pt idx="27">
                  <c:v>1376.6801900764112</c:v>
                </c:pt>
                <c:pt idx="28">
                  <c:v>1473.9552910310647</c:v>
                </c:pt>
                <c:pt idx="29">
                  <c:v>1574.7858105792191</c:v>
                </c:pt>
                <c:pt idx="30">
                  <c:v>1679.1909359750503</c:v>
                </c:pt>
                <c:pt idx="31">
                  <c:v>1787.1898544727358</c:v>
                </c:pt>
                <c:pt idx="32">
                  <c:v>1898.8017533264515</c:v>
                </c:pt>
                <c:pt idx="33">
                  <c:v>2014.0458197903747</c:v>
                </c:pt>
                <c:pt idx="34">
                  <c:v>2132.9412411186818</c:v>
                </c:pt>
                <c:pt idx="35">
                  <c:v>2255.5072045655493</c:v>
                </c:pt>
                <c:pt idx="36">
                  <c:v>2381.7628973851538</c:v>
                </c:pt>
                <c:pt idx="37">
                  <c:v>2511.7275068316726</c:v>
                </c:pt>
                <c:pt idx="38">
                  <c:v>2645.4202201592816</c:v>
                </c:pt>
                <c:pt idx="39">
                  <c:v>2782.8602246221581</c:v>
                </c:pt>
                <c:pt idx="40">
                  <c:v>2924.0667074744783</c:v>
                </c:pt>
                <c:pt idx="41">
                  <c:v>3069.0588559704188</c:v>
                </c:pt>
                <c:pt idx="42">
                  <c:v>3217.8558573641571</c:v>
                </c:pt>
                <c:pt idx="43">
                  <c:v>3370.4768989098684</c:v>
                </c:pt>
                <c:pt idx="44">
                  <c:v>3526.9411678617307</c:v>
                </c:pt>
                <c:pt idx="45">
                  <c:v>3687.2678514739196</c:v>
                </c:pt>
              </c:numCache>
            </c:numRef>
          </c:val>
          <c:smooth val="0"/>
          <c:extLst>
            <c:ext xmlns:c16="http://schemas.microsoft.com/office/drawing/2014/chart" uri="{C3380CC4-5D6E-409C-BE32-E72D297353CC}">
              <c16:uniqueId val="{00000002-A035-1F48-BD73-F556CB6886B7}"/>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 ##0_-;\-* #\ ##0_-;_-* "-"??_-;_-@_-</c:formatCode>
                <c:ptCount val="46"/>
                <c:pt idx="0">
                  <c:v>36.21</c:v>
                </c:pt>
                <c:pt idx="1">
                  <c:v>41.595999999999997</c:v>
                </c:pt>
                <c:pt idx="2">
                  <c:v>57.331000000000003</c:v>
                </c:pt>
                <c:pt idx="3">
                  <c:v>61.926733333332777</c:v>
                </c:pt>
                <c:pt idx="4">
                  <c:v>114.72494513364143</c:v>
                </c:pt>
                <c:pt idx="5">
                  <c:v>145.7561059725233</c:v>
                </c:pt>
                <c:pt idx="6">
                  <c:v>200.29017064695307</c:v>
                </c:pt>
                <c:pt idx="7">
                  <c:v>250.57768211338453</c:v>
                </c:pt>
                <c:pt idx="8">
                  <c:v>306.66716832639213</c:v>
                </c:pt>
                <c:pt idx="9">
                  <c:v>368.61003879199188</c:v>
                </c:pt>
                <c:pt idx="10">
                  <c:v>452.74577401727095</c:v>
                </c:pt>
                <c:pt idx="11">
                  <c:v>536.88150924255001</c:v>
                </c:pt>
                <c:pt idx="12">
                  <c:v>635.17468852293041</c:v>
                </c:pt>
                <c:pt idx="13">
                  <c:v>744.90044332829711</c:v>
                </c:pt>
                <c:pt idx="14">
                  <c:v>866.71451913195165</c:v>
                </c:pt>
                <c:pt idx="15">
                  <c:v>992.0627950144401</c:v>
                </c:pt>
                <c:pt idx="16">
                  <c:v>1126.2513812454772</c:v>
                </c:pt>
                <c:pt idx="17">
                  <c:v>1263.4861332231599</c:v>
                </c:pt>
                <c:pt idx="18">
                  <c:v>1420.8038592583457</c:v>
                </c:pt>
                <c:pt idx="19">
                  <c:v>1589.7217182695265</c:v>
                </c:pt>
                <c:pt idx="20">
                  <c:v>1762.9315349606859</c:v>
                </c:pt>
                <c:pt idx="21">
                  <c:v>1934.4747520052811</c:v>
                </c:pt>
                <c:pt idx="22">
                  <c:v>2083.3052201180976</c:v>
                </c:pt>
                <c:pt idx="23">
                  <c:v>2235.1089772813566</c:v>
                </c:pt>
                <c:pt idx="24">
                  <c:v>2408.4995743396253</c:v>
                </c:pt>
                <c:pt idx="25">
                  <c:v>2545.8594168675122</c:v>
                </c:pt>
                <c:pt idx="26">
                  <c:v>2685.2467841499706</c:v>
                </c:pt>
                <c:pt idx="27">
                  <c:v>2854.5874595412988</c:v>
                </c:pt>
                <c:pt idx="28">
                  <c:v>3025.7167518643664</c:v>
                </c:pt>
                <c:pt idx="29">
                  <c:v>3197.8609517996611</c:v>
                </c:pt>
                <c:pt idx="30">
                  <c:v>3343.0962784579478</c:v>
                </c:pt>
                <c:pt idx="31">
                  <c:v>3494.6644495186038</c:v>
                </c:pt>
                <c:pt idx="32">
                  <c:v>3652.6124185789477</c:v>
                </c:pt>
                <c:pt idx="33">
                  <c:v>3808.1479985056949</c:v>
                </c:pt>
                <c:pt idx="34">
                  <c:v>3960.7938026310926</c:v>
                </c:pt>
                <c:pt idx="35">
                  <c:v>4107.848685615736</c:v>
                </c:pt>
                <c:pt idx="36">
                  <c:v>4255.5065368068299</c:v>
                </c:pt>
                <c:pt idx="37">
                  <c:v>4396.618693521662</c:v>
                </c:pt>
                <c:pt idx="38">
                  <c:v>4532.9315277641335</c:v>
                </c:pt>
                <c:pt idx="39">
                  <c:v>4663.9676528664913</c:v>
                </c:pt>
                <c:pt idx="40">
                  <c:v>4789.249682160982</c:v>
                </c:pt>
                <c:pt idx="41">
                  <c:v>4908.3002289798524</c:v>
                </c:pt>
                <c:pt idx="42">
                  <c:v>5020.6419066553517</c:v>
                </c:pt>
                <c:pt idx="43">
                  <c:v>5125.797328519724</c:v>
                </c:pt>
                <c:pt idx="44">
                  <c:v>5223.2891079052197</c:v>
                </c:pt>
                <c:pt idx="45">
                  <c:v>5312.6398581440844</c:v>
                </c:pt>
              </c:numCache>
            </c:numRef>
          </c:val>
          <c:smooth val="0"/>
          <c:extLst>
            <c:ext xmlns:c16="http://schemas.microsoft.com/office/drawing/2014/chart" uri="{C3380CC4-5D6E-409C-BE32-E72D297353CC}">
              <c16:uniqueId val="{00000003-A035-1F48-BD73-F556CB6886B7}"/>
            </c:ext>
          </c:extLst>
        </c:ser>
        <c:dLbls>
          <c:showLegendKey val="0"/>
          <c:showVal val="0"/>
          <c:showCatName val="0"/>
          <c:showSerName val="0"/>
          <c:showPercent val="0"/>
          <c:showBubbleSize val="0"/>
        </c:dLbls>
        <c:smooth val="0"/>
        <c:axId val="718006880"/>
        <c:axId val="717996544"/>
        <c:extLst>
          <c:ext xmlns:c15="http://schemas.microsoft.com/office/drawing/2012/chart" uri="{02D57815-91ED-43cb-92C2-25804820EDAC}">
            <c15:filteredLineSeries>
              <c15:ser>
                <c:idx val="4"/>
                <c:order val="1"/>
                <c:tx>
                  <c:strRef>
                    <c:extLst>
                      <c:ext uri="{02D57815-91ED-43cb-92C2-25804820EDAC}">
                        <c15:formulaRef>
                          <c15:sqref>'file:///C:/Users/Furness/Documents/Professional Initiatives/Project Drawdown/RRS Solutions/Transportation/Airplane FE/[AirplaneFE-RRSv1.1b-24Aug18.xlsm]Unit Adoption Calculations'!$AZ$135</c15:sqref>
                        </c15:formulaRef>
                      </c:ext>
                    </c:extLst>
                    <c:strCache>
                      <c:ptCount val="1"/>
                      <c:pt idx="0">
                        <c:v>OECD90</c:v>
                      </c:pt>
                    </c:strCache>
                  </c:strRef>
                </c:tx>
                <c:marker>
                  <c:symbol val="none"/>
                </c:marker>
                <c:cat>
                  <c:numRef>
                    <c:extLst>
                      <c:ex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c:ext uri="{02D57815-91ED-43cb-92C2-25804820EDAC}">
                        <c15:formulaRef>
                          <c15:sqref>'[1]Unit Adoption Calculations'!$AZ$136:$AZ$182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c:ext xmlns:c16="http://schemas.microsoft.com/office/drawing/2014/chart" uri="{C3380CC4-5D6E-409C-BE32-E72D297353CC}">
                    <c16:uniqueId val="{00000004-A035-1F48-BD73-F556CB6886B7}"/>
                  </c:ext>
                </c:extLst>
              </c15:ser>
            </c15:filteredLineSeries>
            <c15:filteredLineSeries>
              <c15:ser>
                <c:idx val="5"/>
                <c:order val="2"/>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Calculations'!$BA$135</c15:sqref>
                        </c15:formulaRef>
                      </c:ext>
                    </c:extLst>
                    <c:strCache>
                      <c:ptCount val="1"/>
                      <c:pt idx="0">
                        <c:v>Eastern Europe</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Calculations'!$BA$136:$BA$182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5-A035-1F48-BD73-F556CB6886B7}"/>
                  </c:ext>
                </c:extLst>
              </c15:ser>
            </c15:filteredLineSeries>
            <c15:filteredLineSeries>
              <c15:ser>
                <c:idx val="6"/>
                <c:order val="3"/>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Calculations'!$BB$135</c15:sqref>
                        </c15:formulaRef>
                      </c:ext>
                    </c:extLst>
                    <c:strCache>
                      <c:ptCount val="1"/>
                      <c:pt idx="0">
                        <c:v>Asia (Sans Japan)</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Calculations'!$BB$136:$BB$182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6-A035-1F48-BD73-F556CB6886B7}"/>
                  </c:ext>
                </c:extLst>
              </c15:ser>
            </c15:filteredLineSeries>
            <c15:filteredLineSeries>
              <c15:ser>
                <c:idx val="7"/>
                <c:order val="4"/>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Calculations'!$BC$135</c15:sqref>
                        </c15:formulaRef>
                      </c:ext>
                    </c:extLst>
                    <c:strCache>
                      <c:ptCount val="1"/>
                      <c:pt idx="0">
                        <c:v>Middle East and Africa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Calculations'!$BC$136:$BC$182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7-A035-1F48-BD73-F556CB6886B7}"/>
                  </c:ext>
                </c:extLst>
              </c15:ser>
            </c15:filteredLineSeries>
            <c15:filteredLineSeries>
              <c15:ser>
                <c:idx val="8"/>
                <c:order val="5"/>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Calculations'!$BD$135</c15:sqref>
                        </c15:formulaRef>
                      </c:ext>
                    </c:extLst>
                    <c:strCache>
                      <c:ptCount val="1"/>
                      <c:pt idx="0">
                        <c:v>Latin America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Calculations'!$BD$136:$BD$182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8-A035-1F48-BD73-F556CB6886B7}"/>
                  </c:ext>
                </c:extLst>
              </c15:ser>
            </c15:filteredLineSeries>
            <c15:filteredLineSeries>
              <c15:ser>
                <c:idx val="9"/>
                <c:order val="6"/>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Calculations'!$BE$135</c15:sqref>
                        </c15:formulaRef>
                      </c:ext>
                    </c:extLst>
                    <c:strCache>
                      <c:ptCount val="1"/>
                      <c:pt idx="0">
                        <c:v>China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Calculations'!$BE$136:$BE$166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9-A035-1F48-BD73-F556CB6886B7}"/>
                  </c:ext>
                </c:extLst>
              </c15:ser>
            </c15:filteredLineSeries>
            <c15:filteredLineSeries>
              <c15:ser>
                <c:idx val="10"/>
                <c:order val="7"/>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Calculations'!$BF$135</c15:sqref>
                        </c15:formulaRef>
                      </c:ext>
                    </c:extLst>
                    <c:strCache>
                      <c:ptCount val="1"/>
                      <c:pt idx="0">
                        <c:v>India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Calculations'!$BF$136:$BF$166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A-A035-1F48-BD73-F556CB6886B7}"/>
                  </c:ext>
                </c:extLst>
              </c15:ser>
            </c15:filteredLineSeries>
            <c15:filteredLineSeries>
              <c15:ser>
                <c:idx val="11"/>
                <c:order val="8"/>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Calculations'!$BG$135</c15:sqref>
                        </c15:formulaRef>
                      </c:ext>
                    </c:extLst>
                    <c:strCache>
                      <c:ptCount val="1"/>
                      <c:pt idx="0">
                        <c:v>EU</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Calculations'!$BG$136:$BG$166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B-A035-1F48-BD73-F556CB6886B7}"/>
                  </c:ext>
                </c:extLst>
              </c15:ser>
            </c15:filteredLineSeries>
            <c15:filteredLineSeries>
              <c15:ser>
                <c:idx val="12"/>
                <c:order val="9"/>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Calculations'!$BH$135</c15:sqref>
                        </c15:formulaRef>
                      </c:ext>
                    </c:extLst>
                    <c:strCache>
                      <c:ptCount val="1"/>
                      <c:pt idx="0">
                        <c:v>USA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Calculations'!$BH$136:$BH$166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C-A035-1F48-BD73-F556CB6886B7}"/>
                  </c:ext>
                </c:extLst>
              </c15:ser>
            </c15:filteredLineSeries>
          </c:ext>
        </c:extLst>
      </c:lineChart>
      <c:catAx>
        <c:axId val="718006880"/>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717996544"/>
        <c:crossesAt val="0"/>
        <c:auto val="1"/>
        <c:lblAlgn val="ctr"/>
        <c:lblOffset val="100"/>
        <c:tickLblSkip val="5"/>
        <c:tickMarkSkip val="5"/>
        <c:noMultiLvlLbl val="0"/>
      </c:catAx>
      <c:valAx>
        <c:axId val="717996544"/>
        <c:scaling>
          <c:orientation val="minMax"/>
        </c:scaling>
        <c:delete val="0"/>
        <c:axPos val="l"/>
        <c:majorGridlines/>
        <c:title>
          <c:tx>
            <c:rich>
              <a:bodyPr/>
              <a:lstStyle/>
              <a:p>
                <a:pPr>
                  <a:defRPr sz="900"/>
                </a:pPr>
                <a:r>
                  <a:rPr lang="en-US" sz="900" b="0" i="0" baseline="0">
                    <a:effectLst/>
                  </a:rPr>
                  <a:t>Global Adoption (Electricity generated by solution) (TWh)</a:t>
                </a:r>
                <a:endParaRPr lang="en-US" sz="900">
                  <a:effectLst/>
                </a:endParaRP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718006880"/>
        <c:crosses val="autoZero"/>
        <c:crossBetween val="between"/>
      </c:valAx>
    </c:plotArea>
    <c:legend>
      <c:legendPos val="r"/>
      <c:layout>
        <c:manualLayout>
          <c:xMode val="edge"/>
          <c:yMode val="edge"/>
          <c:x val="0.77586624671916016"/>
          <c:y val="0.3582275771547006"/>
          <c:w val="0.20813375328083991"/>
          <c:h val="0.32292219586235799"/>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 ##0_-;\-* #\ ##0_-;_-* "-"??_-;_-@_-</c:formatCode>
                <c:ptCount val="46"/>
                <c:pt idx="0">
                  <c:v>0</c:v>
                </c:pt>
                <c:pt idx="1">
                  <c:v>0</c:v>
                </c:pt>
                <c:pt idx="2">
                  <c:v>0</c:v>
                </c:pt>
                <c:pt idx="3">
                  <c:v>0</c:v>
                </c:pt>
                <c:pt idx="4">
                  <c:v>6.3103326546341103</c:v>
                </c:pt>
                <c:pt idx="5">
                  <c:v>16.4282089631585</c:v>
                </c:pt>
                <c:pt idx="6">
                  <c:v>27.99545142679645</c:v>
                </c:pt>
                <c:pt idx="7">
                  <c:v>40.980057905665433</c:v>
                </c:pt>
                <c:pt idx="8">
                  <c:v>55.354913008409852</c:v>
                </c:pt>
                <c:pt idx="9">
                  <c:v>71.092671925476012</c:v>
                </c:pt>
                <c:pt idx="10">
                  <c:v>88.218150377378137</c:v>
                </c:pt>
                <c:pt idx="11">
                  <c:v>106.55037373906342</c:v>
                </c:pt>
                <c:pt idx="12">
                  <c:v>126.21806798285441</c:v>
                </c:pt>
                <c:pt idx="13">
                  <c:v>147.1439222944158</c:v>
                </c:pt>
                <c:pt idx="14">
                  <c:v>169.30229051891808</c:v>
                </c:pt>
                <c:pt idx="15">
                  <c:v>192.71363465273413</c:v>
                </c:pt>
                <c:pt idx="16">
                  <c:v>217.21390413177227</c:v>
                </c:pt>
                <c:pt idx="17">
                  <c:v>242.9155047147166</c:v>
                </c:pt>
                <c:pt idx="18">
                  <c:v>269.7461616566107</c:v>
                </c:pt>
                <c:pt idx="19">
                  <c:v>297.67937092803857</c:v>
                </c:pt>
                <c:pt idx="20">
                  <c:v>326.63914529282459</c:v>
                </c:pt>
                <c:pt idx="21">
                  <c:v>356.73382717297443</c:v>
                </c:pt>
                <c:pt idx="22">
                  <c:v>387.80058750962337</c:v>
                </c:pt>
                <c:pt idx="23">
                  <c:v>419.85632130706415</c:v>
                </c:pt>
                <c:pt idx="24">
                  <c:v>452.85964836916321</c:v>
                </c:pt>
                <c:pt idx="25">
                  <c:v>486.59353997628079</c:v>
                </c:pt>
                <c:pt idx="26">
                  <c:v>521.62989632022573</c:v>
                </c:pt>
                <c:pt idx="27">
                  <c:v>557.3333989290411</c:v>
                </c:pt>
                <c:pt idx="28">
                  <c:v>593.86943008702281</c:v>
                </c:pt>
                <c:pt idx="29">
                  <c:v>631.20404365036973</c:v>
                </c:pt>
                <c:pt idx="30">
                  <c:v>669.16086353242281</c:v>
                </c:pt>
                <c:pt idx="31">
                  <c:v>708.12796546273898</c:v>
                </c:pt>
                <c:pt idx="32">
                  <c:v>747.64394078319754</c:v>
                </c:pt>
                <c:pt idx="33">
                  <c:v>787.81171644223946</c:v>
                </c:pt>
                <c:pt idx="34">
                  <c:v>829.37313993116322</c:v>
                </c:pt>
                <c:pt idx="35">
                  <c:v>873.22657653224496</c:v>
                </c:pt>
                <c:pt idx="36">
                  <c:v>917.59795305211958</c:v>
                </c:pt>
                <c:pt idx="37">
                  <c:v>962.92788434841918</c:v>
                </c:pt>
                <c:pt idx="38">
                  <c:v>1008.988447003478</c:v>
                </c:pt>
                <c:pt idx="39">
                  <c:v>1055.7452151927434</c:v>
                </c:pt>
                <c:pt idx="40">
                  <c:v>1103.0680853765471</c:v>
                </c:pt>
                <c:pt idx="41">
                  <c:v>1151.204219288371</c:v>
                </c:pt>
                <c:pt idx="42">
                  <c:v>1199.8321823856468</c:v>
                </c:pt>
                <c:pt idx="43">
                  <c:v>1249.0078273482986</c:v>
                </c:pt>
                <c:pt idx="44">
                  <c:v>1298.6913729145701</c:v>
                </c:pt>
                <c:pt idx="45">
                  <c:v>1349.3071822640406</c:v>
                </c:pt>
              </c:numCache>
            </c:numRef>
          </c:val>
          <c:smooth val="0"/>
          <c:extLst>
            <c:ext xmlns:c16="http://schemas.microsoft.com/office/drawing/2014/chart" uri="{C3380CC4-5D6E-409C-BE32-E72D297353CC}">
              <c16:uniqueId val="{00000000-31D4-0044-A686-6A9E8F71846B}"/>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 ##0_-;\-* #\ ##0_-;_-* "-"??_-;_-@_-</c:formatCode>
                <c:ptCount val="46"/>
                <c:pt idx="0">
                  <c:v>0</c:v>
                </c:pt>
                <c:pt idx="1">
                  <c:v>0</c:v>
                </c:pt>
                <c:pt idx="2">
                  <c:v>0</c:v>
                </c:pt>
                <c:pt idx="3">
                  <c:v>0</c:v>
                </c:pt>
                <c:pt idx="4">
                  <c:v>7.2378887660559048</c:v>
                </c:pt>
                <c:pt idx="5">
                  <c:v>17.973895800897239</c:v>
                </c:pt>
                <c:pt idx="6">
                  <c:v>30.370371285057068</c:v>
                </c:pt>
                <c:pt idx="7">
                  <c:v>44.40735234192833</c:v>
                </c:pt>
                <c:pt idx="8">
                  <c:v>60.06991057366151</c:v>
                </c:pt>
                <c:pt idx="9">
                  <c:v>77.34256400866937</c:v>
                </c:pt>
                <c:pt idx="10">
                  <c:v>96.266456881702339</c:v>
                </c:pt>
                <c:pt idx="11">
                  <c:v>116.65788006202649</c:v>
                </c:pt>
                <c:pt idx="12">
                  <c:v>138.67079335801117</c:v>
                </c:pt>
                <c:pt idx="13">
                  <c:v>162.23403635187438</c:v>
                </c:pt>
                <c:pt idx="14">
                  <c:v>187.33253826538262</c:v>
                </c:pt>
                <c:pt idx="15">
                  <c:v>214.00213729872004</c:v>
                </c:pt>
                <c:pt idx="16">
                  <c:v>242.0734798819818</c:v>
                </c:pt>
                <c:pt idx="17">
                  <c:v>271.68390559422153</c:v>
                </c:pt>
                <c:pt idx="18">
                  <c:v>302.76536243093176</c:v>
                </c:pt>
                <c:pt idx="19">
                  <c:v>335.30030622270465</c:v>
                </c:pt>
                <c:pt idx="20">
                  <c:v>369.21493820834877</c:v>
                </c:pt>
                <c:pt idx="21">
                  <c:v>404.64343815142684</c:v>
                </c:pt>
                <c:pt idx="22">
                  <c:v>441.4131310791073</c:v>
                </c:pt>
                <c:pt idx="23">
                  <c:v>479.55414027033601</c:v>
                </c:pt>
                <c:pt idx="24">
                  <c:v>519.03015356424964</c:v>
                </c:pt>
                <c:pt idx="25">
                  <c:v>559.60229063721431</c:v>
                </c:pt>
                <c:pt idx="26">
                  <c:v>601.9387432587298</c:v>
                </c:pt>
                <c:pt idx="27">
                  <c:v>645.31893566915437</c:v>
                </c:pt>
                <c:pt idx="28">
                  <c:v>689.94266327188564</c:v>
                </c:pt>
                <c:pt idx="29">
                  <c:v>735.78003010173279</c:v>
                </c:pt>
                <c:pt idx="30">
                  <c:v>782.63410020762387</c:v>
                </c:pt>
                <c:pt idx="31">
                  <c:v>830.96762674691524</c:v>
                </c:pt>
                <c:pt idx="32">
                  <c:v>880.24932312000396</c:v>
                </c:pt>
                <c:pt idx="33">
                  <c:v>930.60740683819142</c:v>
                </c:pt>
                <c:pt idx="34">
                  <c:v>982.92897590882774</c:v>
                </c:pt>
                <c:pt idx="35">
                  <c:v>1038.2988382776894</c:v>
                </c:pt>
                <c:pt idx="36">
                  <c:v>1094.6278147465712</c:v>
                </c:pt>
                <c:pt idx="37">
                  <c:v>1152.449757515451</c:v>
                </c:pt>
                <c:pt idx="38">
                  <c:v>1211.5027151791141</c:v>
                </c:pt>
                <c:pt idx="39">
                  <c:v>1271.754333908558</c:v>
                </c:pt>
                <c:pt idx="40">
                  <c:v>1333.0561534065127</c:v>
                </c:pt>
                <c:pt idx="41">
                  <c:v>1395.7151346459311</c:v>
                </c:pt>
                <c:pt idx="42">
                  <c:v>1459.3505644762461</c:v>
                </c:pt>
                <c:pt idx="43">
                  <c:v>1524.0371314487113</c:v>
                </c:pt>
                <c:pt idx="44">
                  <c:v>1589.7333784827144</c:v>
                </c:pt>
                <c:pt idx="45">
                  <c:v>1656.9672494581073</c:v>
                </c:pt>
              </c:numCache>
            </c:numRef>
          </c:val>
          <c:smooth val="0"/>
          <c:extLst>
            <c:ext xmlns:c16="http://schemas.microsoft.com/office/drawing/2014/chart" uri="{C3380CC4-5D6E-409C-BE32-E72D297353CC}">
              <c16:uniqueId val="{00000001-31D4-0044-A686-6A9E8F71846B}"/>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 ##0_-;\-* #\ ##0_-;_-* "-"??_-;_-@_-</c:formatCode>
                <c:ptCount val="46"/>
                <c:pt idx="0">
                  <c:v>0</c:v>
                </c:pt>
                <c:pt idx="1">
                  <c:v>0</c:v>
                </c:pt>
                <c:pt idx="2">
                  <c:v>0</c:v>
                </c:pt>
                <c:pt idx="3">
                  <c:v>0</c:v>
                </c:pt>
                <c:pt idx="4">
                  <c:v>29.491318815820005</c:v>
                </c:pt>
                <c:pt idx="5">
                  <c:v>46.007642419763016</c:v>
                </c:pt>
                <c:pt idx="6">
                  <c:v>75.844598463840768</c:v>
                </c:pt>
                <c:pt idx="7">
                  <c:v>102.89163604965441</c:v>
                </c:pt>
                <c:pt idx="8">
                  <c:v>132.91741576408199</c:v>
                </c:pt>
                <c:pt idx="9">
                  <c:v>165.90280234929901</c:v>
                </c:pt>
                <c:pt idx="10">
                  <c:v>211.09983435773432</c:v>
                </c:pt>
                <c:pt idx="11">
                  <c:v>255.5418726741911</c:v>
                </c:pt>
                <c:pt idx="12">
                  <c:v>307.4716330933968</c:v>
                </c:pt>
                <c:pt idx="13">
                  <c:v>365.13935964570567</c:v>
                </c:pt>
                <c:pt idx="14">
                  <c:v>428.81024697592392</c:v>
                </c:pt>
                <c:pt idx="15">
                  <c:v>493.83146394984698</c:v>
                </c:pt>
                <c:pt idx="16">
                  <c:v>562.70712517071559</c:v>
                </c:pt>
                <c:pt idx="17">
                  <c:v>632.59068450086011</c:v>
                </c:pt>
                <c:pt idx="18">
                  <c:v>712.49407731263545</c:v>
                </c:pt>
                <c:pt idx="19">
                  <c:v>797.71324754617046</c:v>
                </c:pt>
                <c:pt idx="20">
                  <c:v>884.1336849420984</c:v>
                </c:pt>
                <c:pt idx="21">
                  <c:v>968.93717275619099</c:v>
                </c:pt>
                <c:pt idx="22">
                  <c:v>1040.7107883355882</c:v>
                </c:pt>
                <c:pt idx="23">
                  <c:v>1113.1955299716747</c:v>
                </c:pt>
                <c:pt idx="24">
                  <c:v>1196.0021112318695</c:v>
                </c:pt>
                <c:pt idx="25">
                  <c:v>1258.6727575122136</c:v>
                </c:pt>
                <c:pt idx="26">
                  <c:v>1322.6301286496673</c:v>
                </c:pt>
                <c:pt idx="27">
                  <c:v>1400.554163677127</c:v>
                </c:pt>
                <c:pt idx="28">
                  <c:v>1478.3709995022205</c:v>
                </c:pt>
                <c:pt idx="29">
                  <c:v>1555.6574628482758</c:v>
                </c:pt>
                <c:pt idx="30">
                  <c:v>1618.0216784244278</c:v>
                </c:pt>
                <c:pt idx="31">
                  <c:v>1683.3039396254826</c:v>
                </c:pt>
                <c:pt idx="32">
                  <c:v>1750.4245311747763</c:v>
                </c:pt>
                <c:pt idx="33">
                  <c:v>1815.3093536820404</c:v>
                </c:pt>
                <c:pt idx="34">
                  <c:v>1879.4936794220066</c:v>
                </c:pt>
                <c:pt idx="35">
                  <c:v>1943.6600863462634</c:v>
                </c:pt>
                <c:pt idx="36">
                  <c:v>2006.8473129032288</c:v>
                </c:pt>
                <c:pt idx="37">
                  <c:v>2066.608644022479</c:v>
                </c:pt>
                <c:pt idx="38">
                  <c:v>2123.3665851945079</c:v>
                </c:pt>
                <c:pt idx="39">
                  <c:v>2176.894195919725</c:v>
                </c:pt>
                <c:pt idx="40">
                  <c:v>2226.7780128086697</c:v>
                </c:pt>
                <c:pt idx="41">
                  <c:v>2273.3731232859768</c:v>
                </c:pt>
                <c:pt idx="42">
                  <c:v>2315.8940815016858</c:v>
                </c:pt>
                <c:pt idx="43">
                  <c:v>2354.3247152759423</c:v>
                </c:pt>
                <c:pt idx="44">
                  <c:v>2388.4637729324827</c:v>
                </c:pt>
                <c:pt idx="45">
                  <c:v>2418.9501734638902</c:v>
                </c:pt>
              </c:numCache>
            </c:numRef>
          </c:val>
          <c:smooth val="0"/>
          <c:extLst>
            <c:ext xmlns:c16="http://schemas.microsoft.com/office/drawing/2014/chart" uri="{C3380CC4-5D6E-409C-BE32-E72D297353CC}">
              <c16:uniqueId val="{00000002-31D4-0044-A686-6A9E8F71846B}"/>
            </c:ext>
          </c:extLst>
        </c:ser>
        <c:dLbls>
          <c:showLegendKey val="0"/>
          <c:showVal val="0"/>
          <c:showCatName val="0"/>
          <c:showSerName val="0"/>
          <c:showPercent val="0"/>
          <c:showBubbleSize val="0"/>
        </c:dLbls>
        <c:smooth val="0"/>
        <c:axId val="717631792"/>
        <c:axId val="864767920"/>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31D4-0044-A686-6A9E8F71846B}"/>
                  </c:ext>
                </c:extLst>
              </c15:ser>
            </c15:filteredLineSeries>
            <c15:filteredLineSeries>
              <c15:ser>
                <c:idx val="4"/>
                <c:order val="1"/>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Calculations'!$AZ$135</c15:sqref>
                        </c15:formulaRef>
                      </c:ext>
                    </c:extLst>
                    <c:strCache>
                      <c:ptCount val="1"/>
                      <c:pt idx="0">
                        <c:v>OECD90</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Calculations'!$AZ$136:$AZ$182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4-31D4-0044-A686-6A9E8F71846B}"/>
                  </c:ext>
                </c:extLst>
              </c15:ser>
            </c15:filteredLineSeries>
            <c15:filteredLineSeries>
              <c15:ser>
                <c:idx val="5"/>
                <c:order val="2"/>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Calculations'!$BA$135</c15:sqref>
                        </c15:formulaRef>
                      </c:ext>
                    </c:extLst>
                    <c:strCache>
                      <c:ptCount val="1"/>
                      <c:pt idx="0">
                        <c:v>Eastern Europe</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Calculations'!$BA$136:$BA$182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5-31D4-0044-A686-6A9E8F71846B}"/>
                  </c:ext>
                </c:extLst>
              </c15:ser>
            </c15:filteredLineSeries>
            <c15:filteredLineSeries>
              <c15:ser>
                <c:idx val="6"/>
                <c:order val="3"/>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Calculations'!$BB$135</c15:sqref>
                        </c15:formulaRef>
                      </c:ext>
                    </c:extLst>
                    <c:strCache>
                      <c:ptCount val="1"/>
                      <c:pt idx="0">
                        <c:v>Asia (Sans Japan)</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Calculations'!$BB$136:$BB$182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6-31D4-0044-A686-6A9E8F71846B}"/>
                  </c:ext>
                </c:extLst>
              </c15:ser>
            </c15:filteredLineSeries>
            <c15:filteredLineSeries>
              <c15:ser>
                <c:idx val="7"/>
                <c:order val="4"/>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Calculations'!$BC$135</c15:sqref>
                        </c15:formulaRef>
                      </c:ext>
                    </c:extLst>
                    <c:strCache>
                      <c:ptCount val="1"/>
                      <c:pt idx="0">
                        <c:v>Middle East and Africa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Calculations'!$BC$136:$BC$182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7-31D4-0044-A686-6A9E8F71846B}"/>
                  </c:ext>
                </c:extLst>
              </c15:ser>
            </c15:filteredLineSeries>
            <c15:filteredLineSeries>
              <c15:ser>
                <c:idx val="8"/>
                <c:order val="5"/>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Calculations'!$BD$135</c15:sqref>
                        </c15:formulaRef>
                      </c:ext>
                    </c:extLst>
                    <c:strCache>
                      <c:ptCount val="1"/>
                      <c:pt idx="0">
                        <c:v>Latin America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Calculations'!$BD$136:$BD$182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8-31D4-0044-A686-6A9E8F71846B}"/>
                  </c:ext>
                </c:extLst>
              </c15:ser>
            </c15:filteredLineSeries>
            <c15:filteredLineSeries>
              <c15:ser>
                <c:idx val="9"/>
                <c:order val="6"/>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Calculations'!$BE$135</c15:sqref>
                        </c15:formulaRef>
                      </c:ext>
                    </c:extLst>
                    <c:strCache>
                      <c:ptCount val="1"/>
                      <c:pt idx="0">
                        <c:v>China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Calculations'!$BE$136:$BE$166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9-31D4-0044-A686-6A9E8F71846B}"/>
                  </c:ext>
                </c:extLst>
              </c15:ser>
            </c15:filteredLineSeries>
            <c15:filteredLineSeries>
              <c15:ser>
                <c:idx val="10"/>
                <c:order val="7"/>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Calculations'!$BF$135</c15:sqref>
                        </c15:formulaRef>
                      </c:ext>
                    </c:extLst>
                    <c:strCache>
                      <c:ptCount val="1"/>
                      <c:pt idx="0">
                        <c:v>India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Calculations'!$BF$136:$BF$166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A-31D4-0044-A686-6A9E8F71846B}"/>
                  </c:ext>
                </c:extLst>
              </c15:ser>
            </c15:filteredLineSeries>
            <c15:filteredLineSeries>
              <c15:ser>
                <c:idx val="11"/>
                <c:order val="8"/>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Calculations'!$BG$135</c15:sqref>
                        </c15:formulaRef>
                      </c:ext>
                    </c:extLst>
                    <c:strCache>
                      <c:ptCount val="1"/>
                      <c:pt idx="0">
                        <c:v>EU</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Calculations'!$BG$136:$BG$166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B-31D4-0044-A686-6A9E8F71846B}"/>
                  </c:ext>
                </c:extLst>
              </c15:ser>
            </c15:filteredLineSeries>
            <c15:filteredLineSeries>
              <c15:ser>
                <c:idx val="12"/>
                <c:order val="9"/>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Calculations'!$BH$135</c15:sqref>
                        </c15:formulaRef>
                      </c:ext>
                    </c:extLst>
                    <c:strCache>
                      <c:ptCount val="1"/>
                      <c:pt idx="0">
                        <c:v>USA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Calculations'!$BH$136:$BH$166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C-31D4-0044-A686-6A9E8F71846B}"/>
                  </c:ext>
                </c:extLst>
              </c15:ser>
            </c15:filteredLineSeries>
          </c:ext>
        </c:extLst>
      </c:lineChart>
      <c:catAx>
        <c:axId val="7176317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5712813535"/>
              <c:y val="0.9414468774751932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64767920"/>
        <c:crossesAt val="0"/>
        <c:auto val="1"/>
        <c:lblAlgn val="ctr"/>
        <c:lblOffset val="100"/>
        <c:tickLblSkip val="5"/>
        <c:tickMarkSkip val="5"/>
        <c:noMultiLvlLbl val="0"/>
      </c:catAx>
      <c:valAx>
        <c:axId val="864767920"/>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GT CO2-eq</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717631792"/>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BAA1A4D-F052-4A4C-B513-AAFEFEFE6B69}">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162</TotalTime>
  <Pages>8</Pages>
  <Words>15782</Words>
  <Characters>89960</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vijay negi</cp:lastModifiedBy>
  <cp:revision>22</cp:revision>
  <cp:lastPrinted>2018-07-24T17:02:00Z</cp:lastPrinted>
  <dcterms:created xsi:type="dcterms:W3CDTF">2019-01-23T14:57:00Z</dcterms:created>
  <dcterms:modified xsi:type="dcterms:W3CDTF">2021-11-30T19:02:00Z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