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44E5C" w14:textId="0C470979" w:rsidR="009E306A" w:rsidRPr="00061636" w:rsidRDefault="00630CD1" w:rsidP="007A09F4">
      <w:pPr>
        <w:pStyle w:val="TableofFigures"/>
        <w:tabs>
          <w:tab w:val="right" w:leader="dot" w:pos="9350"/>
        </w:tabs>
      </w:pPr>
      <w:r w:rsidRPr="00061636">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5A2BD" w14:textId="05B6F6A8" w:rsidR="005F0E84" w:rsidRPr="00EB247F" w:rsidRDefault="005F0E84"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65726B7C" w:rsidR="005F0E84" w:rsidRPr="00EB247F" w:rsidRDefault="005F0E84"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Utility-scale</w:t>
                            </w:r>
                            <w:r w:rsidRPr="00EB247F">
                              <w:rPr>
                                <w:rFonts w:cs="Times New Roman"/>
                                <w:b/>
                                <w:smallCaps/>
                                <w:color w:val="404040" w:themeColor="text1" w:themeTint="BF"/>
                                <w:sz w:val="48"/>
                                <w:szCs w:val="48"/>
                              </w:rPr>
                              <w:t xml:space="preserve"> Solar Photovoltaics</w:t>
                            </w:r>
                          </w:p>
                          <w:p w14:paraId="4BEC3072" w14:textId="77777777" w:rsidR="005F0E84" w:rsidRDefault="005F0E84" w:rsidP="00EB247F">
                            <w:pPr>
                              <w:spacing w:line="240" w:lineRule="auto"/>
                              <w:jc w:val="center"/>
                              <w:rPr>
                                <w:rFonts w:cs="Times New Roman"/>
                                <w:smallCaps/>
                                <w:color w:val="404040" w:themeColor="text1" w:themeTint="BF"/>
                                <w:sz w:val="36"/>
                                <w:szCs w:val="36"/>
                              </w:rPr>
                            </w:pPr>
                          </w:p>
                          <w:p w14:paraId="3F0B52E4" w14:textId="77777777" w:rsidR="005F0E84" w:rsidRDefault="005F0E84" w:rsidP="00EB247F">
                            <w:pPr>
                              <w:spacing w:line="240" w:lineRule="auto"/>
                              <w:jc w:val="center"/>
                              <w:rPr>
                                <w:rFonts w:cs="Times New Roman"/>
                                <w:smallCaps/>
                                <w:color w:val="404040" w:themeColor="text1" w:themeTint="BF"/>
                                <w:sz w:val="36"/>
                                <w:szCs w:val="36"/>
                              </w:rPr>
                            </w:pPr>
                          </w:p>
                          <w:p w14:paraId="30E4023E" w14:textId="5F3CC6ED" w:rsidR="005F0E84" w:rsidRPr="00EB247F" w:rsidRDefault="005F0E84"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2885F45C" w14:textId="1E7215ED" w:rsidR="005F0E84" w:rsidRDefault="005F0E84" w:rsidP="0023362B">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Agency Level: Utilities</w:t>
                            </w:r>
                          </w:p>
                          <w:p w14:paraId="4CF7CB6C" w14:textId="646241DF" w:rsidR="005F0E84" w:rsidRPr="00EB247F" w:rsidRDefault="005F0E84"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Keywords: Solar Energy, Electricity Generation, Grid, Renewable Energy Source</w:t>
                            </w:r>
                          </w:p>
                          <w:p w14:paraId="5943CD2B" w14:textId="77777777" w:rsidR="005F0E84" w:rsidRPr="00EB247F" w:rsidRDefault="005F0E84" w:rsidP="00EB247F">
                            <w:pPr>
                              <w:spacing w:line="240" w:lineRule="auto"/>
                              <w:rPr>
                                <w:rFonts w:cs="Times New Roman"/>
                                <w:smallCaps/>
                                <w:color w:val="404040" w:themeColor="text1" w:themeTint="BF"/>
                                <w:sz w:val="36"/>
                                <w:szCs w:val="36"/>
                              </w:rPr>
                            </w:pPr>
                          </w:p>
                          <w:p w14:paraId="0B02E81E" w14:textId="77777777" w:rsidR="005F0E84" w:rsidRPr="00EB247F" w:rsidRDefault="005F0E84" w:rsidP="00EB247F">
                            <w:pPr>
                              <w:spacing w:line="240" w:lineRule="auto"/>
                              <w:rPr>
                                <w:rFonts w:cs="Times New Roman"/>
                                <w:smallCaps/>
                                <w:color w:val="404040" w:themeColor="text1" w:themeTint="BF"/>
                                <w:sz w:val="36"/>
                                <w:szCs w:val="36"/>
                              </w:rPr>
                            </w:pPr>
                          </w:p>
                          <w:p w14:paraId="5850EC6A" w14:textId="098A79B1" w:rsidR="005F0E84" w:rsidRPr="0007144C" w:rsidRDefault="005F0E84" w:rsidP="00A04FA1">
                            <w:pPr>
                              <w:spacing w:after="0" w:line="240" w:lineRule="auto"/>
                              <w:jc w:val="center"/>
                              <w:rPr>
                                <w:rFonts w:cs="Times New Roman"/>
                                <w:smallCaps/>
                                <w:color w:val="000000" w:themeColor="text1"/>
                                <w:sz w:val="36"/>
                                <w:szCs w:val="36"/>
                              </w:rPr>
                            </w:pPr>
                            <w:r>
                              <w:rPr>
                                <w:rFonts w:cs="Times New Roman"/>
                                <w:smallCaps/>
                                <w:color w:val="000000" w:themeColor="text1"/>
                                <w:sz w:val="36"/>
                                <w:szCs w:val="36"/>
                              </w:rPr>
                              <w:t>Version</w:t>
                            </w:r>
                            <w:r w:rsidRPr="0007144C">
                              <w:rPr>
                                <w:rFonts w:cs="Times New Roman"/>
                                <w:smallCaps/>
                                <w:color w:val="000000" w:themeColor="text1"/>
                                <w:sz w:val="36"/>
                                <w:szCs w:val="36"/>
                              </w:rPr>
                              <w:t xml:space="preserve"> </w:t>
                            </w:r>
                            <w:r>
                              <w:rPr>
                                <w:rFonts w:cs="Times New Roman"/>
                                <w:smallCaps/>
                                <w:color w:val="000000" w:themeColor="text1"/>
                                <w:sz w:val="36"/>
                                <w:szCs w:val="36"/>
                              </w:rPr>
                              <w:t>3</w:t>
                            </w:r>
                            <w:r w:rsidRPr="0007144C">
                              <w:rPr>
                                <w:rFonts w:cs="Times New Roman"/>
                                <w:smallCaps/>
                                <w:color w:val="000000" w:themeColor="text1"/>
                                <w:sz w:val="36"/>
                                <w:szCs w:val="36"/>
                              </w:rPr>
                              <w:t xml:space="preserve"> (</w:t>
                            </w:r>
                            <w:r>
                              <w:rPr>
                                <w:rFonts w:cs="Times New Roman"/>
                                <w:smallCaps/>
                                <w:color w:val="000000" w:themeColor="text1"/>
                                <w:sz w:val="36"/>
                                <w:szCs w:val="36"/>
                              </w:rPr>
                              <w:t>June 2020</w:t>
                            </w:r>
                            <w:r w:rsidRPr="0007144C">
                              <w:rPr>
                                <w:rFonts w:cs="Times New Roman"/>
                                <w:smallCaps/>
                                <w:color w:val="000000" w:themeColor="text1"/>
                                <w:sz w:val="36"/>
                                <w:szCs w:val="36"/>
                              </w:rPr>
                              <w:t>)</w:t>
                            </w:r>
                          </w:p>
                          <w:p w14:paraId="338A969E" w14:textId="77777777" w:rsidR="005F0E84" w:rsidRPr="00EB247F" w:rsidRDefault="005F0E84" w:rsidP="00EB247F">
                            <w:pPr>
                              <w:spacing w:after="0" w:line="240" w:lineRule="auto"/>
                              <w:rPr>
                                <w:rFonts w:cs="Times New Roman"/>
                                <w:smallCaps/>
                                <w:color w:val="404040" w:themeColor="text1" w:themeTint="BF"/>
                                <w:sz w:val="36"/>
                                <w:szCs w:val="36"/>
                              </w:rPr>
                            </w:pPr>
                          </w:p>
                          <w:p w14:paraId="21B2BC32" w14:textId="77777777" w:rsidR="005F0E84" w:rsidRPr="00EB247F" w:rsidRDefault="005F0E84" w:rsidP="00EB247F">
                            <w:pPr>
                              <w:spacing w:after="0" w:line="240" w:lineRule="auto"/>
                              <w:rPr>
                                <w:rFonts w:cs="Times New Roman"/>
                                <w:smallCaps/>
                                <w:color w:val="404040" w:themeColor="text1" w:themeTint="BF"/>
                                <w:sz w:val="36"/>
                                <w:szCs w:val="36"/>
                              </w:rPr>
                            </w:pPr>
                          </w:p>
                          <w:p w14:paraId="0EF4437F" w14:textId="2846FE09" w:rsidR="005F0E84" w:rsidRDefault="005F0E84" w:rsidP="00EB247F">
                            <w:pPr>
                              <w:spacing w:after="0" w:line="240" w:lineRule="auto"/>
                              <w:rPr>
                                <w:rFonts w:cs="Times New Roman"/>
                                <w:smallCaps/>
                                <w:color w:val="404040" w:themeColor="text1" w:themeTint="BF"/>
                                <w:sz w:val="36"/>
                                <w:szCs w:val="36"/>
                              </w:rPr>
                            </w:pPr>
                          </w:p>
                          <w:p w14:paraId="468C56F1" w14:textId="77777777" w:rsidR="005F0E84" w:rsidRPr="00EB247F" w:rsidRDefault="005F0E84" w:rsidP="00EB247F">
                            <w:pPr>
                              <w:spacing w:after="0" w:line="240" w:lineRule="auto"/>
                              <w:rPr>
                                <w:rFonts w:cs="Times New Roman"/>
                                <w:smallCaps/>
                                <w:color w:val="404040" w:themeColor="text1" w:themeTint="BF"/>
                                <w:sz w:val="36"/>
                                <w:szCs w:val="36"/>
                              </w:rPr>
                            </w:pPr>
                          </w:p>
                          <w:p w14:paraId="51758589" w14:textId="77777777" w:rsidR="005F0E84" w:rsidRDefault="005F0E84" w:rsidP="00EB247F">
                            <w:pPr>
                              <w:spacing w:after="0" w:line="240" w:lineRule="auto"/>
                              <w:rPr>
                                <w:rFonts w:cs="Times New Roman"/>
                                <w:b/>
                                <w:smallCaps/>
                                <w:color w:val="404040" w:themeColor="text1" w:themeTint="BF"/>
                                <w:sz w:val="28"/>
                                <w:szCs w:val="28"/>
                              </w:rPr>
                            </w:pPr>
                          </w:p>
                          <w:p w14:paraId="5D8B6311" w14:textId="77777777" w:rsidR="005F0E84" w:rsidRDefault="005F0E84" w:rsidP="00EB247F">
                            <w:pPr>
                              <w:spacing w:after="0" w:line="240" w:lineRule="auto"/>
                              <w:rPr>
                                <w:rFonts w:cs="Times New Roman"/>
                                <w:b/>
                                <w:smallCaps/>
                                <w:color w:val="404040" w:themeColor="text1" w:themeTint="BF"/>
                                <w:sz w:val="28"/>
                                <w:szCs w:val="28"/>
                              </w:rPr>
                            </w:pPr>
                          </w:p>
                          <w:p w14:paraId="66C10BC1" w14:textId="2490AEB7" w:rsidR="005F0E84" w:rsidRPr="00EB247F" w:rsidRDefault="005F0E84"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3A9BB24E" w14:textId="1E30577F" w:rsidR="005F0E84" w:rsidRPr="00EB247F" w:rsidRDefault="005F0E84" w:rsidP="00BB7FD5">
                            <w:pPr>
                              <w:spacing w:after="0" w:line="276" w:lineRule="auto"/>
                              <w:rPr>
                                <w:rFonts w:cs="Times New Roman"/>
                                <w:smallCaps/>
                                <w:color w:val="404040" w:themeColor="text1" w:themeTint="BF"/>
                                <w:sz w:val="28"/>
                                <w:szCs w:val="28"/>
                              </w:rPr>
                            </w:pPr>
                            <w:r w:rsidRPr="00EB247F">
                              <w:rPr>
                                <w:rFonts w:cs="Times New Roman"/>
                                <w:smallCaps/>
                                <w:color w:val="404040" w:themeColor="text1" w:themeTint="BF"/>
                                <w:sz w:val="28"/>
                                <w:szCs w:val="28"/>
                              </w:rPr>
                              <w:t>Anna Goldstein, Research Fellow</w:t>
                            </w:r>
                          </w:p>
                          <w:p w14:paraId="02143E38" w14:textId="56809711" w:rsidR="005F0E84" w:rsidRPr="00EB247F" w:rsidRDefault="005F0E84" w:rsidP="00BB7FD5">
                            <w:pPr>
                              <w:spacing w:after="0" w:line="276" w:lineRule="auto"/>
                              <w:rPr>
                                <w:rFonts w:cs="Times New Roman"/>
                                <w:smallCaps/>
                                <w:color w:val="404040" w:themeColor="text1" w:themeTint="BF"/>
                                <w:sz w:val="28"/>
                                <w:szCs w:val="28"/>
                              </w:rPr>
                            </w:pPr>
                            <w:r w:rsidRPr="00EB247F">
                              <w:rPr>
                                <w:rFonts w:cs="Times New Roman"/>
                                <w:smallCaps/>
                                <w:color w:val="404040" w:themeColor="text1" w:themeTint="BF"/>
                                <w:sz w:val="28"/>
                                <w:szCs w:val="28"/>
                              </w:rPr>
                              <w:t>Aven Satre-Meloy, Research Fellow</w:t>
                            </w:r>
                          </w:p>
                          <w:p w14:paraId="3F84915F" w14:textId="1C1B1851" w:rsidR="005F0E84" w:rsidRDefault="005F0E84" w:rsidP="00BB7FD5">
                            <w:pPr>
                              <w:spacing w:after="0" w:line="276" w:lineRule="auto"/>
                              <w:rPr>
                                <w:rFonts w:cs="Times New Roman"/>
                                <w:smallCaps/>
                                <w:color w:val="404040" w:themeColor="text1" w:themeTint="BF"/>
                                <w:sz w:val="28"/>
                                <w:szCs w:val="28"/>
                              </w:rPr>
                            </w:pPr>
                            <w:r>
                              <w:rPr>
                                <w:rFonts w:cs="Times New Roman"/>
                                <w:smallCaps/>
                                <w:color w:val="404040" w:themeColor="text1" w:themeTint="BF"/>
                                <w:sz w:val="28"/>
                                <w:szCs w:val="28"/>
                              </w:rPr>
                              <w:t>Ashok Mangotra, Research Fellow</w:t>
                            </w:r>
                          </w:p>
                          <w:p w14:paraId="35B08535" w14:textId="7CC318EE" w:rsidR="005F0E84" w:rsidRPr="0023362B" w:rsidRDefault="005F0E84" w:rsidP="0007144C">
                            <w:pPr>
                              <w:spacing w:after="0" w:line="276" w:lineRule="auto"/>
                              <w:rPr>
                                <w:rFonts w:cs="Times New Roman"/>
                                <w:smallCaps/>
                                <w:color w:val="404040" w:themeColor="text1" w:themeTint="BF"/>
                                <w:sz w:val="28"/>
                                <w:szCs w:val="28"/>
                                <w:lang w:val="pt-PT"/>
                              </w:rPr>
                            </w:pPr>
                            <w:r w:rsidRPr="0023362B">
                              <w:rPr>
                                <w:rFonts w:cs="Times New Roman"/>
                                <w:smallCaps/>
                                <w:color w:val="404040" w:themeColor="text1" w:themeTint="BF"/>
                                <w:sz w:val="28"/>
                                <w:szCs w:val="28"/>
                                <w:lang w:val="pt-PT"/>
                              </w:rPr>
                              <w:t>João Pedro Gouveia, Senior Research Fellow</w:t>
                            </w:r>
                          </w:p>
                          <w:p w14:paraId="7062CB62" w14:textId="4764730B" w:rsidR="005F0E84" w:rsidRDefault="005F0E84" w:rsidP="007864AB">
                            <w:pPr>
                              <w:rPr>
                                <w:rFonts w:cs="Times New Roman"/>
                                <w:smallCaps/>
                                <w:color w:val="404040" w:themeColor="text1" w:themeTint="BF"/>
                                <w:lang w:val="pt-PT"/>
                              </w:rPr>
                            </w:pPr>
                          </w:p>
                          <w:p w14:paraId="739E4E1A" w14:textId="77777777" w:rsidR="005F0E84" w:rsidRPr="0023362B" w:rsidRDefault="005F0E84" w:rsidP="007864AB">
                            <w:pPr>
                              <w:rPr>
                                <w:rFonts w:cs="Times New Roman"/>
                                <w:smallCaps/>
                                <w:color w:val="404040" w:themeColor="text1" w:themeTint="BF"/>
                                <w:lang w:val="pt-PT"/>
                              </w:rPr>
                            </w:pPr>
                          </w:p>
                          <w:p w14:paraId="4481356F" w14:textId="6C098178" w:rsidR="005F0E84" w:rsidRPr="00EB247F" w:rsidRDefault="005F0E84"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6C61BE01" w:rsidR="005F0E84" w:rsidRPr="0023362B" w:rsidRDefault="005F0E84" w:rsidP="007864AB">
                            <w:pPr>
                              <w:rPr>
                                <w:rFonts w:asciiTheme="minorHAnsi" w:hAnsiTheme="minorHAnsi"/>
                                <w:smallCaps/>
                                <w:color w:val="808080" w:themeColor="background1" w:themeShade="80"/>
                                <w:sz w:val="20"/>
                                <w:szCs w:val="20"/>
                              </w:rPr>
                            </w:pPr>
                            <w:hyperlink r:id="rId10" w:history="1">
                              <w:r w:rsidRPr="0023362B">
                                <w:rPr>
                                  <w:rFonts w:asciiTheme="minorHAnsi" w:hAnsiTheme="minorHAnsi"/>
                                  <w:color w:val="808080" w:themeColor="background1" w:themeShade="80"/>
                                </w:rPr>
                                <w:t>info@drawdown.org</w:t>
                              </w:r>
                            </w:hyperlink>
                            <w:r w:rsidRPr="0023362B">
                              <w:rPr>
                                <w:rFonts w:asciiTheme="minorHAnsi" w:hAnsiTheme="minorHAnsi"/>
                                <w:smallCaps/>
                                <w:color w:val="808080" w:themeColor="background1" w:themeShade="80"/>
                                <w:sz w:val="20"/>
                                <w:szCs w:val="20"/>
                              </w:rPr>
                              <w:t xml:space="preserve">             </w:t>
                            </w:r>
                            <w:hyperlink r:id="rId11" w:history="1">
                              <w:r w:rsidRPr="0023362B">
                                <w:rPr>
                                  <w:rFonts w:asciiTheme="minorHAnsi" w:hAnsiTheme="minorHAnsi"/>
                                  <w:color w:val="808080" w:themeColor="background1" w:themeShade="80"/>
                                </w:rPr>
                                <w:t>www.drawdown.org</w:t>
                              </w:r>
                            </w:hyperlink>
                            <w:r w:rsidRPr="0023362B">
                              <w:rPr>
                                <w:rFonts w:asciiTheme="minorHAnsi" w:hAnsiTheme="minorHAnsi"/>
                                <w:smallCaps/>
                                <w:color w:val="808080" w:themeColor="background1" w:themeShade="80"/>
                                <w:sz w:val="20"/>
                                <w:szCs w:val="20"/>
                              </w:rPr>
                              <w:t xml:space="preserve">  </w:t>
                            </w:r>
                          </w:p>
                          <w:p w14:paraId="05DAFFE7" w14:textId="77777777" w:rsidR="005F0E84" w:rsidRPr="0023362B" w:rsidRDefault="005F0E84" w:rsidP="00C81D94">
                            <w:pPr>
                              <w:rPr>
                                <w:rFonts w:cs="Times New Roman"/>
                                <w:smallCaps/>
                                <w:color w:val="404040" w:themeColor="text1" w:themeTint="BF"/>
                                <w:sz w:val="36"/>
                                <w:szCs w:val="36"/>
                              </w:rPr>
                            </w:pPr>
                          </w:p>
                          <w:p w14:paraId="3D97FBF6" w14:textId="77777777" w:rsidR="005F0E84" w:rsidRPr="0023362B" w:rsidRDefault="005F0E84" w:rsidP="00C81D94">
                            <w:pPr>
                              <w:rPr>
                                <w:rFonts w:cs="Times New Roman"/>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" filled="f" stroked="f" strokeweight=".5pt">
                <v:textbox inset=",0,54pt,0">
                  <w:txbxContent>
                    <w:p w14:paraId="1E55A2BD" w14:textId="05B6F6A8" w:rsidR="005F0E84" w:rsidRPr="00EB247F" w:rsidRDefault="005F0E84"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65726B7C" w:rsidR="005F0E84" w:rsidRPr="00EB247F" w:rsidRDefault="005F0E84"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Utility-scale</w:t>
                      </w:r>
                      <w:r w:rsidRPr="00EB247F">
                        <w:rPr>
                          <w:rFonts w:cs="Times New Roman"/>
                          <w:b/>
                          <w:smallCaps/>
                          <w:color w:val="404040" w:themeColor="text1" w:themeTint="BF"/>
                          <w:sz w:val="48"/>
                          <w:szCs w:val="48"/>
                        </w:rPr>
                        <w:t xml:space="preserve"> Solar Photovoltaics</w:t>
                      </w:r>
                    </w:p>
                    <w:p w14:paraId="4BEC3072" w14:textId="77777777" w:rsidR="005F0E84" w:rsidRDefault="005F0E84" w:rsidP="00EB247F">
                      <w:pPr>
                        <w:spacing w:line="240" w:lineRule="auto"/>
                        <w:jc w:val="center"/>
                        <w:rPr>
                          <w:rFonts w:cs="Times New Roman"/>
                          <w:smallCaps/>
                          <w:color w:val="404040" w:themeColor="text1" w:themeTint="BF"/>
                          <w:sz w:val="36"/>
                          <w:szCs w:val="36"/>
                        </w:rPr>
                      </w:pPr>
                    </w:p>
                    <w:p w14:paraId="3F0B52E4" w14:textId="77777777" w:rsidR="005F0E84" w:rsidRDefault="005F0E84" w:rsidP="00EB247F">
                      <w:pPr>
                        <w:spacing w:line="240" w:lineRule="auto"/>
                        <w:jc w:val="center"/>
                        <w:rPr>
                          <w:rFonts w:cs="Times New Roman"/>
                          <w:smallCaps/>
                          <w:color w:val="404040" w:themeColor="text1" w:themeTint="BF"/>
                          <w:sz w:val="36"/>
                          <w:szCs w:val="36"/>
                        </w:rPr>
                      </w:pPr>
                    </w:p>
                    <w:p w14:paraId="30E4023E" w14:textId="5F3CC6ED" w:rsidR="005F0E84" w:rsidRPr="00EB247F" w:rsidRDefault="005F0E84"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2885F45C" w14:textId="1E7215ED" w:rsidR="005F0E84" w:rsidRDefault="005F0E84" w:rsidP="0023362B">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Agency Level: Utilities</w:t>
                      </w:r>
                    </w:p>
                    <w:p w14:paraId="4CF7CB6C" w14:textId="646241DF" w:rsidR="005F0E84" w:rsidRPr="00EB247F" w:rsidRDefault="005F0E84"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Keywords: Solar Energy, Electricity Generation, Grid, Renewable Energy Source</w:t>
                      </w:r>
                    </w:p>
                    <w:p w14:paraId="5943CD2B" w14:textId="77777777" w:rsidR="005F0E84" w:rsidRPr="00EB247F" w:rsidRDefault="005F0E84" w:rsidP="00EB247F">
                      <w:pPr>
                        <w:spacing w:line="240" w:lineRule="auto"/>
                        <w:rPr>
                          <w:rFonts w:cs="Times New Roman"/>
                          <w:smallCaps/>
                          <w:color w:val="404040" w:themeColor="text1" w:themeTint="BF"/>
                          <w:sz w:val="36"/>
                          <w:szCs w:val="36"/>
                        </w:rPr>
                      </w:pPr>
                    </w:p>
                    <w:p w14:paraId="0B02E81E" w14:textId="77777777" w:rsidR="005F0E84" w:rsidRPr="00EB247F" w:rsidRDefault="005F0E84" w:rsidP="00EB247F">
                      <w:pPr>
                        <w:spacing w:line="240" w:lineRule="auto"/>
                        <w:rPr>
                          <w:rFonts w:cs="Times New Roman"/>
                          <w:smallCaps/>
                          <w:color w:val="404040" w:themeColor="text1" w:themeTint="BF"/>
                          <w:sz w:val="36"/>
                          <w:szCs w:val="36"/>
                        </w:rPr>
                      </w:pPr>
                    </w:p>
                    <w:p w14:paraId="5850EC6A" w14:textId="098A79B1" w:rsidR="005F0E84" w:rsidRPr="0007144C" w:rsidRDefault="005F0E84" w:rsidP="00A04FA1">
                      <w:pPr>
                        <w:spacing w:after="0" w:line="240" w:lineRule="auto"/>
                        <w:jc w:val="center"/>
                        <w:rPr>
                          <w:rFonts w:cs="Times New Roman"/>
                          <w:smallCaps/>
                          <w:color w:val="000000" w:themeColor="text1"/>
                          <w:sz w:val="36"/>
                          <w:szCs w:val="36"/>
                        </w:rPr>
                      </w:pPr>
                      <w:r>
                        <w:rPr>
                          <w:rFonts w:cs="Times New Roman"/>
                          <w:smallCaps/>
                          <w:color w:val="000000" w:themeColor="text1"/>
                          <w:sz w:val="36"/>
                          <w:szCs w:val="36"/>
                        </w:rPr>
                        <w:t>Version</w:t>
                      </w:r>
                      <w:r w:rsidRPr="0007144C">
                        <w:rPr>
                          <w:rFonts w:cs="Times New Roman"/>
                          <w:smallCaps/>
                          <w:color w:val="000000" w:themeColor="text1"/>
                          <w:sz w:val="36"/>
                          <w:szCs w:val="36"/>
                        </w:rPr>
                        <w:t xml:space="preserve"> </w:t>
                      </w:r>
                      <w:r>
                        <w:rPr>
                          <w:rFonts w:cs="Times New Roman"/>
                          <w:smallCaps/>
                          <w:color w:val="000000" w:themeColor="text1"/>
                          <w:sz w:val="36"/>
                          <w:szCs w:val="36"/>
                        </w:rPr>
                        <w:t>3</w:t>
                      </w:r>
                      <w:r w:rsidRPr="0007144C">
                        <w:rPr>
                          <w:rFonts w:cs="Times New Roman"/>
                          <w:smallCaps/>
                          <w:color w:val="000000" w:themeColor="text1"/>
                          <w:sz w:val="36"/>
                          <w:szCs w:val="36"/>
                        </w:rPr>
                        <w:t xml:space="preserve"> (</w:t>
                      </w:r>
                      <w:r>
                        <w:rPr>
                          <w:rFonts w:cs="Times New Roman"/>
                          <w:smallCaps/>
                          <w:color w:val="000000" w:themeColor="text1"/>
                          <w:sz w:val="36"/>
                          <w:szCs w:val="36"/>
                        </w:rPr>
                        <w:t>June 2020</w:t>
                      </w:r>
                      <w:r w:rsidRPr="0007144C">
                        <w:rPr>
                          <w:rFonts w:cs="Times New Roman"/>
                          <w:smallCaps/>
                          <w:color w:val="000000" w:themeColor="text1"/>
                          <w:sz w:val="36"/>
                          <w:szCs w:val="36"/>
                        </w:rPr>
                        <w:t>)</w:t>
                      </w:r>
                    </w:p>
                    <w:p w14:paraId="338A969E" w14:textId="77777777" w:rsidR="005F0E84" w:rsidRPr="00EB247F" w:rsidRDefault="005F0E84" w:rsidP="00EB247F">
                      <w:pPr>
                        <w:spacing w:after="0" w:line="240" w:lineRule="auto"/>
                        <w:rPr>
                          <w:rFonts w:cs="Times New Roman"/>
                          <w:smallCaps/>
                          <w:color w:val="404040" w:themeColor="text1" w:themeTint="BF"/>
                          <w:sz w:val="36"/>
                          <w:szCs w:val="36"/>
                        </w:rPr>
                      </w:pPr>
                    </w:p>
                    <w:p w14:paraId="21B2BC32" w14:textId="77777777" w:rsidR="005F0E84" w:rsidRPr="00EB247F" w:rsidRDefault="005F0E84" w:rsidP="00EB247F">
                      <w:pPr>
                        <w:spacing w:after="0" w:line="240" w:lineRule="auto"/>
                        <w:rPr>
                          <w:rFonts w:cs="Times New Roman"/>
                          <w:smallCaps/>
                          <w:color w:val="404040" w:themeColor="text1" w:themeTint="BF"/>
                          <w:sz w:val="36"/>
                          <w:szCs w:val="36"/>
                        </w:rPr>
                      </w:pPr>
                    </w:p>
                    <w:p w14:paraId="0EF4437F" w14:textId="2846FE09" w:rsidR="005F0E84" w:rsidRDefault="005F0E84" w:rsidP="00EB247F">
                      <w:pPr>
                        <w:spacing w:after="0" w:line="240" w:lineRule="auto"/>
                        <w:rPr>
                          <w:rFonts w:cs="Times New Roman"/>
                          <w:smallCaps/>
                          <w:color w:val="404040" w:themeColor="text1" w:themeTint="BF"/>
                          <w:sz w:val="36"/>
                          <w:szCs w:val="36"/>
                        </w:rPr>
                      </w:pPr>
                    </w:p>
                    <w:p w14:paraId="468C56F1" w14:textId="77777777" w:rsidR="005F0E84" w:rsidRPr="00EB247F" w:rsidRDefault="005F0E84" w:rsidP="00EB247F">
                      <w:pPr>
                        <w:spacing w:after="0" w:line="240" w:lineRule="auto"/>
                        <w:rPr>
                          <w:rFonts w:cs="Times New Roman"/>
                          <w:smallCaps/>
                          <w:color w:val="404040" w:themeColor="text1" w:themeTint="BF"/>
                          <w:sz w:val="36"/>
                          <w:szCs w:val="36"/>
                        </w:rPr>
                      </w:pPr>
                    </w:p>
                    <w:p w14:paraId="51758589" w14:textId="77777777" w:rsidR="005F0E84" w:rsidRDefault="005F0E84" w:rsidP="00EB247F">
                      <w:pPr>
                        <w:spacing w:after="0" w:line="240" w:lineRule="auto"/>
                        <w:rPr>
                          <w:rFonts w:cs="Times New Roman"/>
                          <w:b/>
                          <w:smallCaps/>
                          <w:color w:val="404040" w:themeColor="text1" w:themeTint="BF"/>
                          <w:sz w:val="28"/>
                          <w:szCs w:val="28"/>
                        </w:rPr>
                      </w:pPr>
                    </w:p>
                    <w:p w14:paraId="5D8B6311" w14:textId="77777777" w:rsidR="005F0E84" w:rsidRDefault="005F0E84" w:rsidP="00EB247F">
                      <w:pPr>
                        <w:spacing w:after="0" w:line="240" w:lineRule="auto"/>
                        <w:rPr>
                          <w:rFonts w:cs="Times New Roman"/>
                          <w:b/>
                          <w:smallCaps/>
                          <w:color w:val="404040" w:themeColor="text1" w:themeTint="BF"/>
                          <w:sz w:val="28"/>
                          <w:szCs w:val="28"/>
                        </w:rPr>
                      </w:pPr>
                    </w:p>
                    <w:p w14:paraId="66C10BC1" w14:textId="2490AEB7" w:rsidR="005F0E84" w:rsidRPr="00EB247F" w:rsidRDefault="005F0E84"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3A9BB24E" w14:textId="1E30577F" w:rsidR="005F0E84" w:rsidRPr="00EB247F" w:rsidRDefault="005F0E84" w:rsidP="00BB7FD5">
                      <w:pPr>
                        <w:spacing w:after="0" w:line="276" w:lineRule="auto"/>
                        <w:rPr>
                          <w:rFonts w:cs="Times New Roman"/>
                          <w:smallCaps/>
                          <w:color w:val="404040" w:themeColor="text1" w:themeTint="BF"/>
                          <w:sz w:val="28"/>
                          <w:szCs w:val="28"/>
                        </w:rPr>
                      </w:pPr>
                      <w:r w:rsidRPr="00EB247F">
                        <w:rPr>
                          <w:rFonts w:cs="Times New Roman"/>
                          <w:smallCaps/>
                          <w:color w:val="404040" w:themeColor="text1" w:themeTint="BF"/>
                          <w:sz w:val="28"/>
                          <w:szCs w:val="28"/>
                        </w:rPr>
                        <w:t>Anna Goldstein, Research Fellow</w:t>
                      </w:r>
                    </w:p>
                    <w:p w14:paraId="02143E38" w14:textId="56809711" w:rsidR="005F0E84" w:rsidRPr="00EB247F" w:rsidRDefault="005F0E84" w:rsidP="00BB7FD5">
                      <w:pPr>
                        <w:spacing w:after="0" w:line="276" w:lineRule="auto"/>
                        <w:rPr>
                          <w:rFonts w:cs="Times New Roman"/>
                          <w:smallCaps/>
                          <w:color w:val="404040" w:themeColor="text1" w:themeTint="BF"/>
                          <w:sz w:val="28"/>
                          <w:szCs w:val="28"/>
                        </w:rPr>
                      </w:pPr>
                      <w:r w:rsidRPr="00EB247F">
                        <w:rPr>
                          <w:rFonts w:cs="Times New Roman"/>
                          <w:smallCaps/>
                          <w:color w:val="404040" w:themeColor="text1" w:themeTint="BF"/>
                          <w:sz w:val="28"/>
                          <w:szCs w:val="28"/>
                        </w:rPr>
                        <w:t>Aven Satre-Meloy, Research Fellow</w:t>
                      </w:r>
                    </w:p>
                    <w:p w14:paraId="3F84915F" w14:textId="1C1B1851" w:rsidR="005F0E84" w:rsidRDefault="005F0E84" w:rsidP="00BB7FD5">
                      <w:pPr>
                        <w:spacing w:after="0" w:line="276" w:lineRule="auto"/>
                        <w:rPr>
                          <w:rFonts w:cs="Times New Roman"/>
                          <w:smallCaps/>
                          <w:color w:val="404040" w:themeColor="text1" w:themeTint="BF"/>
                          <w:sz w:val="28"/>
                          <w:szCs w:val="28"/>
                        </w:rPr>
                      </w:pPr>
                      <w:r>
                        <w:rPr>
                          <w:rFonts w:cs="Times New Roman"/>
                          <w:smallCaps/>
                          <w:color w:val="404040" w:themeColor="text1" w:themeTint="BF"/>
                          <w:sz w:val="28"/>
                          <w:szCs w:val="28"/>
                        </w:rPr>
                        <w:t>Ashok Mangotra, Research Fellow</w:t>
                      </w:r>
                    </w:p>
                    <w:p w14:paraId="35B08535" w14:textId="7CC318EE" w:rsidR="005F0E84" w:rsidRPr="0023362B" w:rsidRDefault="005F0E84" w:rsidP="0007144C">
                      <w:pPr>
                        <w:spacing w:after="0" w:line="276" w:lineRule="auto"/>
                        <w:rPr>
                          <w:rFonts w:cs="Times New Roman"/>
                          <w:smallCaps/>
                          <w:color w:val="404040" w:themeColor="text1" w:themeTint="BF"/>
                          <w:sz w:val="28"/>
                          <w:szCs w:val="28"/>
                          <w:lang w:val="pt-PT"/>
                        </w:rPr>
                      </w:pPr>
                      <w:r w:rsidRPr="0023362B">
                        <w:rPr>
                          <w:rFonts w:cs="Times New Roman"/>
                          <w:smallCaps/>
                          <w:color w:val="404040" w:themeColor="text1" w:themeTint="BF"/>
                          <w:sz w:val="28"/>
                          <w:szCs w:val="28"/>
                          <w:lang w:val="pt-PT"/>
                        </w:rPr>
                        <w:t>João Pedro Gouveia, Senior Research Fellow</w:t>
                      </w:r>
                    </w:p>
                    <w:p w14:paraId="7062CB62" w14:textId="4764730B" w:rsidR="005F0E84" w:rsidRDefault="005F0E84" w:rsidP="007864AB">
                      <w:pPr>
                        <w:rPr>
                          <w:rFonts w:cs="Times New Roman"/>
                          <w:smallCaps/>
                          <w:color w:val="404040" w:themeColor="text1" w:themeTint="BF"/>
                          <w:lang w:val="pt-PT"/>
                        </w:rPr>
                      </w:pPr>
                    </w:p>
                    <w:p w14:paraId="739E4E1A" w14:textId="77777777" w:rsidR="005F0E84" w:rsidRPr="0023362B" w:rsidRDefault="005F0E84" w:rsidP="007864AB">
                      <w:pPr>
                        <w:rPr>
                          <w:rFonts w:cs="Times New Roman"/>
                          <w:smallCaps/>
                          <w:color w:val="404040" w:themeColor="text1" w:themeTint="BF"/>
                          <w:lang w:val="pt-PT"/>
                        </w:rPr>
                      </w:pPr>
                    </w:p>
                    <w:p w14:paraId="4481356F" w14:textId="6C098178" w:rsidR="005F0E84" w:rsidRPr="00EB247F" w:rsidRDefault="005F0E84"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6C61BE01" w:rsidR="005F0E84" w:rsidRPr="0023362B" w:rsidRDefault="005F0E84" w:rsidP="007864AB">
                      <w:pPr>
                        <w:rPr>
                          <w:rFonts w:asciiTheme="minorHAnsi" w:hAnsiTheme="minorHAnsi"/>
                          <w:smallCaps/>
                          <w:color w:val="808080" w:themeColor="background1" w:themeShade="80"/>
                          <w:sz w:val="20"/>
                          <w:szCs w:val="20"/>
                        </w:rPr>
                      </w:pPr>
                      <w:hyperlink r:id="rId12" w:history="1">
                        <w:r w:rsidRPr="0023362B">
                          <w:rPr>
                            <w:rFonts w:asciiTheme="minorHAnsi" w:hAnsiTheme="minorHAnsi"/>
                            <w:color w:val="808080" w:themeColor="background1" w:themeShade="80"/>
                          </w:rPr>
                          <w:t>info@drawdown.org</w:t>
                        </w:r>
                      </w:hyperlink>
                      <w:r w:rsidRPr="0023362B">
                        <w:rPr>
                          <w:rFonts w:asciiTheme="minorHAnsi" w:hAnsiTheme="minorHAnsi"/>
                          <w:smallCaps/>
                          <w:color w:val="808080" w:themeColor="background1" w:themeShade="80"/>
                          <w:sz w:val="20"/>
                          <w:szCs w:val="20"/>
                        </w:rPr>
                        <w:t xml:space="preserve">             </w:t>
                      </w:r>
                      <w:hyperlink r:id="rId13" w:history="1">
                        <w:r w:rsidRPr="0023362B">
                          <w:rPr>
                            <w:rFonts w:asciiTheme="minorHAnsi" w:hAnsiTheme="minorHAnsi"/>
                            <w:color w:val="808080" w:themeColor="background1" w:themeShade="80"/>
                          </w:rPr>
                          <w:t>www.drawdown.org</w:t>
                        </w:r>
                      </w:hyperlink>
                      <w:r w:rsidRPr="0023362B">
                        <w:rPr>
                          <w:rFonts w:asciiTheme="minorHAnsi" w:hAnsiTheme="minorHAnsi"/>
                          <w:smallCaps/>
                          <w:color w:val="808080" w:themeColor="background1" w:themeShade="80"/>
                          <w:sz w:val="20"/>
                          <w:szCs w:val="20"/>
                        </w:rPr>
                        <w:t xml:space="preserve">  </w:t>
                      </w:r>
                    </w:p>
                    <w:p w14:paraId="05DAFFE7" w14:textId="77777777" w:rsidR="005F0E84" w:rsidRPr="0023362B" w:rsidRDefault="005F0E84" w:rsidP="00C81D94">
                      <w:pPr>
                        <w:rPr>
                          <w:rFonts w:cs="Times New Roman"/>
                          <w:smallCaps/>
                          <w:color w:val="404040" w:themeColor="text1" w:themeTint="BF"/>
                          <w:sz w:val="36"/>
                          <w:szCs w:val="36"/>
                        </w:rPr>
                      </w:pPr>
                    </w:p>
                    <w:p w14:paraId="3D97FBF6" w14:textId="77777777" w:rsidR="005F0E84" w:rsidRPr="0023362B" w:rsidRDefault="005F0E84" w:rsidP="00C81D94">
                      <w:pPr>
                        <w:rPr>
                          <w:rFonts w:cs="Times New Roman"/>
                          <w:smallCaps/>
                          <w:color w:val="404040" w:themeColor="text1" w:themeTint="BF"/>
                          <w:sz w:val="36"/>
                          <w:szCs w:val="36"/>
                        </w:rPr>
                      </w:pPr>
                    </w:p>
                  </w:txbxContent>
                </v:textbox>
                <w10:wrap type="square" anchorx="page" anchory="page"/>
              </v:shape>
            </w:pict>
          </mc:Fallback>
        </mc:AlternateContent>
      </w:r>
      <w:r w:rsidR="00975833" w:rsidRPr="00061636">
        <w:rPr>
          <w:rStyle w:val="Hyperlink"/>
          <w:noProof/>
        </w:rPr>
        <w:t xml:space="preserve"> </w: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008D70FD" w:rsidR="00640665" w:rsidRPr="00061636" w:rsidRDefault="551A77D0" w:rsidP="00EB247F">
          <w:pPr>
            <w:rPr>
              <w:rStyle w:val="Heading1Char"/>
            </w:rPr>
          </w:pPr>
          <w:r w:rsidRPr="00061636">
            <w:rPr>
              <w:rStyle w:val="Heading1Char"/>
            </w:rPr>
            <w:t>Table of Contents</w:t>
          </w:r>
        </w:p>
        <w:p w14:paraId="4C5D0518" w14:textId="5CE8EFB1" w:rsidR="002D36C3" w:rsidRDefault="00640665">
          <w:pPr>
            <w:pStyle w:val="TOC1"/>
            <w:rPr>
              <w:rFonts w:asciiTheme="minorHAnsi" w:hAnsiTheme="minorHAnsi"/>
              <w:noProof/>
              <w:sz w:val="24"/>
              <w:szCs w:val="24"/>
              <w:lang w:eastAsia="en-US"/>
            </w:rPr>
          </w:pPr>
          <w:r w:rsidRPr="00061636">
            <w:fldChar w:fldCharType="begin"/>
          </w:r>
          <w:r w:rsidRPr="00061636">
            <w:instrText xml:space="preserve"> TOC \o "1-3" \h \z \u </w:instrText>
          </w:r>
          <w:r w:rsidRPr="00061636">
            <w:fldChar w:fldCharType="separate"/>
          </w:r>
          <w:hyperlink w:anchor="_Toc10331891" w:history="1">
            <w:r w:rsidR="002D36C3" w:rsidRPr="00347E33">
              <w:rPr>
                <w:rStyle w:val="Hyperlink"/>
                <w:noProof/>
              </w:rPr>
              <w:t>List of Figures</w:t>
            </w:r>
            <w:r w:rsidR="002D36C3">
              <w:rPr>
                <w:noProof/>
                <w:webHidden/>
              </w:rPr>
              <w:tab/>
            </w:r>
            <w:r w:rsidR="002D36C3">
              <w:rPr>
                <w:noProof/>
                <w:webHidden/>
              </w:rPr>
              <w:fldChar w:fldCharType="begin"/>
            </w:r>
            <w:r w:rsidR="002D36C3">
              <w:rPr>
                <w:noProof/>
                <w:webHidden/>
              </w:rPr>
              <w:instrText xml:space="preserve"> PAGEREF _Toc10331891 \h </w:instrText>
            </w:r>
            <w:r w:rsidR="002D36C3">
              <w:rPr>
                <w:noProof/>
                <w:webHidden/>
              </w:rPr>
            </w:r>
            <w:r w:rsidR="002D36C3">
              <w:rPr>
                <w:noProof/>
                <w:webHidden/>
              </w:rPr>
              <w:fldChar w:fldCharType="separate"/>
            </w:r>
            <w:r w:rsidR="00131589">
              <w:rPr>
                <w:noProof/>
                <w:webHidden/>
              </w:rPr>
              <w:t>4</w:t>
            </w:r>
            <w:r w:rsidR="002D36C3">
              <w:rPr>
                <w:noProof/>
                <w:webHidden/>
              </w:rPr>
              <w:fldChar w:fldCharType="end"/>
            </w:r>
          </w:hyperlink>
        </w:p>
        <w:p w14:paraId="2799559E" w14:textId="106EF5CB" w:rsidR="002D36C3" w:rsidRDefault="005F0E84">
          <w:pPr>
            <w:pStyle w:val="TOC1"/>
            <w:rPr>
              <w:rFonts w:asciiTheme="minorHAnsi" w:hAnsiTheme="minorHAnsi"/>
              <w:noProof/>
              <w:sz w:val="24"/>
              <w:szCs w:val="24"/>
              <w:lang w:eastAsia="en-US"/>
            </w:rPr>
          </w:pPr>
          <w:hyperlink w:anchor="_Toc10331892" w:history="1">
            <w:r w:rsidR="002D36C3" w:rsidRPr="00347E33">
              <w:rPr>
                <w:rStyle w:val="Hyperlink"/>
                <w:noProof/>
              </w:rPr>
              <w:t>List of Tables</w:t>
            </w:r>
            <w:r w:rsidR="002D36C3">
              <w:rPr>
                <w:noProof/>
                <w:webHidden/>
              </w:rPr>
              <w:tab/>
            </w:r>
            <w:r w:rsidR="002D36C3">
              <w:rPr>
                <w:noProof/>
                <w:webHidden/>
              </w:rPr>
              <w:fldChar w:fldCharType="begin"/>
            </w:r>
            <w:r w:rsidR="002D36C3">
              <w:rPr>
                <w:noProof/>
                <w:webHidden/>
              </w:rPr>
              <w:instrText xml:space="preserve"> PAGEREF _Toc10331892 \h </w:instrText>
            </w:r>
            <w:r w:rsidR="002D36C3">
              <w:rPr>
                <w:noProof/>
                <w:webHidden/>
              </w:rPr>
            </w:r>
            <w:r w:rsidR="002D36C3">
              <w:rPr>
                <w:noProof/>
                <w:webHidden/>
              </w:rPr>
              <w:fldChar w:fldCharType="separate"/>
            </w:r>
            <w:r w:rsidR="00131589">
              <w:rPr>
                <w:noProof/>
                <w:webHidden/>
              </w:rPr>
              <w:t>4</w:t>
            </w:r>
            <w:r w:rsidR="002D36C3">
              <w:rPr>
                <w:noProof/>
                <w:webHidden/>
              </w:rPr>
              <w:fldChar w:fldCharType="end"/>
            </w:r>
          </w:hyperlink>
        </w:p>
        <w:p w14:paraId="40765774" w14:textId="7C2E09D3" w:rsidR="002D36C3" w:rsidRDefault="005F0E84">
          <w:pPr>
            <w:pStyle w:val="TOC1"/>
            <w:rPr>
              <w:rFonts w:asciiTheme="minorHAnsi" w:hAnsiTheme="minorHAnsi"/>
              <w:noProof/>
              <w:sz w:val="24"/>
              <w:szCs w:val="24"/>
              <w:lang w:eastAsia="en-US"/>
            </w:rPr>
          </w:pPr>
          <w:hyperlink w:anchor="_Toc10331893" w:history="1">
            <w:r w:rsidR="002D36C3" w:rsidRPr="00347E33">
              <w:rPr>
                <w:rStyle w:val="Hyperlink"/>
                <w:noProof/>
              </w:rPr>
              <w:t>Acronyms and Symbols</w:t>
            </w:r>
            <w:r w:rsidR="002D36C3">
              <w:rPr>
                <w:noProof/>
                <w:webHidden/>
              </w:rPr>
              <w:tab/>
            </w:r>
            <w:r w:rsidR="002D36C3">
              <w:rPr>
                <w:noProof/>
                <w:webHidden/>
              </w:rPr>
              <w:fldChar w:fldCharType="begin"/>
            </w:r>
            <w:r w:rsidR="002D36C3">
              <w:rPr>
                <w:noProof/>
                <w:webHidden/>
              </w:rPr>
              <w:instrText xml:space="preserve"> PAGEREF _Toc10331893 \h </w:instrText>
            </w:r>
            <w:r w:rsidR="002D36C3">
              <w:rPr>
                <w:noProof/>
                <w:webHidden/>
              </w:rPr>
            </w:r>
            <w:r w:rsidR="002D36C3">
              <w:rPr>
                <w:noProof/>
                <w:webHidden/>
              </w:rPr>
              <w:fldChar w:fldCharType="separate"/>
            </w:r>
            <w:r w:rsidR="00131589">
              <w:rPr>
                <w:noProof/>
                <w:webHidden/>
              </w:rPr>
              <w:t>5</w:t>
            </w:r>
            <w:r w:rsidR="002D36C3">
              <w:rPr>
                <w:noProof/>
                <w:webHidden/>
              </w:rPr>
              <w:fldChar w:fldCharType="end"/>
            </w:r>
          </w:hyperlink>
        </w:p>
        <w:p w14:paraId="1705DACE" w14:textId="4E8CCFB3" w:rsidR="002D36C3" w:rsidRDefault="005F0E84">
          <w:pPr>
            <w:pStyle w:val="TOC1"/>
            <w:tabs>
              <w:tab w:val="left" w:pos="440"/>
            </w:tabs>
            <w:rPr>
              <w:rFonts w:asciiTheme="minorHAnsi" w:hAnsiTheme="minorHAnsi"/>
              <w:noProof/>
              <w:sz w:val="24"/>
              <w:szCs w:val="24"/>
              <w:lang w:eastAsia="en-US"/>
            </w:rPr>
          </w:pPr>
          <w:hyperlink w:anchor="_Toc10331894" w:history="1">
            <w:r w:rsidR="002D36C3" w:rsidRPr="00347E33">
              <w:rPr>
                <w:rStyle w:val="Hyperlink"/>
                <w:noProof/>
              </w:rPr>
              <w:t>1</w:t>
            </w:r>
            <w:r w:rsidR="002D36C3">
              <w:rPr>
                <w:rFonts w:asciiTheme="minorHAnsi" w:hAnsiTheme="minorHAnsi"/>
                <w:noProof/>
                <w:sz w:val="24"/>
                <w:szCs w:val="24"/>
                <w:lang w:eastAsia="en-US"/>
              </w:rPr>
              <w:tab/>
            </w:r>
            <w:r w:rsidR="002D36C3" w:rsidRPr="00347E33">
              <w:rPr>
                <w:rStyle w:val="Hyperlink"/>
                <w:noProof/>
              </w:rPr>
              <w:t>Literature Review</w:t>
            </w:r>
            <w:r w:rsidR="002D36C3">
              <w:rPr>
                <w:noProof/>
                <w:webHidden/>
              </w:rPr>
              <w:tab/>
            </w:r>
            <w:r w:rsidR="002D36C3">
              <w:rPr>
                <w:noProof/>
                <w:webHidden/>
              </w:rPr>
              <w:fldChar w:fldCharType="begin"/>
            </w:r>
            <w:r w:rsidR="002D36C3">
              <w:rPr>
                <w:noProof/>
                <w:webHidden/>
              </w:rPr>
              <w:instrText xml:space="preserve"> PAGEREF _Toc10331894 \h </w:instrText>
            </w:r>
            <w:r w:rsidR="002D36C3">
              <w:rPr>
                <w:noProof/>
                <w:webHidden/>
              </w:rPr>
            </w:r>
            <w:r w:rsidR="002D36C3">
              <w:rPr>
                <w:noProof/>
                <w:webHidden/>
              </w:rPr>
              <w:fldChar w:fldCharType="separate"/>
            </w:r>
            <w:r w:rsidR="00131589">
              <w:rPr>
                <w:noProof/>
                <w:webHidden/>
              </w:rPr>
              <w:t>8</w:t>
            </w:r>
            <w:r w:rsidR="002D36C3">
              <w:rPr>
                <w:noProof/>
                <w:webHidden/>
              </w:rPr>
              <w:fldChar w:fldCharType="end"/>
            </w:r>
          </w:hyperlink>
        </w:p>
        <w:p w14:paraId="56A7C642" w14:textId="7094E164" w:rsidR="002D36C3" w:rsidRDefault="005F0E84">
          <w:pPr>
            <w:pStyle w:val="TOC2"/>
            <w:tabs>
              <w:tab w:val="left" w:pos="960"/>
              <w:tab w:val="right" w:leader="dot" w:pos="9350"/>
            </w:tabs>
            <w:rPr>
              <w:rFonts w:asciiTheme="minorHAnsi" w:hAnsiTheme="minorHAnsi"/>
              <w:noProof/>
              <w:sz w:val="24"/>
              <w:szCs w:val="24"/>
              <w:lang w:eastAsia="en-US"/>
            </w:rPr>
          </w:pPr>
          <w:hyperlink w:anchor="_Toc10331895" w:history="1">
            <w:r w:rsidR="002D36C3" w:rsidRPr="00347E33">
              <w:rPr>
                <w:rStyle w:val="Hyperlink"/>
                <w:noProof/>
              </w:rPr>
              <w:t>1.1.</w:t>
            </w:r>
            <w:r w:rsidR="002D36C3">
              <w:rPr>
                <w:rFonts w:asciiTheme="minorHAnsi" w:hAnsiTheme="minorHAnsi"/>
                <w:noProof/>
                <w:sz w:val="24"/>
                <w:szCs w:val="24"/>
                <w:lang w:eastAsia="en-US"/>
              </w:rPr>
              <w:tab/>
            </w:r>
            <w:r w:rsidR="002D36C3" w:rsidRPr="00347E33">
              <w:rPr>
                <w:rStyle w:val="Hyperlink"/>
                <w:noProof/>
              </w:rPr>
              <w:t>State of PV technology</w:t>
            </w:r>
            <w:r w:rsidR="002D36C3">
              <w:rPr>
                <w:noProof/>
                <w:webHidden/>
              </w:rPr>
              <w:tab/>
            </w:r>
            <w:r w:rsidR="002D36C3">
              <w:rPr>
                <w:noProof/>
                <w:webHidden/>
              </w:rPr>
              <w:fldChar w:fldCharType="begin"/>
            </w:r>
            <w:r w:rsidR="002D36C3">
              <w:rPr>
                <w:noProof/>
                <w:webHidden/>
              </w:rPr>
              <w:instrText xml:space="preserve"> PAGEREF _Toc10331895 \h </w:instrText>
            </w:r>
            <w:r w:rsidR="002D36C3">
              <w:rPr>
                <w:noProof/>
                <w:webHidden/>
              </w:rPr>
            </w:r>
            <w:r w:rsidR="002D36C3">
              <w:rPr>
                <w:noProof/>
                <w:webHidden/>
              </w:rPr>
              <w:fldChar w:fldCharType="separate"/>
            </w:r>
            <w:r w:rsidR="00131589">
              <w:rPr>
                <w:noProof/>
                <w:webHidden/>
              </w:rPr>
              <w:t>8</w:t>
            </w:r>
            <w:r w:rsidR="002D36C3">
              <w:rPr>
                <w:noProof/>
                <w:webHidden/>
              </w:rPr>
              <w:fldChar w:fldCharType="end"/>
            </w:r>
          </w:hyperlink>
        </w:p>
        <w:p w14:paraId="7D6DBF5E" w14:textId="4A5F0099" w:rsidR="002D36C3" w:rsidRDefault="005F0E84">
          <w:pPr>
            <w:pStyle w:val="TOC2"/>
            <w:tabs>
              <w:tab w:val="left" w:pos="960"/>
              <w:tab w:val="right" w:leader="dot" w:pos="9350"/>
            </w:tabs>
            <w:rPr>
              <w:rFonts w:asciiTheme="minorHAnsi" w:hAnsiTheme="minorHAnsi"/>
              <w:noProof/>
              <w:sz w:val="24"/>
              <w:szCs w:val="24"/>
              <w:lang w:eastAsia="en-US"/>
            </w:rPr>
          </w:pPr>
          <w:hyperlink w:anchor="_Toc10331896" w:history="1">
            <w:r w:rsidR="002D36C3" w:rsidRPr="00347E33">
              <w:rPr>
                <w:rStyle w:val="Hyperlink"/>
                <w:noProof/>
              </w:rPr>
              <w:t>1.2.</w:t>
            </w:r>
            <w:r w:rsidR="002D36C3">
              <w:rPr>
                <w:rFonts w:asciiTheme="minorHAnsi" w:hAnsiTheme="minorHAnsi"/>
                <w:noProof/>
                <w:sz w:val="24"/>
                <w:szCs w:val="24"/>
                <w:lang w:eastAsia="en-US"/>
              </w:rPr>
              <w:tab/>
            </w:r>
            <w:r w:rsidR="002D36C3" w:rsidRPr="00347E33">
              <w:rPr>
                <w:rStyle w:val="Hyperlink"/>
                <w:noProof/>
              </w:rPr>
              <w:t>Definition of Solar Farms</w:t>
            </w:r>
            <w:r w:rsidR="002D36C3">
              <w:rPr>
                <w:noProof/>
                <w:webHidden/>
              </w:rPr>
              <w:tab/>
            </w:r>
            <w:r w:rsidR="002D36C3">
              <w:rPr>
                <w:noProof/>
                <w:webHidden/>
              </w:rPr>
              <w:fldChar w:fldCharType="begin"/>
            </w:r>
            <w:r w:rsidR="002D36C3">
              <w:rPr>
                <w:noProof/>
                <w:webHidden/>
              </w:rPr>
              <w:instrText xml:space="preserve"> PAGEREF _Toc10331896 \h </w:instrText>
            </w:r>
            <w:r w:rsidR="002D36C3">
              <w:rPr>
                <w:noProof/>
                <w:webHidden/>
              </w:rPr>
            </w:r>
            <w:r w:rsidR="002D36C3">
              <w:rPr>
                <w:noProof/>
                <w:webHidden/>
              </w:rPr>
              <w:fldChar w:fldCharType="separate"/>
            </w:r>
            <w:r w:rsidR="00131589">
              <w:rPr>
                <w:noProof/>
                <w:webHidden/>
              </w:rPr>
              <w:t>10</w:t>
            </w:r>
            <w:r w:rsidR="002D36C3">
              <w:rPr>
                <w:noProof/>
                <w:webHidden/>
              </w:rPr>
              <w:fldChar w:fldCharType="end"/>
            </w:r>
          </w:hyperlink>
        </w:p>
        <w:p w14:paraId="765380D7" w14:textId="4E516B00" w:rsidR="002D36C3" w:rsidRDefault="005F0E84">
          <w:pPr>
            <w:pStyle w:val="TOC2"/>
            <w:tabs>
              <w:tab w:val="left" w:pos="960"/>
              <w:tab w:val="right" w:leader="dot" w:pos="9350"/>
            </w:tabs>
            <w:rPr>
              <w:rFonts w:asciiTheme="minorHAnsi" w:hAnsiTheme="minorHAnsi"/>
              <w:noProof/>
              <w:sz w:val="24"/>
              <w:szCs w:val="24"/>
              <w:lang w:eastAsia="en-US"/>
            </w:rPr>
          </w:pPr>
          <w:hyperlink w:anchor="_Toc10331897" w:history="1">
            <w:r w:rsidR="002D36C3" w:rsidRPr="00347E33">
              <w:rPr>
                <w:rStyle w:val="Hyperlink"/>
                <w:noProof/>
              </w:rPr>
              <w:t>1.3.</w:t>
            </w:r>
            <w:r w:rsidR="002D36C3">
              <w:rPr>
                <w:rFonts w:asciiTheme="minorHAnsi" w:hAnsiTheme="minorHAnsi"/>
                <w:noProof/>
                <w:sz w:val="24"/>
                <w:szCs w:val="24"/>
                <w:lang w:eastAsia="en-US"/>
              </w:rPr>
              <w:tab/>
            </w:r>
            <w:r w:rsidR="002D36C3" w:rsidRPr="00347E33">
              <w:rPr>
                <w:rStyle w:val="Hyperlink"/>
                <w:noProof/>
              </w:rPr>
              <w:t>Adoption Path</w:t>
            </w:r>
            <w:r w:rsidR="002D36C3">
              <w:rPr>
                <w:noProof/>
                <w:webHidden/>
              </w:rPr>
              <w:tab/>
            </w:r>
            <w:r w:rsidR="002D36C3">
              <w:rPr>
                <w:noProof/>
                <w:webHidden/>
              </w:rPr>
              <w:fldChar w:fldCharType="begin"/>
            </w:r>
            <w:r w:rsidR="002D36C3">
              <w:rPr>
                <w:noProof/>
                <w:webHidden/>
              </w:rPr>
              <w:instrText xml:space="preserve"> PAGEREF _Toc10331897 \h </w:instrText>
            </w:r>
            <w:r w:rsidR="002D36C3">
              <w:rPr>
                <w:noProof/>
                <w:webHidden/>
              </w:rPr>
            </w:r>
            <w:r w:rsidR="002D36C3">
              <w:rPr>
                <w:noProof/>
                <w:webHidden/>
              </w:rPr>
              <w:fldChar w:fldCharType="separate"/>
            </w:r>
            <w:r w:rsidR="00131589">
              <w:rPr>
                <w:noProof/>
                <w:webHidden/>
              </w:rPr>
              <w:t>11</w:t>
            </w:r>
            <w:r w:rsidR="002D36C3">
              <w:rPr>
                <w:noProof/>
                <w:webHidden/>
              </w:rPr>
              <w:fldChar w:fldCharType="end"/>
            </w:r>
          </w:hyperlink>
        </w:p>
        <w:p w14:paraId="7C82B682" w14:textId="4755B221" w:rsidR="002D36C3" w:rsidRDefault="005F0E84">
          <w:pPr>
            <w:pStyle w:val="TOC3"/>
            <w:tabs>
              <w:tab w:val="right" w:leader="dot" w:pos="9350"/>
            </w:tabs>
            <w:rPr>
              <w:rFonts w:asciiTheme="minorHAnsi" w:hAnsiTheme="minorHAnsi"/>
              <w:noProof/>
              <w:sz w:val="24"/>
              <w:szCs w:val="24"/>
              <w:lang w:eastAsia="en-US"/>
            </w:rPr>
          </w:pPr>
          <w:hyperlink w:anchor="_Toc10331898" w:history="1">
            <w:r w:rsidR="002D36C3" w:rsidRPr="00347E33">
              <w:rPr>
                <w:rStyle w:val="Hyperlink"/>
                <w:noProof/>
              </w:rPr>
              <w:t>1.3.1     Current Adoption</w:t>
            </w:r>
            <w:r w:rsidR="002D36C3">
              <w:rPr>
                <w:noProof/>
                <w:webHidden/>
              </w:rPr>
              <w:tab/>
            </w:r>
            <w:r w:rsidR="002D36C3">
              <w:rPr>
                <w:noProof/>
                <w:webHidden/>
              </w:rPr>
              <w:fldChar w:fldCharType="begin"/>
            </w:r>
            <w:r w:rsidR="002D36C3">
              <w:rPr>
                <w:noProof/>
                <w:webHidden/>
              </w:rPr>
              <w:instrText xml:space="preserve"> PAGEREF _Toc10331898 \h </w:instrText>
            </w:r>
            <w:r w:rsidR="002D36C3">
              <w:rPr>
                <w:noProof/>
                <w:webHidden/>
              </w:rPr>
            </w:r>
            <w:r w:rsidR="002D36C3">
              <w:rPr>
                <w:noProof/>
                <w:webHidden/>
              </w:rPr>
              <w:fldChar w:fldCharType="separate"/>
            </w:r>
            <w:r w:rsidR="00131589">
              <w:rPr>
                <w:noProof/>
                <w:webHidden/>
              </w:rPr>
              <w:t>11</w:t>
            </w:r>
            <w:r w:rsidR="002D36C3">
              <w:rPr>
                <w:noProof/>
                <w:webHidden/>
              </w:rPr>
              <w:fldChar w:fldCharType="end"/>
            </w:r>
          </w:hyperlink>
        </w:p>
        <w:p w14:paraId="3DA0838D" w14:textId="2969B856" w:rsidR="002D36C3" w:rsidRDefault="005F0E84">
          <w:pPr>
            <w:pStyle w:val="TOC3"/>
            <w:tabs>
              <w:tab w:val="left" w:pos="1200"/>
              <w:tab w:val="right" w:leader="dot" w:pos="9350"/>
            </w:tabs>
            <w:rPr>
              <w:rFonts w:asciiTheme="minorHAnsi" w:hAnsiTheme="minorHAnsi"/>
              <w:noProof/>
              <w:sz w:val="24"/>
              <w:szCs w:val="24"/>
              <w:lang w:eastAsia="en-US"/>
            </w:rPr>
          </w:pPr>
          <w:hyperlink w:anchor="_Toc10331899" w:history="1">
            <w:r w:rsidR="002D36C3" w:rsidRPr="00347E33">
              <w:rPr>
                <w:rStyle w:val="Hyperlink"/>
                <w:noProof/>
              </w:rPr>
              <w:t>1.3.2</w:t>
            </w:r>
            <w:r w:rsidR="002D36C3">
              <w:rPr>
                <w:rFonts w:asciiTheme="minorHAnsi" w:hAnsiTheme="minorHAnsi"/>
                <w:noProof/>
                <w:sz w:val="24"/>
                <w:szCs w:val="24"/>
                <w:lang w:eastAsia="en-US"/>
              </w:rPr>
              <w:tab/>
            </w:r>
            <w:r w:rsidR="002D36C3" w:rsidRPr="00347E33">
              <w:rPr>
                <w:rStyle w:val="Hyperlink"/>
                <w:noProof/>
              </w:rPr>
              <w:t>Trends of Accelerating Adoption</w:t>
            </w:r>
            <w:r w:rsidR="002D36C3">
              <w:rPr>
                <w:noProof/>
                <w:webHidden/>
              </w:rPr>
              <w:tab/>
            </w:r>
            <w:r w:rsidR="002D36C3">
              <w:rPr>
                <w:noProof/>
                <w:webHidden/>
              </w:rPr>
              <w:fldChar w:fldCharType="begin"/>
            </w:r>
            <w:r w:rsidR="002D36C3">
              <w:rPr>
                <w:noProof/>
                <w:webHidden/>
              </w:rPr>
              <w:instrText xml:space="preserve"> PAGEREF _Toc10331899 \h </w:instrText>
            </w:r>
            <w:r w:rsidR="002D36C3">
              <w:rPr>
                <w:noProof/>
                <w:webHidden/>
              </w:rPr>
            </w:r>
            <w:r w:rsidR="002D36C3">
              <w:rPr>
                <w:noProof/>
                <w:webHidden/>
              </w:rPr>
              <w:fldChar w:fldCharType="separate"/>
            </w:r>
            <w:r w:rsidR="00131589">
              <w:rPr>
                <w:noProof/>
                <w:webHidden/>
              </w:rPr>
              <w:t>12</w:t>
            </w:r>
            <w:r w:rsidR="002D36C3">
              <w:rPr>
                <w:noProof/>
                <w:webHidden/>
              </w:rPr>
              <w:fldChar w:fldCharType="end"/>
            </w:r>
          </w:hyperlink>
        </w:p>
        <w:p w14:paraId="51E38878" w14:textId="1B9697BB" w:rsidR="002D36C3" w:rsidRDefault="005F0E84">
          <w:pPr>
            <w:pStyle w:val="TOC3"/>
            <w:tabs>
              <w:tab w:val="left" w:pos="1200"/>
              <w:tab w:val="right" w:leader="dot" w:pos="9350"/>
            </w:tabs>
            <w:rPr>
              <w:rFonts w:asciiTheme="minorHAnsi" w:hAnsiTheme="minorHAnsi"/>
              <w:noProof/>
              <w:sz w:val="24"/>
              <w:szCs w:val="24"/>
              <w:lang w:eastAsia="en-US"/>
            </w:rPr>
          </w:pPr>
          <w:hyperlink w:anchor="_Toc10331900" w:history="1">
            <w:r w:rsidR="002D36C3" w:rsidRPr="00347E33">
              <w:rPr>
                <w:rStyle w:val="Hyperlink"/>
                <w:noProof/>
              </w:rPr>
              <w:t>1.3.3</w:t>
            </w:r>
            <w:r w:rsidR="002D36C3">
              <w:rPr>
                <w:rFonts w:asciiTheme="minorHAnsi" w:hAnsiTheme="minorHAnsi"/>
                <w:noProof/>
                <w:sz w:val="24"/>
                <w:szCs w:val="24"/>
                <w:lang w:eastAsia="en-US"/>
              </w:rPr>
              <w:tab/>
            </w:r>
            <w:r w:rsidR="002D36C3" w:rsidRPr="00347E33">
              <w:rPr>
                <w:rStyle w:val="Hyperlink"/>
                <w:noProof/>
              </w:rPr>
              <w:t>Barriers to Adoption</w:t>
            </w:r>
            <w:r w:rsidR="002D36C3">
              <w:rPr>
                <w:noProof/>
                <w:webHidden/>
              </w:rPr>
              <w:tab/>
            </w:r>
            <w:r w:rsidR="002D36C3">
              <w:rPr>
                <w:noProof/>
                <w:webHidden/>
              </w:rPr>
              <w:fldChar w:fldCharType="begin"/>
            </w:r>
            <w:r w:rsidR="002D36C3">
              <w:rPr>
                <w:noProof/>
                <w:webHidden/>
              </w:rPr>
              <w:instrText xml:space="preserve"> PAGEREF _Toc10331900 \h </w:instrText>
            </w:r>
            <w:r w:rsidR="002D36C3">
              <w:rPr>
                <w:noProof/>
                <w:webHidden/>
              </w:rPr>
            </w:r>
            <w:r w:rsidR="002D36C3">
              <w:rPr>
                <w:noProof/>
                <w:webHidden/>
              </w:rPr>
              <w:fldChar w:fldCharType="separate"/>
            </w:r>
            <w:r w:rsidR="00131589">
              <w:rPr>
                <w:noProof/>
                <w:webHidden/>
              </w:rPr>
              <w:t>13</w:t>
            </w:r>
            <w:r w:rsidR="002D36C3">
              <w:rPr>
                <w:noProof/>
                <w:webHidden/>
              </w:rPr>
              <w:fldChar w:fldCharType="end"/>
            </w:r>
          </w:hyperlink>
        </w:p>
        <w:p w14:paraId="20F7520A" w14:textId="049C6BBE" w:rsidR="002D36C3" w:rsidRDefault="005F0E84">
          <w:pPr>
            <w:pStyle w:val="TOC3"/>
            <w:tabs>
              <w:tab w:val="left" w:pos="1200"/>
              <w:tab w:val="right" w:leader="dot" w:pos="9350"/>
            </w:tabs>
            <w:rPr>
              <w:rFonts w:asciiTheme="minorHAnsi" w:hAnsiTheme="minorHAnsi"/>
              <w:noProof/>
              <w:sz w:val="24"/>
              <w:szCs w:val="24"/>
              <w:lang w:eastAsia="en-US"/>
            </w:rPr>
          </w:pPr>
          <w:hyperlink w:anchor="_Toc10331901" w:history="1">
            <w:r w:rsidR="002D36C3" w:rsidRPr="00347E33">
              <w:rPr>
                <w:rStyle w:val="Hyperlink"/>
                <w:noProof/>
              </w:rPr>
              <w:t>1.3.4</w:t>
            </w:r>
            <w:r w:rsidR="002D36C3">
              <w:rPr>
                <w:rFonts w:asciiTheme="minorHAnsi" w:hAnsiTheme="minorHAnsi"/>
                <w:noProof/>
                <w:sz w:val="24"/>
                <w:szCs w:val="24"/>
                <w:lang w:eastAsia="en-US"/>
              </w:rPr>
              <w:tab/>
            </w:r>
            <w:r w:rsidR="002D36C3" w:rsidRPr="00347E33">
              <w:rPr>
                <w:rStyle w:val="Hyperlink"/>
                <w:noProof/>
              </w:rPr>
              <w:t>Incentives for Adoption</w:t>
            </w:r>
            <w:r w:rsidR="002D36C3">
              <w:rPr>
                <w:noProof/>
                <w:webHidden/>
              </w:rPr>
              <w:tab/>
            </w:r>
            <w:r w:rsidR="002D36C3">
              <w:rPr>
                <w:noProof/>
                <w:webHidden/>
              </w:rPr>
              <w:fldChar w:fldCharType="begin"/>
            </w:r>
            <w:r w:rsidR="002D36C3">
              <w:rPr>
                <w:noProof/>
                <w:webHidden/>
              </w:rPr>
              <w:instrText xml:space="preserve"> PAGEREF _Toc10331901 \h </w:instrText>
            </w:r>
            <w:r w:rsidR="002D36C3">
              <w:rPr>
                <w:noProof/>
                <w:webHidden/>
              </w:rPr>
            </w:r>
            <w:r w:rsidR="002D36C3">
              <w:rPr>
                <w:noProof/>
                <w:webHidden/>
              </w:rPr>
              <w:fldChar w:fldCharType="separate"/>
            </w:r>
            <w:r w:rsidR="00131589">
              <w:rPr>
                <w:noProof/>
                <w:webHidden/>
              </w:rPr>
              <w:t>14</w:t>
            </w:r>
            <w:r w:rsidR="002D36C3">
              <w:rPr>
                <w:noProof/>
                <w:webHidden/>
              </w:rPr>
              <w:fldChar w:fldCharType="end"/>
            </w:r>
          </w:hyperlink>
        </w:p>
        <w:p w14:paraId="4B13196E" w14:textId="0415C30E" w:rsidR="002D36C3" w:rsidRDefault="005F0E84">
          <w:pPr>
            <w:pStyle w:val="TOC3"/>
            <w:tabs>
              <w:tab w:val="left" w:pos="1200"/>
              <w:tab w:val="right" w:leader="dot" w:pos="9350"/>
            </w:tabs>
            <w:rPr>
              <w:rFonts w:asciiTheme="minorHAnsi" w:hAnsiTheme="minorHAnsi"/>
              <w:noProof/>
              <w:sz w:val="24"/>
              <w:szCs w:val="24"/>
              <w:lang w:eastAsia="en-US"/>
            </w:rPr>
          </w:pPr>
          <w:hyperlink w:anchor="_Toc10331902" w:history="1">
            <w:r w:rsidR="002D36C3" w:rsidRPr="00347E33">
              <w:rPr>
                <w:rStyle w:val="Hyperlink"/>
                <w:noProof/>
              </w:rPr>
              <w:t>1.3.5</w:t>
            </w:r>
            <w:r w:rsidR="002D36C3">
              <w:rPr>
                <w:rFonts w:asciiTheme="minorHAnsi" w:hAnsiTheme="minorHAnsi"/>
                <w:noProof/>
                <w:sz w:val="24"/>
                <w:szCs w:val="24"/>
                <w:lang w:eastAsia="en-US"/>
              </w:rPr>
              <w:tab/>
            </w:r>
            <w:r w:rsidR="002D36C3" w:rsidRPr="00347E33">
              <w:rPr>
                <w:rStyle w:val="Hyperlink"/>
                <w:noProof/>
              </w:rPr>
              <w:t>Adoption Potential</w:t>
            </w:r>
            <w:r w:rsidR="002D36C3">
              <w:rPr>
                <w:noProof/>
                <w:webHidden/>
              </w:rPr>
              <w:tab/>
            </w:r>
            <w:r w:rsidR="002D36C3">
              <w:rPr>
                <w:noProof/>
                <w:webHidden/>
              </w:rPr>
              <w:fldChar w:fldCharType="begin"/>
            </w:r>
            <w:r w:rsidR="002D36C3">
              <w:rPr>
                <w:noProof/>
                <w:webHidden/>
              </w:rPr>
              <w:instrText xml:space="preserve"> PAGEREF _Toc10331902 \h </w:instrText>
            </w:r>
            <w:r w:rsidR="002D36C3">
              <w:rPr>
                <w:noProof/>
                <w:webHidden/>
              </w:rPr>
            </w:r>
            <w:r w:rsidR="002D36C3">
              <w:rPr>
                <w:noProof/>
                <w:webHidden/>
              </w:rPr>
              <w:fldChar w:fldCharType="separate"/>
            </w:r>
            <w:r w:rsidR="00131589">
              <w:rPr>
                <w:noProof/>
                <w:webHidden/>
              </w:rPr>
              <w:t>15</w:t>
            </w:r>
            <w:r w:rsidR="002D36C3">
              <w:rPr>
                <w:noProof/>
                <w:webHidden/>
              </w:rPr>
              <w:fldChar w:fldCharType="end"/>
            </w:r>
          </w:hyperlink>
        </w:p>
        <w:p w14:paraId="36C37BF6" w14:textId="660E0F04" w:rsidR="002D36C3" w:rsidRDefault="005F0E84">
          <w:pPr>
            <w:pStyle w:val="TOC2"/>
            <w:tabs>
              <w:tab w:val="left" w:pos="960"/>
              <w:tab w:val="right" w:leader="dot" w:pos="9350"/>
            </w:tabs>
            <w:rPr>
              <w:rFonts w:asciiTheme="minorHAnsi" w:hAnsiTheme="minorHAnsi"/>
              <w:noProof/>
              <w:sz w:val="24"/>
              <w:szCs w:val="24"/>
              <w:lang w:eastAsia="en-US"/>
            </w:rPr>
          </w:pPr>
          <w:hyperlink w:anchor="_Toc10331903" w:history="1">
            <w:r w:rsidR="002D36C3" w:rsidRPr="00347E33">
              <w:rPr>
                <w:rStyle w:val="Hyperlink"/>
                <w:noProof/>
              </w:rPr>
              <w:t>1.4.</w:t>
            </w:r>
            <w:r w:rsidR="002D36C3">
              <w:rPr>
                <w:rFonts w:asciiTheme="minorHAnsi" w:hAnsiTheme="minorHAnsi"/>
                <w:noProof/>
                <w:sz w:val="24"/>
                <w:szCs w:val="24"/>
                <w:lang w:eastAsia="en-US"/>
              </w:rPr>
              <w:tab/>
            </w:r>
            <w:r w:rsidR="002D36C3" w:rsidRPr="00347E33">
              <w:rPr>
                <w:rStyle w:val="Hyperlink"/>
                <w:noProof/>
              </w:rPr>
              <w:t>Advantages and disadvantages of Solar PV Utility-scale</w:t>
            </w:r>
            <w:r w:rsidR="002D36C3">
              <w:rPr>
                <w:noProof/>
                <w:webHidden/>
              </w:rPr>
              <w:tab/>
            </w:r>
            <w:r w:rsidR="002D36C3">
              <w:rPr>
                <w:noProof/>
                <w:webHidden/>
              </w:rPr>
              <w:fldChar w:fldCharType="begin"/>
            </w:r>
            <w:r w:rsidR="002D36C3">
              <w:rPr>
                <w:noProof/>
                <w:webHidden/>
              </w:rPr>
              <w:instrText xml:space="preserve"> PAGEREF _Toc10331903 \h </w:instrText>
            </w:r>
            <w:r w:rsidR="002D36C3">
              <w:rPr>
                <w:noProof/>
                <w:webHidden/>
              </w:rPr>
            </w:r>
            <w:r w:rsidR="002D36C3">
              <w:rPr>
                <w:noProof/>
                <w:webHidden/>
              </w:rPr>
              <w:fldChar w:fldCharType="separate"/>
            </w:r>
            <w:r w:rsidR="00131589">
              <w:rPr>
                <w:noProof/>
                <w:webHidden/>
              </w:rPr>
              <w:t>16</w:t>
            </w:r>
            <w:r w:rsidR="002D36C3">
              <w:rPr>
                <w:noProof/>
                <w:webHidden/>
              </w:rPr>
              <w:fldChar w:fldCharType="end"/>
            </w:r>
          </w:hyperlink>
        </w:p>
        <w:p w14:paraId="04774E88" w14:textId="2362C350" w:rsidR="002D36C3" w:rsidRDefault="005F0E84">
          <w:pPr>
            <w:pStyle w:val="TOC3"/>
            <w:tabs>
              <w:tab w:val="left" w:pos="1200"/>
              <w:tab w:val="right" w:leader="dot" w:pos="9350"/>
            </w:tabs>
            <w:rPr>
              <w:rFonts w:asciiTheme="minorHAnsi" w:hAnsiTheme="minorHAnsi"/>
              <w:noProof/>
              <w:sz w:val="24"/>
              <w:szCs w:val="24"/>
              <w:lang w:eastAsia="en-US"/>
            </w:rPr>
          </w:pPr>
          <w:hyperlink w:anchor="_Toc10331904" w:history="1">
            <w:r w:rsidR="002D36C3" w:rsidRPr="00347E33">
              <w:rPr>
                <w:rStyle w:val="Hyperlink"/>
                <w:noProof/>
              </w:rPr>
              <w:t>1.4.1</w:t>
            </w:r>
            <w:r w:rsidR="002D36C3">
              <w:rPr>
                <w:rFonts w:asciiTheme="minorHAnsi" w:hAnsiTheme="minorHAnsi"/>
                <w:noProof/>
                <w:sz w:val="24"/>
                <w:szCs w:val="24"/>
                <w:lang w:eastAsia="en-US"/>
              </w:rPr>
              <w:tab/>
            </w:r>
            <w:r w:rsidR="002D36C3" w:rsidRPr="00347E33">
              <w:rPr>
                <w:rStyle w:val="Hyperlink"/>
                <w:noProof/>
              </w:rPr>
              <w:t>Similar Solutions</w:t>
            </w:r>
            <w:r w:rsidR="002D36C3">
              <w:rPr>
                <w:noProof/>
                <w:webHidden/>
              </w:rPr>
              <w:tab/>
            </w:r>
            <w:r w:rsidR="002D36C3">
              <w:rPr>
                <w:noProof/>
                <w:webHidden/>
              </w:rPr>
              <w:fldChar w:fldCharType="begin"/>
            </w:r>
            <w:r w:rsidR="002D36C3">
              <w:rPr>
                <w:noProof/>
                <w:webHidden/>
              </w:rPr>
              <w:instrText xml:space="preserve"> PAGEREF _Toc10331904 \h </w:instrText>
            </w:r>
            <w:r w:rsidR="002D36C3">
              <w:rPr>
                <w:noProof/>
                <w:webHidden/>
              </w:rPr>
            </w:r>
            <w:r w:rsidR="002D36C3">
              <w:rPr>
                <w:noProof/>
                <w:webHidden/>
              </w:rPr>
              <w:fldChar w:fldCharType="separate"/>
            </w:r>
            <w:r w:rsidR="00131589">
              <w:rPr>
                <w:noProof/>
                <w:webHidden/>
              </w:rPr>
              <w:t>16</w:t>
            </w:r>
            <w:r w:rsidR="002D36C3">
              <w:rPr>
                <w:noProof/>
                <w:webHidden/>
              </w:rPr>
              <w:fldChar w:fldCharType="end"/>
            </w:r>
          </w:hyperlink>
        </w:p>
        <w:p w14:paraId="700C79CA" w14:textId="50DD5B36" w:rsidR="002D36C3" w:rsidRDefault="005F0E84">
          <w:pPr>
            <w:pStyle w:val="TOC3"/>
            <w:tabs>
              <w:tab w:val="left" w:pos="1200"/>
              <w:tab w:val="right" w:leader="dot" w:pos="9350"/>
            </w:tabs>
            <w:rPr>
              <w:rFonts w:asciiTheme="minorHAnsi" w:hAnsiTheme="minorHAnsi"/>
              <w:noProof/>
              <w:sz w:val="24"/>
              <w:szCs w:val="24"/>
              <w:lang w:eastAsia="en-US"/>
            </w:rPr>
          </w:pPr>
          <w:hyperlink w:anchor="_Toc10331905" w:history="1">
            <w:r w:rsidR="002D36C3" w:rsidRPr="00347E33">
              <w:rPr>
                <w:rStyle w:val="Hyperlink"/>
                <w:noProof/>
              </w:rPr>
              <w:t>1.4.2</w:t>
            </w:r>
            <w:r w:rsidR="002D36C3">
              <w:rPr>
                <w:rFonts w:asciiTheme="minorHAnsi" w:hAnsiTheme="minorHAnsi"/>
                <w:noProof/>
                <w:sz w:val="24"/>
                <w:szCs w:val="24"/>
                <w:lang w:eastAsia="en-US"/>
              </w:rPr>
              <w:tab/>
            </w:r>
            <w:r w:rsidR="002D36C3" w:rsidRPr="00347E33">
              <w:rPr>
                <w:rStyle w:val="Hyperlink"/>
                <w:noProof/>
              </w:rPr>
              <w:t>Arguments for Adoption</w:t>
            </w:r>
            <w:r w:rsidR="002D36C3">
              <w:rPr>
                <w:noProof/>
                <w:webHidden/>
              </w:rPr>
              <w:tab/>
            </w:r>
            <w:r w:rsidR="002D36C3">
              <w:rPr>
                <w:noProof/>
                <w:webHidden/>
              </w:rPr>
              <w:fldChar w:fldCharType="begin"/>
            </w:r>
            <w:r w:rsidR="002D36C3">
              <w:rPr>
                <w:noProof/>
                <w:webHidden/>
              </w:rPr>
              <w:instrText xml:space="preserve"> PAGEREF _Toc10331905 \h </w:instrText>
            </w:r>
            <w:r w:rsidR="002D36C3">
              <w:rPr>
                <w:noProof/>
                <w:webHidden/>
              </w:rPr>
            </w:r>
            <w:r w:rsidR="002D36C3">
              <w:rPr>
                <w:noProof/>
                <w:webHidden/>
              </w:rPr>
              <w:fldChar w:fldCharType="separate"/>
            </w:r>
            <w:r w:rsidR="00131589">
              <w:rPr>
                <w:noProof/>
                <w:webHidden/>
              </w:rPr>
              <w:t>17</w:t>
            </w:r>
            <w:r w:rsidR="002D36C3">
              <w:rPr>
                <w:noProof/>
                <w:webHidden/>
              </w:rPr>
              <w:fldChar w:fldCharType="end"/>
            </w:r>
          </w:hyperlink>
        </w:p>
        <w:p w14:paraId="29A9380A" w14:textId="5F1BFBE9" w:rsidR="002D36C3" w:rsidRDefault="005F0E84">
          <w:pPr>
            <w:pStyle w:val="TOC3"/>
            <w:tabs>
              <w:tab w:val="left" w:pos="1200"/>
              <w:tab w:val="right" w:leader="dot" w:pos="9350"/>
            </w:tabs>
            <w:rPr>
              <w:rFonts w:asciiTheme="minorHAnsi" w:hAnsiTheme="minorHAnsi"/>
              <w:noProof/>
              <w:sz w:val="24"/>
              <w:szCs w:val="24"/>
              <w:lang w:eastAsia="en-US"/>
            </w:rPr>
          </w:pPr>
          <w:hyperlink w:anchor="_Toc10331906" w:history="1">
            <w:r w:rsidR="002D36C3" w:rsidRPr="00347E33">
              <w:rPr>
                <w:rStyle w:val="Hyperlink"/>
                <w:noProof/>
              </w:rPr>
              <w:t>1.4.3</w:t>
            </w:r>
            <w:r w:rsidR="002D36C3">
              <w:rPr>
                <w:rFonts w:asciiTheme="minorHAnsi" w:hAnsiTheme="minorHAnsi"/>
                <w:noProof/>
                <w:sz w:val="24"/>
                <w:szCs w:val="24"/>
                <w:lang w:eastAsia="en-US"/>
              </w:rPr>
              <w:tab/>
            </w:r>
            <w:r w:rsidR="002D36C3" w:rsidRPr="00347E33">
              <w:rPr>
                <w:rStyle w:val="Hyperlink"/>
                <w:noProof/>
              </w:rPr>
              <w:t>Additional Benefits</w:t>
            </w:r>
            <w:r w:rsidR="002D36C3">
              <w:rPr>
                <w:noProof/>
                <w:webHidden/>
              </w:rPr>
              <w:tab/>
            </w:r>
            <w:r w:rsidR="002D36C3">
              <w:rPr>
                <w:noProof/>
                <w:webHidden/>
              </w:rPr>
              <w:fldChar w:fldCharType="begin"/>
            </w:r>
            <w:r w:rsidR="002D36C3">
              <w:rPr>
                <w:noProof/>
                <w:webHidden/>
              </w:rPr>
              <w:instrText xml:space="preserve"> PAGEREF _Toc10331906 \h </w:instrText>
            </w:r>
            <w:r w:rsidR="002D36C3">
              <w:rPr>
                <w:noProof/>
                <w:webHidden/>
              </w:rPr>
            </w:r>
            <w:r w:rsidR="002D36C3">
              <w:rPr>
                <w:noProof/>
                <w:webHidden/>
              </w:rPr>
              <w:fldChar w:fldCharType="separate"/>
            </w:r>
            <w:r w:rsidR="00131589">
              <w:rPr>
                <w:noProof/>
                <w:webHidden/>
              </w:rPr>
              <w:t>17</w:t>
            </w:r>
            <w:r w:rsidR="002D36C3">
              <w:rPr>
                <w:noProof/>
                <w:webHidden/>
              </w:rPr>
              <w:fldChar w:fldCharType="end"/>
            </w:r>
          </w:hyperlink>
        </w:p>
        <w:p w14:paraId="5BD7A2A2" w14:textId="31BDF555" w:rsidR="002D36C3" w:rsidRDefault="005F0E84">
          <w:pPr>
            <w:pStyle w:val="TOC3"/>
            <w:tabs>
              <w:tab w:val="left" w:pos="1200"/>
              <w:tab w:val="right" w:leader="dot" w:pos="9350"/>
            </w:tabs>
            <w:rPr>
              <w:rFonts w:asciiTheme="minorHAnsi" w:hAnsiTheme="minorHAnsi"/>
              <w:noProof/>
              <w:sz w:val="24"/>
              <w:szCs w:val="24"/>
              <w:lang w:eastAsia="en-US"/>
            </w:rPr>
          </w:pPr>
          <w:hyperlink w:anchor="_Toc10331907" w:history="1">
            <w:r w:rsidR="002D36C3" w:rsidRPr="00347E33">
              <w:rPr>
                <w:rStyle w:val="Hyperlink"/>
                <w:noProof/>
              </w:rPr>
              <w:t>1.4.4</w:t>
            </w:r>
            <w:r w:rsidR="002D36C3">
              <w:rPr>
                <w:rFonts w:asciiTheme="minorHAnsi" w:hAnsiTheme="minorHAnsi"/>
                <w:noProof/>
                <w:sz w:val="24"/>
                <w:szCs w:val="24"/>
                <w:lang w:eastAsia="en-US"/>
              </w:rPr>
              <w:tab/>
            </w:r>
            <w:r w:rsidR="002D36C3" w:rsidRPr="00347E33">
              <w:rPr>
                <w:rStyle w:val="Hyperlink"/>
                <w:noProof/>
              </w:rPr>
              <w:t>Drawbacks</w:t>
            </w:r>
            <w:r w:rsidR="002D36C3">
              <w:rPr>
                <w:noProof/>
                <w:webHidden/>
              </w:rPr>
              <w:tab/>
            </w:r>
            <w:r w:rsidR="002D36C3">
              <w:rPr>
                <w:noProof/>
                <w:webHidden/>
              </w:rPr>
              <w:fldChar w:fldCharType="begin"/>
            </w:r>
            <w:r w:rsidR="002D36C3">
              <w:rPr>
                <w:noProof/>
                <w:webHidden/>
              </w:rPr>
              <w:instrText xml:space="preserve"> PAGEREF _Toc10331907 \h </w:instrText>
            </w:r>
            <w:r w:rsidR="002D36C3">
              <w:rPr>
                <w:noProof/>
                <w:webHidden/>
              </w:rPr>
            </w:r>
            <w:r w:rsidR="002D36C3">
              <w:rPr>
                <w:noProof/>
                <w:webHidden/>
              </w:rPr>
              <w:fldChar w:fldCharType="separate"/>
            </w:r>
            <w:r w:rsidR="00131589">
              <w:rPr>
                <w:noProof/>
                <w:webHidden/>
              </w:rPr>
              <w:t>18</w:t>
            </w:r>
            <w:r w:rsidR="002D36C3">
              <w:rPr>
                <w:noProof/>
                <w:webHidden/>
              </w:rPr>
              <w:fldChar w:fldCharType="end"/>
            </w:r>
          </w:hyperlink>
        </w:p>
        <w:p w14:paraId="7A871A3B" w14:textId="579E756D" w:rsidR="002D36C3" w:rsidRDefault="005F0E84">
          <w:pPr>
            <w:pStyle w:val="TOC1"/>
            <w:tabs>
              <w:tab w:val="left" w:pos="440"/>
            </w:tabs>
            <w:rPr>
              <w:rFonts w:asciiTheme="minorHAnsi" w:hAnsiTheme="minorHAnsi"/>
              <w:noProof/>
              <w:sz w:val="24"/>
              <w:szCs w:val="24"/>
              <w:lang w:eastAsia="en-US"/>
            </w:rPr>
          </w:pPr>
          <w:hyperlink w:anchor="_Toc10331908" w:history="1">
            <w:r w:rsidR="002D36C3" w:rsidRPr="00347E33">
              <w:rPr>
                <w:rStyle w:val="Hyperlink"/>
                <w:noProof/>
              </w:rPr>
              <w:t>2</w:t>
            </w:r>
            <w:r w:rsidR="002D36C3">
              <w:rPr>
                <w:rFonts w:asciiTheme="minorHAnsi" w:hAnsiTheme="minorHAnsi"/>
                <w:noProof/>
                <w:sz w:val="24"/>
                <w:szCs w:val="24"/>
                <w:lang w:eastAsia="en-US"/>
              </w:rPr>
              <w:tab/>
            </w:r>
            <w:r w:rsidR="002D36C3" w:rsidRPr="00347E33">
              <w:rPr>
                <w:rStyle w:val="Hyperlink"/>
                <w:noProof/>
              </w:rPr>
              <w:t>Methodology</w:t>
            </w:r>
            <w:r w:rsidR="002D36C3">
              <w:rPr>
                <w:noProof/>
                <w:webHidden/>
              </w:rPr>
              <w:tab/>
            </w:r>
            <w:r w:rsidR="002D36C3">
              <w:rPr>
                <w:noProof/>
                <w:webHidden/>
              </w:rPr>
              <w:fldChar w:fldCharType="begin"/>
            </w:r>
            <w:r w:rsidR="002D36C3">
              <w:rPr>
                <w:noProof/>
                <w:webHidden/>
              </w:rPr>
              <w:instrText xml:space="preserve"> PAGEREF _Toc10331908 \h </w:instrText>
            </w:r>
            <w:r w:rsidR="002D36C3">
              <w:rPr>
                <w:noProof/>
                <w:webHidden/>
              </w:rPr>
            </w:r>
            <w:r w:rsidR="002D36C3">
              <w:rPr>
                <w:noProof/>
                <w:webHidden/>
              </w:rPr>
              <w:fldChar w:fldCharType="separate"/>
            </w:r>
            <w:r w:rsidR="00131589">
              <w:rPr>
                <w:noProof/>
                <w:webHidden/>
              </w:rPr>
              <w:t>23</w:t>
            </w:r>
            <w:r w:rsidR="002D36C3">
              <w:rPr>
                <w:noProof/>
                <w:webHidden/>
              </w:rPr>
              <w:fldChar w:fldCharType="end"/>
            </w:r>
          </w:hyperlink>
        </w:p>
        <w:p w14:paraId="2C065387" w14:textId="5FFD6202" w:rsidR="002D36C3" w:rsidRDefault="005F0E84">
          <w:pPr>
            <w:pStyle w:val="TOC2"/>
            <w:tabs>
              <w:tab w:val="left" w:pos="960"/>
              <w:tab w:val="right" w:leader="dot" w:pos="9350"/>
            </w:tabs>
            <w:rPr>
              <w:rFonts w:asciiTheme="minorHAnsi" w:hAnsiTheme="minorHAnsi"/>
              <w:noProof/>
              <w:sz w:val="24"/>
              <w:szCs w:val="24"/>
              <w:lang w:eastAsia="en-US"/>
            </w:rPr>
          </w:pPr>
          <w:hyperlink w:anchor="_Toc10331909" w:history="1">
            <w:r w:rsidR="002D36C3" w:rsidRPr="00347E33">
              <w:rPr>
                <w:rStyle w:val="Hyperlink"/>
                <w:noProof/>
              </w:rPr>
              <w:t>2.1</w:t>
            </w:r>
            <w:r w:rsidR="002D36C3">
              <w:rPr>
                <w:rFonts w:asciiTheme="minorHAnsi" w:hAnsiTheme="minorHAnsi"/>
                <w:noProof/>
                <w:sz w:val="24"/>
                <w:szCs w:val="24"/>
                <w:lang w:eastAsia="en-US"/>
              </w:rPr>
              <w:tab/>
            </w:r>
            <w:r w:rsidR="002D36C3" w:rsidRPr="00347E33">
              <w:rPr>
                <w:rStyle w:val="Hyperlink"/>
                <w:noProof/>
              </w:rPr>
              <w:t>Introduction</w:t>
            </w:r>
            <w:r w:rsidR="002D36C3">
              <w:rPr>
                <w:noProof/>
                <w:webHidden/>
              </w:rPr>
              <w:tab/>
            </w:r>
            <w:r w:rsidR="002D36C3">
              <w:rPr>
                <w:noProof/>
                <w:webHidden/>
              </w:rPr>
              <w:fldChar w:fldCharType="begin"/>
            </w:r>
            <w:r w:rsidR="002D36C3">
              <w:rPr>
                <w:noProof/>
                <w:webHidden/>
              </w:rPr>
              <w:instrText xml:space="preserve"> PAGEREF _Toc10331909 \h </w:instrText>
            </w:r>
            <w:r w:rsidR="002D36C3">
              <w:rPr>
                <w:noProof/>
                <w:webHidden/>
              </w:rPr>
            </w:r>
            <w:r w:rsidR="002D36C3">
              <w:rPr>
                <w:noProof/>
                <w:webHidden/>
              </w:rPr>
              <w:fldChar w:fldCharType="separate"/>
            </w:r>
            <w:r w:rsidR="00131589">
              <w:rPr>
                <w:noProof/>
                <w:webHidden/>
              </w:rPr>
              <w:t>23</w:t>
            </w:r>
            <w:r w:rsidR="002D36C3">
              <w:rPr>
                <w:noProof/>
                <w:webHidden/>
              </w:rPr>
              <w:fldChar w:fldCharType="end"/>
            </w:r>
          </w:hyperlink>
        </w:p>
        <w:p w14:paraId="09BF32E5" w14:textId="7296ACCA" w:rsidR="002D36C3" w:rsidRDefault="005F0E84">
          <w:pPr>
            <w:pStyle w:val="TOC2"/>
            <w:tabs>
              <w:tab w:val="left" w:pos="960"/>
              <w:tab w:val="right" w:leader="dot" w:pos="9350"/>
            </w:tabs>
            <w:rPr>
              <w:rFonts w:asciiTheme="minorHAnsi" w:hAnsiTheme="minorHAnsi"/>
              <w:noProof/>
              <w:sz w:val="24"/>
              <w:szCs w:val="24"/>
              <w:lang w:eastAsia="en-US"/>
            </w:rPr>
          </w:pPr>
          <w:hyperlink w:anchor="_Toc10331910" w:history="1">
            <w:r w:rsidR="002D36C3" w:rsidRPr="00347E33">
              <w:rPr>
                <w:rStyle w:val="Hyperlink"/>
                <w:noProof/>
              </w:rPr>
              <w:t>2.2</w:t>
            </w:r>
            <w:r w:rsidR="002D36C3">
              <w:rPr>
                <w:rFonts w:asciiTheme="minorHAnsi" w:hAnsiTheme="minorHAnsi"/>
                <w:noProof/>
                <w:sz w:val="24"/>
                <w:szCs w:val="24"/>
                <w:lang w:eastAsia="en-US"/>
              </w:rPr>
              <w:tab/>
            </w:r>
            <w:r w:rsidR="002D36C3" w:rsidRPr="00347E33">
              <w:rPr>
                <w:rStyle w:val="Hyperlink"/>
                <w:noProof/>
              </w:rPr>
              <w:t>Data Sources</w:t>
            </w:r>
            <w:r w:rsidR="002D36C3">
              <w:rPr>
                <w:noProof/>
                <w:webHidden/>
              </w:rPr>
              <w:tab/>
            </w:r>
            <w:r w:rsidR="002D36C3">
              <w:rPr>
                <w:noProof/>
                <w:webHidden/>
              </w:rPr>
              <w:fldChar w:fldCharType="begin"/>
            </w:r>
            <w:r w:rsidR="002D36C3">
              <w:rPr>
                <w:noProof/>
                <w:webHidden/>
              </w:rPr>
              <w:instrText xml:space="preserve"> PAGEREF _Toc10331910 \h </w:instrText>
            </w:r>
            <w:r w:rsidR="002D36C3">
              <w:rPr>
                <w:noProof/>
                <w:webHidden/>
              </w:rPr>
            </w:r>
            <w:r w:rsidR="002D36C3">
              <w:rPr>
                <w:noProof/>
                <w:webHidden/>
              </w:rPr>
              <w:fldChar w:fldCharType="separate"/>
            </w:r>
            <w:r w:rsidR="00131589">
              <w:rPr>
                <w:noProof/>
                <w:webHidden/>
              </w:rPr>
              <w:t>24</w:t>
            </w:r>
            <w:r w:rsidR="002D36C3">
              <w:rPr>
                <w:noProof/>
                <w:webHidden/>
              </w:rPr>
              <w:fldChar w:fldCharType="end"/>
            </w:r>
          </w:hyperlink>
        </w:p>
        <w:p w14:paraId="07102E4C" w14:textId="6E1AB7FB" w:rsidR="002D36C3" w:rsidRDefault="005F0E84">
          <w:pPr>
            <w:pStyle w:val="TOC2"/>
            <w:tabs>
              <w:tab w:val="left" w:pos="960"/>
              <w:tab w:val="right" w:leader="dot" w:pos="9350"/>
            </w:tabs>
            <w:rPr>
              <w:rFonts w:asciiTheme="minorHAnsi" w:hAnsiTheme="minorHAnsi"/>
              <w:noProof/>
              <w:sz w:val="24"/>
              <w:szCs w:val="24"/>
              <w:lang w:eastAsia="en-US"/>
            </w:rPr>
          </w:pPr>
          <w:hyperlink w:anchor="_Toc10331911" w:history="1">
            <w:r w:rsidR="002D36C3" w:rsidRPr="00347E33">
              <w:rPr>
                <w:rStyle w:val="Hyperlink"/>
                <w:noProof/>
              </w:rPr>
              <w:t>2.3</w:t>
            </w:r>
            <w:r w:rsidR="002D36C3">
              <w:rPr>
                <w:rFonts w:asciiTheme="minorHAnsi" w:hAnsiTheme="minorHAnsi"/>
                <w:noProof/>
                <w:sz w:val="24"/>
                <w:szCs w:val="24"/>
                <w:lang w:eastAsia="en-US"/>
              </w:rPr>
              <w:tab/>
            </w:r>
            <w:r w:rsidR="002D36C3" w:rsidRPr="00347E33">
              <w:rPr>
                <w:rStyle w:val="Hyperlink"/>
                <w:noProof/>
              </w:rPr>
              <w:t>Total Addressable Market</w:t>
            </w:r>
            <w:r w:rsidR="002D36C3">
              <w:rPr>
                <w:noProof/>
                <w:webHidden/>
              </w:rPr>
              <w:tab/>
            </w:r>
            <w:r w:rsidR="002D36C3">
              <w:rPr>
                <w:noProof/>
                <w:webHidden/>
              </w:rPr>
              <w:fldChar w:fldCharType="begin"/>
            </w:r>
            <w:r w:rsidR="002D36C3">
              <w:rPr>
                <w:noProof/>
                <w:webHidden/>
              </w:rPr>
              <w:instrText xml:space="preserve"> PAGEREF _Toc10331911 \h </w:instrText>
            </w:r>
            <w:r w:rsidR="002D36C3">
              <w:rPr>
                <w:noProof/>
                <w:webHidden/>
              </w:rPr>
            </w:r>
            <w:r w:rsidR="002D36C3">
              <w:rPr>
                <w:noProof/>
                <w:webHidden/>
              </w:rPr>
              <w:fldChar w:fldCharType="separate"/>
            </w:r>
            <w:r w:rsidR="00131589">
              <w:rPr>
                <w:noProof/>
                <w:webHidden/>
              </w:rPr>
              <w:t>25</w:t>
            </w:r>
            <w:r w:rsidR="002D36C3">
              <w:rPr>
                <w:noProof/>
                <w:webHidden/>
              </w:rPr>
              <w:fldChar w:fldCharType="end"/>
            </w:r>
          </w:hyperlink>
        </w:p>
        <w:p w14:paraId="12CCC871" w14:textId="3185E64E" w:rsidR="002D36C3" w:rsidRDefault="005F0E84">
          <w:pPr>
            <w:pStyle w:val="TOC2"/>
            <w:tabs>
              <w:tab w:val="left" w:pos="960"/>
              <w:tab w:val="right" w:leader="dot" w:pos="9350"/>
            </w:tabs>
            <w:rPr>
              <w:rFonts w:asciiTheme="minorHAnsi" w:hAnsiTheme="minorHAnsi"/>
              <w:noProof/>
              <w:sz w:val="24"/>
              <w:szCs w:val="24"/>
              <w:lang w:eastAsia="en-US"/>
            </w:rPr>
          </w:pPr>
          <w:hyperlink w:anchor="_Toc10331912" w:history="1">
            <w:r w:rsidR="002D36C3" w:rsidRPr="00347E33">
              <w:rPr>
                <w:rStyle w:val="Hyperlink"/>
                <w:noProof/>
              </w:rPr>
              <w:t>2.4</w:t>
            </w:r>
            <w:r w:rsidR="002D36C3">
              <w:rPr>
                <w:rFonts w:asciiTheme="minorHAnsi" w:hAnsiTheme="minorHAnsi"/>
                <w:noProof/>
                <w:sz w:val="24"/>
                <w:szCs w:val="24"/>
                <w:lang w:eastAsia="en-US"/>
              </w:rPr>
              <w:tab/>
            </w:r>
            <w:r w:rsidR="002D36C3" w:rsidRPr="00347E33">
              <w:rPr>
                <w:rStyle w:val="Hyperlink"/>
                <w:noProof/>
              </w:rPr>
              <w:t>Adoption Scenarios</w:t>
            </w:r>
            <w:r w:rsidR="002D36C3">
              <w:rPr>
                <w:noProof/>
                <w:webHidden/>
              </w:rPr>
              <w:tab/>
            </w:r>
            <w:r w:rsidR="002D36C3">
              <w:rPr>
                <w:noProof/>
                <w:webHidden/>
              </w:rPr>
              <w:fldChar w:fldCharType="begin"/>
            </w:r>
            <w:r w:rsidR="002D36C3">
              <w:rPr>
                <w:noProof/>
                <w:webHidden/>
              </w:rPr>
              <w:instrText xml:space="preserve"> PAGEREF _Toc10331912 \h </w:instrText>
            </w:r>
            <w:r w:rsidR="002D36C3">
              <w:rPr>
                <w:noProof/>
                <w:webHidden/>
              </w:rPr>
            </w:r>
            <w:r w:rsidR="002D36C3">
              <w:rPr>
                <w:noProof/>
                <w:webHidden/>
              </w:rPr>
              <w:fldChar w:fldCharType="separate"/>
            </w:r>
            <w:r w:rsidR="00131589">
              <w:rPr>
                <w:noProof/>
                <w:webHidden/>
              </w:rPr>
              <w:t>25</w:t>
            </w:r>
            <w:r w:rsidR="002D36C3">
              <w:rPr>
                <w:noProof/>
                <w:webHidden/>
              </w:rPr>
              <w:fldChar w:fldCharType="end"/>
            </w:r>
          </w:hyperlink>
        </w:p>
        <w:p w14:paraId="55325EAE" w14:textId="6F0760E7" w:rsidR="002D36C3" w:rsidRDefault="005F0E84">
          <w:pPr>
            <w:pStyle w:val="TOC3"/>
            <w:tabs>
              <w:tab w:val="left" w:pos="1200"/>
              <w:tab w:val="right" w:leader="dot" w:pos="9350"/>
            </w:tabs>
            <w:rPr>
              <w:rFonts w:asciiTheme="minorHAnsi" w:hAnsiTheme="minorHAnsi"/>
              <w:noProof/>
              <w:sz w:val="24"/>
              <w:szCs w:val="24"/>
              <w:lang w:eastAsia="en-US"/>
            </w:rPr>
          </w:pPr>
          <w:hyperlink w:anchor="_Toc10331913" w:history="1">
            <w:r w:rsidR="002D36C3" w:rsidRPr="00347E33">
              <w:rPr>
                <w:rStyle w:val="Hyperlink"/>
                <w:noProof/>
              </w:rPr>
              <w:t>2.4.1</w:t>
            </w:r>
            <w:r w:rsidR="002D36C3">
              <w:rPr>
                <w:rFonts w:asciiTheme="minorHAnsi" w:hAnsiTheme="minorHAnsi"/>
                <w:noProof/>
                <w:sz w:val="24"/>
                <w:szCs w:val="24"/>
                <w:lang w:eastAsia="en-US"/>
              </w:rPr>
              <w:tab/>
            </w:r>
            <w:r w:rsidR="002D36C3" w:rsidRPr="00347E33">
              <w:rPr>
                <w:rStyle w:val="Hyperlink"/>
                <w:noProof/>
              </w:rPr>
              <w:t>Reference Case / Current Adoption</w:t>
            </w:r>
            <w:r w:rsidR="002D36C3">
              <w:rPr>
                <w:noProof/>
                <w:webHidden/>
              </w:rPr>
              <w:tab/>
            </w:r>
            <w:r w:rsidR="002D36C3">
              <w:rPr>
                <w:noProof/>
                <w:webHidden/>
              </w:rPr>
              <w:fldChar w:fldCharType="begin"/>
            </w:r>
            <w:r w:rsidR="002D36C3">
              <w:rPr>
                <w:noProof/>
                <w:webHidden/>
              </w:rPr>
              <w:instrText xml:space="preserve"> PAGEREF _Toc10331913 \h </w:instrText>
            </w:r>
            <w:r w:rsidR="002D36C3">
              <w:rPr>
                <w:noProof/>
                <w:webHidden/>
              </w:rPr>
            </w:r>
            <w:r w:rsidR="002D36C3">
              <w:rPr>
                <w:noProof/>
                <w:webHidden/>
              </w:rPr>
              <w:fldChar w:fldCharType="separate"/>
            </w:r>
            <w:r w:rsidR="00131589">
              <w:rPr>
                <w:noProof/>
                <w:webHidden/>
              </w:rPr>
              <w:t>27</w:t>
            </w:r>
            <w:r w:rsidR="002D36C3">
              <w:rPr>
                <w:noProof/>
                <w:webHidden/>
              </w:rPr>
              <w:fldChar w:fldCharType="end"/>
            </w:r>
          </w:hyperlink>
        </w:p>
        <w:p w14:paraId="08672BEE" w14:textId="4BF4F794" w:rsidR="002D36C3" w:rsidRDefault="005F0E84">
          <w:pPr>
            <w:pStyle w:val="TOC3"/>
            <w:tabs>
              <w:tab w:val="left" w:pos="1200"/>
              <w:tab w:val="right" w:leader="dot" w:pos="9350"/>
            </w:tabs>
            <w:rPr>
              <w:rFonts w:asciiTheme="minorHAnsi" w:hAnsiTheme="minorHAnsi"/>
              <w:noProof/>
              <w:sz w:val="24"/>
              <w:szCs w:val="24"/>
              <w:lang w:eastAsia="en-US"/>
            </w:rPr>
          </w:pPr>
          <w:hyperlink w:anchor="_Toc10331914" w:history="1">
            <w:r w:rsidR="002D36C3" w:rsidRPr="00347E33">
              <w:rPr>
                <w:rStyle w:val="Hyperlink"/>
                <w:noProof/>
              </w:rPr>
              <w:t>2.4.2</w:t>
            </w:r>
            <w:r w:rsidR="002D36C3">
              <w:rPr>
                <w:rFonts w:asciiTheme="minorHAnsi" w:hAnsiTheme="minorHAnsi"/>
                <w:noProof/>
                <w:sz w:val="24"/>
                <w:szCs w:val="24"/>
                <w:lang w:eastAsia="en-US"/>
              </w:rPr>
              <w:tab/>
            </w:r>
            <w:r w:rsidR="002D36C3" w:rsidRPr="00347E33">
              <w:rPr>
                <w:rStyle w:val="Hyperlink"/>
                <w:noProof/>
              </w:rPr>
              <w:t>Project Drawdown Scenarios</w:t>
            </w:r>
            <w:r w:rsidR="002D36C3">
              <w:rPr>
                <w:noProof/>
                <w:webHidden/>
              </w:rPr>
              <w:tab/>
            </w:r>
            <w:r w:rsidR="002D36C3">
              <w:rPr>
                <w:noProof/>
                <w:webHidden/>
              </w:rPr>
              <w:fldChar w:fldCharType="begin"/>
            </w:r>
            <w:r w:rsidR="002D36C3">
              <w:rPr>
                <w:noProof/>
                <w:webHidden/>
              </w:rPr>
              <w:instrText xml:space="preserve"> PAGEREF _Toc10331914 \h </w:instrText>
            </w:r>
            <w:r w:rsidR="002D36C3">
              <w:rPr>
                <w:noProof/>
                <w:webHidden/>
              </w:rPr>
            </w:r>
            <w:r w:rsidR="002D36C3">
              <w:rPr>
                <w:noProof/>
                <w:webHidden/>
              </w:rPr>
              <w:fldChar w:fldCharType="separate"/>
            </w:r>
            <w:r w:rsidR="00131589">
              <w:rPr>
                <w:noProof/>
                <w:webHidden/>
              </w:rPr>
              <w:t>27</w:t>
            </w:r>
            <w:r w:rsidR="002D36C3">
              <w:rPr>
                <w:noProof/>
                <w:webHidden/>
              </w:rPr>
              <w:fldChar w:fldCharType="end"/>
            </w:r>
          </w:hyperlink>
        </w:p>
        <w:p w14:paraId="790D0075" w14:textId="6EA17C9C" w:rsidR="002D36C3" w:rsidRDefault="005F0E84">
          <w:pPr>
            <w:pStyle w:val="TOC2"/>
            <w:tabs>
              <w:tab w:val="left" w:pos="960"/>
              <w:tab w:val="right" w:leader="dot" w:pos="9350"/>
            </w:tabs>
            <w:rPr>
              <w:rFonts w:asciiTheme="minorHAnsi" w:hAnsiTheme="minorHAnsi"/>
              <w:noProof/>
              <w:sz w:val="24"/>
              <w:szCs w:val="24"/>
              <w:lang w:eastAsia="en-US"/>
            </w:rPr>
          </w:pPr>
          <w:hyperlink w:anchor="_Toc10331915" w:history="1">
            <w:r w:rsidR="002D36C3" w:rsidRPr="00347E33">
              <w:rPr>
                <w:rStyle w:val="Hyperlink"/>
                <w:noProof/>
              </w:rPr>
              <w:t>2.5</w:t>
            </w:r>
            <w:r w:rsidR="002D36C3">
              <w:rPr>
                <w:rFonts w:asciiTheme="minorHAnsi" w:hAnsiTheme="minorHAnsi"/>
                <w:noProof/>
                <w:sz w:val="24"/>
                <w:szCs w:val="24"/>
                <w:lang w:eastAsia="en-US"/>
              </w:rPr>
              <w:tab/>
            </w:r>
            <w:r w:rsidR="002D36C3" w:rsidRPr="00347E33">
              <w:rPr>
                <w:rStyle w:val="Hyperlink"/>
                <w:noProof/>
              </w:rPr>
              <w:t>Inputs</w:t>
            </w:r>
            <w:r w:rsidR="002D36C3">
              <w:rPr>
                <w:noProof/>
                <w:webHidden/>
              </w:rPr>
              <w:tab/>
            </w:r>
            <w:r w:rsidR="002D36C3">
              <w:rPr>
                <w:noProof/>
                <w:webHidden/>
              </w:rPr>
              <w:fldChar w:fldCharType="begin"/>
            </w:r>
            <w:r w:rsidR="002D36C3">
              <w:rPr>
                <w:noProof/>
                <w:webHidden/>
              </w:rPr>
              <w:instrText xml:space="preserve"> PAGEREF _Toc10331915 \h </w:instrText>
            </w:r>
            <w:r w:rsidR="002D36C3">
              <w:rPr>
                <w:noProof/>
                <w:webHidden/>
              </w:rPr>
            </w:r>
            <w:r w:rsidR="002D36C3">
              <w:rPr>
                <w:noProof/>
                <w:webHidden/>
              </w:rPr>
              <w:fldChar w:fldCharType="separate"/>
            </w:r>
            <w:r w:rsidR="00131589">
              <w:rPr>
                <w:noProof/>
                <w:webHidden/>
              </w:rPr>
              <w:t>28</w:t>
            </w:r>
            <w:r w:rsidR="002D36C3">
              <w:rPr>
                <w:noProof/>
                <w:webHidden/>
              </w:rPr>
              <w:fldChar w:fldCharType="end"/>
            </w:r>
          </w:hyperlink>
        </w:p>
        <w:p w14:paraId="02D76EC9" w14:textId="75C24D4A" w:rsidR="002D36C3" w:rsidRDefault="005F0E84">
          <w:pPr>
            <w:pStyle w:val="TOC3"/>
            <w:tabs>
              <w:tab w:val="left" w:pos="1200"/>
              <w:tab w:val="right" w:leader="dot" w:pos="9350"/>
            </w:tabs>
            <w:rPr>
              <w:rFonts w:asciiTheme="minorHAnsi" w:hAnsiTheme="minorHAnsi"/>
              <w:noProof/>
              <w:sz w:val="24"/>
              <w:szCs w:val="24"/>
              <w:lang w:eastAsia="en-US"/>
            </w:rPr>
          </w:pPr>
          <w:hyperlink w:anchor="_Toc10331916" w:history="1">
            <w:r w:rsidR="002D36C3" w:rsidRPr="00347E33">
              <w:rPr>
                <w:rStyle w:val="Hyperlink"/>
                <w:noProof/>
              </w:rPr>
              <w:t>2.5.1</w:t>
            </w:r>
            <w:r w:rsidR="002D36C3">
              <w:rPr>
                <w:rFonts w:asciiTheme="minorHAnsi" w:hAnsiTheme="minorHAnsi"/>
                <w:noProof/>
                <w:sz w:val="24"/>
                <w:szCs w:val="24"/>
                <w:lang w:eastAsia="en-US"/>
              </w:rPr>
              <w:tab/>
            </w:r>
            <w:r w:rsidR="002D36C3" w:rsidRPr="00347E33">
              <w:rPr>
                <w:rStyle w:val="Hyperlink"/>
                <w:noProof/>
              </w:rPr>
              <w:t>Climate Inputs</w:t>
            </w:r>
            <w:r w:rsidR="002D36C3">
              <w:rPr>
                <w:noProof/>
                <w:webHidden/>
              </w:rPr>
              <w:tab/>
            </w:r>
            <w:r w:rsidR="002D36C3">
              <w:rPr>
                <w:noProof/>
                <w:webHidden/>
              </w:rPr>
              <w:fldChar w:fldCharType="begin"/>
            </w:r>
            <w:r w:rsidR="002D36C3">
              <w:rPr>
                <w:noProof/>
                <w:webHidden/>
              </w:rPr>
              <w:instrText xml:space="preserve"> PAGEREF _Toc10331916 \h </w:instrText>
            </w:r>
            <w:r w:rsidR="002D36C3">
              <w:rPr>
                <w:noProof/>
                <w:webHidden/>
              </w:rPr>
            </w:r>
            <w:r w:rsidR="002D36C3">
              <w:rPr>
                <w:noProof/>
                <w:webHidden/>
              </w:rPr>
              <w:fldChar w:fldCharType="separate"/>
            </w:r>
            <w:r w:rsidR="00131589">
              <w:rPr>
                <w:noProof/>
                <w:webHidden/>
              </w:rPr>
              <w:t>28</w:t>
            </w:r>
            <w:r w:rsidR="002D36C3">
              <w:rPr>
                <w:noProof/>
                <w:webHidden/>
              </w:rPr>
              <w:fldChar w:fldCharType="end"/>
            </w:r>
          </w:hyperlink>
        </w:p>
        <w:p w14:paraId="1DC1C640" w14:textId="61FB09CE" w:rsidR="002D36C3" w:rsidRDefault="005F0E84">
          <w:pPr>
            <w:pStyle w:val="TOC3"/>
            <w:tabs>
              <w:tab w:val="left" w:pos="1200"/>
              <w:tab w:val="right" w:leader="dot" w:pos="9350"/>
            </w:tabs>
            <w:rPr>
              <w:rFonts w:asciiTheme="minorHAnsi" w:hAnsiTheme="minorHAnsi"/>
              <w:noProof/>
              <w:sz w:val="24"/>
              <w:szCs w:val="24"/>
              <w:lang w:eastAsia="en-US"/>
            </w:rPr>
          </w:pPr>
          <w:hyperlink w:anchor="_Toc10331917" w:history="1">
            <w:r w:rsidR="002D36C3" w:rsidRPr="00347E33">
              <w:rPr>
                <w:rStyle w:val="Hyperlink"/>
                <w:noProof/>
              </w:rPr>
              <w:t>2.5.2</w:t>
            </w:r>
            <w:r w:rsidR="002D36C3">
              <w:rPr>
                <w:rFonts w:asciiTheme="minorHAnsi" w:hAnsiTheme="minorHAnsi"/>
                <w:noProof/>
                <w:sz w:val="24"/>
                <w:szCs w:val="24"/>
                <w:lang w:eastAsia="en-US"/>
              </w:rPr>
              <w:tab/>
            </w:r>
            <w:r w:rsidR="002D36C3" w:rsidRPr="00347E33">
              <w:rPr>
                <w:rStyle w:val="Hyperlink"/>
                <w:noProof/>
              </w:rPr>
              <w:t>Financial Inputs</w:t>
            </w:r>
            <w:r w:rsidR="002D36C3">
              <w:rPr>
                <w:noProof/>
                <w:webHidden/>
              </w:rPr>
              <w:tab/>
            </w:r>
            <w:r w:rsidR="002D36C3">
              <w:rPr>
                <w:noProof/>
                <w:webHidden/>
              </w:rPr>
              <w:fldChar w:fldCharType="begin"/>
            </w:r>
            <w:r w:rsidR="002D36C3">
              <w:rPr>
                <w:noProof/>
                <w:webHidden/>
              </w:rPr>
              <w:instrText xml:space="preserve"> PAGEREF _Toc10331917 \h </w:instrText>
            </w:r>
            <w:r w:rsidR="002D36C3">
              <w:rPr>
                <w:noProof/>
                <w:webHidden/>
              </w:rPr>
            </w:r>
            <w:r w:rsidR="002D36C3">
              <w:rPr>
                <w:noProof/>
                <w:webHidden/>
              </w:rPr>
              <w:fldChar w:fldCharType="separate"/>
            </w:r>
            <w:r w:rsidR="00131589">
              <w:rPr>
                <w:noProof/>
                <w:webHidden/>
              </w:rPr>
              <w:t>29</w:t>
            </w:r>
            <w:r w:rsidR="002D36C3">
              <w:rPr>
                <w:noProof/>
                <w:webHidden/>
              </w:rPr>
              <w:fldChar w:fldCharType="end"/>
            </w:r>
          </w:hyperlink>
        </w:p>
        <w:p w14:paraId="2DDF45B1" w14:textId="72374618" w:rsidR="002D36C3" w:rsidRDefault="005F0E84">
          <w:pPr>
            <w:pStyle w:val="TOC3"/>
            <w:tabs>
              <w:tab w:val="left" w:pos="1200"/>
              <w:tab w:val="right" w:leader="dot" w:pos="9350"/>
            </w:tabs>
            <w:rPr>
              <w:rFonts w:asciiTheme="minorHAnsi" w:hAnsiTheme="minorHAnsi"/>
              <w:noProof/>
              <w:sz w:val="24"/>
              <w:szCs w:val="24"/>
              <w:lang w:eastAsia="en-US"/>
            </w:rPr>
          </w:pPr>
          <w:hyperlink w:anchor="_Toc10331918" w:history="1">
            <w:r w:rsidR="002D36C3" w:rsidRPr="00347E33">
              <w:rPr>
                <w:rStyle w:val="Hyperlink"/>
                <w:noProof/>
              </w:rPr>
              <w:t>2.5.3</w:t>
            </w:r>
            <w:r w:rsidR="002D36C3">
              <w:rPr>
                <w:rFonts w:asciiTheme="minorHAnsi" w:hAnsiTheme="minorHAnsi"/>
                <w:noProof/>
                <w:sz w:val="24"/>
                <w:szCs w:val="24"/>
                <w:lang w:eastAsia="en-US"/>
              </w:rPr>
              <w:tab/>
            </w:r>
            <w:r w:rsidR="002D36C3" w:rsidRPr="00347E33">
              <w:rPr>
                <w:rStyle w:val="Hyperlink"/>
                <w:noProof/>
              </w:rPr>
              <w:t>Technical Inputs</w:t>
            </w:r>
            <w:r w:rsidR="002D36C3">
              <w:rPr>
                <w:noProof/>
                <w:webHidden/>
              </w:rPr>
              <w:tab/>
            </w:r>
            <w:r w:rsidR="002D36C3">
              <w:rPr>
                <w:noProof/>
                <w:webHidden/>
              </w:rPr>
              <w:fldChar w:fldCharType="begin"/>
            </w:r>
            <w:r w:rsidR="002D36C3">
              <w:rPr>
                <w:noProof/>
                <w:webHidden/>
              </w:rPr>
              <w:instrText xml:space="preserve"> PAGEREF _Toc10331918 \h </w:instrText>
            </w:r>
            <w:r w:rsidR="002D36C3">
              <w:rPr>
                <w:noProof/>
                <w:webHidden/>
              </w:rPr>
            </w:r>
            <w:r w:rsidR="002D36C3">
              <w:rPr>
                <w:noProof/>
                <w:webHidden/>
              </w:rPr>
              <w:fldChar w:fldCharType="separate"/>
            </w:r>
            <w:r w:rsidR="00131589">
              <w:rPr>
                <w:noProof/>
                <w:webHidden/>
              </w:rPr>
              <w:t>32</w:t>
            </w:r>
            <w:r w:rsidR="002D36C3">
              <w:rPr>
                <w:noProof/>
                <w:webHidden/>
              </w:rPr>
              <w:fldChar w:fldCharType="end"/>
            </w:r>
          </w:hyperlink>
        </w:p>
        <w:p w14:paraId="698169DF" w14:textId="1BC1AA28" w:rsidR="002D36C3" w:rsidRDefault="005F0E84">
          <w:pPr>
            <w:pStyle w:val="TOC2"/>
            <w:tabs>
              <w:tab w:val="left" w:pos="960"/>
              <w:tab w:val="right" w:leader="dot" w:pos="9350"/>
            </w:tabs>
            <w:rPr>
              <w:rFonts w:asciiTheme="minorHAnsi" w:hAnsiTheme="minorHAnsi"/>
              <w:noProof/>
              <w:sz w:val="24"/>
              <w:szCs w:val="24"/>
              <w:lang w:eastAsia="en-US"/>
            </w:rPr>
          </w:pPr>
          <w:hyperlink w:anchor="_Toc10331919" w:history="1">
            <w:r w:rsidR="002D36C3" w:rsidRPr="00347E33">
              <w:rPr>
                <w:rStyle w:val="Hyperlink"/>
                <w:noProof/>
              </w:rPr>
              <w:t>2.6</w:t>
            </w:r>
            <w:r w:rsidR="002D36C3">
              <w:rPr>
                <w:rFonts w:asciiTheme="minorHAnsi" w:hAnsiTheme="minorHAnsi"/>
                <w:noProof/>
                <w:sz w:val="24"/>
                <w:szCs w:val="24"/>
                <w:lang w:eastAsia="en-US"/>
              </w:rPr>
              <w:tab/>
            </w:r>
            <w:r w:rsidR="002D36C3" w:rsidRPr="00347E33">
              <w:rPr>
                <w:rStyle w:val="Hyperlink"/>
                <w:noProof/>
              </w:rPr>
              <w:t>Assumptions</w:t>
            </w:r>
            <w:r w:rsidR="002D36C3">
              <w:rPr>
                <w:noProof/>
                <w:webHidden/>
              </w:rPr>
              <w:tab/>
            </w:r>
            <w:r w:rsidR="002D36C3">
              <w:rPr>
                <w:noProof/>
                <w:webHidden/>
              </w:rPr>
              <w:fldChar w:fldCharType="begin"/>
            </w:r>
            <w:r w:rsidR="002D36C3">
              <w:rPr>
                <w:noProof/>
                <w:webHidden/>
              </w:rPr>
              <w:instrText xml:space="preserve"> PAGEREF _Toc10331919 \h </w:instrText>
            </w:r>
            <w:r w:rsidR="002D36C3">
              <w:rPr>
                <w:noProof/>
                <w:webHidden/>
              </w:rPr>
            </w:r>
            <w:r w:rsidR="002D36C3">
              <w:rPr>
                <w:noProof/>
                <w:webHidden/>
              </w:rPr>
              <w:fldChar w:fldCharType="separate"/>
            </w:r>
            <w:r w:rsidR="00131589">
              <w:rPr>
                <w:noProof/>
                <w:webHidden/>
              </w:rPr>
              <w:t>32</w:t>
            </w:r>
            <w:r w:rsidR="002D36C3">
              <w:rPr>
                <w:noProof/>
                <w:webHidden/>
              </w:rPr>
              <w:fldChar w:fldCharType="end"/>
            </w:r>
          </w:hyperlink>
        </w:p>
        <w:p w14:paraId="24C7704C" w14:textId="56D6743A" w:rsidR="002D36C3" w:rsidRDefault="005F0E84">
          <w:pPr>
            <w:pStyle w:val="TOC2"/>
            <w:tabs>
              <w:tab w:val="left" w:pos="960"/>
              <w:tab w:val="right" w:leader="dot" w:pos="9350"/>
            </w:tabs>
            <w:rPr>
              <w:rFonts w:asciiTheme="minorHAnsi" w:hAnsiTheme="minorHAnsi"/>
              <w:noProof/>
              <w:sz w:val="24"/>
              <w:szCs w:val="24"/>
              <w:lang w:eastAsia="en-US"/>
            </w:rPr>
          </w:pPr>
          <w:hyperlink w:anchor="_Toc10331920" w:history="1">
            <w:r w:rsidR="002D36C3" w:rsidRPr="00347E33">
              <w:rPr>
                <w:rStyle w:val="Hyperlink"/>
                <w:noProof/>
              </w:rPr>
              <w:t>2.7</w:t>
            </w:r>
            <w:r w:rsidR="002D36C3">
              <w:rPr>
                <w:rFonts w:asciiTheme="minorHAnsi" w:hAnsiTheme="minorHAnsi"/>
                <w:noProof/>
                <w:sz w:val="24"/>
                <w:szCs w:val="24"/>
                <w:lang w:eastAsia="en-US"/>
              </w:rPr>
              <w:tab/>
            </w:r>
            <w:r w:rsidR="002D36C3" w:rsidRPr="00347E33">
              <w:rPr>
                <w:rStyle w:val="Hyperlink"/>
                <w:noProof/>
              </w:rPr>
              <w:t>Integration</w:t>
            </w:r>
            <w:r w:rsidR="002D36C3">
              <w:rPr>
                <w:noProof/>
                <w:webHidden/>
              </w:rPr>
              <w:tab/>
            </w:r>
            <w:r w:rsidR="002D36C3">
              <w:rPr>
                <w:noProof/>
                <w:webHidden/>
              </w:rPr>
              <w:fldChar w:fldCharType="begin"/>
            </w:r>
            <w:r w:rsidR="002D36C3">
              <w:rPr>
                <w:noProof/>
                <w:webHidden/>
              </w:rPr>
              <w:instrText xml:space="preserve"> PAGEREF _Toc10331920 \h </w:instrText>
            </w:r>
            <w:r w:rsidR="002D36C3">
              <w:rPr>
                <w:noProof/>
                <w:webHidden/>
              </w:rPr>
            </w:r>
            <w:r w:rsidR="002D36C3">
              <w:rPr>
                <w:noProof/>
                <w:webHidden/>
              </w:rPr>
              <w:fldChar w:fldCharType="separate"/>
            </w:r>
            <w:r w:rsidR="00131589">
              <w:rPr>
                <w:noProof/>
                <w:webHidden/>
              </w:rPr>
              <w:t>33</w:t>
            </w:r>
            <w:r w:rsidR="002D36C3">
              <w:rPr>
                <w:noProof/>
                <w:webHidden/>
              </w:rPr>
              <w:fldChar w:fldCharType="end"/>
            </w:r>
          </w:hyperlink>
        </w:p>
        <w:p w14:paraId="122BD6C0" w14:textId="3632C7E6" w:rsidR="002D36C3" w:rsidRDefault="005F0E84">
          <w:pPr>
            <w:pStyle w:val="TOC2"/>
            <w:tabs>
              <w:tab w:val="left" w:pos="960"/>
              <w:tab w:val="right" w:leader="dot" w:pos="9350"/>
            </w:tabs>
            <w:rPr>
              <w:rFonts w:asciiTheme="minorHAnsi" w:hAnsiTheme="minorHAnsi"/>
              <w:noProof/>
              <w:sz w:val="24"/>
              <w:szCs w:val="24"/>
              <w:lang w:eastAsia="en-US"/>
            </w:rPr>
          </w:pPr>
          <w:hyperlink w:anchor="_Toc10331921" w:history="1">
            <w:r w:rsidR="002D36C3" w:rsidRPr="00347E33">
              <w:rPr>
                <w:rStyle w:val="Hyperlink"/>
                <w:noProof/>
              </w:rPr>
              <w:t>2.8</w:t>
            </w:r>
            <w:r w:rsidR="002D36C3">
              <w:rPr>
                <w:rFonts w:asciiTheme="minorHAnsi" w:hAnsiTheme="minorHAnsi"/>
                <w:noProof/>
                <w:sz w:val="24"/>
                <w:szCs w:val="24"/>
                <w:lang w:eastAsia="en-US"/>
              </w:rPr>
              <w:tab/>
            </w:r>
            <w:r w:rsidR="002D36C3" w:rsidRPr="00347E33">
              <w:rPr>
                <w:rStyle w:val="Hyperlink"/>
                <w:noProof/>
              </w:rPr>
              <w:t>Limitations / Further Developments</w:t>
            </w:r>
            <w:r w:rsidR="002D36C3">
              <w:rPr>
                <w:noProof/>
                <w:webHidden/>
              </w:rPr>
              <w:tab/>
            </w:r>
            <w:r w:rsidR="002D36C3">
              <w:rPr>
                <w:noProof/>
                <w:webHidden/>
              </w:rPr>
              <w:fldChar w:fldCharType="begin"/>
            </w:r>
            <w:r w:rsidR="002D36C3">
              <w:rPr>
                <w:noProof/>
                <w:webHidden/>
              </w:rPr>
              <w:instrText xml:space="preserve"> PAGEREF _Toc10331921 \h </w:instrText>
            </w:r>
            <w:r w:rsidR="002D36C3">
              <w:rPr>
                <w:noProof/>
                <w:webHidden/>
              </w:rPr>
            </w:r>
            <w:r w:rsidR="002D36C3">
              <w:rPr>
                <w:noProof/>
                <w:webHidden/>
              </w:rPr>
              <w:fldChar w:fldCharType="separate"/>
            </w:r>
            <w:r w:rsidR="00131589">
              <w:rPr>
                <w:noProof/>
                <w:webHidden/>
              </w:rPr>
              <w:t>33</w:t>
            </w:r>
            <w:r w:rsidR="002D36C3">
              <w:rPr>
                <w:noProof/>
                <w:webHidden/>
              </w:rPr>
              <w:fldChar w:fldCharType="end"/>
            </w:r>
          </w:hyperlink>
        </w:p>
        <w:p w14:paraId="36DA2DA3" w14:textId="03B73067" w:rsidR="002D36C3" w:rsidRDefault="005F0E84">
          <w:pPr>
            <w:pStyle w:val="TOC1"/>
            <w:tabs>
              <w:tab w:val="left" w:pos="440"/>
            </w:tabs>
            <w:rPr>
              <w:rFonts w:asciiTheme="minorHAnsi" w:hAnsiTheme="minorHAnsi"/>
              <w:noProof/>
              <w:sz w:val="24"/>
              <w:szCs w:val="24"/>
              <w:lang w:eastAsia="en-US"/>
            </w:rPr>
          </w:pPr>
          <w:hyperlink w:anchor="_Toc10331922" w:history="1">
            <w:r w:rsidR="002D36C3" w:rsidRPr="00347E33">
              <w:rPr>
                <w:rStyle w:val="Hyperlink"/>
                <w:noProof/>
              </w:rPr>
              <w:t>3</w:t>
            </w:r>
            <w:r w:rsidR="002D36C3">
              <w:rPr>
                <w:rFonts w:asciiTheme="minorHAnsi" w:hAnsiTheme="minorHAnsi"/>
                <w:noProof/>
                <w:sz w:val="24"/>
                <w:szCs w:val="24"/>
                <w:lang w:eastAsia="en-US"/>
              </w:rPr>
              <w:tab/>
            </w:r>
            <w:r w:rsidR="002D36C3" w:rsidRPr="00347E33">
              <w:rPr>
                <w:rStyle w:val="Hyperlink"/>
                <w:noProof/>
              </w:rPr>
              <w:t>Results</w:t>
            </w:r>
            <w:r w:rsidR="002D36C3">
              <w:rPr>
                <w:noProof/>
                <w:webHidden/>
              </w:rPr>
              <w:tab/>
            </w:r>
            <w:r w:rsidR="002D36C3">
              <w:rPr>
                <w:noProof/>
                <w:webHidden/>
              </w:rPr>
              <w:fldChar w:fldCharType="begin"/>
            </w:r>
            <w:r w:rsidR="002D36C3">
              <w:rPr>
                <w:noProof/>
                <w:webHidden/>
              </w:rPr>
              <w:instrText xml:space="preserve"> PAGEREF _Toc10331922 \h </w:instrText>
            </w:r>
            <w:r w:rsidR="002D36C3">
              <w:rPr>
                <w:noProof/>
                <w:webHidden/>
              </w:rPr>
            </w:r>
            <w:r w:rsidR="002D36C3">
              <w:rPr>
                <w:noProof/>
                <w:webHidden/>
              </w:rPr>
              <w:fldChar w:fldCharType="separate"/>
            </w:r>
            <w:r w:rsidR="00131589">
              <w:rPr>
                <w:noProof/>
                <w:webHidden/>
              </w:rPr>
              <w:t>35</w:t>
            </w:r>
            <w:r w:rsidR="002D36C3">
              <w:rPr>
                <w:noProof/>
                <w:webHidden/>
              </w:rPr>
              <w:fldChar w:fldCharType="end"/>
            </w:r>
          </w:hyperlink>
        </w:p>
        <w:p w14:paraId="6B158E4B" w14:textId="1C7E586F" w:rsidR="002D36C3" w:rsidRDefault="005F0E84">
          <w:pPr>
            <w:pStyle w:val="TOC2"/>
            <w:tabs>
              <w:tab w:val="left" w:pos="960"/>
              <w:tab w:val="right" w:leader="dot" w:pos="9350"/>
            </w:tabs>
            <w:rPr>
              <w:rFonts w:asciiTheme="minorHAnsi" w:hAnsiTheme="minorHAnsi"/>
              <w:noProof/>
              <w:sz w:val="24"/>
              <w:szCs w:val="24"/>
              <w:lang w:eastAsia="en-US"/>
            </w:rPr>
          </w:pPr>
          <w:hyperlink w:anchor="_Toc10331923" w:history="1">
            <w:r w:rsidR="002D36C3" w:rsidRPr="00347E33">
              <w:rPr>
                <w:rStyle w:val="Hyperlink"/>
                <w:noProof/>
              </w:rPr>
              <w:t>3.1</w:t>
            </w:r>
            <w:r w:rsidR="002D36C3">
              <w:rPr>
                <w:rFonts w:asciiTheme="minorHAnsi" w:hAnsiTheme="minorHAnsi"/>
                <w:noProof/>
                <w:sz w:val="24"/>
                <w:szCs w:val="24"/>
                <w:lang w:eastAsia="en-US"/>
              </w:rPr>
              <w:tab/>
            </w:r>
            <w:r w:rsidR="002D36C3" w:rsidRPr="00347E33">
              <w:rPr>
                <w:rStyle w:val="Hyperlink"/>
                <w:noProof/>
              </w:rPr>
              <w:t>Adoption</w:t>
            </w:r>
            <w:r w:rsidR="002D36C3">
              <w:rPr>
                <w:noProof/>
                <w:webHidden/>
              </w:rPr>
              <w:tab/>
            </w:r>
            <w:r w:rsidR="002D36C3">
              <w:rPr>
                <w:noProof/>
                <w:webHidden/>
              </w:rPr>
              <w:fldChar w:fldCharType="begin"/>
            </w:r>
            <w:r w:rsidR="002D36C3">
              <w:rPr>
                <w:noProof/>
                <w:webHidden/>
              </w:rPr>
              <w:instrText xml:space="preserve"> PAGEREF _Toc10331923 \h </w:instrText>
            </w:r>
            <w:r w:rsidR="002D36C3">
              <w:rPr>
                <w:noProof/>
                <w:webHidden/>
              </w:rPr>
            </w:r>
            <w:r w:rsidR="002D36C3">
              <w:rPr>
                <w:noProof/>
                <w:webHidden/>
              </w:rPr>
              <w:fldChar w:fldCharType="separate"/>
            </w:r>
            <w:r w:rsidR="00131589">
              <w:rPr>
                <w:noProof/>
                <w:webHidden/>
              </w:rPr>
              <w:t>35</w:t>
            </w:r>
            <w:r w:rsidR="002D36C3">
              <w:rPr>
                <w:noProof/>
                <w:webHidden/>
              </w:rPr>
              <w:fldChar w:fldCharType="end"/>
            </w:r>
          </w:hyperlink>
        </w:p>
        <w:p w14:paraId="3500C969" w14:textId="1DB3821D" w:rsidR="002D36C3" w:rsidRDefault="005F0E84">
          <w:pPr>
            <w:pStyle w:val="TOC2"/>
            <w:tabs>
              <w:tab w:val="left" w:pos="960"/>
              <w:tab w:val="right" w:leader="dot" w:pos="9350"/>
            </w:tabs>
            <w:rPr>
              <w:rFonts w:asciiTheme="minorHAnsi" w:hAnsiTheme="minorHAnsi"/>
              <w:noProof/>
              <w:sz w:val="24"/>
              <w:szCs w:val="24"/>
              <w:lang w:eastAsia="en-US"/>
            </w:rPr>
          </w:pPr>
          <w:hyperlink w:anchor="_Toc10331924" w:history="1">
            <w:r w:rsidR="002D36C3" w:rsidRPr="00347E33">
              <w:rPr>
                <w:rStyle w:val="Hyperlink"/>
                <w:noProof/>
              </w:rPr>
              <w:t>3.2</w:t>
            </w:r>
            <w:r w:rsidR="002D36C3">
              <w:rPr>
                <w:rFonts w:asciiTheme="minorHAnsi" w:hAnsiTheme="minorHAnsi"/>
                <w:noProof/>
                <w:sz w:val="24"/>
                <w:szCs w:val="24"/>
                <w:lang w:eastAsia="en-US"/>
              </w:rPr>
              <w:tab/>
            </w:r>
            <w:r w:rsidR="002D36C3" w:rsidRPr="00347E33">
              <w:rPr>
                <w:rStyle w:val="Hyperlink"/>
                <w:noProof/>
              </w:rPr>
              <w:t>Climate Impacts</w:t>
            </w:r>
            <w:r w:rsidR="002D36C3">
              <w:rPr>
                <w:noProof/>
                <w:webHidden/>
              </w:rPr>
              <w:tab/>
            </w:r>
            <w:r w:rsidR="002D36C3">
              <w:rPr>
                <w:noProof/>
                <w:webHidden/>
              </w:rPr>
              <w:fldChar w:fldCharType="begin"/>
            </w:r>
            <w:r w:rsidR="002D36C3">
              <w:rPr>
                <w:noProof/>
                <w:webHidden/>
              </w:rPr>
              <w:instrText xml:space="preserve"> PAGEREF _Toc10331924 \h </w:instrText>
            </w:r>
            <w:r w:rsidR="002D36C3">
              <w:rPr>
                <w:noProof/>
                <w:webHidden/>
              </w:rPr>
            </w:r>
            <w:r w:rsidR="002D36C3">
              <w:rPr>
                <w:noProof/>
                <w:webHidden/>
              </w:rPr>
              <w:fldChar w:fldCharType="separate"/>
            </w:r>
            <w:r w:rsidR="00131589">
              <w:rPr>
                <w:noProof/>
                <w:webHidden/>
              </w:rPr>
              <w:t>36</w:t>
            </w:r>
            <w:r w:rsidR="002D36C3">
              <w:rPr>
                <w:noProof/>
                <w:webHidden/>
              </w:rPr>
              <w:fldChar w:fldCharType="end"/>
            </w:r>
          </w:hyperlink>
        </w:p>
        <w:p w14:paraId="7A3B85DA" w14:textId="4FAF6A3A" w:rsidR="002D36C3" w:rsidRDefault="005F0E84">
          <w:pPr>
            <w:pStyle w:val="TOC2"/>
            <w:tabs>
              <w:tab w:val="left" w:pos="960"/>
              <w:tab w:val="right" w:leader="dot" w:pos="9350"/>
            </w:tabs>
            <w:rPr>
              <w:rFonts w:asciiTheme="minorHAnsi" w:hAnsiTheme="minorHAnsi"/>
              <w:noProof/>
              <w:sz w:val="24"/>
              <w:szCs w:val="24"/>
              <w:lang w:eastAsia="en-US"/>
            </w:rPr>
          </w:pPr>
          <w:hyperlink w:anchor="_Toc10331925" w:history="1">
            <w:r w:rsidR="002D36C3" w:rsidRPr="00347E33">
              <w:rPr>
                <w:rStyle w:val="Hyperlink"/>
                <w:noProof/>
              </w:rPr>
              <w:t>3.3</w:t>
            </w:r>
            <w:r w:rsidR="002D36C3">
              <w:rPr>
                <w:rFonts w:asciiTheme="minorHAnsi" w:hAnsiTheme="minorHAnsi"/>
                <w:noProof/>
                <w:sz w:val="24"/>
                <w:szCs w:val="24"/>
                <w:lang w:eastAsia="en-US"/>
              </w:rPr>
              <w:tab/>
            </w:r>
            <w:r w:rsidR="002D36C3" w:rsidRPr="00347E33">
              <w:rPr>
                <w:rStyle w:val="Hyperlink"/>
                <w:noProof/>
              </w:rPr>
              <w:t>Financial Impacts</w:t>
            </w:r>
            <w:r w:rsidR="002D36C3">
              <w:rPr>
                <w:noProof/>
                <w:webHidden/>
              </w:rPr>
              <w:tab/>
            </w:r>
            <w:r w:rsidR="002D36C3">
              <w:rPr>
                <w:noProof/>
                <w:webHidden/>
              </w:rPr>
              <w:fldChar w:fldCharType="begin"/>
            </w:r>
            <w:r w:rsidR="002D36C3">
              <w:rPr>
                <w:noProof/>
                <w:webHidden/>
              </w:rPr>
              <w:instrText xml:space="preserve"> PAGEREF _Toc10331925 \h </w:instrText>
            </w:r>
            <w:r w:rsidR="002D36C3">
              <w:rPr>
                <w:noProof/>
                <w:webHidden/>
              </w:rPr>
            </w:r>
            <w:r w:rsidR="002D36C3">
              <w:rPr>
                <w:noProof/>
                <w:webHidden/>
              </w:rPr>
              <w:fldChar w:fldCharType="separate"/>
            </w:r>
            <w:r w:rsidR="00131589">
              <w:rPr>
                <w:noProof/>
                <w:webHidden/>
              </w:rPr>
              <w:t>38</w:t>
            </w:r>
            <w:r w:rsidR="002D36C3">
              <w:rPr>
                <w:noProof/>
                <w:webHidden/>
              </w:rPr>
              <w:fldChar w:fldCharType="end"/>
            </w:r>
          </w:hyperlink>
        </w:p>
        <w:p w14:paraId="588AEBB0" w14:textId="4BE59F0A" w:rsidR="002D36C3" w:rsidRDefault="005F0E84">
          <w:pPr>
            <w:pStyle w:val="TOC1"/>
            <w:tabs>
              <w:tab w:val="left" w:pos="440"/>
            </w:tabs>
            <w:rPr>
              <w:rFonts w:asciiTheme="minorHAnsi" w:hAnsiTheme="minorHAnsi"/>
              <w:noProof/>
              <w:sz w:val="24"/>
              <w:szCs w:val="24"/>
              <w:lang w:eastAsia="en-US"/>
            </w:rPr>
          </w:pPr>
          <w:hyperlink w:anchor="_Toc10331926" w:history="1">
            <w:r w:rsidR="002D36C3" w:rsidRPr="00347E33">
              <w:rPr>
                <w:rStyle w:val="Hyperlink"/>
                <w:noProof/>
              </w:rPr>
              <w:t>4</w:t>
            </w:r>
            <w:r w:rsidR="002D36C3">
              <w:rPr>
                <w:rFonts w:asciiTheme="minorHAnsi" w:hAnsiTheme="minorHAnsi"/>
                <w:noProof/>
                <w:sz w:val="24"/>
                <w:szCs w:val="24"/>
                <w:lang w:eastAsia="en-US"/>
              </w:rPr>
              <w:tab/>
            </w:r>
            <w:r w:rsidR="002D36C3" w:rsidRPr="00347E33">
              <w:rPr>
                <w:rStyle w:val="Hyperlink"/>
                <w:noProof/>
              </w:rPr>
              <w:t>Discussion</w:t>
            </w:r>
            <w:r w:rsidR="002D36C3">
              <w:rPr>
                <w:noProof/>
                <w:webHidden/>
              </w:rPr>
              <w:tab/>
            </w:r>
            <w:r w:rsidR="002D36C3">
              <w:rPr>
                <w:noProof/>
                <w:webHidden/>
              </w:rPr>
              <w:fldChar w:fldCharType="begin"/>
            </w:r>
            <w:r w:rsidR="002D36C3">
              <w:rPr>
                <w:noProof/>
                <w:webHidden/>
              </w:rPr>
              <w:instrText xml:space="preserve"> PAGEREF _Toc10331926 \h </w:instrText>
            </w:r>
            <w:r w:rsidR="002D36C3">
              <w:rPr>
                <w:noProof/>
                <w:webHidden/>
              </w:rPr>
            </w:r>
            <w:r w:rsidR="002D36C3">
              <w:rPr>
                <w:noProof/>
                <w:webHidden/>
              </w:rPr>
              <w:fldChar w:fldCharType="separate"/>
            </w:r>
            <w:r w:rsidR="00131589">
              <w:rPr>
                <w:noProof/>
                <w:webHidden/>
              </w:rPr>
              <w:t>40</w:t>
            </w:r>
            <w:r w:rsidR="002D36C3">
              <w:rPr>
                <w:noProof/>
                <w:webHidden/>
              </w:rPr>
              <w:fldChar w:fldCharType="end"/>
            </w:r>
          </w:hyperlink>
        </w:p>
        <w:p w14:paraId="6480A390" w14:textId="5285399B" w:rsidR="002D36C3" w:rsidRDefault="005F0E84">
          <w:pPr>
            <w:pStyle w:val="TOC2"/>
            <w:tabs>
              <w:tab w:val="left" w:pos="960"/>
              <w:tab w:val="right" w:leader="dot" w:pos="9350"/>
            </w:tabs>
            <w:rPr>
              <w:rFonts w:asciiTheme="minorHAnsi" w:hAnsiTheme="minorHAnsi"/>
              <w:noProof/>
              <w:sz w:val="24"/>
              <w:szCs w:val="24"/>
              <w:lang w:eastAsia="en-US"/>
            </w:rPr>
          </w:pPr>
          <w:hyperlink w:anchor="_Toc10331927" w:history="1">
            <w:r w:rsidR="002D36C3" w:rsidRPr="00347E33">
              <w:rPr>
                <w:rStyle w:val="Hyperlink"/>
                <w:noProof/>
              </w:rPr>
              <w:t>4.1</w:t>
            </w:r>
            <w:r w:rsidR="002D36C3">
              <w:rPr>
                <w:rFonts w:asciiTheme="minorHAnsi" w:hAnsiTheme="minorHAnsi"/>
                <w:noProof/>
                <w:sz w:val="24"/>
                <w:szCs w:val="24"/>
                <w:lang w:eastAsia="en-US"/>
              </w:rPr>
              <w:tab/>
            </w:r>
            <w:r w:rsidR="002D36C3" w:rsidRPr="00347E33">
              <w:rPr>
                <w:rStyle w:val="Hyperlink"/>
                <w:noProof/>
              </w:rPr>
              <w:t>Limitations</w:t>
            </w:r>
            <w:r w:rsidR="002D36C3">
              <w:rPr>
                <w:noProof/>
                <w:webHidden/>
              </w:rPr>
              <w:tab/>
            </w:r>
            <w:r w:rsidR="002D36C3">
              <w:rPr>
                <w:noProof/>
                <w:webHidden/>
              </w:rPr>
              <w:fldChar w:fldCharType="begin"/>
            </w:r>
            <w:r w:rsidR="002D36C3">
              <w:rPr>
                <w:noProof/>
                <w:webHidden/>
              </w:rPr>
              <w:instrText xml:space="preserve"> PAGEREF _Toc10331927 \h </w:instrText>
            </w:r>
            <w:r w:rsidR="002D36C3">
              <w:rPr>
                <w:noProof/>
                <w:webHidden/>
              </w:rPr>
            </w:r>
            <w:r w:rsidR="002D36C3">
              <w:rPr>
                <w:noProof/>
                <w:webHidden/>
              </w:rPr>
              <w:fldChar w:fldCharType="separate"/>
            </w:r>
            <w:r w:rsidR="00131589">
              <w:rPr>
                <w:noProof/>
                <w:webHidden/>
              </w:rPr>
              <w:t>40</w:t>
            </w:r>
            <w:r w:rsidR="002D36C3">
              <w:rPr>
                <w:noProof/>
                <w:webHidden/>
              </w:rPr>
              <w:fldChar w:fldCharType="end"/>
            </w:r>
          </w:hyperlink>
        </w:p>
        <w:p w14:paraId="360FC958" w14:textId="012A6D95" w:rsidR="002D36C3" w:rsidRDefault="005F0E84">
          <w:pPr>
            <w:pStyle w:val="TOC2"/>
            <w:tabs>
              <w:tab w:val="left" w:pos="960"/>
              <w:tab w:val="right" w:leader="dot" w:pos="9350"/>
            </w:tabs>
            <w:rPr>
              <w:rFonts w:asciiTheme="minorHAnsi" w:hAnsiTheme="minorHAnsi"/>
              <w:noProof/>
              <w:sz w:val="24"/>
              <w:szCs w:val="24"/>
              <w:lang w:eastAsia="en-US"/>
            </w:rPr>
          </w:pPr>
          <w:hyperlink w:anchor="_Toc10331928" w:history="1">
            <w:r w:rsidR="002D36C3" w:rsidRPr="00347E33">
              <w:rPr>
                <w:rStyle w:val="Hyperlink"/>
                <w:noProof/>
              </w:rPr>
              <w:t>4.2</w:t>
            </w:r>
            <w:r w:rsidR="002D36C3">
              <w:rPr>
                <w:rFonts w:asciiTheme="minorHAnsi" w:hAnsiTheme="minorHAnsi"/>
                <w:noProof/>
                <w:sz w:val="24"/>
                <w:szCs w:val="24"/>
                <w:lang w:eastAsia="en-US"/>
              </w:rPr>
              <w:tab/>
            </w:r>
            <w:r w:rsidR="002D36C3" w:rsidRPr="00347E33">
              <w:rPr>
                <w:rStyle w:val="Hyperlink"/>
                <w:noProof/>
              </w:rPr>
              <w:t>Benchmarks</w:t>
            </w:r>
            <w:r w:rsidR="002D36C3">
              <w:rPr>
                <w:noProof/>
                <w:webHidden/>
              </w:rPr>
              <w:tab/>
            </w:r>
            <w:r w:rsidR="002D36C3">
              <w:rPr>
                <w:noProof/>
                <w:webHidden/>
              </w:rPr>
              <w:fldChar w:fldCharType="begin"/>
            </w:r>
            <w:r w:rsidR="002D36C3">
              <w:rPr>
                <w:noProof/>
                <w:webHidden/>
              </w:rPr>
              <w:instrText xml:space="preserve"> PAGEREF _Toc10331928 \h </w:instrText>
            </w:r>
            <w:r w:rsidR="002D36C3">
              <w:rPr>
                <w:noProof/>
                <w:webHidden/>
              </w:rPr>
            </w:r>
            <w:r w:rsidR="002D36C3">
              <w:rPr>
                <w:noProof/>
                <w:webHidden/>
              </w:rPr>
              <w:fldChar w:fldCharType="separate"/>
            </w:r>
            <w:r w:rsidR="00131589">
              <w:rPr>
                <w:noProof/>
                <w:webHidden/>
              </w:rPr>
              <w:t>41</w:t>
            </w:r>
            <w:r w:rsidR="002D36C3">
              <w:rPr>
                <w:noProof/>
                <w:webHidden/>
              </w:rPr>
              <w:fldChar w:fldCharType="end"/>
            </w:r>
          </w:hyperlink>
        </w:p>
        <w:p w14:paraId="16ABFC61" w14:textId="37A50385" w:rsidR="002D36C3" w:rsidRDefault="005F0E84">
          <w:pPr>
            <w:pStyle w:val="TOC1"/>
            <w:tabs>
              <w:tab w:val="left" w:pos="440"/>
            </w:tabs>
            <w:rPr>
              <w:rFonts w:asciiTheme="minorHAnsi" w:hAnsiTheme="minorHAnsi"/>
              <w:noProof/>
              <w:sz w:val="24"/>
              <w:szCs w:val="24"/>
              <w:lang w:eastAsia="en-US"/>
            </w:rPr>
          </w:pPr>
          <w:hyperlink w:anchor="_Toc10331929" w:history="1">
            <w:r w:rsidR="002D36C3" w:rsidRPr="00347E33">
              <w:rPr>
                <w:rStyle w:val="Hyperlink"/>
                <w:noProof/>
              </w:rPr>
              <w:t>5</w:t>
            </w:r>
            <w:r w:rsidR="002D36C3">
              <w:rPr>
                <w:rFonts w:asciiTheme="minorHAnsi" w:hAnsiTheme="minorHAnsi"/>
                <w:noProof/>
                <w:sz w:val="24"/>
                <w:szCs w:val="24"/>
                <w:lang w:eastAsia="en-US"/>
              </w:rPr>
              <w:tab/>
            </w:r>
            <w:r w:rsidR="002D36C3" w:rsidRPr="00347E33">
              <w:rPr>
                <w:rStyle w:val="Hyperlink"/>
                <w:noProof/>
              </w:rPr>
              <w:t>References</w:t>
            </w:r>
            <w:r w:rsidR="002D36C3">
              <w:rPr>
                <w:noProof/>
                <w:webHidden/>
              </w:rPr>
              <w:tab/>
            </w:r>
            <w:r w:rsidR="002D36C3">
              <w:rPr>
                <w:noProof/>
                <w:webHidden/>
              </w:rPr>
              <w:fldChar w:fldCharType="begin"/>
            </w:r>
            <w:r w:rsidR="002D36C3">
              <w:rPr>
                <w:noProof/>
                <w:webHidden/>
              </w:rPr>
              <w:instrText xml:space="preserve"> PAGEREF _Toc10331929 \h </w:instrText>
            </w:r>
            <w:r w:rsidR="002D36C3">
              <w:rPr>
                <w:noProof/>
                <w:webHidden/>
              </w:rPr>
            </w:r>
            <w:r w:rsidR="002D36C3">
              <w:rPr>
                <w:noProof/>
                <w:webHidden/>
              </w:rPr>
              <w:fldChar w:fldCharType="separate"/>
            </w:r>
            <w:r w:rsidR="00131589">
              <w:rPr>
                <w:noProof/>
                <w:webHidden/>
              </w:rPr>
              <w:t>42</w:t>
            </w:r>
            <w:r w:rsidR="002D36C3">
              <w:rPr>
                <w:noProof/>
                <w:webHidden/>
              </w:rPr>
              <w:fldChar w:fldCharType="end"/>
            </w:r>
          </w:hyperlink>
        </w:p>
        <w:p w14:paraId="5EFDCCAF" w14:textId="13833DF1" w:rsidR="002D36C3" w:rsidRDefault="005F0E84">
          <w:pPr>
            <w:pStyle w:val="TOC1"/>
            <w:tabs>
              <w:tab w:val="left" w:pos="440"/>
            </w:tabs>
            <w:rPr>
              <w:rFonts w:asciiTheme="minorHAnsi" w:hAnsiTheme="minorHAnsi"/>
              <w:noProof/>
              <w:sz w:val="24"/>
              <w:szCs w:val="24"/>
              <w:lang w:eastAsia="en-US"/>
            </w:rPr>
          </w:pPr>
          <w:hyperlink w:anchor="_Toc10331930" w:history="1">
            <w:r w:rsidR="002D36C3" w:rsidRPr="00347E33">
              <w:rPr>
                <w:rStyle w:val="Hyperlink"/>
                <w:noProof/>
              </w:rPr>
              <w:t>6</w:t>
            </w:r>
            <w:r w:rsidR="002D36C3">
              <w:rPr>
                <w:rFonts w:asciiTheme="minorHAnsi" w:hAnsiTheme="minorHAnsi"/>
                <w:noProof/>
                <w:sz w:val="24"/>
                <w:szCs w:val="24"/>
                <w:lang w:eastAsia="en-US"/>
              </w:rPr>
              <w:tab/>
            </w:r>
            <w:r w:rsidR="002D36C3" w:rsidRPr="00347E33">
              <w:rPr>
                <w:rStyle w:val="Hyperlink"/>
                <w:noProof/>
              </w:rPr>
              <w:t>Glossary</w:t>
            </w:r>
            <w:r w:rsidR="002D36C3">
              <w:rPr>
                <w:noProof/>
                <w:webHidden/>
              </w:rPr>
              <w:tab/>
            </w:r>
            <w:r w:rsidR="002D36C3">
              <w:rPr>
                <w:noProof/>
                <w:webHidden/>
              </w:rPr>
              <w:fldChar w:fldCharType="begin"/>
            </w:r>
            <w:r w:rsidR="002D36C3">
              <w:rPr>
                <w:noProof/>
                <w:webHidden/>
              </w:rPr>
              <w:instrText xml:space="preserve"> PAGEREF _Toc10331930 \h </w:instrText>
            </w:r>
            <w:r w:rsidR="002D36C3">
              <w:rPr>
                <w:noProof/>
                <w:webHidden/>
              </w:rPr>
            </w:r>
            <w:r w:rsidR="002D36C3">
              <w:rPr>
                <w:noProof/>
                <w:webHidden/>
              </w:rPr>
              <w:fldChar w:fldCharType="separate"/>
            </w:r>
            <w:r w:rsidR="00131589">
              <w:rPr>
                <w:noProof/>
                <w:webHidden/>
              </w:rPr>
              <w:t>55</w:t>
            </w:r>
            <w:r w:rsidR="002D36C3">
              <w:rPr>
                <w:noProof/>
                <w:webHidden/>
              </w:rPr>
              <w:fldChar w:fldCharType="end"/>
            </w:r>
          </w:hyperlink>
        </w:p>
        <w:p w14:paraId="12C7DAF6" w14:textId="1188E8F0" w:rsidR="00640665" w:rsidRPr="00061636" w:rsidRDefault="00640665" w:rsidP="00EB247F">
          <w:pPr>
            <w:spacing w:after="0"/>
          </w:pPr>
          <w:r w:rsidRPr="00061636">
            <w:rPr>
              <w:b/>
              <w:bCs/>
              <w:noProof/>
            </w:rPr>
            <w:fldChar w:fldCharType="end"/>
          </w:r>
        </w:p>
      </w:sdtContent>
    </w:sdt>
    <w:p w14:paraId="1827C10C" w14:textId="3B09BCA5" w:rsidR="00F15AEE" w:rsidRPr="00061636" w:rsidRDefault="00F15AEE" w:rsidP="00EB247F">
      <w:pPr>
        <w:spacing w:after="0"/>
      </w:pPr>
      <w:r w:rsidRPr="00061636">
        <w:br w:type="page"/>
      </w:r>
    </w:p>
    <w:p w14:paraId="325B3971" w14:textId="4DF0A92F" w:rsidR="2D56E7D4" w:rsidRPr="00061636" w:rsidRDefault="00C23CAC" w:rsidP="004A2866">
      <w:pPr>
        <w:pStyle w:val="Heading1"/>
        <w:numPr>
          <w:ilvl w:val="0"/>
          <w:numId w:val="0"/>
        </w:numPr>
        <w:rPr>
          <w:noProof/>
        </w:rPr>
      </w:pPr>
      <w:bookmarkStart w:id="0" w:name="_Toc10331891"/>
      <w:r w:rsidRPr="00061636">
        <w:rPr>
          <w:noProof/>
        </w:rPr>
        <w:lastRenderedPageBreak/>
        <w:t xml:space="preserve">List of </w:t>
      </w:r>
      <w:r w:rsidR="2D56E7D4" w:rsidRPr="00061636">
        <w:rPr>
          <w:noProof/>
        </w:rPr>
        <w:t>Figures</w:t>
      </w:r>
      <w:bookmarkEnd w:id="0"/>
    </w:p>
    <w:p w14:paraId="11372430" w14:textId="7356D68D" w:rsidR="009A024A" w:rsidRDefault="00F15AEE" w:rsidP="009A024A">
      <w:pPr>
        <w:pStyle w:val="TableofFigures"/>
        <w:tabs>
          <w:tab w:val="right" w:leader="dot" w:pos="9350"/>
        </w:tabs>
        <w:spacing w:after="120"/>
        <w:rPr>
          <w:rFonts w:asciiTheme="minorHAnsi" w:hAnsiTheme="minorHAnsi"/>
          <w:noProof/>
          <w:sz w:val="24"/>
          <w:szCs w:val="24"/>
          <w:lang w:eastAsia="en-US"/>
        </w:rPr>
      </w:pPr>
      <w:r w:rsidRPr="00C24412">
        <w:fldChar w:fldCharType="begin"/>
      </w:r>
      <w:r w:rsidRPr="00C24412">
        <w:instrText xml:space="preserve"> TOC \h \z \c "Figure" </w:instrText>
      </w:r>
      <w:r w:rsidRPr="00C24412">
        <w:fldChar w:fldCharType="separate"/>
      </w:r>
      <w:hyperlink w:anchor="_Toc23606358" w:history="1">
        <w:r w:rsidR="009A024A" w:rsidRPr="00AE507A">
          <w:rPr>
            <w:rStyle w:val="Hyperlink"/>
            <w:noProof/>
          </w:rPr>
          <w:t>Figure 1.1 - Global Cumulative Installed Solar PV capacity  (Source: IRENA 2018)</w:t>
        </w:r>
        <w:r w:rsidR="009A024A">
          <w:rPr>
            <w:noProof/>
            <w:webHidden/>
          </w:rPr>
          <w:tab/>
        </w:r>
        <w:r w:rsidR="009A024A">
          <w:rPr>
            <w:noProof/>
            <w:webHidden/>
          </w:rPr>
          <w:fldChar w:fldCharType="begin"/>
        </w:r>
        <w:r w:rsidR="009A024A">
          <w:rPr>
            <w:noProof/>
            <w:webHidden/>
          </w:rPr>
          <w:instrText xml:space="preserve"> PAGEREF _Toc23606358 \h </w:instrText>
        </w:r>
        <w:r w:rsidR="009A024A">
          <w:rPr>
            <w:noProof/>
            <w:webHidden/>
          </w:rPr>
        </w:r>
        <w:r w:rsidR="009A024A">
          <w:rPr>
            <w:noProof/>
            <w:webHidden/>
          </w:rPr>
          <w:fldChar w:fldCharType="separate"/>
        </w:r>
        <w:r w:rsidR="00131589">
          <w:rPr>
            <w:noProof/>
            <w:webHidden/>
          </w:rPr>
          <w:t>12</w:t>
        </w:r>
        <w:r w:rsidR="009A024A">
          <w:rPr>
            <w:noProof/>
            <w:webHidden/>
          </w:rPr>
          <w:fldChar w:fldCharType="end"/>
        </w:r>
      </w:hyperlink>
    </w:p>
    <w:p w14:paraId="0B74055B" w14:textId="58483BCD" w:rsidR="009A024A" w:rsidRDefault="005F0E84" w:rsidP="009A024A">
      <w:pPr>
        <w:pStyle w:val="TableofFigures"/>
        <w:tabs>
          <w:tab w:val="right" w:leader="dot" w:pos="9350"/>
        </w:tabs>
        <w:spacing w:after="120"/>
        <w:rPr>
          <w:rFonts w:asciiTheme="minorHAnsi" w:hAnsiTheme="minorHAnsi"/>
          <w:noProof/>
          <w:sz w:val="24"/>
          <w:szCs w:val="24"/>
          <w:lang w:eastAsia="en-US"/>
        </w:rPr>
      </w:pPr>
      <w:hyperlink w:anchor="_Toc23606359" w:history="1">
        <w:r w:rsidR="009A024A" w:rsidRPr="00AE507A">
          <w:rPr>
            <w:rStyle w:val="Hyperlink"/>
            <w:noProof/>
          </w:rPr>
          <w:t>Figure 1.2 - EROI (%) of PV electricity compared to  oil- and coal-fired thermal electricity (Adapted from Raugei et al., 2012)</w:t>
        </w:r>
        <w:r w:rsidR="009A024A">
          <w:rPr>
            <w:noProof/>
            <w:webHidden/>
          </w:rPr>
          <w:tab/>
        </w:r>
        <w:r w:rsidR="009A024A">
          <w:rPr>
            <w:noProof/>
            <w:webHidden/>
          </w:rPr>
          <w:fldChar w:fldCharType="begin"/>
        </w:r>
        <w:r w:rsidR="009A024A">
          <w:rPr>
            <w:noProof/>
            <w:webHidden/>
          </w:rPr>
          <w:instrText xml:space="preserve"> PAGEREF _Toc23606359 \h </w:instrText>
        </w:r>
        <w:r w:rsidR="009A024A">
          <w:rPr>
            <w:noProof/>
            <w:webHidden/>
          </w:rPr>
        </w:r>
        <w:r w:rsidR="009A024A">
          <w:rPr>
            <w:noProof/>
            <w:webHidden/>
          </w:rPr>
          <w:fldChar w:fldCharType="separate"/>
        </w:r>
        <w:r w:rsidR="00131589">
          <w:rPr>
            <w:noProof/>
            <w:webHidden/>
          </w:rPr>
          <w:t>20</w:t>
        </w:r>
        <w:r w:rsidR="009A024A">
          <w:rPr>
            <w:noProof/>
            <w:webHidden/>
          </w:rPr>
          <w:fldChar w:fldCharType="end"/>
        </w:r>
      </w:hyperlink>
    </w:p>
    <w:p w14:paraId="7CFE2535" w14:textId="1B9EC312" w:rsidR="009A024A" w:rsidRDefault="005F0E84" w:rsidP="009A024A">
      <w:pPr>
        <w:pStyle w:val="TableofFigures"/>
        <w:tabs>
          <w:tab w:val="right" w:leader="dot" w:pos="9350"/>
        </w:tabs>
        <w:spacing w:after="120"/>
        <w:rPr>
          <w:rFonts w:asciiTheme="minorHAnsi" w:hAnsiTheme="minorHAnsi"/>
          <w:noProof/>
          <w:sz w:val="24"/>
          <w:szCs w:val="24"/>
          <w:lang w:eastAsia="en-US"/>
        </w:rPr>
      </w:pPr>
      <w:hyperlink w:anchor="_Toc23606360" w:history="1">
        <w:r w:rsidR="009A024A" w:rsidRPr="00AE507A">
          <w:rPr>
            <w:rStyle w:val="Hyperlink"/>
            <w:noProof/>
          </w:rPr>
          <w:t>Figure 3.1 World Annual Adoption 2015-2060</w:t>
        </w:r>
        <w:r w:rsidR="009A024A">
          <w:rPr>
            <w:noProof/>
            <w:webHidden/>
          </w:rPr>
          <w:tab/>
        </w:r>
        <w:r w:rsidR="009A024A">
          <w:rPr>
            <w:noProof/>
            <w:webHidden/>
          </w:rPr>
          <w:fldChar w:fldCharType="begin"/>
        </w:r>
        <w:r w:rsidR="009A024A">
          <w:rPr>
            <w:noProof/>
            <w:webHidden/>
          </w:rPr>
          <w:instrText xml:space="preserve"> PAGEREF _Toc23606360 \h </w:instrText>
        </w:r>
        <w:r w:rsidR="009A024A">
          <w:rPr>
            <w:noProof/>
            <w:webHidden/>
          </w:rPr>
        </w:r>
        <w:r w:rsidR="009A024A">
          <w:rPr>
            <w:noProof/>
            <w:webHidden/>
          </w:rPr>
          <w:fldChar w:fldCharType="separate"/>
        </w:r>
        <w:r w:rsidR="00131589">
          <w:rPr>
            <w:noProof/>
            <w:webHidden/>
          </w:rPr>
          <w:t>36</w:t>
        </w:r>
        <w:r w:rsidR="009A024A">
          <w:rPr>
            <w:noProof/>
            <w:webHidden/>
          </w:rPr>
          <w:fldChar w:fldCharType="end"/>
        </w:r>
      </w:hyperlink>
    </w:p>
    <w:p w14:paraId="3CE66873" w14:textId="1FF3BFC0" w:rsidR="009A024A" w:rsidRDefault="005F0E84" w:rsidP="009A024A">
      <w:pPr>
        <w:pStyle w:val="TableofFigures"/>
        <w:tabs>
          <w:tab w:val="right" w:leader="dot" w:pos="9350"/>
        </w:tabs>
        <w:spacing w:after="120"/>
        <w:rPr>
          <w:rFonts w:asciiTheme="minorHAnsi" w:hAnsiTheme="minorHAnsi"/>
          <w:noProof/>
          <w:sz w:val="24"/>
          <w:szCs w:val="24"/>
          <w:lang w:eastAsia="en-US"/>
        </w:rPr>
      </w:pPr>
      <w:hyperlink w:anchor="_Toc23606361" w:history="1">
        <w:r w:rsidR="009A024A" w:rsidRPr="00AE507A">
          <w:rPr>
            <w:rStyle w:val="Hyperlink"/>
            <w:noProof/>
          </w:rPr>
          <w:t>Figure 3.2 World Annual</w:t>
        </w:r>
        <w:r w:rsidR="009A024A" w:rsidRPr="00AE507A">
          <w:rPr>
            <w:rStyle w:val="Hyperlink"/>
            <w:noProof/>
            <w:vertAlign w:val="subscript"/>
          </w:rPr>
          <w:t xml:space="preserve"> </w:t>
        </w:r>
        <w:r w:rsidR="009A024A" w:rsidRPr="00AE507A">
          <w:rPr>
            <w:rStyle w:val="Hyperlink"/>
            <w:noProof/>
          </w:rPr>
          <w:t>Greenhouse Gas Emissions Reduction 2015-2060</w:t>
        </w:r>
        <w:r w:rsidR="009A024A">
          <w:rPr>
            <w:noProof/>
            <w:webHidden/>
          </w:rPr>
          <w:tab/>
        </w:r>
        <w:r w:rsidR="009A024A">
          <w:rPr>
            <w:noProof/>
            <w:webHidden/>
          </w:rPr>
          <w:fldChar w:fldCharType="begin"/>
        </w:r>
        <w:r w:rsidR="009A024A">
          <w:rPr>
            <w:noProof/>
            <w:webHidden/>
          </w:rPr>
          <w:instrText xml:space="preserve"> PAGEREF _Toc23606361 \h </w:instrText>
        </w:r>
        <w:r w:rsidR="009A024A">
          <w:rPr>
            <w:noProof/>
            <w:webHidden/>
          </w:rPr>
        </w:r>
        <w:r w:rsidR="009A024A">
          <w:rPr>
            <w:noProof/>
            <w:webHidden/>
          </w:rPr>
          <w:fldChar w:fldCharType="separate"/>
        </w:r>
        <w:r w:rsidR="00131589">
          <w:rPr>
            <w:noProof/>
            <w:webHidden/>
          </w:rPr>
          <w:t>38</w:t>
        </w:r>
        <w:r w:rsidR="009A024A">
          <w:rPr>
            <w:noProof/>
            <w:webHidden/>
          </w:rPr>
          <w:fldChar w:fldCharType="end"/>
        </w:r>
      </w:hyperlink>
    </w:p>
    <w:p w14:paraId="5AD133BD" w14:textId="3E0CEEEF" w:rsidR="00640665" w:rsidRPr="00061636" w:rsidRDefault="00F15AEE" w:rsidP="009A024A">
      <w:r w:rsidRPr="00C24412">
        <w:fldChar w:fldCharType="end"/>
      </w:r>
    </w:p>
    <w:p w14:paraId="6055DED9" w14:textId="24973E3A" w:rsidR="006A4A08" w:rsidRPr="00061636" w:rsidRDefault="00C23CAC" w:rsidP="004A2866">
      <w:pPr>
        <w:pStyle w:val="Heading1"/>
        <w:numPr>
          <w:ilvl w:val="0"/>
          <w:numId w:val="0"/>
        </w:numPr>
      </w:pPr>
      <w:bookmarkStart w:id="1" w:name="_Toc10331892"/>
      <w:r w:rsidRPr="00061636">
        <w:t xml:space="preserve">List of </w:t>
      </w:r>
      <w:r w:rsidR="2D56E7D4" w:rsidRPr="00061636">
        <w:t>Tables</w:t>
      </w:r>
      <w:bookmarkEnd w:id="1"/>
    </w:p>
    <w:p w14:paraId="7F925A3C" w14:textId="2F466ECD" w:rsidR="00F025BB" w:rsidRDefault="006A4A08" w:rsidP="009A024A">
      <w:pPr>
        <w:pStyle w:val="TableofFigures"/>
        <w:tabs>
          <w:tab w:val="right" w:leader="dot" w:pos="9350"/>
        </w:tabs>
        <w:spacing w:after="120"/>
        <w:rPr>
          <w:rFonts w:asciiTheme="minorHAnsi" w:hAnsiTheme="minorHAnsi"/>
          <w:noProof/>
          <w:sz w:val="24"/>
          <w:szCs w:val="24"/>
          <w:lang w:eastAsia="en-US"/>
        </w:rPr>
      </w:pPr>
      <w:r w:rsidRPr="00061636">
        <w:fldChar w:fldCharType="begin"/>
      </w:r>
      <w:r w:rsidRPr="00061636">
        <w:instrText xml:space="preserve"> TOC \h \z \c "Table" </w:instrText>
      </w:r>
      <w:r w:rsidRPr="00061636">
        <w:fldChar w:fldCharType="separate"/>
      </w:r>
      <w:hyperlink w:anchor="_Toc534461006" w:history="1">
        <w:r w:rsidR="00F025BB" w:rsidRPr="00115679">
          <w:rPr>
            <w:rStyle w:val="Hyperlink"/>
            <w:noProof/>
          </w:rPr>
          <w:t>Table 1.1 - Conventional versus SPV generation : some key impacts</w:t>
        </w:r>
        <w:r w:rsidR="00F025BB">
          <w:rPr>
            <w:noProof/>
            <w:webHidden/>
          </w:rPr>
          <w:tab/>
        </w:r>
        <w:r w:rsidR="00F025BB">
          <w:rPr>
            <w:noProof/>
            <w:webHidden/>
          </w:rPr>
          <w:fldChar w:fldCharType="begin"/>
        </w:r>
        <w:r w:rsidR="00F025BB">
          <w:rPr>
            <w:noProof/>
            <w:webHidden/>
          </w:rPr>
          <w:instrText xml:space="preserve"> PAGEREF _Toc534461006 \h </w:instrText>
        </w:r>
        <w:r w:rsidR="00F025BB">
          <w:rPr>
            <w:noProof/>
            <w:webHidden/>
          </w:rPr>
        </w:r>
        <w:r w:rsidR="00F025BB">
          <w:rPr>
            <w:noProof/>
            <w:webHidden/>
          </w:rPr>
          <w:fldChar w:fldCharType="separate"/>
        </w:r>
        <w:r w:rsidR="00131589">
          <w:rPr>
            <w:noProof/>
            <w:webHidden/>
          </w:rPr>
          <w:t>21</w:t>
        </w:r>
        <w:r w:rsidR="00F025BB">
          <w:rPr>
            <w:noProof/>
            <w:webHidden/>
          </w:rPr>
          <w:fldChar w:fldCharType="end"/>
        </w:r>
      </w:hyperlink>
    </w:p>
    <w:p w14:paraId="2C9CB2A0" w14:textId="1DF93AD2" w:rsidR="00F025BB" w:rsidRDefault="005F0E84" w:rsidP="009A024A">
      <w:pPr>
        <w:pStyle w:val="TableofFigures"/>
        <w:tabs>
          <w:tab w:val="right" w:leader="dot" w:pos="9350"/>
        </w:tabs>
        <w:spacing w:after="120"/>
        <w:rPr>
          <w:rFonts w:asciiTheme="minorHAnsi" w:hAnsiTheme="minorHAnsi"/>
          <w:noProof/>
          <w:sz w:val="24"/>
          <w:szCs w:val="24"/>
          <w:lang w:eastAsia="en-US"/>
        </w:rPr>
      </w:pPr>
      <w:hyperlink w:anchor="_Toc534461007" w:history="1">
        <w:r w:rsidR="00F025BB" w:rsidRPr="00115679">
          <w:rPr>
            <w:rStyle w:val="Hyperlink"/>
            <w:noProof/>
          </w:rPr>
          <w:t>Table 2.1 Climate Inputs</w:t>
        </w:r>
        <w:r w:rsidR="00F025BB">
          <w:rPr>
            <w:noProof/>
            <w:webHidden/>
          </w:rPr>
          <w:tab/>
        </w:r>
        <w:r w:rsidR="00F025BB">
          <w:rPr>
            <w:noProof/>
            <w:webHidden/>
          </w:rPr>
          <w:fldChar w:fldCharType="begin"/>
        </w:r>
        <w:r w:rsidR="00F025BB">
          <w:rPr>
            <w:noProof/>
            <w:webHidden/>
          </w:rPr>
          <w:instrText xml:space="preserve"> PAGEREF _Toc534461007 \h </w:instrText>
        </w:r>
        <w:r w:rsidR="00F025BB">
          <w:rPr>
            <w:noProof/>
            <w:webHidden/>
          </w:rPr>
        </w:r>
        <w:r w:rsidR="00F025BB">
          <w:rPr>
            <w:noProof/>
            <w:webHidden/>
          </w:rPr>
          <w:fldChar w:fldCharType="separate"/>
        </w:r>
        <w:r w:rsidR="00131589">
          <w:rPr>
            <w:noProof/>
            <w:webHidden/>
          </w:rPr>
          <w:t>29</w:t>
        </w:r>
        <w:r w:rsidR="00F025BB">
          <w:rPr>
            <w:noProof/>
            <w:webHidden/>
          </w:rPr>
          <w:fldChar w:fldCharType="end"/>
        </w:r>
      </w:hyperlink>
    </w:p>
    <w:p w14:paraId="127D5D4C" w14:textId="56DBFC97" w:rsidR="00F025BB" w:rsidRDefault="005F0E84" w:rsidP="009A024A">
      <w:pPr>
        <w:pStyle w:val="TableofFigures"/>
        <w:tabs>
          <w:tab w:val="right" w:leader="dot" w:pos="9350"/>
        </w:tabs>
        <w:spacing w:after="120"/>
        <w:rPr>
          <w:rFonts w:asciiTheme="minorHAnsi" w:hAnsiTheme="minorHAnsi"/>
          <w:noProof/>
          <w:sz w:val="24"/>
          <w:szCs w:val="24"/>
          <w:lang w:eastAsia="en-US"/>
        </w:rPr>
      </w:pPr>
      <w:hyperlink w:anchor="_Toc534461008" w:history="1">
        <w:r w:rsidR="00F025BB" w:rsidRPr="00115679">
          <w:rPr>
            <w:rStyle w:val="Hyperlink"/>
            <w:noProof/>
          </w:rPr>
          <w:t>Table 2.2 Financial Inputs for Conventional Technologies</w:t>
        </w:r>
        <w:r w:rsidR="00F025BB">
          <w:rPr>
            <w:noProof/>
            <w:webHidden/>
          </w:rPr>
          <w:tab/>
        </w:r>
        <w:r w:rsidR="00F025BB">
          <w:rPr>
            <w:noProof/>
            <w:webHidden/>
          </w:rPr>
          <w:fldChar w:fldCharType="begin"/>
        </w:r>
        <w:r w:rsidR="00F025BB">
          <w:rPr>
            <w:noProof/>
            <w:webHidden/>
          </w:rPr>
          <w:instrText xml:space="preserve"> PAGEREF _Toc534461008 \h </w:instrText>
        </w:r>
        <w:r w:rsidR="00F025BB">
          <w:rPr>
            <w:noProof/>
            <w:webHidden/>
          </w:rPr>
        </w:r>
        <w:r w:rsidR="00F025BB">
          <w:rPr>
            <w:noProof/>
            <w:webHidden/>
          </w:rPr>
          <w:fldChar w:fldCharType="separate"/>
        </w:r>
        <w:r w:rsidR="00131589">
          <w:rPr>
            <w:noProof/>
            <w:webHidden/>
          </w:rPr>
          <w:t>31</w:t>
        </w:r>
        <w:r w:rsidR="00F025BB">
          <w:rPr>
            <w:noProof/>
            <w:webHidden/>
          </w:rPr>
          <w:fldChar w:fldCharType="end"/>
        </w:r>
      </w:hyperlink>
    </w:p>
    <w:p w14:paraId="6E70F6C9" w14:textId="5C55DC0A" w:rsidR="00F025BB" w:rsidRDefault="005F0E84" w:rsidP="009A024A">
      <w:pPr>
        <w:pStyle w:val="TableofFigures"/>
        <w:tabs>
          <w:tab w:val="right" w:leader="dot" w:pos="9350"/>
        </w:tabs>
        <w:spacing w:after="120"/>
        <w:rPr>
          <w:rFonts w:asciiTheme="minorHAnsi" w:hAnsiTheme="minorHAnsi"/>
          <w:noProof/>
          <w:sz w:val="24"/>
          <w:szCs w:val="24"/>
          <w:lang w:eastAsia="en-US"/>
        </w:rPr>
      </w:pPr>
      <w:hyperlink w:anchor="_Toc534461009" w:history="1">
        <w:r w:rsidR="00F025BB" w:rsidRPr="00115679">
          <w:rPr>
            <w:rStyle w:val="Hyperlink"/>
            <w:noProof/>
          </w:rPr>
          <w:t>Table 2.3 Financial Inputs for Solution</w:t>
        </w:r>
        <w:r w:rsidR="00F025BB">
          <w:rPr>
            <w:noProof/>
            <w:webHidden/>
          </w:rPr>
          <w:tab/>
        </w:r>
        <w:r w:rsidR="00F025BB">
          <w:rPr>
            <w:noProof/>
            <w:webHidden/>
          </w:rPr>
          <w:fldChar w:fldCharType="begin"/>
        </w:r>
        <w:r w:rsidR="00F025BB">
          <w:rPr>
            <w:noProof/>
            <w:webHidden/>
          </w:rPr>
          <w:instrText xml:space="preserve"> PAGEREF _Toc534461009 \h </w:instrText>
        </w:r>
        <w:r w:rsidR="00F025BB">
          <w:rPr>
            <w:noProof/>
            <w:webHidden/>
          </w:rPr>
        </w:r>
        <w:r w:rsidR="00F025BB">
          <w:rPr>
            <w:noProof/>
            <w:webHidden/>
          </w:rPr>
          <w:fldChar w:fldCharType="separate"/>
        </w:r>
        <w:r w:rsidR="00131589">
          <w:rPr>
            <w:noProof/>
            <w:webHidden/>
          </w:rPr>
          <w:t>31</w:t>
        </w:r>
        <w:r w:rsidR="00F025BB">
          <w:rPr>
            <w:noProof/>
            <w:webHidden/>
          </w:rPr>
          <w:fldChar w:fldCharType="end"/>
        </w:r>
      </w:hyperlink>
    </w:p>
    <w:p w14:paraId="7EB8767A" w14:textId="19FBE6A1" w:rsidR="00F025BB" w:rsidRDefault="005F0E84" w:rsidP="009A024A">
      <w:pPr>
        <w:pStyle w:val="TableofFigures"/>
        <w:tabs>
          <w:tab w:val="right" w:leader="dot" w:pos="9350"/>
        </w:tabs>
        <w:spacing w:after="120"/>
        <w:rPr>
          <w:rFonts w:asciiTheme="minorHAnsi" w:hAnsiTheme="minorHAnsi"/>
          <w:noProof/>
          <w:sz w:val="24"/>
          <w:szCs w:val="24"/>
          <w:lang w:eastAsia="en-US"/>
        </w:rPr>
      </w:pPr>
      <w:hyperlink w:anchor="_Toc534461010" w:history="1">
        <w:r w:rsidR="00F025BB" w:rsidRPr="00115679">
          <w:rPr>
            <w:rStyle w:val="Hyperlink"/>
            <w:noProof/>
          </w:rPr>
          <w:t>Table 2.4 Technical Inputs Conventional Technologies</w:t>
        </w:r>
        <w:r w:rsidR="00F025BB">
          <w:rPr>
            <w:noProof/>
            <w:webHidden/>
          </w:rPr>
          <w:tab/>
        </w:r>
        <w:r w:rsidR="00F025BB">
          <w:rPr>
            <w:noProof/>
            <w:webHidden/>
          </w:rPr>
          <w:fldChar w:fldCharType="begin"/>
        </w:r>
        <w:r w:rsidR="00F025BB">
          <w:rPr>
            <w:noProof/>
            <w:webHidden/>
          </w:rPr>
          <w:instrText xml:space="preserve"> PAGEREF _Toc534461010 \h </w:instrText>
        </w:r>
        <w:r w:rsidR="00F025BB">
          <w:rPr>
            <w:noProof/>
            <w:webHidden/>
          </w:rPr>
        </w:r>
        <w:r w:rsidR="00F025BB">
          <w:rPr>
            <w:noProof/>
            <w:webHidden/>
          </w:rPr>
          <w:fldChar w:fldCharType="separate"/>
        </w:r>
        <w:r w:rsidR="00131589">
          <w:rPr>
            <w:noProof/>
            <w:webHidden/>
          </w:rPr>
          <w:t>32</w:t>
        </w:r>
        <w:r w:rsidR="00F025BB">
          <w:rPr>
            <w:noProof/>
            <w:webHidden/>
          </w:rPr>
          <w:fldChar w:fldCharType="end"/>
        </w:r>
      </w:hyperlink>
    </w:p>
    <w:p w14:paraId="05A61119" w14:textId="68DBCE01" w:rsidR="00F025BB" w:rsidRDefault="005F0E84" w:rsidP="009A024A">
      <w:pPr>
        <w:pStyle w:val="TableofFigures"/>
        <w:tabs>
          <w:tab w:val="right" w:leader="dot" w:pos="9350"/>
        </w:tabs>
        <w:spacing w:after="120"/>
        <w:rPr>
          <w:rFonts w:asciiTheme="minorHAnsi" w:hAnsiTheme="minorHAnsi"/>
          <w:noProof/>
          <w:sz w:val="24"/>
          <w:szCs w:val="24"/>
          <w:lang w:eastAsia="en-US"/>
        </w:rPr>
      </w:pPr>
      <w:hyperlink w:anchor="_Toc534461011" w:history="1">
        <w:r w:rsidR="00F025BB" w:rsidRPr="00115679">
          <w:rPr>
            <w:rStyle w:val="Hyperlink"/>
            <w:noProof/>
          </w:rPr>
          <w:t>Table 2.5 Technical Inputs Solution</w:t>
        </w:r>
        <w:r w:rsidR="00F025BB">
          <w:rPr>
            <w:noProof/>
            <w:webHidden/>
          </w:rPr>
          <w:tab/>
        </w:r>
        <w:r w:rsidR="00F025BB">
          <w:rPr>
            <w:noProof/>
            <w:webHidden/>
          </w:rPr>
          <w:fldChar w:fldCharType="begin"/>
        </w:r>
        <w:r w:rsidR="00F025BB">
          <w:rPr>
            <w:noProof/>
            <w:webHidden/>
          </w:rPr>
          <w:instrText xml:space="preserve"> PAGEREF _Toc534461011 \h </w:instrText>
        </w:r>
        <w:r w:rsidR="00F025BB">
          <w:rPr>
            <w:noProof/>
            <w:webHidden/>
          </w:rPr>
        </w:r>
        <w:r w:rsidR="00F025BB">
          <w:rPr>
            <w:noProof/>
            <w:webHidden/>
          </w:rPr>
          <w:fldChar w:fldCharType="separate"/>
        </w:r>
        <w:r w:rsidR="00131589">
          <w:rPr>
            <w:noProof/>
            <w:webHidden/>
          </w:rPr>
          <w:t>32</w:t>
        </w:r>
        <w:r w:rsidR="00F025BB">
          <w:rPr>
            <w:noProof/>
            <w:webHidden/>
          </w:rPr>
          <w:fldChar w:fldCharType="end"/>
        </w:r>
      </w:hyperlink>
    </w:p>
    <w:p w14:paraId="4EEA996A" w14:textId="2C66C452" w:rsidR="00F025BB" w:rsidRDefault="005F0E84" w:rsidP="009A024A">
      <w:pPr>
        <w:pStyle w:val="TableofFigures"/>
        <w:tabs>
          <w:tab w:val="right" w:leader="dot" w:pos="9350"/>
        </w:tabs>
        <w:spacing w:after="120"/>
        <w:rPr>
          <w:rFonts w:asciiTheme="minorHAnsi" w:hAnsiTheme="minorHAnsi"/>
          <w:noProof/>
          <w:sz w:val="24"/>
          <w:szCs w:val="24"/>
          <w:lang w:eastAsia="en-US"/>
        </w:rPr>
      </w:pPr>
      <w:hyperlink w:anchor="_Toc534461012" w:history="1">
        <w:r w:rsidR="00F025BB" w:rsidRPr="00115679">
          <w:rPr>
            <w:rStyle w:val="Hyperlink"/>
            <w:noProof/>
          </w:rPr>
          <w:t>Table 3.1 World Adoption of the Solution</w:t>
        </w:r>
        <w:r w:rsidR="00F025BB">
          <w:rPr>
            <w:noProof/>
            <w:webHidden/>
          </w:rPr>
          <w:tab/>
        </w:r>
        <w:r w:rsidR="00F025BB">
          <w:rPr>
            <w:noProof/>
            <w:webHidden/>
          </w:rPr>
          <w:fldChar w:fldCharType="begin"/>
        </w:r>
        <w:r w:rsidR="00F025BB">
          <w:rPr>
            <w:noProof/>
            <w:webHidden/>
          </w:rPr>
          <w:instrText xml:space="preserve"> PAGEREF _Toc534461012 \h </w:instrText>
        </w:r>
        <w:r w:rsidR="00F025BB">
          <w:rPr>
            <w:noProof/>
            <w:webHidden/>
          </w:rPr>
        </w:r>
        <w:r w:rsidR="00F025BB">
          <w:rPr>
            <w:noProof/>
            <w:webHidden/>
          </w:rPr>
          <w:fldChar w:fldCharType="separate"/>
        </w:r>
        <w:r w:rsidR="00131589">
          <w:rPr>
            <w:noProof/>
            <w:webHidden/>
          </w:rPr>
          <w:t>35</w:t>
        </w:r>
        <w:r w:rsidR="00F025BB">
          <w:rPr>
            <w:noProof/>
            <w:webHidden/>
          </w:rPr>
          <w:fldChar w:fldCharType="end"/>
        </w:r>
      </w:hyperlink>
    </w:p>
    <w:p w14:paraId="190C4D3A" w14:textId="230DED7E" w:rsidR="00F025BB" w:rsidRDefault="005F0E84" w:rsidP="009A024A">
      <w:pPr>
        <w:pStyle w:val="TableofFigures"/>
        <w:tabs>
          <w:tab w:val="right" w:leader="dot" w:pos="9350"/>
        </w:tabs>
        <w:spacing w:after="120"/>
        <w:rPr>
          <w:rFonts w:asciiTheme="minorHAnsi" w:hAnsiTheme="minorHAnsi"/>
          <w:noProof/>
          <w:sz w:val="24"/>
          <w:szCs w:val="24"/>
          <w:lang w:eastAsia="en-US"/>
        </w:rPr>
      </w:pPr>
      <w:hyperlink w:anchor="_Toc534461013" w:history="1">
        <w:r w:rsidR="00F025BB" w:rsidRPr="00115679">
          <w:rPr>
            <w:rStyle w:val="Hyperlink"/>
            <w:noProof/>
          </w:rPr>
          <w:t>Table 3.2 Climate Impacts</w:t>
        </w:r>
        <w:r w:rsidR="00F025BB">
          <w:rPr>
            <w:noProof/>
            <w:webHidden/>
          </w:rPr>
          <w:tab/>
        </w:r>
        <w:r w:rsidR="00F025BB">
          <w:rPr>
            <w:noProof/>
            <w:webHidden/>
          </w:rPr>
          <w:fldChar w:fldCharType="begin"/>
        </w:r>
        <w:r w:rsidR="00F025BB">
          <w:rPr>
            <w:noProof/>
            <w:webHidden/>
          </w:rPr>
          <w:instrText xml:space="preserve"> PAGEREF _Toc534461013 \h </w:instrText>
        </w:r>
        <w:r w:rsidR="00F025BB">
          <w:rPr>
            <w:noProof/>
            <w:webHidden/>
          </w:rPr>
        </w:r>
        <w:r w:rsidR="00F025BB">
          <w:rPr>
            <w:noProof/>
            <w:webHidden/>
          </w:rPr>
          <w:fldChar w:fldCharType="separate"/>
        </w:r>
        <w:r w:rsidR="00131589">
          <w:rPr>
            <w:noProof/>
            <w:webHidden/>
          </w:rPr>
          <w:t>37</w:t>
        </w:r>
        <w:r w:rsidR="00F025BB">
          <w:rPr>
            <w:noProof/>
            <w:webHidden/>
          </w:rPr>
          <w:fldChar w:fldCharType="end"/>
        </w:r>
      </w:hyperlink>
    </w:p>
    <w:p w14:paraId="07FB7C1F" w14:textId="4B6F670D" w:rsidR="00F025BB" w:rsidRDefault="005F0E84" w:rsidP="009A024A">
      <w:pPr>
        <w:pStyle w:val="TableofFigures"/>
        <w:tabs>
          <w:tab w:val="right" w:leader="dot" w:pos="9350"/>
        </w:tabs>
        <w:spacing w:after="120"/>
        <w:rPr>
          <w:rFonts w:asciiTheme="minorHAnsi" w:hAnsiTheme="minorHAnsi"/>
          <w:noProof/>
          <w:sz w:val="24"/>
          <w:szCs w:val="24"/>
          <w:lang w:eastAsia="en-US"/>
        </w:rPr>
      </w:pPr>
      <w:hyperlink w:anchor="_Toc534461014" w:history="1">
        <w:r w:rsidR="00F025BB" w:rsidRPr="00115679">
          <w:rPr>
            <w:rStyle w:val="Hyperlink"/>
            <w:noProof/>
          </w:rPr>
          <w:t>Table 3.3 Impacts on Atmospheric Concentrations of CO</w:t>
        </w:r>
        <w:r w:rsidR="00F025BB" w:rsidRPr="00115679">
          <w:rPr>
            <w:rStyle w:val="Hyperlink"/>
            <w:noProof/>
            <w:vertAlign w:val="subscript"/>
          </w:rPr>
          <w:t>2</w:t>
        </w:r>
        <w:r w:rsidR="00F025BB" w:rsidRPr="00115679">
          <w:rPr>
            <w:rStyle w:val="Hyperlink"/>
            <w:noProof/>
          </w:rPr>
          <w:t>-eq</w:t>
        </w:r>
        <w:r w:rsidR="00F025BB">
          <w:rPr>
            <w:noProof/>
            <w:webHidden/>
          </w:rPr>
          <w:tab/>
        </w:r>
        <w:r w:rsidR="00F025BB">
          <w:rPr>
            <w:noProof/>
            <w:webHidden/>
          </w:rPr>
          <w:fldChar w:fldCharType="begin"/>
        </w:r>
        <w:r w:rsidR="00F025BB">
          <w:rPr>
            <w:noProof/>
            <w:webHidden/>
          </w:rPr>
          <w:instrText xml:space="preserve"> PAGEREF _Toc534461014 \h </w:instrText>
        </w:r>
        <w:r w:rsidR="00F025BB">
          <w:rPr>
            <w:noProof/>
            <w:webHidden/>
          </w:rPr>
        </w:r>
        <w:r w:rsidR="00F025BB">
          <w:rPr>
            <w:noProof/>
            <w:webHidden/>
          </w:rPr>
          <w:fldChar w:fldCharType="separate"/>
        </w:r>
        <w:r w:rsidR="00131589">
          <w:rPr>
            <w:noProof/>
            <w:webHidden/>
          </w:rPr>
          <w:t>37</w:t>
        </w:r>
        <w:r w:rsidR="00F025BB">
          <w:rPr>
            <w:noProof/>
            <w:webHidden/>
          </w:rPr>
          <w:fldChar w:fldCharType="end"/>
        </w:r>
      </w:hyperlink>
    </w:p>
    <w:p w14:paraId="55D560C4" w14:textId="77A5FA71" w:rsidR="00F025BB" w:rsidRDefault="005F0E84" w:rsidP="009A024A">
      <w:pPr>
        <w:pStyle w:val="TableofFigures"/>
        <w:tabs>
          <w:tab w:val="right" w:leader="dot" w:pos="9350"/>
        </w:tabs>
        <w:spacing w:after="120"/>
        <w:rPr>
          <w:rFonts w:asciiTheme="minorHAnsi" w:hAnsiTheme="minorHAnsi"/>
          <w:noProof/>
          <w:sz w:val="24"/>
          <w:szCs w:val="24"/>
          <w:lang w:eastAsia="en-US"/>
        </w:rPr>
      </w:pPr>
      <w:hyperlink w:anchor="_Toc534461015" w:history="1">
        <w:r w:rsidR="00F025BB" w:rsidRPr="00115679">
          <w:rPr>
            <w:rStyle w:val="Hyperlink"/>
            <w:noProof/>
          </w:rPr>
          <w:t>Table 3.4 Financial Impacts</w:t>
        </w:r>
        <w:r w:rsidR="00F025BB">
          <w:rPr>
            <w:noProof/>
            <w:webHidden/>
          </w:rPr>
          <w:tab/>
        </w:r>
        <w:r w:rsidR="00F025BB">
          <w:rPr>
            <w:noProof/>
            <w:webHidden/>
          </w:rPr>
          <w:fldChar w:fldCharType="begin"/>
        </w:r>
        <w:r w:rsidR="00F025BB">
          <w:rPr>
            <w:noProof/>
            <w:webHidden/>
          </w:rPr>
          <w:instrText xml:space="preserve"> PAGEREF _Toc534461015 \h </w:instrText>
        </w:r>
        <w:r w:rsidR="00F025BB">
          <w:rPr>
            <w:noProof/>
            <w:webHidden/>
          </w:rPr>
        </w:r>
        <w:r w:rsidR="00F025BB">
          <w:rPr>
            <w:noProof/>
            <w:webHidden/>
          </w:rPr>
          <w:fldChar w:fldCharType="separate"/>
        </w:r>
        <w:r w:rsidR="00131589">
          <w:rPr>
            <w:noProof/>
            <w:webHidden/>
          </w:rPr>
          <w:t>39</w:t>
        </w:r>
        <w:r w:rsidR="00F025BB">
          <w:rPr>
            <w:noProof/>
            <w:webHidden/>
          </w:rPr>
          <w:fldChar w:fldCharType="end"/>
        </w:r>
      </w:hyperlink>
    </w:p>
    <w:p w14:paraId="75EE1F2F" w14:textId="67312DE9" w:rsidR="00F025BB" w:rsidRDefault="005F0E84" w:rsidP="009A024A">
      <w:pPr>
        <w:pStyle w:val="TableofFigures"/>
        <w:tabs>
          <w:tab w:val="right" w:leader="dot" w:pos="9350"/>
        </w:tabs>
        <w:spacing w:after="120"/>
        <w:rPr>
          <w:rFonts w:asciiTheme="minorHAnsi" w:hAnsiTheme="minorHAnsi"/>
          <w:noProof/>
          <w:sz w:val="24"/>
          <w:szCs w:val="24"/>
          <w:lang w:eastAsia="en-US"/>
        </w:rPr>
      </w:pPr>
      <w:hyperlink w:anchor="_Toc534461016" w:history="1">
        <w:r w:rsidR="00F025BB" w:rsidRPr="00115679">
          <w:rPr>
            <w:rStyle w:val="Hyperlink"/>
            <w:noProof/>
          </w:rPr>
          <w:t>Table 4.1 Benchmarks</w:t>
        </w:r>
        <w:r w:rsidR="00F025BB">
          <w:rPr>
            <w:noProof/>
            <w:webHidden/>
          </w:rPr>
          <w:tab/>
        </w:r>
        <w:r w:rsidR="00F025BB">
          <w:rPr>
            <w:noProof/>
            <w:webHidden/>
          </w:rPr>
          <w:fldChar w:fldCharType="begin"/>
        </w:r>
        <w:r w:rsidR="00F025BB">
          <w:rPr>
            <w:noProof/>
            <w:webHidden/>
          </w:rPr>
          <w:instrText xml:space="preserve"> PAGEREF _Toc534461016 \h </w:instrText>
        </w:r>
        <w:r w:rsidR="00F025BB">
          <w:rPr>
            <w:noProof/>
            <w:webHidden/>
          </w:rPr>
        </w:r>
        <w:r w:rsidR="00F025BB">
          <w:rPr>
            <w:noProof/>
            <w:webHidden/>
          </w:rPr>
          <w:fldChar w:fldCharType="separate"/>
        </w:r>
        <w:r w:rsidR="00131589">
          <w:rPr>
            <w:noProof/>
            <w:webHidden/>
          </w:rPr>
          <w:t>41</w:t>
        </w:r>
        <w:r w:rsidR="00F025BB">
          <w:rPr>
            <w:noProof/>
            <w:webHidden/>
          </w:rPr>
          <w:fldChar w:fldCharType="end"/>
        </w:r>
      </w:hyperlink>
    </w:p>
    <w:p w14:paraId="4825AD3F" w14:textId="26D9760B" w:rsidR="00640665" w:rsidRPr="00061636" w:rsidRDefault="006A4A08" w:rsidP="009A024A">
      <w:r w:rsidRPr="00061636">
        <w:fldChar w:fldCharType="end"/>
      </w:r>
      <w:r w:rsidR="00640665" w:rsidRPr="00061636">
        <w:br w:type="page"/>
      </w:r>
    </w:p>
    <w:p w14:paraId="314CD877" w14:textId="5451454D" w:rsidR="00FA6897" w:rsidRPr="00061636" w:rsidRDefault="2D56E7D4" w:rsidP="004A2866">
      <w:pPr>
        <w:pStyle w:val="Heading1"/>
        <w:numPr>
          <w:ilvl w:val="0"/>
          <w:numId w:val="0"/>
        </w:numPr>
        <w:ind w:left="720"/>
      </w:pPr>
      <w:bookmarkStart w:id="2" w:name="_Toc10331893"/>
      <w:r w:rsidRPr="00061636">
        <w:lastRenderedPageBreak/>
        <w:t>Acronyms and Symbols</w:t>
      </w:r>
      <w:bookmarkEnd w:id="2"/>
    </w:p>
    <w:p w14:paraId="10A0D473" w14:textId="7F197361" w:rsidR="00152500" w:rsidRPr="00AF45A6" w:rsidRDefault="00152500" w:rsidP="002A6808">
      <w:pPr>
        <w:pStyle w:val="ListParagraph"/>
        <w:numPr>
          <w:ilvl w:val="0"/>
          <w:numId w:val="4"/>
        </w:numPr>
        <w:tabs>
          <w:tab w:val="left" w:pos="1701"/>
        </w:tabs>
        <w:spacing w:line="240" w:lineRule="auto"/>
        <w:rPr>
          <w:bCs/>
        </w:rPr>
      </w:pPr>
      <w:r w:rsidRPr="00AF45A6">
        <w:rPr>
          <w:bCs/>
        </w:rPr>
        <w:t>AC - Alternating Current</w:t>
      </w:r>
    </w:p>
    <w:p w14:paraId="6B11050D" w14:textId="47909494" w:rsidR="00FF5986" w:rsidRPr="00061636" w:rsidRDefault="00FF5986" w:rsidP="002A6808">
      <w:pPr>
        <w:pStyle w:val="ListParagraph"/>
        <w:numPr>
          <w:ilvl w:val="0"/>
          <w:numId w:val="4"/>
        </w:numPr>
        <w:tabs>
          <w:tab w:val="left" w:pos="1701"/>
        </w:tabs>
        <w:spacing w:line="240" w:lineRule="auto"/>
        <w:rPr>
          <w:bCs/>
        </w:rPr>
      </w:pPr>
      <w:r w:rsidRPr="00061636">
        <w:rPr>
          <w:bCs/>
        </w:rPr>
        <w:t xml:space="preserve">A-Si - Amorphous Silicon </w:t>
      </w:r>
    </w:p>
    <w:p w14:paraId="06FBA68F" w14:textId="0075C1A8" w:rsidR="00FF5986" w:rsidRPr="00061636" w:rsidRDefault="00FF5986" w:rsidP="002A6808">
      <w:pPr>
        <w:pStyle w:val="ListParagraph"/>
        <w:numPr>
          <w:ilvl w:val="0"/>
          <w:numId w:val="4"/>
        </w:numPr>
        <w:tabs>
          <w:tab w:val="left" w:pos="1701"/>
        </w:tabs>
        <w:spacing w:line="240" w:lineRule="auto"/>
        <w:rPr>
          <w:bCs/>
        </w:rPr>
      </w:pPr>
      <w:r w:rsidRPr="00061636">
        <w:rPr>
          <w:bCs/>
        </w:rPr>
        <w:t>BOS - Balance-Of-System</w:t>
      </w:r>
    </w:p>
    <w:p w14:paraId="7F315F89" w14:textId="77777777" w:rsidR="00FF5986" w:rsidRPr="00061636" w:rsidRDefault="00FF5986" w:rsidP="002A6808">
      <w:pPr>
        <w:pStyle w:val="ListParagraph"/>
        <w:numPr>
          <w:ilvl w:val="0"/>
          <w:numId w:val="4"/>
        </w:numPr>
        <w:tabs>
          <w:tab w:val="left" w:pos="1701"/>
        </w:tabs>
        <w:spacing w:line="240" w:lineRule="auto"/>
        <w:rPr>
          <w:bCs/>
        </w:rPr>
      </w:pPr>
      <w:r w:rsidRPr="00061636">
        <w:rPr>
          <w:bCs/>
        </w:rPr>
        <w:t>C-Si  - Crystalline Silicon</w:t>
      </w:r>
    </w:p>
    <w:p w14:paraId="242B15B0" w14:textId="4C67CFE6" w:rsidR="00FF5986" w:rsidRPr="00061636" w:rsidRDefault="00FF5986" w:rsidP="002A6808">
      <w:pPr>
        <w:pStyle w:val="ListParagraph"/>
        <w:numPr>
          <w:ilvl w:val="0"/>
          <w:numId w:val="4"/>
        </w:numPr>
        <w:tabs>
          <w:tab w:val="left" w:pos="1701"/>
        </w:tabs>
        <w:spacing w:line="240" w:lineRule="auto"/>
        <w:rPr>
          <w:bCs/>
        </w:rPr>
      </w:pPr>
      <w:r w:rsidRPr="00061636">
        <w:rPr>
          <w:rFonts w:eastAsia="Times New Roman"/>
          <w:color w:val="000000"/>
        </w:rPr>
        <w:t xml:space="preserve">CCS - Carbon Capture and Storage </w:t>
      </w:r>
    </w:p>
    <w:p w14:paraId="23EBD1CA" w14:textId="77777777" w:rsidR="00FF5986" w:rsidRPr="00061636" w:rsidRDefault="00FF5986" w:rsidP="002A6808">
      <w:pPr>
        <w:pStyle w:val="ListParagraph"/>
        <w:numPr>
          <w:ilvl w:val="0"/>
          <w:numId w:val="4"/>
        </w:numPr>
        <w:tabs>
          <w:tab w:val="left" w:pos="1701"/>
        </w:tabs>
        <w:spacing w:line="240" w:lineRule="auto"/>
        <w:rPr>
          <w:bCs/>
        </w:rPr>
      </w:pPr>
      <w:proofErr w:type="spellStart"/>
      <w:r w:rsidRPr="00061636">
        <w:rPr>
          <w:bCs/>
        </w:rPr>
        <w:t>Cdte</w:t>
      </w:r>
      <w:proofErr w:type="spellEnd"/>
      <w:r w:rsidRPr="00061636">
        <w:rPr>
          <w:bCs/>
        </w:rPr>
        <w:t xml:space="preserve"> - Cadmium Telluride</w:t>
      </w:r>
    </w:p>
    <w:p w14:paraId="28DBE57C" w14:textId="459F7A0E" w:rsidR="00FF5986" w:rsidRDefault="00FF5986" w:rsidP="002A6808">
      <w:pPr>
        <w:pStyle w:val="ListParagraph"/>
        <w:numPr>
          <w:ilvl w:val="0"/>
          <w:numId w:val="4"/>
        </w:numPr>
        <w:tabs>
          <w:tab w:val="left" w:pos="1701"/>
        </w:tabs>
        <w:spacing w:line="240" w:lineRule="auto"/>
        <w:rPr>
          <w:bCs/>
        </w:rPr>
      </w:pPr>
      <w:r w:rsidRPr="00061636">
        <w:rPr>
          <w:bCs/>
        </w:rPr>
        <w:t>CIGS - Copper Indium Gallium Selenide</w:t>
      </w:r>
    </w:p>
    <w:p w14:paraId="121A3A37" w14:textId="4B95D771" w:rsidR="009B66E6" w:rsidRPr="0068265D" w:rsidRDefault="009B66E6" w:rsidP="002A6808">
      <w:pPr>
        <w:pStyle w:val="ListParagraph"/>
        <w:numPr>
          <w:ilvl w:val="0"/>
          <w:numId w:val="4"/>
        </w:numPr>
        <w:tabs>
          <w:tab w:val="left" w:pos="1701"/>
        </w:tabs>
        <w:spacing w:line="240" w:lineRule="auto"/>
        <w:rPr>
          <w:bCs/>
        </w:rPr>
      </w:pPr>
      <w:r w:rsidRPr="008075C1">
        <w:rPr>
          <w:bCs/>
        </w:rPr>
        <w:t>CO</w:t>
      </w:r>
      <w:r w:rsidRPr="008075C1">
        <w:rPr>
          <w:bCs/>
          <w:vertAlign w:val="subscript"/>
        </w:rPr>
        <w:t>2</w:t>
      </w:r>
      <w:r w:rsidRPr="0068265D">
        <w:rPr>
          <w:bCs/>
          <w:vertAlign w:val="subscript"/>
        </w:rPr>
        <w:t xml:space="preserve"> </w:t>
      </w:r>
      <w:proofErr w:type="spellStart"/>
      <w:r w:rsidRPr="0068265D">
        <w:rPr>
          <w:bCs/>
        </w:rPr>
        <w:t>eqv</w:t>
      </w:r>
      <w:proofErr w:type="spellEnd"/>
      <w:r w:rsidRPr="0068265D">
        <w:rPr>
          <w:bCs/>
        </w:rPr>
        <w:t xml:space="preserve"> </w:t>
      </w:r>
      <w:r w:rsidR="008075C1" w:rsidRPr="0068265D">
        <w:rPr>
          <w:bCs/>
        </w:rPr>
        <w:t>-</w:t>
      </w:r>
      <w:r w:rsidRPr="0068265D">
        <w:rPr>
          <w:bCs/>
        </w:rPr>
        <w:t xml:space="preserve"> Carbon Dioxide equivalent</w:t>
      </w:r>
    </w:p>
    <w:p w14:paraId="6A8BD1F7" w14:textId="1BDAEE96" w:rsidR="009B66E6" w:rsidRPr="00061636" w:rsidRDefault="008075C1" w:rsidP="002A6808">
      <w:pPr>
        <w:pStyle w:val="ListParagraph"/>
        <w:numPr>
          <w:ilvl w:val="0"/>
          <w:numId w:val="4"/>
        </w:numPr>
        <w:tabs>
          <w:tab w:val="left" w:pos="1701"/>
        </w:tabs>
        <w:spacing w:line="240" w:lineRule="auto"/>
        <w:rPr>
          <w:bCs/>
        </w:rPr>
      </w:pPr>
      <w:r>
        <w:rPr>
          <w:bCs/>
        </w:rPr>
        <w:t>CPUC – California Public Utilities Commission</w:t>
      </w:r>
    </w:p>
    <w:p w14:paraId="16FF9B3E" w14:textId="39A86989" w:rsidR="00FF5986" w:rsidRPr="00061636" w:rsidRDefault="00FF5986" w:rsidP="002A6808">
      <w:pPr>
        <w:pStyle w:val="ListParagraph"/>
        <w:numPr>
          <w:ilvl w:val="0"/>
          <w:numId w:val="4"/>
        </w:numPr>
        <w:tabs>
          <w:tab w:val="left" w:pos="1701"/>
        </w:tabs>
        <w:spacing w:line="240" w:lineRule="auto"/>
        <w:rPr>
          <w:bCs/>
        </w:rPr>
      </w:pPr>
      <w:r w:rsidRPr="00061636">
        <w:rPr>
          <w:bCs/>
        </w:rPr>
        <w:t>CPV - Concentrating P</w:t>
      </w:r>
      <w:r w:rsidR="007864AB" w:rsidRPr="00061636">
        <w:rPr>
          <w:bCs/>
        </w:rPr>
        <w:t>hotovoltaics</w:t>
      </w:r>
    </w:p>
    <w:p w14:paraId="66F36127" w14:textId="38FFA4DE" w:rsidR="00FF5986" w:rsidRPr="00C31DD1" w:rsidRDefault="00FF5986" w:rsidP="002A6808">
      <w:pPr>
        <w:pStyle w:val="ListParagraph"/>
        <w:numPr>
          <w:ilvl w:val="0"/>
          <w:numId w:val="4"/>
        </w:numPr>
        <w:tabs>
          <w:tab w:val="left" w:pos="1701"/>
        </w:tabs>
        <w:spacing w:after="0" w:line="240" w:lineRule="auto"/>
        <w:rPr>
          <w:b/>
          <w:bCs/>
          <w:i/>
          <w:iCs/>
        </w:rPr>
      </w:pPr>
      <w:r w:rsidRPr="00061636">
        <w:rPr>
          <w:bCs/>
        </w:rPr>
        <w:t>CSP - Concentrated Solar Power</w:t>
      </w:r>
    </w:p>
    <w:p w14:paraId="4264B137" w14:textId="6C6E2CA1" w:rsidR="008075C1" w:rsidRDefault="008075C1" w:rsidP="002A6808">
      <w:pPr>
        <w:pStyle w:val="ListParagraph"/>
        <w:numPr>
          <w:ilvl w:val="0"/>
          <w:numId w:val="4"/>
        </w:numPr>
        <w:tabs>
          <w:tab w:val="left" w:pos="1701"/>
        </w:tabs>
        <w:spacing w:after="0" w:line="240" w:lineRule="auto"/>
        <w:rPr>
          <w:bCs/>
          <w:iCs/>
        </w:rPr>
      </w:pPr>
      <w:r w:rsidRPr="00C31DD1">
        <w:rPr>
          <w:bCs/>
          <w:iCs/>
        </w:rPr>
        <w:t>DC- Direct Current</w:t>
      </w:r>
    </w:p>
    <w:p w14:paraId="59B3059D" w14:textId="56ADAA0B" w:rsidR="008075C1" w:rsidRDefault="008075C1" w:rsidP="002A6808">
      <w:pPr>
        <w:pStyle w:val="ListParagraph"/>
        <w:numPr>
          <w:ilvl w:val="0"/>
          <w:numId w:val="4"/>
        </w:numPr>
        <w:tabs>
          <w:tab w:val="left" w:pos="1701"/>
        </w:tabs>
        <w:spacing w:after="0" w:line="240" w:lineRule="auto"/>
        <w:rPr>
          <w:bCs/>
          <w:iCs/>
        </w:rPr>
      </w:pPr>
      <w:r>
        <w:rPr>
          <w:bCs/>
          <w:iCs/>
        </w:rPr>
        <w:t>DCF – Discounted Cash Flow</w:t>
      </w:r>
    </w:p>
    <w:p w14:paraId="5F613A44" w14:textId="50402AC9" w:rsidR="008075C1" w:rsidRPr="00C31DD1" w:rsidRDefault="008075C1" w:rsidP="002A6808">
      <w:pPr>
        <w:pStyle w:val="ListParagraph"/>
        <w:numPr>
          <w:ilvl w:val="0"/>
          <w:numId w:val="4"/>
        </w:numPr>
        <w:tabs>
          <w:tab w:val="left" w:pos="1701"/>
        </w:tabs>
        <w:spacing w:after="0" w:line="240" w:lineRule="auto"/>
        <w:rPr>
          <w:bCs/>
          <w:iCs/>
        </w:rPr>
      </w:pPr>
      <w:r>
        <w:rPr>
          <w:bCs/>
          <w:iCs/>
        </w:rPr>
        <w:t>DOE – Department of Energy (US)</w:t>
      </w:r>
    </w:p>
    <w:p w14:paraId="150218CF" w14:textId="21CE3D84" w:rsidR="008075C1" w:rsidRPr="00152500" w:rsidRDefault="008075C1" w:rsidP="002A6808">
      <w:pPr>
        <w:pStyle w:val="ListParagraph"/>
        <w:numPr>
          <w:ilvl w:val="0"/>
          <w:numId w:val="4"/>
        </w:numPr>
        <w:tabs>
          <w:tab w:val="left" w:pos="1701"/>
        </w:tabs>
        <w:spacing w:after="0" w:line="240" w:lineRule="auto"/>
        <w:rPr>
          <w:bCs/>
          <w:iCs/>
        </w:rPr>
      </w:pPr>
      <w:r>
        <w:rPr>
          <w:bCs/>
          <w:iCs/>
        </w:rPr>
        <w:t>EIA – Energy Information Administration (US)</w:t>
      </w:r>
    </w:p>
    <w:p w14:paraId="21E307E3" w14:textId="55BBA199" w:rsidR="00FF5986" w:rsidRPr="00061636" w:rsidRDefault="00FF5986" w:rsidP="002A6808">
      <w:pPr>
        <w:pStyle w:val="ListParagraph"/>
        <w:numPr>
          <w:ilvl w:val="0"/>
          <w:numId w:val="4"/>
        </w:numPr>
        <w:tabs>
          <w:tab w:val="left" w:pos="1701"/>
        </w:tabs>
        <w:spacing w:line="240" w:lineRule="auto"/>
        <w:rPr>
          <w:bCs/>
        </w:rPr>
      </w:pPr>
      <w:r w:rsidRPr="00061636">
        <w:rPr>
          <w:rFonts w:eastAsia="Times New Roman"/>
          <w:color w:val="000000"/>
        </w:rPr>
        <w:t xml:space="preserve">EPBT - Energy Payback Time </w:t>
      </w:r>
    </w:p>
    <w:p w14:paraId="1DB24677" w14:textId="001AB178" w:rsidR="00FF5986" w:rsidRDefault="00FF5986" w:rsidP="002A6808">
      <w:pPr>
        <w:pStyle w:val="ListParagraph"/>
        <w:numPr>
          <w:ilvl w:val="0"/>
          <w:numId w:val="4"/>
        </w:numPr>
        <w:tabs>
          <w:tab w:val="left" w:pos="1701"/>
        </w:tabs>
        <w:spacing w:line="240" w:lineRule="auto"/>
        <w:rPr>
          <w:bCs/>
        </w:rPr>
      </w:pPr>
      <w:r w:rsidRPr="00061636">
        <w:rPr>
          <w:bCs/>
        </w:rPr>
        <w:t>E</w:t>
      </w:r>
      <w:r w:rsidR="00F4258D" w:rsidRPr="00061636">
        <w:rPr>
          <w:bCs/>
        </w:rPr>
        <w:t>PIA</w:t>
      </w:r>
      <w:r w:rsidRPr="00061636">
        <w:rPr>
          <w:bCs/>
        </w:rPr>
        <w:t xml:space="preserve"> - European Photovoltaic Industry Association</w:t>
      </w:r>
    </w:p>
    <w:p w14:paraId="1B170B22" w14:textId="73B129EF" w:rsidR="008075C1" w:rsidRPr="00061636" w:rsidRDefault="008075C1" w:rsidP="002A6808">
      <w:pPr>
        <w:pStyle w:val="ListParagraph"/>
        <w:numPr>
          <w:ilvl w:val="0"/>
          <w:numId w:val="4"/>
        </w:numPr>
        <w:tabs>
          <w:tab w:val="left" w:pos="1701"/>
        </w:tabs>
        <w:spacing w:line="240" w:lineRule="auto"/>
        <w:rPr>
          <w:bCs/>
        </w:rPr>
      </w:pPr>
      <w:r>
        <w:rPr>
          <w:bCs/>
        </w:rPr>
        <w:t>EROI – Energy Returned on Energy Invested</w:t>
      </w:r>
    </w:p>
    <w:p w14:paraId="5B460325" w14:textId="0928C045" w:rsidR="00FF5986" w:rsidRPr="00061636" w:rsidRDefault="00FF5986" w:rsidP="002A6808">
      <w:pPr>
        <w:pStyle w:val="ListParagraph"/>
        <w:numPr>
          <w:ilvl w:val="0"/>
          <w:numId w:val="4"/>
        </w:numPr>
        <w:tabs>
          <w:tab w:val="left" w:pos="1701"/>
        </w:tabs>
        <w:spacing w:line="240" w:lineRule="auto"/>
        <w:rPr>
          <w:bCs/>
        </w:rPr>
      </w:pPr>
      <w:r w:rsidRPr="00061636">
        <w:rPr>
          <w:rFonts w:eastAsia="Times New Roman"/>
          <w:color w:val="000000"/>
        </w:rPr>
        <w:t>E</w:t>
      </w:r>
      <w:r w:rsidR="00F4258D" w:rsidRPr="00061636">
        <w:rPr>
          <w:rFonts w:eastAsia="Times New Roman"/>
          <w:color w:val="000000"/>
        </w:rPr>
        <w:t>TOI</w:t>
      </w:r>
      <w:r w:rsidRPr="00061636">
        <w:rPr>
          <w:rFonts w:eastAsia="Times New Roman"/>
          <w:color w:val="000000"/>
        </w:rPr>
        <w:t xml:space="preserve"> - Energy Return On Investment  </w:t>
      </w:r>
    </w:p>
    <w:p w14:paraId="27F379F6" w14:textId="5C3444B9" w:rsidR="00FF5986" w:rsidRDefault="00FF5986" w:rsidP="002A6808">
      <w:pPr>
        <w:pStyle w:val="ListParagraph"/>
        <w:numPr>
          <w:ilvl w:val="0"/>
          <w:numId w:val="4"/>
        </w:numPr>
        <w:tabs>
          <w:tab w:val="left" w:pos="1701"/>
        </w:tabs>
        <w:spacing w:line="240" w:lineRule="auto"/>
        <w:rPr>
          <w:bCs/>
        </w:rPr>
      </w:pPr>
      <w:r w:rsidRPr="00061636">
        <w:rPr>
          <w:bCs/>
        </w:rPr>
        <w:t>E</w:t>
      </w:r>
      <w:r w:rsidR="00F4258D" w:rsidRPr="00061636">
        <w:rPr>
          <w:bCs/>
        </w:rPr>
        <w:t>TP</w:t>
      </w:r>
      <w:r w:rsidRPr="00061636">
        <w:rPr>
          <w:bCs/>
        </w:rPr>
        <w:t xml:space="preserve"> – Energy Technology Perspectives</w:t>
      </w:r>
    </w:p>
    <w:p w14:paraId="5C3D4ADE" w14:textId="2C9E8FA0" w:rsidR="0068265D" w:rsidRDefault="0068265D" w:rsidP="002A6808">
      <w:pPr>
        <w:pStyle w:val="ListParagraph"/>
        <w:numPr>
          <w:ilvl w:val="0"/>
          <w:numId w:val="4"/>
        </w:numPr>
        <w:tabs>
          <w:tab w:val="left" w:pos="1701"/>
        </w:tabs>
        <w:spacing w:line="240" w:lineRule="auto"/>
        <w:rPr>
          <w:bCs/>
        </w:rPr>
      </w:pPr>
      <w:r>
        <w:rPr>
          <w:bCs/>
        </w:rPr>
        <w:t>EV – Electric Vehicles</w:t>
      </w:r>
    </w:p>
    <w:p w14:paraId="59F8B368" w14:textId="6F4CFE76" w:rsidR="0068265D" w:rsidRPr="00061636" w:rsidRDefault="0068265D" w:rsidP="002A6808">
      <w:pPr>
        <w:pStyle w:val="ListParagraph"/>
        <w:numPr>
          <w:ilvl w:val="0"/>
          <w:numId w:val="4"/>
        </w:numPr>
        <w:tabs>
          <w:tab w:val="left" w:pos="1701"/>
        </w:tabs>
        <w:spacing w:line="240" w:lineRule="auto"/>
        <w:rPr>
          <w:bCs/>
        </w:rPr>
      </w:pPr>
      <w:r w:rsidRPr="00637114">
        <w:rPr>
          <w:rFonts w:cs="Times New Roman"/>
          <w:noProof/>
        </w:rPr>
        <w:t>GaAs</w:t>
      </w:r>
      <w:r>
        <w:rPr>
          <w:rFonts w:cs="Times New Roman"/>
          <w:noProof/>
        </w:rPr>
        <w:t xml:space="preserve"> – Gallium Arsenide</w:t>
      </w:r>
    </w:p>
    <w:p w14:paraId="429A8BD6" w14:textId="7295E017" w:rsidR="00FF5986" w:rsidRPr="00061636" w:rsidRDefault="00FF5986" w:rsidP="002A6808">
      <w:pPr>
        <w:pStyle w:val="ListParagraph"/>
        <w:numPr>
          <w:ilvl w:val="0"/>
          <w:numId w:val="4"/>
        </w:numPr>
        <w:tabs>
          <w:tab w:val="left" w:pos="1701"/>
        </w:tabs>
        <w:spacing w:line="240" w:lineRule="auto"/>
        <w:rPr>
          <w:bCs/>
        </w:rPr>
      </w:pPr>
      <w:r w:rsidRPr="00061636">
        <w:rPr>
          <w:rFonts w:eastAsia="Times New Roman"/>
          <w:color w:val="000000"/>
        </w:rPr>
        <w:t>G</w:t>
      </w:r>
      <w:r w:rsidR="00F4258D" w:rsidRPr="00061636">
        <w:rPr>
          <w:rFonts w:eastAsia="Times New Roman"/>
          <w:color w:val="000000"/>
        </w:rPr>
        <w:t>HG</w:t>
      </w:r>
      <w:r w:rsidRPr="00061636">
        <w:rPr>
          <w:rFonts w:eastAsia="Times New Roman"/>
          <w:color w:val="000000"/>
        </w:rPr>
        <w:t xml:space="preserve"> – Greenhouse Gases Emissions</w:t>
      </w:r>
    </w:p>
    <w:p w14:paraId="3DF376CC" w14:textId="64B92C9D" w:rsidR="00FF5986" w:rsidRPr="00061636" w:rsidRDefault="00FF5986" w:rsidP="002A6808">
      <w:pPr>
        <w:pStyle w:val="ListParagraph"/>
        <w:numPr>
          <w:ilvl w:val="0"/>
          <w:numId w:val="4"/>
        </w:numPr>
        <w:tabs>
          <w:tab w:val="left" w:pos="1701"/>
        </w:tabs>
        <w:spacing w:line="240" w:lineRule="auto"/>
        <w:rPr>
          <w:bCs/>
        </w:rPr>
      </w:pPr>
      <w:r w:rsidRPr="00061636">
        <w:rPr>
          <w:bCs/>
        </w:rPr>
        <w:t>GTM - Greentech Media</w:t>
      </w:r>
    </w:p>
    <w:p w14:paraId="402132B9" w14:textId="26495809" w:rsidR="00FF5986" w:rsidRPr="00061636" w:rsidRDefault="00FF5986" w:rsidP="002A6808">
      <w:pPr>
        <w:pStyle w:val="ListParagraph"/>
        <w:numPr>
          <w:ilvl w:val="0"/>
          <w:numId w:val="4"/>
        </w:numPr>
        <w:tabs>
          <w:tab w:val="left" w:pos="1701"/>
        </w:tabs>
        <w:spacing w:line="240" w:lineRule="auto"/>
        <w:rPr>
          <w:bCs/>
        </w:rPr>
      </w:pPr>
      <w:r w:rsidRPr="00061636">
        <w:rPr>
          <w:bCs/>
        </w:rPr>
        <w:t>GW - Gigawatts</w:t>
      </w:r>
    </w:p>
    <w:p w14:paraId="54A3A90A" w14:textId="54A38D5F" w:rsidR="00FF5986" w:rsidRDefault="00FF5986" w:rsidP="002A6808">
      <w:pPr>
        <w:pStyle w:val="ListParagraph"/>
        <w:numPr>
          <w:ilvl w:val="0"/>
          <w:numId w:val="4"/>
        </w:numPr>
        <w:tabs>
          <w:tab w:val="left" w:pos="1701"/>
        </w:tabs>
        <w:spacing w:line="240" w:lineRule="auto"/>
        <w:rPr>
          <w:bCs/>
        </w:rPr>
      </w:pPr>
      <w:r w:rsidRPr="00061636">
        <w:rPr>
          <w:bCs/>
        </w:rPr>
        <w:t>IEA - International Energy Agency’s</w:t>
      </w:r>
    </w:p>
    <w:p w14:paraId="21735B31" w14:textId="04F5E26F" w:rsidR="00E9457B" w:rsidRDefault="00E9457B" w:rsidP="002A6808">
      <w:pPr>
        <w:pStyle w:val="ListParagraph"/>
        <w:numPr>
          <w:ilvl w:val="0"/>
          <w:numId w:val="4"/>
        </w:numPr>
        <w:tabs>
          <w:tab w:val="left" w:pos="1701"/>
        </w:tabs>
        <w:spacing w:line="240" w:lineRule="auto"/>
        <w:rPr>
          <w:bCs/>
        </w:rPr>
      </w:pPr>
      <w:r>
        <w:rPr>
          <w:bCs/>
        </w:rPr>
        <w:t>IEEJ – The Institute of Energy Economics, Japan</w:t>
      </w:r>
    </w:p>
    <w:p w14:paraId="67FC7664" w14:textId="65D0A998" w:rsidR="00277642" w:rsidRDefault="00277642" w:rsidP="002A6808">
      <w:pPr>
        <w:pStyle w:val="ListParagraph"/>
        <w:numPr>
          <w:ilvl w:val="0"/>
          <w:numId w:val="4"/>
        </w:numPr>
        <w:tabs>
          <w:tab w:val="left" w:pos="1701"/>
        </w:tabs>
        <w:spacing w:line="240" w:lineRule="auto"/>
        <w:rPr>
          <w:bCs/>
        </w:rPr>
      </w:pPr>
      <w:r>
        <w:rPr>
          <w:bCs/>
        </w:rPr>
        <w:t>IPCC – Intergovernmental Panel on Climate Change</w:t>
      </w:r>
    </w:p>
    <w:p w14:paraId="110723BC" w14:textId="62685356" w:rsidR="00277642" w:rsidRDefault="00277642" w:rsidP="002A6808">
      <w:pPr>
        <w:pStyle w:val="ListParagraph"/>
        <w:numPr>
          <w:ilvl w:val="0"/>
          <w:numId w:val="4"/>
        </w:numPr>
        <w:tabs>
          <w:tab w:val="left" w:pos="1701"/>
        </w:tabs>
        <w:spacing w:line="240" w:lineRule="auto"/>
        <w:rPr>
          <w:bCs/>
        </w:rPr>
      </w:pPr>
      <w:r>
        <w:rPr>
          <w:bCs/>
        </w:rPr>
        <w:t>IRENA – International Renewable Energy Agency</w:t>
      </w:r>
    </w:p>
    <w:p w14:paraId="57520400" w14:textId="6D91F49D" w:rsidR="00277642" w:rsidRDefault="00277642" w:rsidP="002A6808">
      <w:pPr>
        <w:pStyle w:val="ListParagraph"/>
        <w:numPr>
          <w:ilvl w:val="0"/>
          <w:numId w:val="4"/>
        </w:numPr>
        <w:tabs>
          <w:tab w:val="left" w:pos="1701"/>
        </w:tabs>
        <w:spacing w:line="240" w:lineRule="auto"/>
        <w:rPr>
          <w:bCs/>
        </w:rPr>
      </w:pPr>
      <w:r>
        <w:rPr>
          <w:bCs/>
        </w:rPr>
        <w:t>ISE – Fraunhofer Institute for Solar Energy Systems</w:t>
      </w:r>
    </w:p>
    <w:p w14:paraId="13622F36" w14:textId="16EE9E39" w:rsidR="00277642" w:rsidRDefault="00277642" w:rsidP="002A6808">
      <w:pPr>
        <w:pStyle w:val="ListParagraph"/>
        <w:numPr>
          <w:ilvl w:val="0"/>
          <w:numId w:val="4"/>
        </w:numPr>
        <w:tabs>
          <w:tab w:val="left" w:pos="1701"/>
        </w:tabs>
        <w:spacing w:line="240" w:lineRule="auto"/>
        <w:rPr>
          <w:bCs/>
        </w:rPr>
      </w:pPr>
      <w:r>
        <w:rPr>
          <w:bCs/>
        </w:rPr>
        <w:t>ITRPV – International technology Roadmap for Photovoltaic</w:t>
      </w:r>
    </w:p>
    <w:p w14:paraId="5B38B304" w14:textId="4C0E9767" w:rsidR="00277642" w:rsidRDefault="00DD7715" w:rsidP="002A6808">
      <w:pPr>
        <w:pStyle w:val="ListParagraph"/>
        <w:numPr>
          <w:ilvl w:val="0"/>
          <w:numId w:val="4"/>
        </w:numPr>
        <w:tabs>
          <w:tab w:val="left" w:pos="1701"/>
        </w:tabs>
        <w:spacing w:line="240" w:lineRule="auto"/>
        <w:rPr>
          <w:bCs/>
        </w:rPr>
      </w:pPr>
      <w:r>
        <w:rPr>
          <w:bCs/>
        </w:rPr>
        <w:t>kW – Kilowatt</w:t>
      </w:r>
    </w:p>
    <w:p w14:paraId="3202F6C7" w14:textId="13F7CAB5" w:rsidR="00DD7715" w:rsidRPr="00061636" w:rsidRDefault="00DD7715" w:rsidP="002A6808">
      <w:pPr>
        <w:pStyle w:val="ListParagraph"/>
        <w:numPr>
          <w:ilvl w:val="0"/>
          <w:numId w:val="4"/>
        </w:numPr>
        <w:tabs>
          <w:tab w:val="left" w:pos="1701"/>
        </w:tabs>
        <w:spacing w:line="240" w:lineRule="auto"/>
        <w:rPr>
          <w:bCs/>
        </w:rPr>
      </w:pPr>
      <w:proofErr w:type="spellStart"/>
      <w:r>
        <w:rPr>
          <w:bCs/>
        </w:rPr>
        <w:t>kW</w:t>
      </w:r>
      <w:r>
        <w:rPr>
          <w:bCs/>
          <w:vertAlign w:val="subscript"/>
        </w:rPr>
        <w:t>p</w:t>
      </w:r>
      <w:proofErr w:type="spellEnd"/>
      <w:r>
        <w:rPr>
          <w:bCs/>
          <w:vertAlign w:val="subscript"/>
        </w:rPr>
        <w:t xml:space="preserve"> </w:t>
      </w:r>
      <w:r>
        <w:rPr>
          <w:bCs/>
        </w:rPr>
        <w:t>– Kilowatt (Peak)</w:t>
      </w:r>
    </w:p>
    <w:p w14:paraId="2598C990" w14:textId="3EBB9881" w:rsidR="00FF5986" w:rsidRPr="00061636" w:rsidRDefault="00FF5986" w:rsidP="002A6808">
      <w:pPr>
        <w:pStyle w:val="ListParagraph"/>
        <w:numPr>
          <w:ilvl w:val="0"/>
          <w:numId w:val="4"/>
        </w:numPr>
        <w:tabs>
          <w:tab w:val="left" w:pos="1701"/>
        </w:tabs>
        <w:spacing w:line="240" w:lineRule="auto"/>
        <w:rPr>
          <w:bCs/>
        </w:rPr>
      </w:pPr>
      <w:r w:rsidRPr="00061636">
        <w:rPr>
          <w:bCs/>
        </w:rPr>
        <w:t>L</w:t>
      </w:r>
      <w:r w:rsidR="007864AB" w:rsidRPr="00061636">
        <w:rPr>
          <w:bCs/>
        </w:rPr>
        <w:t>BNL</w:t>
      </w:r>
      <w:r w:rsidRPr="00061636">
        <w:rPr>
          <w:bCs/>
        </w:rPr>
        <w:t>- Lawrence Berkeley National Laboratory</w:t>
      </w:r>
    </w:p>
    <w:p w14:paraId="7179667C" w14:textId="20971A94" w:rsidR="00FF5986" w:rsidRPr="00061636" w:rsidRDefault="00FF5986" w:rsidP="002A6808">
      <w:pPr>
        <w:pStyle w:val="ListParagraph"/>
        <w:numPr>
          <w:ilvl w:val="0"/>
          <w:numId w:val="4"/>
        </w:numPr>
        <w:tabs>
          <w:tab w:val="left" w:pos="1701"/>
        </w:tabs>
        <w:spacing w:line="240" w:lineRule="auto"/>
        <w:rPr>
          <w:bCs/>
        </w:rPr>
      </w:pPr>
      <w:r w:rsidRPr="00061636">
        <w:rPr>
          <w:bCs/>
        </w:rPr>
        <w:t>LCA – Life Cycle Assessment</w:t>
      </w:r>
    </w:p>
    <w:p w14:paraId="595DA6B2" w14:textId="242833BC" w:rsidR="00FF5986" w:rsidRDefault="00FF5986" w:rsidP="002A6808">
      <w:pPr>
        <w:pStyle w:val="ListParagraph"/>
        <w:numPr>
          <w:ilvl w:val="0"/>
          <w:numId w:val="4"/>
        </w:numPr>
        <w:tabs>
          <w:tab w:val="left" w:pos="1701"/>
        </w:tabs>
        <w:spacing w:line="240" w:lineRule="auto"/>
        <w:rPr>
          <w:bCs/>
        </w:rPr>
      </w:pPr>
      <w:r w:rsidRPr="00061636">
        <w:rPr>
          <w:bCs/>
        </w:rPr>
        <w:t xml:space="preserve">LCOE - Levelized Cost of Electricity </w:t>
      </w:r>
    </w:p>
    <w:p w14:paraId="0BA45B94" w14:textId="77777777" w:rsidR="00164A48" w:rsidRPr="00164A48" w:rsidRDefault="00DD7715" w:rsidP="002A6808">
      <w:pPr>
        <w:pStyle w:val="ListParagraph"/>
        <w:numPr>
          <w:ilvl w:val="0"/>
          <w:numId w:val="4"/>
        </w:numPr>
        <w:tabs>
          <w:tab w:val="left" w:pos="1701"/>
        </w:tabs>
        <w:spacing w:line="240" w:lineRule="auto"/>
      </w:pPr>
      <w:r w:rsidRPr="00DD7715">
        <w:rPr>
          <w:bCs/>
        </w:rPr>
        <w:t>LED – Light Emitting Diode</w:t>
      </w:r>
    </w:p>
    <w:p w14:paraId="5C0F9337" w14:textId="646B8398" w:rsidR="00DD7715" w:rsidRDefault="00DB14D4" w:rsidP="002A6808">
      <w:pPr>
        <w:pStyle w:val="ListParagraph"/>
        <w:numPr>
          <w:ilvl w:val="0"/>
          <w:numId w:val="4"/>
        </w:numPr>
        <w:tabs>
          <w:tab w:val="left" w:pos="1701"/>
        </w:tabs>
        <w:spacing w:line="240" w:lineRule="auto"/>
      </w:pPr>
      <w:r>
        <w:t>LUT -Lappeenranta University of Technology</w:t>
      </w:r>
    </w:p>
    <w:p w14:paraId="40CEE8F5" w14:textId="5B15A99C" w:rsidR="00DB14D4" w:rsidRDefault="00DB14D4" w:rsidP="002A6808">
      <w:pPr>
        <w:pStyle w:val="ListParagraph"/>
        <w:numPr>
          <w:ilvl w:val="0"/>
          <w:numId w:val="4"/>
        </w:numPr>
        <w:tabs>
          <w:tab w:val="left" w:pos="1701"/>
        </w:tabs>
        <w:spacing w:line="240" w:lineRule="auto"/>
      </w:pPr>
      <w:r>
        <w:t>MIT – Massachusetts Institute of Technology</w:t>
      </w:r>
    </w:p>
    <w:p w14:paraId="6918BEFB" w14:textId="2F03F780" w:rsidR="00F5089B" w:rsidRDefault="001C32DB" w:rsidP="002A6808">
      <w:pPr>
        <w:pStyle w:val="ListParagraph"/>
        <w:numPr>
          <w:ilvl w:val="0"/>
          <w:numId w:val="4"/>
        </w:numPr>
        <w:tabs>
          <w:tab w:val="left" w:pos="1701"/>
        </w:tabs>
        <w:spacing w:line="240" w:lineRule="auto"/>
      </w:pPr>
      <w:proofErr w:type="spellStart"/>
      <w:r>
        <w:t>MW</w:t>
      </w:r>
      <w:r>
        <w:rPr>
          <w:vertAlign w:val="subscript"/>
        </w:rPr>
        <w:t>p</w:t>
      </w:r>
      <w:proofErr w:type="spellEnd"/>
      <w:r>
        <w:rPr>
          <w:vertAlign w:val="subscript"/>
        </w:rPr>
        <w:t xml:space="preserve"> </w:t>
      </w:r>
      <w:r>
        <w:t>– Megawatt (Peak)</w:t>
      </w:r>
    </w:p>
    <w:p w14:paraId="463AA9DD" w14:textId="656285EC" w:rsidR="001C32DB" w:rsidRDefault="001C32DB" w:rsidP="002A6808">
      <w:pPr>
        <w:pStyle w:val="ListParagraph"/>
        <w:numPr>
          <w:ilvl w:val="0"/>
          <w:numId w:val="4"/>
        </w:numPr>
        <w:tabs>
          <w:tab w:val="left" w:pos="1701"/>
        </w:tabs>
        <w:spacing w:line="240" w:lineRule="auto"/>
      </w:pPr>
      <w:r>
        <w:t>NAFU -</w:t>
      </w:r>
      <w:r w:rsidRPr="001C32DB">
        <w:rPr>
          <w:b/>
        </w:rPr>
        <w:t xml:space="preserve"> </w:t>
      </w:r>
      <w:r w:rsidRPr="00C31DD1">
        <w:t>Net Annual Functional Units</w:t>
      </w:r>
      <w:r>
        <w:t xml:space="preserve"> </w:t>
      </w:r>
    </w:p>
    <w:p w14:paraId="0FB89158" w14:textId="337A644D" w:rsidR="001C32DB" w:rsidRPr="00DD7715" w:rsidRDefault="001C32DB" w:rsidP="002A6808">
      <w:pPr>
        <w:pStyle w:val="ListParagraph"/>
        <w:numPr>
          <w:ilvl w:val="0"/>
          <w:numId w:val="4"/>
        </w:numPr>
        <w:tabs>
          <w:tab w:val="left" w:pos="1701"/>
        </w:tabs>
        <w:spacing w:line="240" w:lineRule="auto"/>
      </w:pPr>
      <w:r>
        <w:t>NAIU -</w:t>
      </w:r>
      <w:r w:rsidRPr="001C32DB">
        <w:rPr>
          <w:b/>
        </w:rPr>
        <w:t xml:space="preserve"> </w:t>
      </w:r>
      <w:r w:rsidRPr="00C31DD1">
        <w:t>Net Annual Implementation Units</w:t>
      </w:r>
      <w:r>
        <w:t xml:space="preserve"> </w:t>
      </w:r>
    </w:p>
    <w:p w14:paraId="78D0DA0B" w14:textId="23048A70" w:rsidR="00FF5986" w:rsidRPr="00061636" w:rsidRDefault="00FF5986" w:rsidP="002A6808">
      <w:pPr>
        <w:pStyle w:val="ListParagraph"/>
        <w:numPr>
          <w:ilvl w:val="0"/>
          <w:numId w:val="4"/>
        </w:numPr>
        <w:tabs>
          <w:tab w:val="left" w:pos="1701"/>
        </w:tabs>
        <w:spacing w:line="240" w:lineRule="auto"/>
      </w:pPr>
      <w:r w:rsidRPr="00061636">
        <w:t>MW – Megawatt</w:t>
      </w:r>
    </w:p>
    <w:p w14:paraId="7F49E0F6" w14:textId="7966BF74" w:rsidR="00FF5986" w:rsidRPr="00C31DD1" w:rsidRDefault="00FF5986" w:rsidP="002A6808">
      <w:pPr>
        <w:pStyle w:val="ListParagraph"/>
        <w:numPr>
          <w:ilvl w:val="0"/>
          <w:numId w:val="4"/>
        </w:numPr>
        <w:tabs>
          <w:tab w:val="left" w:pos="1701"/>
        </w:tabs>
        <w:spacing w:line="240" w:lineRule="auto"/>
        <w:rPr>
          <w:bCs/>
        </w:rPr>
      </w:pPr>
      <w:r w:rsidRPr="00061636">
        <w:rPr>
          <w:rFonts w:eastAsia="Times New Roman" w:cs="Times New Roman"/>
        </w:rPr>
        <w:t>NOx - Nitrogen Oxides</w:t>
      </w:r>
    </w:p>
    <w:p w14:paraId="75CBAB0A" w14:textId="4097FDD9" w:rsidR="001C32DB" w:rsidRPr="00061636" w:rsidRDefault="001C32DB" w:rsidP="002A6808">
      <w:pPr>
        <w:pStyle w:val="ListParagraph"/>
        <w:numPr>
          <w:ilvl w:val="0"/>
          <w:numId w:val="4"/>
        </w:numPr>
        <w:tabs>
          <w:tab w:val="left" w:pos="1701"/>
        </w:tabs>
        <w:spacing w:line="240" w:lineRule="auto"/>
        <w:rPr>
          <w:bCs/>
        </w:rPr>
      </w:pPr>
      <w:r>
        <w:rPr>
          <w:bCs/>
        </w:rPr>
        <w:t>NPV – Net Present Value</w:t>
      </w:r>
    </w:p>
    <w:p w14:paraId="50483F11" w14:textId="02FDE0FD" w:rsidR="00FF5986" w:rsidRPr="00061636" w:rsidRDefault="00FF5986" w:rsidP="002A6808">
      <w:pPr>
        <w:pStyle w:val="ListParagraph"/>
        <w:numPr>
          <w:ilvl w:val="0"/>
          <w:numId w:val="4"/>
        </w:numPr>
        <w:tabs>
          <w:tab w:val="left" w:pos="1701"/>
        </w:tabs>
        <w:spacing w:line="240" w:lineRule="auto"/>
      </w:pPr>
      <w:r w:rsidRPr="00061636">
        <w:lastRenderedPageBreak/>
        <w:t>NREL - National Renewable Energy Laboratory</w:t>
      </w:r>
      <w:r w:rsidR="001C32DB">
        <w:t xml:space="preserve"> (US)</w:t>
      </w:r>
    </w:p>
    <w:p w14:paraId="7EA85932" w14:textId="60ACFCB6" w:rsidR="00FF5986" w:rsidRPr="00C31DD1" w:rsidRDefault="00FF5986" w:rsidP="002A6808">
      <w:pPr>
        <w:pStyle w:val="ListParagraph"/>
        <w:numPr>
          <w:ilvl w:val="0"/>
          <w:numId w:val="4"/>
        </w:numPr>
        <w:tabs>
          <w:tab w:val="left" w:pos="1701"/>
        </w:tabs>
        <w:spacing w:line="240" w:lineRule="auto"/>
        <w:rPr>
          <w:bCs/>
        </w:rPr>
      </w:pPr>
      <w:r w:rsidRPr="00061636">
        <w:rPr>
          <w:rFonts w:eastAsia="Times New Roman"/>
          <w:color w:val="000000"/>
        </w:rPr>
        <w:t>O&amp;M - Operation and Maintenance</w:t>
      </w:r>
    </w:p>
    <w:p w14:paraId="6767B1CD" w14:textId="03B8B3D4" w:rsidR="001C32DB" w:rsidRDefault="001C32DB" w:rsidP="002A6808">
      <w:pPr>
        <w:pStyle w:val="ListParagraph"/>
        <w:numPr>
          <w:ilvl w:val="0"/>
          <w:numId w:val="4"/>
        </w:numPr>
        <w:tabs>
          <w:tab w:val="left" w:pos="1701"/>
        </w:tabs>
        <w:spacing w:line="240" w:lineRule="auto"/>
        <w:rPr>
          <w:bCs/>
        </w:rPr>
      </w:pPr>
      <w:r>
        <w:rPr>
          <w:bCs/>
        </w:rPr>
        <w:t>OECD – Organi</w:t>
      </w:r>
      <w:r w:rsidR="00164A48">
        <w:rPr>
          <w:bCs/>
        </w:rPr>
        <w:t>z</w:t>
      </w:r>
      <w:r>
        <w:rPr>
          <w:bCs/>
        </w:rPr>
        <w:t>ation for Economic Co-operation</w:t>
      </w:r>
      <w:r w:rsidR="009D7C0A">
        <w:rPr>
          <w:bCs/>
        </w:rPr>
        <w:t xml:space="preserve"> and Development</w:t>
      </w:r>
    </w:p>
    <w:p w14:paraId="7DCA1870" w14:textId="0275ACF0" w:rsidR="009D7C0A" w:rsidRPr="00061636" w:rsidRDefault="009D7C0A" w:rsidP="002A6808">
      <w:pPr>
        <w:pStyle w:val="ListParagraph"/>
        <w:numPr>
          <w:ilvl w:val="0"/>
          <w:numId w:val="4"/>
        </w:numPr>
        <w:tabs>
          <w:tab w:val="left" w:pos="1701"/>
        </w:tabs>
        <w:spacing w:line="240" w:lineRule="auto"/>
        <w:rPr>
          <w:bCs/>
        </w:rPr>
      </w:pPr>
      <w:r>
        <w:rPr>
          <w:bCs/>
        </w:rPr>
        <w:t>PD – Project Drawdown</w:t>
      </w:r>
    </w:p>
    <w:p w14:paraId="62AF1AC7" w14:textId="605EC4D4" w:rsidR="00E11F1D" w:rsidRPr="00E11F1D" w:rsidRDefault="00E11F1D" w:rsidP="002A6808">
      <w:pPr>
        <w:pStyle w:val="ListParagraph"/>
        <w:numPr>
          <w:ilvl w:val="0"/>
          <w:numId w:val="4"/>
        </w:numPr>
        <w:tabs>
          <w:tab w:val="left" w:pos="1701"/>
        </w:tabs>
        <w:spacing w:line="240" w:lineRule="auto"/>
        <w:rPr>
          <w:bCs/>
        </w:rPr>
      </w:pPr>
      <w:r>
        <w:rPr>
          <w:bCs/>
        </w:rPr>
        <w:t>PDS - Project Drawdown Scenario</w:t>
      </w:r>
    </w:p>
    <w:p w14:paraId="1B72D431" w14:textId="01DBFCF4" w:rsidR="00FF5986" w:rsidRPr="00061636" w:rsidRDefault="007864AB" w:rsidP="002A6808">
      <w:pPr>
        <w:pStyle w:val="ListParagraph"/>
        <w:numPr>
          <w:ilvl w:val="0"/>
          <w:numId w:val="4"/>
        </w:numPr>
        <w:tabs>
          <w:tab w:val="left" w:pos="1701"/>
        </w:tabs>
        <w:spacing w:line="240" w:lineRule="auto"/>
        <w:rPr>
          <w:bCs/>
        </w:rPr>
      </w:pPr>
      <w:r w:rsidRPr="00061636">
        <w:rPr>
          <w:rFonts w:eastAsia="Times New Roman" w:cs="Times New Roman"/>
        </w:rPr>
        <w:t>PM</w:t>
      </w:r>
      <w:r w:rsidR="009D7C0A">
        <w:rPr>
          <w:rFonts w:eastAsia="Times New Roman" w:cs="Times New Roman"/>
          <w:vertAlign w:val="subscript"/>
        </w:rPr>
        <w:t>2.5</w:t>
      </w:r>
      <w:r w:rsidR="00FF5986" w:rsidRPr="00061636">
        <w:rPr>
          <w:rFonts w:eastAsia="Times New Roman" w:cs="Times New Roman"/>
        </w:rPr>
        <w:t xml:space="preserve"> - Particular Matter </w:t>
      </w:r>
      <w:r w:rsidR="009D7C0A">
        <w:rPr>
          <w:rFonts w:eastAsia="Times New Roman" w:cs="Times New Roman"/>
        </w:rPr>
        <w:t xml:space="preserve">( </w:t>
      </w:r>
      <w:r w:rsidR="00FF5986" w:rsidRPr="00061636">
        <w:rPr>
          <w:rFonts w:eastAsia="Times New Roman" w:cs="Times New Roman"/>
        </w:rPr>
        <w:t>2.5</w:t>
      </w:r>
      <w:r w:rsidR="009D7C0A">
        <w:rPr>
          <w:rFonts w:eastAsia="Times New Roman" w:cs="Times New Roman"/>
        </w:rPr>
        <w:t>µm)</w:t>
      </w:r>
    </w:p>
    <w:p w14:paraId="1F432D8D" w14:textId="7E6F43EF" w:rsidR="00FF5986" w:rsidRDefault="00FF5986" w:rsidP="002A6808">
      <w:pPr>
        <w:pStyle w:val="ListParagraph"/>
        <w:numPr>
          <w:ilvl w:val="0"/>
          <w:numId w:val="4"/>
        </w:numPr>
        <w:tabs>
          <w:tab w:val="left" w:pos="1701"/>
        </w:tabs>
        <w:spacing w:line="240" w:lineRule="auto"/>
      </w:pPr>
      <w:r w:rsidRPr="00061636">
        <w:t xml:space="preserve">PPA </w:t>
      </w:r>
      <w:r w:rsidR="007864AB" w:rsidRPr="00061636">
        <w:t>- Power Purchase A</w:t>
      </w:r>
      <w:r w:rsidRPr="00061636">
        <w:t>greement</w:t>
      </w:r>
    </w:p>
    <w:p w14:paraId="0D8E331F" w14:textId="048E01D6" w:rsidR="009D7C0A" w:rsidRDefault="009D7C0A" w:rsidP="002A6808">
      <w:pPr>
        <w:pStyle w:val="ListParagraph"/>
        <w:numPr>
          <w:ilvl w:val="0"/>
          <w:numId w:val="4"/>
        </w:numPr>
        <w:tabs>
          <w:tab w:val="left" w:pos="1701"/>
        </w:tabs>
        <w:spacing w:line="240" w:lineRule="auto"/>
      </w:pPr>
      <w:r>
        <w:t>PPB – Parts Per Billion</w:t>
      </w:r>
    </w:p>
    <w:p w14:paraId="56E92238" w14:textId="3884BFCE" w:rsidR="009D7C0A" w:rsidRPr="00061636" w:rsidRDefault="009D7C0A" w:rsidP="002A6808">
      <w:pPr>
        <w:pStyle w:val="ListParagraph"/>
        <w:numPr>
          <w:ilvl w:val="0"/>
          <w:numId w:val="4"/>
        </w:numPr>
        <w:tabs>
          <w:tab w:val="left" w:pos="1701"/>
        </w:tabs>
        <w:spacing w:line="240" w:lineRule="auto"/>
      </w:pPr>
      <w:r>
        <w:t>PPM – Parts Per Million</w:t>
      </w:r>
    </w:p>
    <w:p w14:paraId="6F373437" w14:textId="6F83BE81" w:rsidR="00FF5986" w:rsidRPr="00061636" w:rsidRDefault="00FF5986" w:rsidP="002A6808">
      <w:pPr>
        <w:pStyle w:val="ListParagraph"/>
        <w:numPr>
          <w:ilvl w:val="0"/>
          <w:numId w:val="4"/>
        </w:numPr>
        <w:tabs>
          <w:tab w:val="left" w:pos="1701"/>
        </w:tabs>
        <w:spacing w:line="240" w:lineRule="auto"/>
      </w:pPr>
      <w:r w:rsidRPr="00061636">
        <w:rPr>
          <w:bCs/>
        </w:rPr>
        <w:t>P</w:t>
      </w:r>
      <w:r w:rsidR="009D7C0A">
        <w:rPr>
          <w:bCs/>
        </w:rPr>
        <w:t>SC</w:t>
      </w:r>
      <w:r w:rsidRPr="00061636">
        <w:rPr>
          <w:bCs/>
        </w:rPr>
        <w:t>s - Perovskite Solar Cells</w:t>
      </w:r>
    </w:p>
    <w:p w14:paraId="33DB1273" w14:textId="2C305EF7" w:rsidR="00FF5986" w:rsidRDefault="00FF5986" w:rsidP="002A6808">
      <w:pPr>
        <w:pStyle w:val="ListParagraph"/>
        <w:numPr>
          <w:ilvl w:val="0"/>
          <w:numId w:val="4"/>
        </w:numPr>
        <w:tabs>
          <w:tab w:val="left" w:pos="1701"/>
        </w:tabs>
        <w:spacing w:line="240" w:lineRule="auto"/>
      </w:pPr>
      <w:r w:rsidRPr="00061636">
        <w:t xml:space="preserve">PV </w:t>
      </w:r>
      <w:r w:rsidR="009D7C0A">
        <w:t>–</w:t>
      </w:r>
      <w:r w:rsidRPr="00061636">
        <w:t xml:space="preserve"> Photovoltaic</w:t>
      </w:r>
    </w:p>
    <w:p w14:paraId="76F7691C" w14:textId="6B22E0D8" w:rsidR="009D7C0A" w:rsidRDefault="009D7C0A" w:rsidP="002A6808">
      <w:pPr>
        <w:pStyle w:val="ListParagraph"/>
        <w:numPr>
          <w:ilvl w:val="0"/>
          <w:numId w:val="4"/>
        </w:numPr>
        <w:tabs>
          <w:tab w:val="left" w:pos="1701"/>
        </w:tabs>
        <w:spacing w:line="240" w:lineRule="auto"/>
      </w:pPr>
      <w:r>
        <w:t>PVPS – Photovoltaic Power Systems Program (IEA)</w:t>
      </w:r>
    </w:p>
    <w:p w14:paraId="1DB0248F" w14:textId="2AC3C273" w:rsidR="009D7C0A" w:rsidRDefault="009D7C0A" w:rsidP="002A6808">
      <w:pPr>
        <w:pStyle w:val="ListParagraph"/>
        <w:numPr>
          <w:ilvl w:val="0"/>
          <w:numId w:val="4"/>
        </w:numPr>
        <w:tabs>
          <w:tab w:val="left" w:pos="1701"/>
        </w:tabs>
        <w:spacing w:line="240" w:lineRule="auto"/>
      </w:pPr>
      <w:r>
        <w:t>REF – Reference Case</w:t>
      </w:r>
      <w:r w:rsidR="00D06562">
        <w:t xml:space="preserve"> </w:t>
      </w:r>
    </w:p>
    <w:p w14:paraId="33078727" w14:textId="595262D6" w:rsidR="00D06562" w:rsidRDefault="00D06562" w:rsidP="002A6808">
      <w:pPr>
        <w:pStyle w:val="ListParagraph"/>
        <w:numPr>
          <w:ilvl w:val="0"/>
          <w:numId w:val="4"/>
        </w:numPr>
        <w:tabs>
          <w:tab w:val="left" w:pos="1701"/>
        </w:tabs>
        <w:spacing w:line="240" w:lineRule="auto"/>
      </w:pPr>
      <w:proofErr w:type="spellStart"/>
      <w:r>
        <w:t>REmap</w:t>
      </w:r>
      <w:proofErr w:type="spellEnd"/>
      <w:r>
        <w:t xml:space="preserve"> – Renewable Energy Roadmap (IRENA)</w:t>
      </w:r>
    </w:p>
    <w:p w14:paraId="48A6856E" w14:textId="62EF1FB0" w:rsidR="00D06562" w:rsidRDefault="00D06562" w:rsidP="002A6808">
      <w:pPr>
        <w:pStyle w:val="ListParagraph"/>
        <w:numPr>
          <w:ilvl w:val="0"/>
          <w:numId w:val="4"/>
        </w:numPr>
        <w:tabs>
          <w:tab w:val="left" w:pos="1701"/>
        </w:tabs>
        <w:spacing w:line="240" w:lineRule="auto"/>
      </w:pPr>
      <w:r>
        <w:t>REN21 – Renewable Energy Policy Network for the 21</w:t>
      </w:r>
      <w:r w:rsidRPr="00C31DD1">
        <w:rPr>
          <w:vertAlign w:val="superscript"/>
        </w:rPr>
        <w:t>st</w:t>
      </w:r>
      <w:r>
        <w:t xml:space="preserve"> century</w:t>
      </w:r>
    </w:p>
    <w:p w14:paraId="0A9F90C9" w14:textId="5B577856" w:rsidR="00D06562" w:rsidRDefault="00D06562" w:rsidP="002A6808">
      <w:pPr>
        <w:pStyle w:val="ListParagraph"/>
        <w:numPr>
          <w:ilvl w:val="0"/>
          <w:numId w:val="4"/>
        </w:numPr>
        <w:tabs>
          <w:tab w:val="left" w:pos="1701"/>
        </w:tabs>
        <w:spacing w:line="240" w:lineRule="auto"/>
      </w:pPr>
      <w:r>
        <w:t>RPO – Renewable Purchase Obligation</w:t>
      </w:r>
    </w:p>
    <w:p w14:paraId="45B06F88" w14:textId="58259A9D" w:rsidR="00D06562" w:rsidRPr="00061636" w:rsidRDefault="00D06562" w:rsidP="002A6808">
      <w:pPr>
        <w:pStyle w:val="ListParagraph"/>
        <w:numPr>
          <w:ilvl w:val="0"/>
          <w:numId w:val="4"/>
        </w:numPr>
        <w:tabs>
          <w:tab w:val="left" w:pos="1701"/>
        </w:tabs>
        <w:spacing w:line="240" w:lineRule="auto"/>
      </w:pPr>
      <w:r>
        <w:t xml:space="preserve">RRS – </w:t>
      </w:r>
      <w:r w:rsidR="000E42CD">
        <w:t>R</w:t>
      </w:r>
      <w:r>
        <w:t>eduction and Replacement Solutions</w:t>
      </w:r>
    </w:p>
    <w:p w14:paraId="765F91FA" w14:textId="394EC1CD" w:rsidR="00FF5986" w:rsidRPr="00061636" w:rsidRDefault="00FF5986" w:rsidP="002A6808">
      <w:pPr>
        <w:pStyle w:val="ListParagraph"/>
        <w:numPr>
          <w:ilvl w:val="0"/>
          <w:numId w:val="4"/>
        </w:numPr>
        <w:tabs>
          <w:tab w:val="left" w:pos="1701"/>
        </w:tabs>
        <w:spacing w:line="240" w:lineRule="auto"/>
        <w:rPr>
          <w:bCs/>
        </w:rPr>
      </w:pPr>
      <w:r w:rsidRPr="00061636">
        <w:rPr>
          <w:bCs/>
        </w:rPr>
        <w:t>SEIA - Solar Energy Industries Association</w:t>
      </w:r>
    </w:p>
    <w:p w14:paraId="4B70199B" w14:textId="35A95B31" w:rsidR="00FF5986" w:rsidRPr="00C31DD1" w:rsidRDefault="00FF5986" w:rsidP="002A6808">
      <w:pPr>
        <w:pStyle w:val="ListParagraph"/>
        <w:numPr>
          <w:ilvl w:val="0"/>
          <w:numId w:val="4"/>
        </w:numPr>
        <w:tabs>
          <w:tab w:val="left" w:pos="1701"/>
        </w:tabs>
        <w:spacing w:line="240" w:lineRule="auto"/>
        <w:rPr>
          <w:bCs/>
        </w:rPr>
      </w:pPr>
      <w:r w:rsidRPr="00061636">
        <w:rPr>
          <w:rFonts w:eastAsia="Times New Roman" w:cs="Times New Roman"/>
        </w:rPr>
        <w:t>SO</w:t>
      </w:r>
      <w:r w:rsidRPr="00061636">
        <w:rPr>
          <w:rFonts w:eastAsia="Times New Roman" w:cs="Times New Roman"/>
          <w:vertAlign w:val="subscript"/>
        </w:rPr>
        <w:t>2</w:t>
      </w:r>
      <w:r w:rsidRPr="00061636">
        <w:rPr>
          <w:rFonts w:eastAsia="Times New Roman" w:cs="Times New Roman"/>
        </w:rPr>
        <w:t xml:space="preserve"> - Sulfur Dioxide</w:t>
      </w:r>
    </w:p>
    <w:p w14:paraId="3D1C3EB1" w14:textId="7E12890B" w:rsidR="000E42CD" w:rsidRPr="00061636" w:rsidRDefault="000E42CD" w:rsidP="002A6808">
      <w:pPr>
        <w:pStyle w:val="ListParagraph"/>
        <w:numPr>
          <w:ilvl w:val="0"/>
          <w:numId w:val="4"/>
        </w:numPr>
        <w:tabs>
          <w:tab w:val="left" w:pos="1701"/>
        </w:tabs>
        <w:spacing w:line="240" w:lineRule="auto"/>
        <w:rPr>
          <w:bCs/>
        </w:rPr>
      </w:pPr>
      <w:r>
        <w:rPr>
          <w:bCs/>
        </w:rPr>
        <w:t>SPV – Solar Photovoltaic</w:t>
      </w:r>
    </w:p>
    <w:p w14:paraId="26933DD4" w14:textId="4534B6B3" w:rsidR="00FF5986" w:rsidRPr="00061636" w:rsidRDefault="00FF5986" w:rsidP="002A6808">
      <w:pPr>
        <w:pStyle w:val="ListParagraph"/>
        <w:numPr>
          <w:ilvl w:val="0"/>
          <w:numId w:val="4"/>
        </w:numPr>
        <w:tabs>
          <w:tab w:val="left" w:pos="1701"/>
        </w:tabs>
        <w:spacing w:line="240" w:lineRule="auto"/>
        <w:rPr>
          <w:bCs/>
        </w:rPr>
      </w:pPr>
      <w:r w:rsidRPr="00061636">
        <w:rPr>
          <w:bCs/>
        </w:rPr>
        <w:t>TAM - Total Addressable Market</w:t>
      </w:r>
    </w:p>
    <w:p w14:paraId="79B7C4C8" w14:textId="28205BD7" w:rsidR="00FF5986" w:rsidRDefault="00FF5986" w:rsidP="002A6808">
      <w:pPr>
        <w:pStyle w:val="ListParagraph"/>
        <w:numPr>
          <w:ilvl w:val="0"/>
          <w:numId w:val="4"/>
        </w:numPr>
        <w:tabs>
          <w:tab w:val="left" w:pos="1701"/>
        </w:tabs>
        <w:spacing w:line="240" w:lineRule="auto"/>
        <w:rPr>
          <w:bCs/>
        </w:rPr>
      </w:pPr>
      <w:proofErr w:type="spellStart"/>
      <w:r w:rsidRPr="00061636">
        <w:rPr>
          <w:bCs/>
        </w:rPr>
        <w:t>TWh</w:t>
      </w:r>
      <w:proofErr w:type="spellEnd"/>
      <w:r w:rsidRPr="00061636">
        <w:rPr>
          <w:bCs/>
        </w:rPr>
        <w:t xml:space="preserve"> - Terawatt-Hours</w:t>
      </w:r>
    </w:p>
    <w:p w14:paraId="7C700FDC" w14:textId="4F9C119A" w:rsidR="000E42CD" w:rsidRDefault="000E42CD" w:rsidP="002A6808">
      <w:pPr>
        <w:pStyle w:val="ListParagraph"/>
        <w:numPr>
          <w:ilvl w:val="0"/>
          <w:numId w:val="4"/>
        </w:numPr>
        <w:tabs>
          <w:tab w:val="left" w:pos="1701"/>
        </w:tabs>
        <w:spacing w:line="240" w:lineRule="auto"/>
        <w:rPr>
          <w:bCs/>
        </w:rPr>
      </w:pPr>
      <w:r>
        <w:rPr>
          <w:bCs/>
        </w:rPr>
        <w:t>USD – United States Dollars</w:t>
      </w:r>
    </w:p>
    <w:p w14:paraId="315C2BA5" w14:textId="59392A79" w:rsidR="000E42CD" w:rsidRPr="00061636" w:rsidRDefault="000E42CD" w:rsidP="002A6808">
      <w:pPr>
        <w:pStyle w:val="ListParagraph"/>
        <w:numPr>
          <w:ilvl w:val="0"/>
          <w:numId w:val="4"/>
        </w:numPr>
        <w:tabs>
          <w:tab w:val="left" w:pos="1701"/>
        </w:tabs>
        <w:spacing w:line="240" w:lineRule="auto"/>
        <w:rPr>
          <w:bCs/>
        </w:rPr>
      </w:pPr>
      <w:r>
        <w:rPr>
          <w:bCs/>
        </w:rPr>
        <w:t>WEO – World Energy Outlook (IEA)</w:t>
      </w:r>
    </w:p>
    <w:p w14:paraId="6A83083A" w14:textId="1734BE8D" w:rsidR="00C31DD1" w:rsidRDefault="00C31DD1">
      <w:pPr>
        <w:spacing w:after="160" w:line="259" w:lineRule="auto"/>
        <w:jc w:val="left"/>
      </w:pPr>
      <w:r>
        <w:br w:type="page"/>
      </w:r>
    </w:p>
    <w:p w14:paraId="258D1C7E" w14:textId="715088AD" w:rsidR="00E844EA" w:rsidRPr="00C31DD1" w:rsidRDefault="551A77D0" w:rsidP="00C31DD1">
      <w:pPr>
        <w:rPr>
          <w:rFonts w:cstheme="majorHAnsi"/>
          <w:sz w:val="28"/>
          <w:szCs w:val="28"/>
        </w:rPr>
      </w:pPr>
      <w:r w:rsidRPr="00C31DD1">
        <w:rPr>
          <w:rFonts w:asciiTheme="majorHAnsi" w:hAnsiTheme="majorHAnsi" w:cstheme="majorHAnsi"/>
          <w:color w:val="4F81BD" w:themeColor="accent1"/>
          <w:sz w:val="28"/>
          <w:szCs w:val="28"/>
        </w:rPr>
        <w:lastRenderedPageBreak/>
        <w:t>Executive Summary</w:t>
      </w:r>
    </w:p>
    <w:p w14:paraId="15300DC1" w14:textId="36220409" w:rsidR="00E774BD" w:rsidRPr="00061636" w:rsidRDefault="00DA1392" w:rsidP="00396031">
      <w:pPr>
        <w:spacing w:line="240" w:lineRule="auto"/>
      </w:pPr>
      <w:r w:rsidRPr="00061636">
        <w:t>Project Drawdown defines</w:t>
      </w:r>
      <w:r w:rsidR="00C770EB" w:rsidRPr="00061636">
        <w:t xml:space="preserve"> </w:t>
      </w:r>
      <w:r w:rsidR="00A156B9" w:rsidRPr="00061636">
        <w:t>“</w:t>
      </w:r>
      <w:r w:rsidR="005F0E84">
        <w:rPr>
          <w:i/>
          <w:iCs/>
        </w:rPr>
        <w:t xml:space="preserve">Utility Scale Solar </w:t>
      </w:r>
      <w:proofErr w:type="spellStart"/>
      <w:r w:rsidR="005F0E84">
        <w:rPr>
          <w:i/>
          <w:iCs/>
        </w:rPr>
        <w:t>Phtovoltaics</w:t>
      </w:r>
      <w:proofErr w:type="spellEnd"/>
      <w:r w:rsidR="00A156B9" w:rsidRPr="00061636">
        <w:rPr>
          <w:i/>
          <w:iCs/>
        </w:rPr>
        <w:t>”</w:t>
      </w:r>
      <w:r w:rsidR="00F4258D" w:rsidRPr="00061636">
        <w:t xml:space="preserve"> as</w:t>
      </w:r>
      <w:r w:rsidRPr="00061636">
        <w:t xml:space="preserve"> </w:t>
      </w:r>
      <w:r w:rsidR="00C770EB" w:rsidRPr="00061636">
        <w:t xml:space="preserve">a </w:t>
      </w:r>
      <w:r w:rsidR="00E349AC" w:rsidRPr="00061636">
        <w:t xml:space="preserve">grid-connected </w:t>
      </w:r>
      <w:r w:rsidRPr="00061636">
        <w:t>utility-scale solar photovoltaic (</w:t>
      </w:r>
      <w:r w:rsidR="00413846" w:rsidRPr="00061636">
        <w:t>S</w:t>
      </w:r>
      <w:r w:rsidRPr="00061636">
        <w:t xml:space="preserve">PV) </w:t>
      </w:r>
      <w:r w:rsidR="005F0E84">
        <w:t>powerplant</w:t>
      </w:r>
      <w:r w:rsidR="00E349AC" w:rsidRPr="00061636">
        <w:t xml:space="preserve"> </w:t>
      </w:r>
      <w:r w:rsidR="009C3E0A" w:rsidRPr="00061636">
        <w:t xml:space="preserve">having a capacity </w:t>
      </w:r>
      <w:r w:rsidR="00E349AC" w:rsidRPr="00061636">
        <w:t>of over 1MW</w:t>
      </w:r>
      <w:r w:rsidRPr="00061636">
        <w:t>.</w:t>
      </w:r>
      <w:r w:rsidR="00E349AC" w:rsidRPr="00061636">
        <w:t xml:space="preserve"> </w:t>
      </w:r>
      <w:r w:rsidRPr="00061636">
        <w:t xml:space="preserve">Since 2010, the </w:t>
      </w:r>
      <w:r w:rsidR="00BC676E" w:rsidRPr="00061636">
        <w:t xml:space="preserve">solar </w:t>
      </w:r>
      <w:r w:rsidRPr="00061636">
        <w:t>photovoltaic</w:t>
      </w:r>
      <w:r w:rsidR="00BC676E" w:rsidRPr="00061636">
        <w:t xml:space="preserve"> (SPV)</w:t>
      </w:r>
      <w:r w:rsidRPr="00061636">
        <w:t xml:space="preserve"> market has </w:t>
      </w:r>
      <w:r w:rsidR="00AF45A6" w:rsidRPr="00061636">
        <w:t>grown rapidly</w:t>
      </w:r>
      <w:r w:rsidR="00C31DD1">
        <w:t xml:space="preserve"> </w:t>
      </w:r>
      <w:r w:rsidR="002C1087">
        <w:t>-</w:t>
      </w:r>
      <w:r w:rsidR="002C1087" w:rsidRPr="00061636">
        <w:t xml:space="preserve"> 398</w:t>
      </w:r>
      <w:r w:rsidRPr="00061636">
        <w:t xml:space="preserve"> gigawatts</w:t>
      </w:r>
      <w:r w:rsidR="001B13F6">
        <w:t xml:space="preserve"> </w:t>
      </w:r>
      <w:r w:rsidR="009136AE">
        <w:t>(GW)</w:t>
      </w:r>
      <w:r w:rsidRPr="00061636">
        <w:t xml:space="preserve"> of total solar PV </w:t>
      </w:r>
      <w:r w:rsidR="00F13F70" w:rsidRPr="00061636">
        <w:t xml:space="preserve">generation </w:t>
      </w:r>
      <w:r w:rsidRPr="00061636">
        <w:t xml:space="preserve">capacity </w:t>
      </w:r>
      <w:r w:rsidR="002C1087">
        <w:t>ha</w:t>
      </w:r>
      <w:r w:rsidR="00692AAD">
        <w:t>s</w:t>
      </w:r>
      <w:r w:rsidR="00B90D1D">
        <w:t xml:space="preserve"> </w:t>
      </w:r>
      <w:r w:rsidR="00C31DD1">
        <w:t>been</w:t>
      </w:r>
      <w:r w:rsidRPr="00061636">
        <w:t xml:space="preserve"> installed worldwide </w:t>
      </w:r>
      <w:r w:rsidR="00B90D1D">
        <w:t>till</w:t>
      </w:r>
      <w:r w:rsidRPr="00061636">
        <w:t xml:space="preserve"> the end of 20</w:t>
      </w:r>
      <w:r w:rsidR="00F13F70" w:rsidRPr="00061636">
        <w:t>17</w:t>
      </w:r>
      <w:r w:rsidR="00B90D1D">
        <w:t>.</w:t>
      </w:r>
      <w:r w:rsidRPr="00061636">
        <w:t xml:space="preserve"> In </w:t>
      </w:r>
      <w:r w:rsidR="00AF45A6" w:rsidRPr="00061636">
        <w:t xml:space="preserve">many </w:t>
      </w:r>
      <w:r w:rsidR="002C1087" w:rsidRPr="00061636">
        <w:t xml:space="preserve">markets, </w:t>
      </w:r>
      <w:r w:rsidR="002C1087">
        <w:t>the</w:t>
      </w:r>
      <w:r w:rsidR="00F81A3E">
        <w:t xml:space="preserve"> newly installed</w:t>
      </w:r>
      <w:r w:rsidRPr="00061636">
        <w:t xml:space="preserve"> capacity</w:t>
      </w:r>
      <w:r w:rsidR="00F81A3E">
        <w:t xml:space="preserve"> is </w:t>
      </w:r>
      <w:r w:rsidR="00AF45A6">
        <w:t>coming</w:t>
      </w:r>
      <w:r w:rsidR="00AF45A6" w:rsidRPr="00061636">
        <w:t xml:space="preserve"> primarily</w:t>
      </w:r>
      <w:r w:rsidRPr="00061636">
        <w:t xml:space="preserve"> from utility-scale installations rather than </w:t>
      </w:r>
      <w:r w:rsidR="00C94AC2" w:rsidRPr="00061636">
        <w:t xml:space="preserve">from </w:t>
      </w:r>
      <w:r w:rsidRPr="00061636">
        <w:t xml:space="preserve">distributed </w:t>
      </w:r>
      <w:r w:rsidR="00C94AC2" w:rsidRPr="00061636">
        <w:t>systems</w:t>
      </w:r>
      <w:r w:rsidR="00A04FA1">
        <w:t xml:space="preserve">. </w:t>
      </w:r>
      <w:r w:rsidR="00F81A3E">
        <w:t xml:space="preserve">As a result, </w:t>
      </w:r>
      <w:r w:rsidR="0039740E">
        <w:t>ambitious</w:t>
      </w:r>
      <w:r w:rsidR="007A09F4" w:rsidRPr="00061636">
        <w:t xml:space="preserve"> </w:t>
      </w:r>
      <w:r w:rsidR="00413846" w:rsidRPr="00061636">
        <w:t>projections</w:t>
      </w:r>
      <w:r w:rsidR="007076B2" w:rsidRPr="00061636">
        <w:t xml:space="preserve"> are </w:t>
      </w:r>
      <w:r w:rsidR="00F81A3E">
        <w:t xml:space="preserve">now </w:t>
      </w:r>
      <w:r w:rsidR="007076B2" w:rsidRPr="00061636">
        <w:t xml:space="preserve">being made </w:t>
      </w:r>
      <w:r w:rsidR="00AF45A6" w:rsidRPr="00061636">
        <w:t xml:space="preserve">on </w:t>
      </w:r>
      <w:r w:rsidR="00AF45A6">
        <w:t>higher</w:t>
      </w:r>
      <w:r w:rsidR="007076B2" w:rsidRPr="00061636">
        <w:t xml:space="preserve"> adoption of renewable energy for</w:t>
      </w:r>
      <w:r w:rsidR="0039740E">
        <w:t xml:space="preserve"> power</w:t>
      </w:r>
      <w:r w:rsidR="007076B2" w:rsidRPr="00061636">
        <w:t xml:space="preserve"> generation</w:t>
      </w:r>
      <w:r w:rsidR="0039740E">
        <w:t>.</w:t>
      </w:r>
      <w:r w:rsidR="007076B2" w:rsidRPr="00061636">
        <w:t xml:space="preserve"> </w:t>
      </w:r>
      <w:r w:rsidR="00A2237E">
        <w:t>Some r</w:t>
      </w:r>
      <w:r w:rsidR="00F81A3E">
        <w:t xml:space="preserve">ecent scenarios have </w:t>
      </w:r>
      <w:r w:rsidR="008E08C0">
        <w:t xml:space="preserve">even </w:t>
      </w:r>
      <w:r w:rsidR="00F81A3E">
        <w:t>predicted</w:t>
      </w:r>
      <w:r w:rsidR="00A2237E">
        <w:t xml:space="preserve"> almost 60% of </w:t>
      </w:r>
      <w:r w:rsidR="008E08C0">
        <w:t xml:space="preserve">global </w:t>
      </w:r>
      <w:r w:rsidR="00A2237E">
        <w:t>electricity generation to come from solar energy</w:t>
      </w:r>
      <w:r w:rsidR="008E08C0">
        <w:t xml:space="preserve"> by 2050</w:t>
      </w:r>
      <w:r w:rsidR="00A2237E">
        <w:t>.</w:t>
      </w:r>
    </w:p>
    <w:p w14:paraId="276A1B7C" w14:textId="52018CCF" w:rsidR="00DA1392" w:rsidRPr="00061636" w:rsidRDefault="00AF45A6" w:rsidP="00396031">
      <w:pPr>
        <w:spacing w:line="240" w:lineRule="auto"/>
      </w:pPr>
      <w:r w:rsidRPr="00061636">
        <w:t xml:space="preserve">The </w:t>
      </w:r>
      <w:r>
        <w:t>initial</w:t>
      </w:r>
      <w:r w:rsidR="004D7BA8" w:rsidRPr="00061636">
        <w:t xml:space="preserve"> investment</w:t>
      </w:r>
      <w:r w:rsidR="00E774BD" w:rsidRPr="00061636">
        <w:t xml:space="preserve"> costs</w:t>
      </w:r>
      <w:r w:rsidR="004D7BA8" w:rsidRPr="00061636">
        <w:t xml:space="preserve"> for SPV projects have been fall</w:t>
      </w:r>
      <w:r w:rsidR="0039740E">
        <w:t>en</w:t>
      </w:r>
      <w:r w:rsidR="004D7BA8" w:rsidRPr="00061636">
        <w:t xml:space="preserve"> dramatically</w:t>
      </w:r>
      <w:r w:rsidR="00E774BD" w:rsidRPr="00061636">
        <w:t xml:space="preserve"> over the last few </w:t>
      </w:r>
      <w:r w:rsidR="0071646A" w:rsidRPr="00061636">
        <w:t>years</w:t>
      </w:r>
      <w:r w:rsidR="0071646A">
        <w:t>.</w:t>
      </w:r>
      <w:r w:rsidR="00D33FDA" w:rsidRPr="00061636">
        <w:t xml:space="preserve"> </w:t>
      </w:r>
      <w:r w:rsidR="00E774BD" w:rsidRPr="00061636">
        <w:t>As a result</w:t>
      </w:r>
      <w:r w:rsidR="001C644A" w:rsidRPr="00061636">
        <w:t xml:space="preserve">, new large solar PV based plants are </w:t>
      </w:r>
      <w:r w:rsidR="0071646A" w:rsidRPr="00061636">
        <w:t xml:space="preserve">constantly </w:t>
      </w:r>
      <w:r w:rsidR="0071646A">
        <w:t>offering</w:t>
      </w:r>
      <w:r w:rsidR="001C644A" w:rsidRPr="00061636">
        <w:t xml:space="preserve"> </w:t>
      </w:r>
      <w:r w:rsidR="002C1087" w:rsidRPr="00061636">
        <w:t xml:space="preserve">lower </w:t>
      </w:r>
      <w:r w:rsidR="002C1087">
        <w:t>tariffs</w:t>
      </w:r>
      <w:r w:rsidR="001C644A" w:rsidRPr="00061636">
        <w:t xml:space="preserve"> </w:t>
      </w:r>
      <w:r w:rsidR="008E08C0">
        <w:t xml:space="preserve">- </w:t>
      </w:r>
      <w:r w:rsidR="001C644A" w:rsidRPr="00061636">
        <w:t xml:space="preserve">sometimes even falling </w:t>
      </w:r>
      <w:r w:rsidR="002C1087" w:rsidRPr="00061636">
        <w:t xml:space="preserve">below </w:t>
      </w:r>
      <w:r w:rsidR="002C1087">
        <w:t>conventional</w:t>
      </w:r>
      <w:r w:rsidR="0039740E">
        <w:t xml:space="preserve"> tariffs</w:t>
      </w:r>
      <w:r w:rsidR="001C644A" w:rsidRPr="00061636">
        <w:t xml:space="preserve">. As a result, more </w:t>
      </w:r>
      <w:r w:rsidR="000D507B" w:rsidRPr="00061636">
        <w:t>optimistic</w:t>
      </w:r>
      <w:r w:rsidR="001C644A" w:rsidRPr="00061636">
        <w:t xml:space="preserve"> </w:t>
      </w:r>
      <w:r w:rsidR="008E08C0">
        <w:t xml:space="preserve">power </w:t>
      </w:r>
      <w:r w:rsidR="001C644A" w:rsidRPr="00061636">
        <w:t xml:space="preserve">scenarios are being painted with </w:t>
      </w:r>
      <w:r w:rsidR="00596550" w:rsidRPr="00061636">
        <w:t xml:space="preserve">an </w:t>
      </w:r>
      <w:r w:rsidR="001C644A" w:rsidRPr="00061636">
        <w:t>ever-increasing s</w:t>
      </w:r>
      <w:r w:rsidR="00596550" w:rsidRPr="00061636">
        <w:t>h</w:t>
      </w:r>
      <w:r w:rsidR="001C644A" w:rsidRPr="00061636">
        <w:t>are</w:t>
      </w:r>
      <w:r w:rsidR="00596550" w:rsidRPr="00061636">
        <w:t xml:space="preserve"> coming from </w:t>
      </w:r>
      <w:r w:rsidR="008E08C0">
        <w:t>the S</w:t>
      </w:r>
      <w:r w:rsidR="00596550" w:rsidRPr="00061636">
        <w:t xml:space="preserve">olar </w:t>
      </w:r>
      <w:r w:rsidR="008E08C0">
        <w:t>F</w:t>
      </w:r>
      <w:r w:rsidR="00596550" w:rsidRPr="00061636">
        <w:t>arms</w:t>
      </w:r>
      <w:r w:rsidR="008E08C0">
        <w:t xml:space="preserve"> </w:t>
      </w:r>
      <w:r w:rsidR="00F11E39">
        <w:t>s</w:t>
      </w:r>
      <w:r w:rsidR="008E08C0">
        <w:t>olution</w:t>
      </w:r>
      <w:r w:rsidR="00596550" w:rsidRPr="00061636">
        <w:t>.</w:t>
      </w:r>
      <w:r w:rsidR="00F11E39">
        <w:t xml:space="preserve"> </w:t>
      </w:r>
      <w:r w:rsidR="00DA1392" w:rsidRPr="00061636">
        <w:t xml:space="preserve">To capture the appropriate level of </w:t>
      </w:r>
      <w:r w:rsidR="00263F55" w:rsidRPr="00061636">
        <w:t xml:space="preserve">the </w:t>
      </w:r>
      <w:r w:rsidR="003B1A66">
        <w:t xml:space="preserve">investment </w:t>
      </w:r>
      <w:r w:rsidR="0062434D" w:rsidRPr="00061636">
        <w:t xml:space="preserve">decision making </w:t>
      </w:r>
      <w:r w:rsidR="00DA1392" w:rsidRPr="00061636">
        <w:t xml:space="preserve">agency, the solar PV </w:t>
      </w:r>
      <w:r w:rsidRPr="00061636">
        <w:t>market has</w:t>
      </w:r>
      <w:r w:rsidR="0062434D" w:rsidRPr="00061636">
        <w:t xml:space="preserve"> been</w:t>
      </w:r>
      <w:r w:rsidR="00DA1392" w:rsidRPr="00061636">
        <w:t xml:space="preserve"> split between</w:t>
      </w:r>
      <w:r w:rsidR="00F517D6">
        <w:t xml:space="preserve"> the two components of </w:t>
      </w:r>
      <w:r w:rsidR="00DA1392" w:rsidRPr="00061636">
        <w:t xml:space="preserve"> </w:t>
      </w:r>
      <w:proofErr w:type="spellStart"/>
      <w:r w:rsidR="00D10838" w:rsidRPr="00061636">
        <w:t>i</w:t>
      </w:r>
      <w:proofErr w:type="spellEnd"/>
      <w:r w:rsidR="00D10838" w:rsidRPr="00061636">
        <w:t xml:space="preserve">) </w:t>
      </w:r>
      <w:r w:rsidR="005F0E84">
        <w:rPr>
          <w:i/>
          <w:iCs/>
        </w:rPr>
        <w:t xml:space="preserve">Distributed Solar PV </w:t>
      </w:r>
      <w:r w:rsidRPr="00061636">
        <w:t>(the</w:t>
      </w:r>
      <w:r w:rsidR="00796086" w:rsidRPr="00061636">
        <w:t xml:space="preserve"> </w:t>
      </w:r>
      <w:r w:rsidR="00263F55" w:rsidRPr="00061636">
        <w:t>agency</w:t>
      </w:r>
      <w:r w:rsidR="00796086" w:rsidRPr="00061636">
        <w:t xml:space="preserve"> here</w:t>
      </w:r>
      <w:r w:rsidR="00263F55" w:rsidRPr="00061636">
        <w:t xml:space="preserve"> being the </w:t>
      </w:r>
      <w:r w:rsidR="00DA1392" w:rsidRPr="00061636">
        <w:t xml:space="preserve">households and building owners) and </w:t>
      </w:r>
      <w:r w:rsidR="00D10838" w:rsidRPr="00061636">
        <w:t xml:space="preserve">ii) </w:t>
      </w:r>
      <w:r w:rsidR="005F0E84">
        <w:rPr>
          <w:i/>
        </w:rPr>
        <w:t xml:space="preserve">Utility Scale Solar PV </w:t>
      </w:r>
      <w:r w:rsidR="00D10838" w:rsidRPr="00061636">
        <w:t>(the agency</w:t>
      </w:r>
      <w:r w:rsidR="008E08C0">
        <w:t xml:space="preserve"> for this solution</w:t>
      </w:r>
      <w:r w:rsidR="003B1A66">
        <w:t xml:space="preserve"> being</w:t>
      </w:r>
      <w:r w:rsidR="00D10838" w:rsidRPr="00061636">
        <w:t xml:space="preserve"> </w:t>
      </w:r>
      <w:r w:rsidR="00263F55" w:rsidRPr="00061636">
        <w:t xml:space="preserve">the </w:t>
      </w:r>
      <w:r w:rsidR="00DA1392" w:rsidRPr="00061636">
        <w:t>utility</w:t>
      </w:r>
      <w:r w:rsidR="00796086" w:rsidRPr="00061636">
        <w:t xml:space="preserve"> which generates</w:t>
      </w:r>
      <w:r w:rsidR="008E08C0">
        <w:t xml:space="preserve"> and</w:t>
      </w:r>
      <w:r w:rsidR="001B13F6">
        <w:t xml:space="preserve"> </w:t>
      </w:r>
      <w:r w:rsidR="003B1A66">
        <w:t>supplies</w:t>
      </w:r>
      <w:r w:rsidR="00796086" w:rsidRPr="00061636">
        <w:t xml:space="preserve"> the electricity</w:t>
      </w:r>
      <w:r w:rsidR="00D10838" w:rsidRPr="00061636">
        <w:t>)</w:t>
      </w:r>
      <w:r w:rsidR="00DA1392" w:rsidRPr="00061636">
        <w:t>.</w:t>
      </w:r>
      <w:r w:rsidR="00396031" w:rsidRPr="00061636">
        <w:t xml:space="preserve"> </w:t>
      </w:r>
      <w:r w:rsidR="00D10838" w:rsidRPr="00061636">
        <w:t xml:space="preserve">The size of the </w:t>
      </w:r>
      <w:r w:rsidR="00871793" w:rsidRPr="00061636">
        <w:t xml:space="preserve">total </w:t>
      </w:r>
      <w:r w:rsidR="00D10838" w:rsidRPr="00061636">
        <w:t xml:space="preserve">market available for </w:t>
      </w:r>
      <w:r w:rsidR="00891B28">
        <w:t xml:space="preserve">being catered to by </w:t>
      </w:r>
      <w:r w:rsidR="00D10838" w:rsidRPr="00061636">
        <w:t>the solution is capture</w:t>
      </w:r>
      <w:r w:rsidR="000D507B" w:rsidRPr="00061636">
        <w:t>d</w:t>
      </w:r>
      <w:r w:rsidR="00D10838" w:rsidRPr="00061636">
        <w:t xml:space="preserve"> in the </w:t>
      </w:r>
      <w:r w:rsidR="00D10838" w:rsidRPr="00F11E39">
        <w:t>concept of the Total Addressable Market (TAM</w:t>
      </w:r>
      <w:r w:rsidR="00692AAD" w:rsidRPr="00F11E39">
        <w:t xml:space="preserve">). </w:t>
      </w:r>
      <w:r w:rsidRPr="00F11E39">
        <w:t>In Project</w:t>
      </w:r>
      <w:r w:rsidR="003B1A66" w:rsidRPr="00F11E39">
        <w:t xml:space="preserve"> Drawdown</w:t>
      </w:r>
      <w:r w:rsidR="00D10838" w:rsidRPr="00F11E39">
        <w:t xml:space="preserve">, </w:t>
      </w:r>
      <w:r w:rsidR="00796086" w:rsidRPr="00F11E39">
        <w:t xml:space="preserve">the </w:t>
      </w:r>
      <w:r w:rsidR="00891B28" w:rsidRPr="00F11E39">
        <w:t xml:space="preserve">size of </w:t>
      </w:r>
      <w:r w:rsidR="0071646A" w:rsidRPr="00F11E39">
        <w:t xml:space="preserve">TAM </w:t>
      </w:r>
      <w:r w:rsidR="0071646A" w:rsidRPr="00F11E39">
        <w:rPr>
          <w:iCs/>
        </w:rPr>
        <w:t>is</w:t>
      </w:r>
      <w:r w:rsidR="0062434D" w:rsidRPr="00F11E39">
        <w:rPr>
          <w:iCs/>
        </w:rPr>
        <w:t xml:space="preserve"> arrived at</w:t>
      </w:r>
      <w:r w:rsidR="002A6B65" w:rsidRPr="00F11E39">
        <w:t xml:space="preserve"> by</w:t>
      </w:r>
      <w:r w:rsidR="00DA1392" w:rsidRPr="00F11E39">
        <w:t xml:space="preserve"> project</w:t>
      </w:r>
      <w:r w:rsidR="002A6B65" w:rsidRPr="00F11E39">
        <w:t>ing the</w:t>
      </w:r>
      <w:r w:rsidR="000D507B" w:rsidRPr="00F11E39">
        <w:t xml:space="preserve"> </w:t>
      </w:r>
      <w:r w:rsidR="00DA1392" w:rsidRPr="00F11E39">
        <w:t>global electricity generation</w:t>
      </w:r>
      <w:r w:rsidR="00263F55" w:rsidRPr="00F11E39">
        <w:t xml:space="preserve"> (</w:t>
      </w:r>
      <w:r w:rsidR="003B1A66" w:rsidRPr="00F11E39">
        <w:t xml:space="preserve">in </w:t>
      </w:r>
      <w:proofErr w:type="spellStart"/>
      <w:r w:rsidR="00263F55" w:rsidRPr="00F11E39">
        <w:t>TWh</w:t>
      </w:r>
      <w:proofErr w:type="spellEnd"/>
      <w:r w:rsidR="00263F55" w:rsidRPr="00F11E39">
        <w:t>)</w:t>
      </w:r>
      <w:r w:rsidR="005841B7" w:rsidRPr="00F11E39">
        <w:t xml:space="preserve"> </w:t>
      </w:r>
      <w:r w:rsidR="00951AC0" w:rsidRPr="00F11E39">
        <w:t xml:space="preserve">for the period </w:t>
      </w:r>
      <w:r w:rsidR="00DA1392" w:rsidRPr="00F11E39">
        <w:t>from 2020</w:t>
      </w:r>
      <w:r w:rsidR="00B07E3B" w:rsidRPr="00F11E39">
        <w:t xml:space="preserve"> to </w:t>
      </w:r>
      <w:r w:rsidR="00DA1392" w:rsidRPr="00F11E39">
        <w:t>2050</w:t>
      </w:r>
      <w:r w:rsidR="002A6B65" w:rsidRPr="00F11E39">
        <w:t>.</w:t>
      </w:r>
      <w:r w:rsidR="005E1E56" w:rsidRPr="00F11E39">
        <w:t xml:space="preserve"> How much of this market is actually </w:t>
      </w:r>
      <w:r w:rsidR="00891B28" w:rsidRPr="00F11E39">
        <w:t>fulfilled</w:t>
      </w:r>
      <w:r w:rsidR="005E1E56" w:rsidRPr="00F11E39">
        <w:t xml:space="preserve"> by this </w:t>
      </w:r>
      <w:r w:rsidRPr="00F11E39">
        <w:t>solution would</w:t>
      </w:r>
      <w:r w:rsidR="003B1A66" w:rsidRPr="00F11E39">
        <w:t xml:space="preserve"> </w:t>
      </w:r>
      <w:r w:rsidR="0071646A" w:rsidRPr="00F11E39">
        <w:t>depend on</w:t>
      </w:r>
      <w:r w:rsidR="005E1E56" w:rsidRPr="00F11E39">
        <w:t xml:space="preserve"> the level of ‘Adoption’</w:t>
      </w:r>
      <w:r w:rsidR="003B1A66" w:rsidRPr="00F11E39">
        <w:t xml:space="preserve"> of this solution by the market</w:t>
      </w:r>
      <w:r w:rsidR="005E1E56" w:rsidRPr="00F11E39">
        <w:t xml:space="preserve">. </w:t>
      </w:r>
      <w:r w:rsidR="002A6B65" w:rsidRPr="00F11E39">
        <w:t>The</w:t>
      </w:r>
      <w:r w:rsidR="00B07E3B" w:rsidRPr="00F11E39">
        <w:t xml:space="preserve"> </w:t>
      </w:r>
      <w:r w:rsidR="00DA1392" w:rsidRPr="00F11E39">
        <w:t xml:space="preserve">current </w:t>
      </w:r>
      <w:r w:rsidR="009C21BF" w:rsidRPr="00F11E39">
        <w:t xml:space="preserve">global </w:t>
      </w:r>
      <w:r w:rsidR="00DA1392" w:rsidRPr="00F11E39">
        <w:t>adoption</w:t>
      </w:r>
      <w:r w:rsidR="002A6B65" w:rsidRPr="00F11E39">
        <w:t xml:space="preserve"> level of SPV generation</w:t>
      </w:r>
      <w:r w:rsidR="00214DBF" w:rsidRPr="00F11E39">
        <w:t xml:space="preserve"> (Rooftop plus Solar Farms)</w:t>
      </w:r>
      <w:r w:rsidR="002A6B65" w:rsidRPr="00F11E39">
        <w:t xml:space="preserve"> </w:t>
      </w:r>
      <w:r w:rsidR="00B07E3B" w:rsidRPr="00F11E39">
        <w:t xml:space="preserve">for </w:t>
      </w:r>
      <w:r w:rsidR="004A6074" w:rsidRPr="00F11E39">
        <w:t>201</w:t>
      </w:r>
      <w:r w:rsidR="00285AB7" w:rsidRPr="00F11E39">
        <w:t>8</w:t>
      </w:r>
      <w:r w:rsidR="002A6B65" w:rsidRPr="00F11E39">
        <w:t xml:space="preserve"> has been</w:t>
      </w:r>
      <w:r w:rsidR="004A6074" w:rsidRPr="00F11E39">
        <w:t xml:space="preserve"> </w:t>
      </w:r>
      <w:r w:rsidR="00C31DD1" w:rsidRPr="00F11E39">
        <w:t>estimated</w:t>
      </w:r>
      <w:r w:rsidR="009C21BF" w:rsidRPr="00F11E39">
        <w:t xml:space="preserve"> to be </w:t>
      </w:r>
      <w:r w:rsidR="00F11E39" w:rsidRPr="00F11E39">
        <w:t>457</w:t>
      </w:r>
      <w:r w:rsidR="009C21BF" w:rsidRPr="00F11E39">
        <w:t xml:space="preserve"> </w:t>
      </w:r>
      <w:proofErr w:type="spellStart"/>
      <w:r w:rsidR="009C21BF" w:rsidRPr="00F11E39">
        <w:t>T</w:t>
      </w:r>
      <w:r w:rsidR="00ED581E" w:rsidRPr="00F11E39">
        <w:t>Wh</w:t>
      </w:r>
      <w:proofErr w:type="spellEnd"/>
      <w:r w:rsidR="004A6074" w:rsidRPr="00F11E39">
        <w:t xml:space="preserve">. </w:t>
      </w:r>
      <w:r w:rsidR="00DA1392" w:rsidRPr="00F11E39">
        <w:t xml:space="preserve">With no definitive estimation of </w:t>
      </w:r>
      <w:r w:rsidRPr="00F11E39">
        <w:t>the break</w:t>
      </w:r>
      <w:r w:rsidR="00951AC0" w:rsidRPr="00F11E39">
        <w:t xml:space="preserve"> </w:t>
      </w:r>
      <w:r w:rsidR="00F517D6" w:rsidRPr="00F11E39">
        <w:t>down</w:t>
      </w:r>
      <w:r w:rsidR="00951AC0" w:rsidRPr="00F11E39">
        <w:t xml:space="preserve"> between the two</w:t>
      </w:r>
      <w:r w:rsidR="003B1A66" w:rsidRPr="00F11E39">
        <w:t xml:space="preserve"> components</w:t>
      </w:r>
      <w:r w:rsidR="00951AC0" w:rsidRPr="00F11E39">
        <w:t xml:space="preserve">, </w:t>
      </w:r>
      <w:r w:rsidR="00C31DD1" w:rsidRPr="00F11E39">
        <w:t>it</w:t>
      </w:r>
      <w:r w:rsidR="00951AC0" w:rsidRPr="00F11E39">
        <w:t xml:space="preserve"> has been</w:t>
      </w:r>
      <w:r w:rsidR="00DA1392" w:rsidRPr="00F11E39">
        <w:t xml:space="preserve"> assumed </w:t>
      </w:r>
      <w:r w:rsidR="00C62DC4" w:rsidRPr="00F11E39">
        <w:t xml:space="preserve">on the basis of historical data </w:t>
      </w:r>
      <w:r w:rsidR="00DA1392" w:rsidRPr="00F11E39">
        <w:t xml:space="preserve">that </w:t>
      </w:r>
      <w:r w:rsidR="0071646A" w:rsidRPr="00F11E39">
        <w:t>rooftop</w:t>
      </w:r>
      <w:r w:rsidR="00951AC0" w:rsidRPr="00F11E39">
        <w:t xml:space="preserve"> </w:t>
      </w:r>
      <w:r w:rsidR="00F517D6" w:rsidRPr="00F11E39">
        <w:t xml:space="preserve">generation </w:t>
      </w:r>
      <w:r w:rsidR="00C31DD1" w:rsidRPr="00F11E39">
        <w:t>would</w:t>
      </w:r>
      <w:r w:rsidR="00951AC0" w:rsidRPr="00F11E39">
        <w:t xml:space="preserve"> account for</w:t>
      </w:r>
      <w:r w:rsidR="00DA1392" w:rsidRPr="00F11E39">
        <w:t xml:space="preserve"> around 40 percent of the</w:t>
      </w:r>
      <w:r w:rsidR="00951AC0" w:rsidRPr="00F11E39">
        <w:t xml:space="preserve"> total</w:t>
      </w:r>
      <w:r w:rsidR="00DA1392" w:rsidRPr="00F11E39">
        <w:t xml:space="preserve"> market, </w:t>
      </w:r>
      <w:r w:rsidR="00951AC0" w:rsidRPr="00F11E39">
        <w:t>while</w:t>
      </w:r>
      <w:r w:rsidR="00DA1392" w:rsidRPr="00F11E39">
        <w:t xml:space="preserve"> utility-scale solar</w:t>
      </w:r>
      <w:r w:rsidR="00131589">
        <w:t xml:space="preserve"> PV</w:t>
      </w:r>
      <w:r w:rsidR="00AE0D13" w:rsidRPr="00F11E39">
        <w:t xml:space="preserve"> </w:t>
      </w:r>
      <w:r w:rsidR="00951AC0" w:rsidRPr="00F11E39">
        <w:t>would</w:t>
      </w:r>
      <w:r w:rsidR="00AE0D13" w:rsidRPr="00F11E39">
        <w:t xml:space="preserve"> account for</w:t>
      </w:r>
      <w:r w:rsidR="00DA1392" w:rsidRPr="00F11E39">
        <w:t xml:space="preserve"> the remaining 60 percent</w:t>
      </w:r>
      <w:r w:rsidR="00ED581E" w:rsidRPr="00F11E39">
        <w:t>.</w:t>
      </w:r>
    </w:p>
    <w:p w14:paraId="65B8D708" w14:textId="044D5907" w:rsidR="00DA1392" w:rsidRPr="00E73781" w:rsidRDefault="00BC6D17" w:rsidP="00ED581E">
      <w:pPr>
        <w:spacing w:line="240" w:lineRule="auto"/>
        <w:rPr>
          <w:rFonts w:cs="Times New Roman"/>
        </w:rPr>
      </w:pPr>
      <w:r>
        <w:t>I</w:t>
      </w:r>
      <w:r w:rsidR="00DA1392" w:rsidRPr="00061636">
        <w:t xml:space="preserve">mpacts of increased adoption of </w:t>
      </w:r>
      <w:r w:rsidR="005F0E84" w:rsidRPr="005F0E84">
        <w:rPr>
          <w:i/>
        </w:rPr>
        <w:t xml:space="preserve">utility </w:t>
      </w:r>
      <w:proofErr w:type="spellStart"/>
      <w:r w:rsidR="005F0E84" w:rsidRPr="005F0E84">
        <w:rPr>
          <w:i/>
        </w:rPr>
        <w:t xml:space="preserve">scale </w:t>
      </w:r>
      <w:proofErr w:type="spellEnd"/>
      <w:r w:rsidR="005F0E84" w:rsidRPr="005F0E84">
        <w:rPr>
          <w:i/>
          <w:iCs/>
        </w:rPr>
        <w:t>solar</w:t>
      </w:r>
      <w:r w:rsidR="005F0E84">
        <w:rPr>
          <w:i/>
          <w:iCs/>
        </w:rPr>
        <w:t xml:space="preserve"> PV</w:t>
      </w:r>
      <w:r w:rsidR="00DA1392" w:rsidRPr="00061636">
        <w:rPr>
          <w:i/>
          <w:iCs/>
        </w:rPr>
        <w:t xml:space="preserve"> </w:t>
      </w:r>
      <w:r w:rsidR="00DA1392" w:rsidRPr="00061636">
        <w:t>from 2020</w:t>
      </w:r>
      <w:r w:rsidR="00B07E3B" w:rsidRPr="00061636">
        <w:t xml:space="preserve"> to </w:t>
      </w:r>
      <w:r w:rsidR="0071646A" w:rsidRPr="00061636">
        <w:t>2050 have</w:t>
      </w:r>
      <w:r w:rsidR="00214DBF" w:rsidRPr="00061636">
        <w:t xml:space="preserve"> been</w:t>
      </w:r>
      <w:r w:rsidR="00DA1392" w:rsidRPr="00061636">
        <w:t xml:space="preserve"> generated </w:t>
      </w:r>
      <w:r w:rsidR="00B01BDA" w:rsidRPr="00061636">
        <w:t xml:space="preserve">from </w:t>
      </w:r>
      <w:r w:rsidR="005841B7" w:rsidRPr="00061636">
        <w:t>the use of the RRS</w:t>
      </w:r>
      <w:r>
        <w:t xml:space="preserve"> (Reduction and Replacement Solutions)</w:t>
      </w:r>
      <w:r w:rsidR="005841B7" w:rsidRPr="00061636">
        <w:rPr>
          <w:color w:val="00B050"/>
        </w:rPr>
        <w:t xml:space="preserve"> </w:t>
      </w:r>
      <w:r>
        <w:t>M</w:t>
      </w:r>
      <w:r w:rsidR="00B01BDA" w:rsidRPr="00061636">
        <w:t xml:space="preserve">odel </w:t>
      </w:r>
      <w:r w:rsidR="00DA1392" w:rsidRPr="00061636">
        <w:t xml:space="preserve">based on three </w:t>
      </w:r>
      <w:r w:rsidR="00951AC0" w:rsidRPr="00061636">
        <w:t xml:space="preserve">different </w:t>
      </w:r>
      <w:r w:rsidR="00DA1392" w:rsidRPr="00061636">
        <w:t>growth scenarios</w:t>
      </w:r>
      <w:r w:rsidR="00ED581E" w:rsidRPr="00061636">
        <w:t xml:space="preserve"> compared to a </w:t>
      </w:r>
      <w:r w:rsidR="00ED581E" w:rsidRPr="00061636">
        <w:rPr>
          <w:i/>
          <w:iCs/>
        </w:rPr>
        <w:t>Reference </w:t>
      </w:r>
      <w:r w:rsidR="002C1087" w:rsidRPr="00061636">
        <w:t xml:space="preserve">Scenario </w:t>
      </w:r>
      <w:r w:rsidR="002C1087">
        <w:t>in</w:t>
      </w:r>
      <w:r w:rsidR="00F81A3E">
        <w:t xml:space="preserve"> which</w:t>
      </w:r>
      <w:r w:rsidR="00ED581E" w:rsidRPr="00061636">
        <w:t xml:space="preserve"> </w:t>
      </w:r>
      <w:r w:rsidR="002C1087" w:rsidRPr="00061636">
        <w:t>the market</w:t>
      </w:r>
      <w:r w:rsidR="00ED581E" w:rsidRPr="00061636">
        <w:t xml:space="preserve"> share of solar farms is fixed at the current levels. </w:t>
      </w:r>
      <w:r w:rsidR="00830686" w:rsidRPr="00061636">
        <w:t xml:space="preserve">These three scenarios </w:t>
      </w:r>
      <w:r w:rsidR="0071646A" w:rsidRPr="00061636">
        <w:t>have been</w:t>
      </w:r>
      <w:r w:rsidR="00830686" w:rsidRPr="00061636">
        <w:t xml:space="preserve"> developed a</w:t>
      </w:r>
      <w:r w:rsidR="00ED581E" w:rsidRPr="00061636">
        <w:t>s</w:t>
      </w:r>
      <w:r w:rsidR="00F11E39">
        <w:t xml:space="preserve">: </w:t>
      </w:r>
      <w:proofErr w:type="spellStart"/>
      <w:r w:rsidR="00F11E39">
        <w:t>i</w:t>
      </w:r>
      <w:proofErr w:type="spellEnd"/>
      <w:r w:rsidR="00F11E39">
        <w:t xml:space="preserve">) </w:t>
      </w:r>
      <w:r w:rsidR="00F11E39" w:rsidRPr="009A024A">
        <w:rPr>
          <w:i/>
        </w:rPr>
        <w:t xml:space="preserve">Plausible </w:t>
      </w:r>
      <w:r w:rsidR="00F11E39">
        <w:t>scenario</w:t>
      </w:r>
      <w:r w:rsidR="00F11E39" w:rsidRPr="00A142FC">
        <w:t xml:space="preserve"> </w:t>
      </w:r>
      <w:r w:rsidR="00F11E39">
        <w:t>which is b</w:t>
      </w:r>
      <w:r w:rsidR="00F11E39" w:rsidRPr="00A142FC">
        <w:t xml:space="preserve">ased on the evaluation of </w:t>
      </w:r>
      <w:r w:rsidR="00F11E39">
        <w:t>adoption trajectories of</w:t>
      </w:r>
      <w:r w:rsidR="00F11E39" w:rsidRPr="00A142FC">
        <w:t xml:space="preserve"> </w:t>
      </w:r>
      <w:r w:rsidR="00F11E39">
        <w:t>five</w:t>
      </w:r>
      <w:r w:rsidR="00F11E39" w:rsidRPr="00A142FC">
        <w:t xml:space="preserve"> optimistic scenarios: IEA (2017) Energy Technology Perspectives 2DS and B2DS scenarios; IEA (2018) World Energy Outlook SDS;</w:t>
      </w:r>
      <w:r w:rsidR="00F11E39">
        <w:t xml:space="preserve"> IRENA (2018d) </w:t>
      </w:r>
      <w:proofErr w:type="spellStart"/>
      <w:r w:rsidR="00F11E39">
        <w:t>REmap</w:t>
      </w:r>
      <w:proofErr w:type="spellEnd"/>
      <w:r w:rsidR="00F11E39">
        <w:t xml:space="preserve"> Case scenario</w:t>
      </w:r>
      <w:r w:rsidR="00F11E39" w:rsidRPr="00A142FC">
        <w:t>;</w:t>
      </w:r>
      <w:r w:rsidR="00F11E39">
        <w:t xml:space="preserve"> and Grantham Institute and Carbon Tracker (2017) Strong PV Scenario</w:t>
      </w:r>
      <w:r w:rsidR="00F11E39" w:rsidRPr="00A142FC">
        <w:t xml:space="preserve"> using a high growth trajectory.</w:t>
      </w:r>
      <w:r w:rsidR="00F11E39" w:rsidRPr="009A024A">
        <w:rPr>
          <w:i/>
        </w:rPr>
        <w:t xml:space="preserve"> Drawdown</w:t>
      </w:r>
      <w:r w:rsidR="00F11E39">
        <w:t xml:space="preserve"> and </w:t>
      </w:r>
      <w:r w:rsidR="00F11E39" w:rsidRPr="009A024A">
        <w:rPr>
          <w:i/>
        </w:rPr>
        <w:t xml:space="preserve">Optimum </w:t>
      </w:r>
      <w:r w:rsidR="00F11E39">
        <w:t xml:space="preserve">Scenarios are derived from </w:t>
      </w:r>
      <w:r w:rsidR="00F11E39" w:rsidRPr="00280BF9">
        <w:rPr>
          <w:rFonts w:cs="Times New Roman"/>
        </w:rPr>
        <w:t>three 100% RES scenarios of electricity generation by 2050, being Greenpeace (2015) Advanced Energy [R]evolution Scenario; Ram</w:t>
      </w:r>
      <w:r w:rsidR="00F11E39" w:rsidRPr="009A024A">
        <w:rPr>
          <w:rFonts w:cs="Times New Roman"/>
          <w:i/>
        </w:rPr>
        <w:t xml:space="preserve"> et al.</w:t>
      </w:r>
      <w:r w:rsidR="00F11E39" w:rsidRPr="00280BF9">
        <w:rPr>
          <w:rFonts w:cs="Times New Roman"/>
        </w:rPr>
        <w:t xml:space="preserve"> (2019) scenario and </w:t>
      </w:r>
      <w:proofErr w:type="spellStart"/>
      <w:r w:rsidR="00F11E39" w:rsidRPr="00280BF9">
        <w:rPr>
          <w:rFonts w:cs="Times New Roman"/>
        </w:rPr>
        <w:t>Ecofys</w:t>
      </w:r>
      <w:proofErr w:type="spellEnd"/>
      <w:r w:rsidR="00F11E39" w:rsidRPr="00280BF9">
        <w:rPr>
          <w:rFonts w:cs="Times New Roman"/>
        </w:rPr>
        <w:t xml:space="preserve"> (2018) </w:t>
      </w:r>
      <w:r w:rsidR="00F11E39" w:rsidRPr="00E73781">
        <w:rPr>
          <w:rFonts w:cs="Times New Roman"/>
        </w:rPr>
        <w:t xml:space="preserve">1.5ºC </w:t>
      </w:r>
      <w:r w:rsidR="005F0E84">
        <w:rPr>
          <w:rFonts w:cs="Times New Roman"/>
        </w:rPr>
        <w:t>scenario following a medium growth.</w:t>
      </w:r>
    </w:p>
    <w:p w14:paraId="2EFF6A2D" w14:textId="55A47437" w:rsidR="00787D67" w:rsidRPr="00E73781" w:rsidRDefault="00F81A3E" w:rsidP="00AF45A6">
      <w:pPr>
        <w:spacing w:line="240" w:lineRule="auto"/>
        <w:rPr>
          <w:highlight w:val="green"/>
        </w:rPr>
      </w:pPr>
      <w:r w:rsidRPr="00E73781">
        <w:t>R</w:t>
      </w:r>
      <w:r w:rsidR="00DA1392" w:rsidRPr="00E73781">
        <w:t>esults from the three modeled scenarios</w:t>
      </w:r>
      <w:r w:rsidR="003C2DDF" w:rsidRPr="00E73781">
        <w:t xml:space="preserve"> </w:t>
      </w:r>
      <w:r w:rsidR="00F11E39" w:rsidRPr="00E73781">
        <w:t xml:space="preserve">compared </w:t>
      </w:r>
      <w:r w:rsidR="003C2DDF" w:rsidRPr="00E73781">
        <w:t>with</w:t>
      </w:r>
      <w:r w:rsidR="00DA1392" w:rsidRPr="00E73781">
        <w:t xml:space="preserve"> the </w:t>
      </w:r>
      <w:r w:rsidR="00DA1392" w:rsidRPr="00E73781">
        <w:rPr>
          <w:i/>
          <w:iCs/>
        </w:rPr>
        <w:t xml:space="preserve">Reference </w:t>
      </w:r>
      <w:r w:rsidR="005F0E84">
        <w:t>s</w:t>
      </w:r>
      <w:r w:rsidR="00DA1392" w:rsidRPr="00E73781">
        <w:t>cenario allow</w:t>
      </w:r>
      <w:r w:rsidRPr="00E73781">
        <w:t xml:space="preserve"> the</w:t>
      </w:r>
      <w:r w:rsidR="00DA1392" w:rsidRPr="00E73781">
        <w:t xml:space="preserve"> estimat</w:t>
      </w:r>
      <w:r w:rsidRPr="00E73781">
        <w:t>ion of</w:t>
      </w:r>
      <w:r w:rsidR="00DA1392" w:rsidRPr="00E73781">
        <w:t xml:space="preserve"> climate and financial impacts of increased adoption of utility-scale PV systems</w:t>
      </w:r>
      <w:r w:rsidR="00ED581E" w:rsidRPr="00E73781">
        <w:t>.</w:t>
      </w:r>
      <w:r w:rsidR="00ED581E" w:rsidRPr="009A024A">
        <w:rPr>
          <w:i/>
        </w:rPr>
        <w:t xml:space="preserve"> </w:t>
      </w:r>
      <w:r w:rsidR="00E73781" w:rsidRPr="009A024A">
        <w:rPr>
          <w:i/>
        </w:rPr>
        <w:t>Plausible</w:t>
      </w:r>
      <w:r w:rsidR="00E73781" w:rsidRPr="00E73781">
        <w:t xml:space="preserve"> scenario presents </w:t>
      </w:r>
      <w:r w:rsidR="00131589">
        <w:t xml:space="preserve">a reduction of </w:t>
      </w:r>
      <w:r w:rsidR="005F0E84">
        <w:t>43</w:t>
      </w:r>
      <w:r w:rsidR="005F0E84" w:rsidRPr="005F0E84">
        <w:t>.5</w:t>
      </w:r>
      <w:r w:rsidR="009A024A">
        <w:t xml:space="preserve"> </w:t>
      </w:r>
      <w:r w:rsidR="00131589">
        <w:t>Gt CO</w:t>
      </w:r>
      <w:r w:rsidR="00131589" w:rsidRPr="00131589">
        <w:rPr>
          <w:vertAlign w:val="subscript"/>
        </w:rPr>
        <w:t>2</w:t>
      </w:r>
      <w:r w:rsidR="00131589">
        <w:t xml:space="preserve">e emissions, with </w:t>
      </w:r>
      <w:r w:rsidR="005F0E84">
        <w:t xml:space="preserve">negative </w:t>
      </w:r>
      <w:r w:rsidR="00E73781" w:rsidRPr="00E73781">
        <w:t>US$</w:t>
      </w:r>
      <w:r w:rsidR="005F0E84">
        <w:t>269.7</w:t>
      </w:r>
      <w:r w:rsidR="00E73781" w:rsidRPr="00E73781">
        <w:t xml:space="preserve"> </w:t>
      </w:r>
      <w:r w:rsidR="005F0E84">
        <w:t>of</w:t>
      </w:r>
      <w:r w:rsidR="00E73781" w:rsidRPr="00E73781">
        <w:t xml:space="preserve"> </w:t>
      </w:r>
      <w:r w:rsidR="005F0E84">
        <w:t>marginal</w:t>
      </w:r>
      <w:r w:rsidR="00E73781" w:rsidRPr="00E73781">
        <w:t xml:space="preserve"> first costs </w:t>
      </w:r>
      <w:r w:rsidR="005F0E84">
        <w:t>but with</w:t>
      </w:r>
      <w:r w:rsidR="00E73781" w:rsidRPr="00E73781">
        <w:t xml:space="preserve"> over US$</w:t>
      </w:r>
      <w:r w:rsidR="005F0E84">
        <w:t>5.1</w:t>
      </w:r>
      <w:r w:rsidR="00E73781" w:rsidRPr="00E73781">
        <w:t xml:space="preserve"> trillion of net operating savings projected over the same period (2020-2050), principally because utility-scale PV does not require any fuel to operate. This allows for savings to start accruing from the first year of </w:t>
      </w:r>
      <w:r w:rsidR="009A024A" w:rsidRPr="009A024A">
        <w:rPr>
          <w:i/>
        </w:rPr>
        <w:t>Plausible</w:t>
      </w:r>
      <w:r w:rsidR="009A024A">
        <w:t xml:space="preserve"> Scenario</w:t>
      </w:r>
      <w:r w:rsidR="00E73781" w:rsidRPr="00E73781">
        <w:t xml:space="preserve"> adoption itself. Both</w:t>
      </w:r>
      <w:r w:rsidR="00E73781" w:rsidRPr="009A024A">
        <w:rPr>
          <w:i/>
        </w:rPr>
        <w:t xml:space="preserve"> </w:t>
      </w:r>
      <w:r w:rsidR="009A024A" w:rsidRPr="009A024A">
        <w:rPr>
          <w:i/>
        </w:rPr>
        <w:t>Drawdown</w:t>
      </w:r>
      <w:r w:rsidR="009A024A">
        <w:t xml:space="preserve"> and </w:t>
      </w:r>
      <w:r w:rsidR="009A024A" w:rsidRPr="009A024A">
        <w:rPr>
          <w:i/>
        </w:rPr>
        <w:t xml:space="preserve">Optimum </w:t>
      </w:r>
      <w:r w:rsidR="009A024A">
        <w:t xml:space="preserve">scenarios </w:t>
      </w:r>
      <w:r w:rsidR="00E73781" w:rsidRPr="00E73781">
        <w:t xml:space="preserve">have similar savings among them with </w:t>
      </w:r>
      <w:r w:rsidR="005F0E84">
        <w:t xml:space="preserve">negative </w:t>
      </w:r>
      <w:r w:rsidR="00E73781" w:rsidRPr="00E73781">
        <w:t>US$</w:t>
      </w:r>
      <w:r w:rsidR="005F0E84">
        <w:t>1.5</w:t>
      </w:r>
      <w:r w:rsidR="00E73781" w:rsidRPr="00E73781">
        <w:t xml:space="preserve"> trillion in marginal first costs but with very significant savings with close to US$13.</w:t>
      </w:r>
      <w:r w:rsidR="005F0E84">
        <w:t>6</w:t>
      </w:r>
      <w:r w:rsidR="00E73781" w:rsidRPr="00E73781">
        <w:t xml:space="preserve"> trillion in net operating </w:t>
      </w:r>
      <w:r w:rsidR="005F0E84">
        <w:t xml:space="preserve">cost </w:t>
      </w:r>
      <w:r w:rsidR="00E73781" w:rsidRPr="00E73781">
        <w:t xml:space="preserve">savings over the period from 2020 to 2050. </w:t>
      </w:r>
      <w:r w:rsidR="00131589" w:rsidRPr="00131589">
        <w:rPr>
          <w:i/>
        </w:rPr>
        <w:t>Drawdown</w:t>
      </w:r>
      <w:r w:rsidR="00131589">
        <w:t xml:space="preserve"> considers 11</w:t>
      </w:r>
      <w:r w:rsidR="005F0E84">
        <w:t>9.6</w:t>
      </w:r>
      <w:r w:rsidR="00131589">
        <w:t>Gt CO</w:t>
      </w:r>
      <w:r w:rsidR="00131589" w:rsidRPr="00131589">
        <w:rPr>
          <w:vertAlign w:val="subscript"/>
        </w:rPr>
        <w:t>2</w:t>
      </w:r>
      <w:r w:rsidR="00131589">
        <w:t xml:space="preserve">e reduced  emissions while in the </w:t>
      </w:r>
      <w:r w:rsidR="00131589" w:rsidRPr="00131589">
        <w:rPr>
          <w:i/>
        </w:rPr>
        <w:t>Optimum</w:t>
      </w:r>
      <w:r w:rsidR="00131589">
        <w:t xml:space="preserve"> this value is </w:t>
      </w:r>
      <w:r w:rsidR="005F0E84">
        <w:t>118.1</w:t>
      </w:r>
      <w:r w:rsidR="005F0E84" w:rsidRPr="005F0E84">
        <w:t xml:space="preserve"> </w:t>
      </w:r>
      <w:r w:rsidR="005F0E84">
        <w:t>Gt CO</w:t>
      </w:r>
      <w:r w:rsidR="005F0E84" w:rsidRPr="00131589">
        <w:rPr>
          <w:vertAlign w:val="subscript"/>
        </w:rPr>
        <w:t>2</w:t>
      </w:r>
      <w:r w:rsidR="005F0E84">
        <w:t>e</w:t>
      </w:r>
      <w:r w:rsidR="00131589">
        <w:t xml:space="preserve">. </w:t>
      </w:r>
      <w:r w:rsidR="00E73781" w:rsidRPr="00E73781">
        <w:rPr>
          <w:bCs/>
        </w:rPr>
        <w:t xml:space="preserve">The capital costs for </w:t>
      </w:r>
      <w:r w:rsidR="009A024A" w:rsidRPr="00131589">
        <w:rPr>
          <w:bCs/>
          <w:i/>
        </w:rPr>
        <w:t xml:space="preserve">Plausible </w:t>
      </w:r>
      <w:r w:rsidR="00E73781" w:rsidRPr="00E73781">
        <w:rPr>
          <w:bCs/>
        </w:rPr>
        <w:t xml:space="preserve">adoption of </w:t>
      </w:r>
      <w:r w:rsidR="00131589">
        <w:rPr>
          <w:bCs/>
        </w:rPr>
        <w:t>the solution</w:t>
      </w:r>
      <w:r w:rsidR="00E73781" w:rsidRPr="00E73781">
        <w:rPr>
          <w:bCs/>
        </w:rPr>
        <w:t xml:space="preserve"> will require significant investments, as the cumulative capital costs are just over US$3 trillion </w:t>
      </w:r>
      <w:r w:rsidR="009A024A">
        <w:rPr>
          <w:bCs/>
        </w:rPr>
        <w:t>and</w:t>
      </w:r>
      <w:r w:rsidR="005F0E84">
        <w:rPr>
          <w:bCs/>
        </w:rPr>
        <w:t xml:space="preserve"> </w:t>
      </w:r>
      <w:r w:rsidR="00E73781" w:rsidRPr="00E73781">
        <w:rPr>
          <w:bCs/>
        </w:rPr>
        <w:t xml:space="preserve">US$5 </w:t>
      </w:r>
      <w:r w:rsidR="005F0E84">
        <w:rPr>
          <w:bCs/>
        </w:rPr>
        <w:t>t</w:t>
      </w:r>
      <w:r w:rsidR="00E73781" w:rsidRPr="00E73781">
        <w:rPr>
          <w:bCs/>
        </w:rPr>
        <w:t>rillion for the other two PD scenarios.</w:t>
      </w:r>
      <w:r w:rsidR="00E73781" w:rsidRPr="00E73781">
        <w:t xml:space="preserve"> </w:t>
      </w:r>
      <w:r w:rsidR="00F517D6" w:rsidRPr="00E73781">
        <w:t>Given the recent history of capacity creation in th</w:t>
      </w:r>
      <w:r w:rsidR="00191414" w:rsidRPr="00E73781">
        <w:t>e solar farms</w:t>
      </w:r>
      <w:r w:rsidR="00F517D6" w:rsidRPr="00E73781">
        <w:t xml:space="preserve"> sector, it should come as no surprise if even the ambitious scenarios are overtaken in the future. However, i</w:t>
      </w:r>
      <w:r w:rsidR="005B5D67" w:rsidRPr="00E73781">
        <w:t xml:space="preserve">t needs to be kept in mind that </w:t>
      </w:r>
      <w:r w:rsidR="005B5D67" w:rsidRPr="00E73781">
        <w:rPr>
          <w:lang w:eastAsia="en-US"/>
        </w:rPr>
        <w:t>t</w:t>
      </w:r>
      <w:r w:rsidR="00057050" w:rsidRPr="00E73781">
        <w:rPr>
          <w:lang w:eastAsia="en-US"/>
        </w:rPr>
        <w:t xml:space="preserve">here are significant investment costs associated with </w:t>
      </w:r>
      <w:r w:rsidR="00692AAD" w:rsidRPr="00E73781">
        <w:rPr>
          <w:lang w:eastAsia="en-US"/>
        </w:rPr>
        <w:t xml:space="preserve">the </w:t>
      </w:r>
      <w:r w:rsidR="00057050" w:rsidRPr="00E73781">
        <w:rPr>
          <w:lang w:eastAsia="en-US"/>
        </w:rPr>
        <w:t>accelerated adoption</w:t>
      </w:r>
      <w:r w:rsidR="005B5D67" w:rsidRPr="00E73781">
        <w:rPr>
          <w:lang w:eastAsia="en-US"/>
        </w:rPr>
        <w:t xml:space="preserve"> of </w:t>
      </w:r>
      <w:r w:rsidR="00ED581E" w:rsidRPr="00E73781">
        <w:rPr>
          <w:lang w:eastAsia="en-US"/>
        </w:rPr>
        <w:t>the</w:t>
      </w:r>
      <w:r w:rsidR="005B5D67" w:rsidRPr="00E73781">
        <w:rPr>
          <w:lang w:eastAsia="en-US"/>
        </w:rPr>
        <w:t xml:space="preserve"> solution. B</w:t>
      </w:r>
      <w:r w:rsidR="00057050" w:rsidRPr="00E73781">
        <w:rPr>
          <w:lang w:eastAsia="en-US"/>
        </w:rPr>
        <w:t>ut</w:t>
      </w:r>
      <w:r w:rsidR="005B5D67" w:rsidRPr="00E73781">
        <w:rPr>
          <w:lang w:eastAsia="en-US"/>
        </w:rPr>
        <w:t>,</w:t>
      </w:r>
      <w:r w:rsidR="00057050" w:rsidRPr="00E73781">
        <w:rPr>
          <w:lang w:eastAsia="en-US"/>
        </w:rPr>
        <w:t xml:space="preserve"> </w:t>
      </w:r>
      <w:r w:rsidR="00F517D6" w:rsidRPr="00E73781">
        <w:rPr>
          <w:lang w:eastAsia="en-US"/>
        </w:rPr>
        <w:t>at the same time, it</w:t>
      </w:r>
      <w:r w:rsidR="00057050" w:rsidRPr="00061636">
        <w:rPr>
          <w:lang w:eastAsia="en-US"/>
        </w:rPr>
        <w:t xml:space="preserve"> </w:t>
      </w:r>
      <w:r w:rsidR="003C2DDF" w:rsidRPr="00061636">
        <w:rPr>
          <w:lang w:eastAsia="en-US"/>
        </w:rPr>
        <w:t xml:space="preserve">also </w:t>
      </w:r>
      <w:r w:rsidR="002C1087" w:rsidRPr="00061636">
        <w:rPr>
          <w:lang w:eastAsia="en-US"/>
        </w:rPr>
        <w:t>becom</w:t>
      </w:r>
      <w:r w:rsidR="00F517D6">
        <w:rPr>
          <w:lang w:eastAsia="en-US"/>
        </w:rPr>
        <w:t>es</w:t>
      </w:r>
      <w:r w:rsidR="005D6248" w:rsidRPr="00061636">
        <w:rPr>
          <w:lang w:eastAsia="en-US"/>
        </w:rPr>
        <w:t xml:space="preserve"> </w:t>
      </w:r>
      <w:r w:rsidR="00057050" w:rsidRPr="00061636">
        <w:rPr>
          <w:lang w:eastAsia="en-US"/>
        </w:rPr>
        <w:t xml:space="preserve">an opportunity to </w:t>
      </w:r>
      <w:r w:rsidR="00057050" w:rsidRPr="00061636">
        <w:rPr>
          <w:lang w:eastAsia="en-US"/>
        </w:rPr>
        <w:lastRenderedPageBreak/>
        <w:t>generate wealth and economic growth</w:t>
      </w:r>
      <w:r w:rsidR="00191414">
        <w:rPr>
          <w:lang w:eastAsia="en-US"/>
        </w:rPr>
        <w:t xml:space="preserve"> for nations</w:t>
      </w:r>
      <w:r w:rsidR="00057050" w:rsidRPr="00061636">
        <w:rPr>
          <w:lang w:eastAsia="en-US"/>
        </w:rPr>
        <w:t>, as the return</w:t>
      </w:r>
      <w:r w:rsidR="005D6248" w:rsidRPr="00061636">
        <w:rPr>
          <w:lang w:eastAsia="en-US"/>
        </w:rPr>
        <w:t>s</w:t>
      </w:r>
      <w:r w:rsidR="00057050" w:rsidRPr="00061636">
        <w:rPr>
          <w:lang w:eastAsia="en-US"/>
        </w:rPr>
        <w:t xml:space="preserve"> on </w:t>
      </w:r>
      <w:r w:rsidR="005D6248" w:rsidRPr="00061636">
        <w:rPr>
          <w:lang w:eastAsia="en-US"/>
        </w:rPr>
        <w:t xml:space="preserve">these </w:t>
      </w:r>
      <w:r w:rsidR="00057050" w:rsidRPr="00061636">
        <w:rPr>
          <w:lang w:eastAsia="en-US"/>
        </w:rPr>
        <w:t>investment</w:t>
      </w:r>
      <w:r w:rsidR="005D6248" w:rsidRPr="00061636">
        <w:rPr>
          <w:lang w:eastAsia="en-US"/>
        </w:rPr>
        <w:t xml:space="preserve">s </w:t>
      </w:r>
      <w:r w:rsidR="005B5D67" w:rsidRPr="00061636">
        <w:rPr>
          <w:lang w:eastAsia="en-US"/>
        </w:rPr>
        <w:t>can</w:t>
      </w:r>
      <w:r w:rsidR="00057050" w:rsidRPr="00061636">
        <w:rPr>
          <w:lang w:eastAsia="en-US"/>
        </w:rPr>
        <w:t xml:space="preserve"> also </w:t>
      </w:r>
      <w:r w:rsidR="00287681" w:rsidRPr="00061636">
        <w:rPr>
          <w:lang w:eastAsia="en-US"/>
        </w:rPr>
        <w:t xml:space="preserve">be fairly </w:t>
      </w:r>
      <w:r w:rsidR="00057050" w:rsidRPr="00061636">
        <w:rPr>
          <w:lang w:eastAsia="en-US"/>
        </w:rPr>
        <w:t>substantial.</w:t>
      </w:r>
    </w:p>
    <w:p w14:paraId="34916870" w14:textId="0045908A" w:rsidR="00E815C8" w:rsidRPr="00061636" w:rsidRDefault="551A77D0" w:rsidP="004A2866">
      <w:pPr>
        <w:pStyle w:val="Heading1"/>
      </w:pPr>
      <w:bookmarkStart w:id="3" w:name="_Toc10331894"/>
      <w:r w:rsidRPr="00061636">
        <w:t>Literature Review</w:t>
      </w:r>
      <w:bookmarkEnd w:id="3"/>
    </w:p>
    <w:p w14:paraId="05406D4C" w14:textId="2D311D02" w:rsidR="006A4A08" w:rsidRPr="00061636" w:rsidRDefault="551A77D0" w:rsidP="00EB247F">
      <w:pPr>
        <w:pStyle w:val="Heading2"/>
      </w:pPr>
      <w:bookmarkStart w:id="4" w:name="_Toc10331895"/>
      <w:r w:rsidRPr="00061636">
        <w:t xml:space="preserve">State of </w:t>
      </w:r>
      <w:r w:rsidR="00DA1392" w:rsidRPr="00061636">
        <w:t>PV technology</w:t>
      </w:r>
      <w:bookmarkEnd w:id="4"/>
    </w:p>
    <w:p w14:paraId="7E7EA212" w14:textId="1E2C4C13" w:rsidR="00FA6897" w:rsidRPr="00061636" w:rsidRDefault="00300337" w:rsidP="00F4258D">
      <w:r w:rsidRPr="00061636">
        <w:t>S</w:t>
      </w:r>
      <w:r w:rsidR="00FA6897" w:rsidRPr="00061636">
        <w:t>un</w:t>
      </w:r>
      <w:r w:rsidRPr="00061636">
        <w:t>light</w:t>
      </w:r>
      <w:r w:rsidR="00FA6897" w:rsidRPr="00061636">
        <w:t xml:space="preserve"> is the origin of many of the primary energy sources </w:t>
      </w:r>
      <w:r w:rsidR="0071646A" w:rsidRPr="00061636">
        <w:t>on our</w:t>
      </w:r>
      <w:r w:rsidR="00FA6897" w:rsidRPr="00061636">
        <w:t xml:space="preserve"> planet.</w:t>
      </w:r>
      <w:r w:rsidRPr="00061636">
        <w:t xml:space="preserve"> It is the</w:t>
      </w:r>
      <w:r w:rsidR="00FA6897" w:rsidRPr="00061636">
        <w:t xml:space="preserve"> </w:t>
      </w:r>
      <w:r w:rsidR="00787D67" w:rsidRPr="00061636">
        <w:t>s</w:t>
      </w:r>
      <w:r w:rsidR="00FA6897" w:rsidRPr="00061636">
        <w:t>un</w:t>
      </w:r>
      <w:r w:rsidRPr="00061636">
        <w:t xml:space="preserve"> which</w:t>
      </w:r>
      <w:r w:rsidR="00FA6897" w:rsidRPr="00061636">
        <w:t xml:space="preserve"> powers</w:t>
      </w:r>
      <w:r w:rsidR="006575DF" w:rsidRPr="00061636">
        <w:t xml:space="preserve"> the process of</w:t>
      </w:r>
      <w:r w:rsidR="00FA6897" w:rsidRPr="00061636">
        <w:t xml:space="preserve"> photosynthesis and</w:t>
      </w:r>
      <w:r w:rsidR="006575DF" w:rsidRPr="00061636">
        <w:t xml:space="preserve"> this bec</w:t>
      </w:r>
      <w:r w:rsidRPr="00061636">
        <w:t>o</w:t>
      </w:r>
      <w:r w:rsidR="006575DF" w:rsidRPr="00061636">
        <w:t>me</w:t>
      </w:r>
      <w:r w:rsidRPr="00061636">
        <w:t>s</w:t>
      </w:r>
      <w:r w:rsidR="006575DF" w:rsidRPr="00061636">
        <w:t xml:space="preserve"> the driving force</w:t>
      </w:r>
      <w:r w:rsidR="00FA6897" w:rsidRPr="00061636">
        <w:t xml:space="preserve"> behind</w:t>
      </w:r>
      <w:r w:rsidR="006575DF" w:rsidRPr="00061636">
        <w:t xml:space="preserve"> all </w:t>
      </w:r>
      <w:r w:rsidR="00FA6897" w:rsidRPr="00061636">
        <w:t>fossil fuels and biofuels. Sunlight heats</w:t>
      </w:r>
      <w:r w:rsidR="006575DF" w:rsidRPr="00061636">
        <w:t xml:space="preserve"> up</w:t>
      </w:r>
      <w:r w:rsidR="00FA6897" w:rsidRPr="00061636">
        <w:t xml:space="preserve"> the </w:t>
      </w:r>
      <w:r w:rsidR="0071646A" w:rsidRPr="00061636">
        <w:t>oceans and</w:t>
      </w:r>
      <w:r w:rsidR="00FA6897" w:rsidRPr="00061636">
        <w:t xml:space="preserve"> the air, thus creating</w:t>
      </w:r>
      <w:r w:rsidR="006575DF" w:rsidRPr="00061636">
        <w:t xml:space="preserve"> the forces of</w:t>
      </w:r>
      <w:r w:rsidR="00FA6897" w:rsidRPr="00061636">
        <w:t xml:space="preserve"> wind and wave power.</w:t>
      </w:r>
    </w:p>
    <w:p w14:paraId="67D5E86E" w14:textId="20038AAA" w:rsidR="00300337" w:rsidRPr="00061636" w:rsidRDefault="00FA6897" w:rsidP="00300337">
      <w:r w:rsidRPr="00061636">
        <w:t>The technology that allows us to</w:t>
      </w:r>
      <w:r w:rsidR="00D2582A" w:rsidRPr="00061636">
        <w:t xml:space="preserve"> convert </w:t>
      </w:r>
      <w:r w:rsidRPr="00061636">
        <w:t xml:space="preserve">energy from sunlight </w:t>
      </w:r>
      <w:r w:rsidR="003A029A" w:rsidRPr="00061636">
        <w:t>directly</w:t>
      </w:r>
      <w:r w:rsidR="00D2582A" w:rsidRPr="00061636">
        <w:t xml:space="preserve"> into electricity</w:t>
      </w:r>
      <w:r w:rsidR="003A029A" w:rsidRPr="00061636">
        <w:t xml:space="preserve"> </w:t>
      </w:r>
      <w:r w:rsidRPr="00061636">
        <w:t xml:space="preserve">is called photovoltaics (PV). </w:t>
      </w:r>
      <w:r w:rsidR="008A28C0" w:rsidRPr="00061636">
        <w:t xml:space="preserve">The photovoltaic effect was first discovered by Becquerel in 1839 </w:t>
      </w:r>
      <w:sdt>
        <w:sdtPr>
          <w:id w:val="-598564047"/>
          <w:citation/>
        </w:sdtPr>
        <w:sdtContent>
          <w:r w:rsidR="00A4515B">
            <w:fldChar w:fldCharType="begin"/>
          </w:r>
          <w:r w:rsidR="00A4515B">
            <w:instrText xml:space="preserve"> CITATION Per04 \l 1033 </w:instrText>
          </w:r>
          <w:r w:rsidR="00A4515B">
            <w:fldChar w:fldCharType="separate"/>
          </w:r>
          <w:r w:rsidR="00AC388C">
            <w:rPr>
              <w:noProof/>
            </w:rPr>
            <w:t>(Perlin, 2004)</w:t>
          </w:r>
          <w:r w:rsidR="00A4515B">
            <w:fldChar w:fldCharType="end"/>
          </w:r>
        </w:sdtContent>
      </w:sdt>
      <w:r w:rsidR="008A28C0" w:rsidRPr="00061636">
        <w:t xml:space="preserve">. When sunlight falls on a </w:t>
      </w:r>
      <w:r w:rsidR="00300337" w:rsidRPr="00061636">
        <w:t xml:space="preserve">solar </w:t>
      </w:r>
      <w:r w:rsidR="008A28C0" w:rsidRPr="00061636">
        <w:t xml:space="preserve">cell, it knocks off electrons from the semiconductor material in the cell. These electrons can travel across </w:t>
      </w:r>
      <w:r w:rsidR="0071646A" w:rsidRPr="00061636">
        <w:t>a positive</w:t>
      </w:r>
      <w:r w:rsidR="008A28C0" w:rsidRPr="00061636">
        <w:t>-negative junction</w:t>
      </w:r>
      <w:r w:rsidR="00300337" w:rsidRPr="00061636">
        <w:t xml:space="preserve"> thus producing an electric current which can be used directly to power an external load or can be stored for later use.</w:t>
      </w:r>
    </w:p>
    <w:p w14:paraId="44217931" w14:textId="210B3F58" w:rsidR="00FA6897" w:rsidRPr="00061636" w:rsidRDefault="00300337" w:rsidP="00F4258D">
      <w:r w:rsidRPr="00061636">
        <w:t>I</w:t>
      </w:r>
      <w:r w:rsidR="008A28C0" w:rsidRPr="00061636">
        <w:t xml:space="preserve">t was only after </w:t>
      </w:r>
      <w:r w:rsidR="00FA6897" w:rsidRPr="00061636">
        <w:t>the first silicon cell was created at Bell Labs in 1954</w:t>
      </w:r>
      <w:r w:rsidR="008A28C0" w:rsidRPr="00061636">
        <w:t xml:space="preserve"> that this technology started to be developed</w:t>
      </w:r>
      <w:sdt>
        <w:sdtPr>
          <w:id w:val="448361762"/>
          <w:citation/>
        </w:sdtPr>
        <w:sdtContent>
          <w:r w:rsidR="00226424">
            <w:fldChar w:fldCharType="begin"/>
          </w:r>
          <w:r w:rsidR="00226424">
            <w:instrText xml:space="preserve"> CITATION Per04 \l 1033 </w:instrText>
          </w:r>
          <w:r w:rsidR="00226424">
            <w:fldChar w:fldCharType="separate"/>
          </w:r>
          <w:r w:rsidR="00AC388C">
            <w:rPr>
              <w:noProof/>
            </w:rPr>
            <w:t xml:space="preserve"> (Perlin, 2004)</w:t>
          </w:r>
          <w:r w:rsidR="00226424">
            <w:fldChar w:fldCharType="end"/>
          </w:r>
        </w:sdtContent>
      </w:sdt>
      <w:r w:rsidR="00FA6897" w:rsidRPr="00061636">
        <w:t>. PV cells convert solar irradiance into electricity by separating charges across a junction between two semiconducting</w:t>
      </w:r>
      <w:r w:rsidR="000E4B87" w:rsidRPr="00061636">
        <w:t xml:space="preserve"> layer</w:t>
      </w:r>
      <w:r w:rsidR="00FA6897" w:rsidRPr="00061636">
        <w:t xml:space="preserve">s. </w:t>
      </w:r>
      <w:r w:rsidR="007A2E4C" w:rsidRPr="00061636">
        <w:t xml:space="preserve">For making </w:t>
      </w:r>
      <w:r w:rsidR="00FA6897" w:rsidRPr="00061636">
        <w:t xml:space="preserve">silicon solar cells, manufacturers undertake a process called “doping” </w:t>
      </w:r>
      <w:r w:rsidR="00850895" w:rsidRPr="00061636">
        <w:t>and</w:t>
      </w:r>
      <w:r w:rsidR="00FA6897" w:rsidRPr="00061636">
        <w:t xml:space="preserve"> add </w:t>
      </w:r>
      <w:r w:rsidR="00E8044E" w:rsidRPr="00061636">
        <w:t xml:space="preserve">slight amounts of </w:t>
      </w:r>
      <w:r w:rsidR="00FA6897" w:rsidRPr="00061636">
        <w:t xml:space="preserve">positive and negative charges to the top and bottom layers </w:t>
      </w:r>
      <w:r w:rsidR="0071646A" w:rsidRPr="00061636">
        <w:t>of the</w:t>
      </w:r>
      <w:r w:rsidR="007A2E4C" w:rsidRPr="00061636">
        <w:t xml:space="preserve"> junction as</w:t>
      </w:r>
      <w:r w:rsidR="00FA6897" w:rsidRPr="00061636">
        <w:t xml:space="preserve"> silicon on its own is a poor conductor</w:t>
      </w:r>
      <w:r w:rsidR="007A2E4C" w:rsidRPr="00061636">
        <w:t xml:space="preserve"> of electricity</w:t>
      </w:r>
      <w:r w:rsidR="00FA6897" w:rsidRPr="00061636">
        <w:t xml:space="preserve">. As sunlight </w:t>
      </w:r>
      <w:r w:rsidR="003A029A" w:rsidRPr="00061636">
        <w:t xml:space="preserve">falls on </w:t>
      </w:r>
      <w:r w:rsidR="00FA6897" w:rsidRPr="00061636">
        <w:t xml:space="preserve">the solar cell, </w:t>
      </w:r>
      <w:r w:rsidR="00E8044E" w:rsidRPr="00061636">
        <w:t xml:space="preserve">electrons flow across the junction and this </w:t>
      </w:r>
      <w:r w:rsidR="00FA6897" w:rsidRPr="00061636">
        <w:t>generates electricity</w:t>
      </w:r>
      <w:r w:rsidR="00850895" w:rsidRPr="00061636">
        <w:t>.</w:t>
      </w:r>
    </w:p>
    <w:p w14:paraId="7E504D4F" w14:textId="5BD7D99A" w:rsidR="00FA6897" w:rsidRPr="00061636" w:rsidRDefault="00FA6897" w:rsidP="00EB247F">
      <w:pPr>
        <w:rPr>
          <w:rFonts w:cs="Times New Roman"/>
        </w:rPr>
      </w:pPr>
      <w:r w:rsidRPr="00061636">
        <w:rPr>
          <w:rFonts w:cs="Times New Roman"/>
        </w:rPr>
        <w:t>PV cells are wired together in s</w:t>
      </w:r>
      <w:r w:rsidR="00F4258D" w:rsidRPr="00061636">
        <w:rPr>
          <w:rFonts w:cs="Times New Roman"/>
        </w:rPr>
        <w:t>eries to form a module, and the</w:t>
      </w:r>
      <w:r w:rsidRPr="00061636">
        <w:rPr>
          <w:rFonts w:cs="Times New Roman"/>
        </w:rPr>
        <w:t xml:space="preserve"> modules are wired in parallel to form strings</w:t>
      </w:r>
      <w:r w:rsidR="006575DF" w:rsidRPr="00061636">
        <w:rPr>
          <w:rFonts w:cs="Times New Roman"/>
        </w:rPr>
        <w:t xml:space="preserve"> and large</w:t>
      </w:r>
      <w:r w:rsidR="00850895" w:rsidRPr="00061636">
        <w:rPr>
          <w:rFonts w:cs="Times New Roman"/>
        </w:rPr>
        <w:t>r</w:t>
      </w:r>
      <w:r w:rsidR="006575DF" w:rsidRPr="00061636">
        <w:rPr>
          <w:rFonts w:cs="Times New Roman"/>
        </w:rPr>
        <w:t xml:space="preserve"> arrays</w:t>
      </w:r>
      <w:r w:rsidRPr="00061636">
        <w:rPr>
          <w:rFonts w:cs="Times New Roman"/>
        </w:rPr>
        <w:t xml:space="preserve">. Each PV cell </w:t>
      </w:r>
      <w:r w:rsidR="006575DF" w:rsidRPr="00061636">
        <w:rPr>
          <w:rFonts w:cs="Times New Roman"/>
        </w:rPr>
        <w:t xml:space="preserve">generates only </w:t>
      </w:r>
      <w:r w:rsidRPr="00061636">
        <w:rPr>
          <w:rFonts w:cs="Times New Roman"/>
        </w:rPr>
        <w:t>direct current</w:t>
      </w:r>
      <w:r w:rsidR="006575DF" w:rsidRPr="00061636">
        <w:rPr>
          <w:rFonts w:cs="Times New Roman"/>
        </w:rPr>
        <w:t xml:space="preserve"> (DC</w:t>
      </w:r>
      <w:r w:rsidR="00537FD9">
        <w:rPr>
          <w:rFonts w:cs="Times New Roman"/>
        </w:rPr>
        <w:t xml:space="preserve">). </w:t>
      </w:r>
      <w:r w:rsidR="000E4B87" w:rsidRPr="00061636">
        <w:rPr>
          <w:rFonts w:cs="Times New Roman"/>
        </w:rPr>
        <w:t>This</w:t>
      </w:r>
      <w:r w:rsidRPr="00061636">
        <w:rPr>
          <w:rFonts w:cs="Times New Roman"/>
        </w:rPr>
        <w:t xml:space="preserve"> is then passed through an inverter to produce </w:t>
      </w:r>
      <w:r w:rsidR="000E4B87" w:rsidRPr="00061636">
        <w:rPr>
          <w:rFonts w:cs="Times New Roman"/>
        </w:rPr>
        <w:t xml:space="preserve">an </w:t>
      </w:r>
      <w:r w:rsidRPr="00061636">
        <w:rPr>
          <w:rFonts w:cs="Times New Roman"/>
        </w:rPr>
        <w:t>alternating current</w:t>
      </w:r>
      <w:r w:rsidR="00680709" w:rsidRPr="00061636">
        <w:rPr>
          <w:rFonts w:cs="Times New Roman"/>
        </w:rPr>
        <w:t xml:space="preserve"> (AC) - </w:t>
      </w:r>
      <w:r w:rsidRPr="00061636">
        <w:rPr>
          <w:rFonts w:cs="Times New Roman"/>
        </w:rPr>
        <w:t>the</w:t>
      </w:r>
      <w:r w:rsidR="00680709" w:rsidRPr="00061636">
        <w:rPr>
          <w:rFonts w:cs="Times New Roman"/>
        </w:rPr>
        <w:t xml:space="preserve"> usable</w:t>
      </w:r>
      <w:r w:rsidRPr="00061636">
        <w:rPr>
          <w:rFonts w:cs="Times New Roman"/>
        </w:rPr>
        <w:t xml:space="preserve"> form in which it is delivered to businesses and residences. PV systems are </w:t>
      </w:r>
      <w:r w:rsidR="00AF45A6" w:rsidRPr="00061636">
        <w:rPr>
          <w:rFonts w:cs="Times New Roman"/>
        </w:rPr>
        <w:t>typically set</w:t>
      </w:r>
      <w:r w:rsidR="00680709" w:rsidRPr="00061636">
        <w:rPr>
          <w:rFonts w:cs="Times New Roman"/>
        </w:rPr>
        <w:t xml:space="preserve"> up </w:t>
      </w:r>
      <w:r w:rsidRPr="00061636">
        <w:rPr>
          <w:rFonts w:cs="Times New Roman"/>
        </w:rPr>
        <w:t xml:space="preserve">in two main ways: </w:t>
      </w:r>
      <w:proofErr w:type="spellStart"/>
      <w:r w:rsidRPr="00061636">
        <w:rPr>
          <w:rFonts w:cs="Times New Roman"/>
        </w:rPr>
        <w:t>i</w:t>
      </w:r>
      <w:proofErr w:type="spellEnd"/>
      <w:r w:rsidRPr="00061636">
        <w:rPr>
          <w:rFonts w:cs="Times New Roman"/>
        </w:rPr>
        <w:t>)</w:t>
      </w:r>
      <w:r w:rsidR="00537FD9">
        <w:rPr>
          <w:rFonts w:cs="Times New Roman"/>
        </w:rPr>
        <w:t xml:space="preserve"> </w:t>
      </w:r>
      <w:r w:rsidRPr="00061636">
        <w:rPr>
          <w:rFonts w:cs="Times New Roman"/>
        </w:rPr>
        <w:t xml:space="preserve">several panels can be installed on rooftops by homeowners and businesses, or ii) hundreds of panels can be installed in a large array by an electric utility. This </w:t>
      </w:r>
      <w:r w:rsidR="000E4B87" w:rsidRPr="00061636">
        <w:rPr>
          <w:rFonts w:cs="Times New Roman"/>
        </w:rPr>
        <w:t xml:space="preserve">present </w:t>
      </w:r>
      <w:r w:rsidRPr="00061636">
        <w:rPr>
          <w:rFonts w:cs="Times New Roman"/>
        </w:rPr>
        <w:t xml:space="preserve">report is </w:t>
      </w:r>
      <w:r w:rsidR="00AF45A6" w:rsidRPr="00061636">
        <w:rPr>
          <w:rFonts w:cs="Times New Roman"/>
        </w:rPr>
        <w:t>concerned largely</w:t>
      </w:r>
      <w:r w:rsidR="000E4B87" w:rsidRPr="00061636">
        <w:rPr>
          <w:rFonts w:cs="Times New Roman"/>
        </w:rPr>
        <w:t xml:space="preserve"> </w:t>
      </w:r>
      <w:r w:rsidRPr="00061636">
        <w:rPr>
          <w:rFonts w:cs="Times New Roman"/>
        </w:rPr>
        <w:t>with the second type of system</w:t>
      </w:r>
      <w:r w:rsidR="000E4B87" w:rsidRPr="00061636">
        <w:rPr>
          <w:rFonts w:cs="Times New Roman"/>
        </w:rPr>
        <w:t xml:space="preserve"> i.e. utility</w:t>
      </w:r>
      <w:r w:rsidR="00BD15EF">
        <w:rPr>
          <w:rFonts w:cs="Times New Roman"/>
        </w:rPr>
        <w:t>-</w:t>
      </w:r>
      <w:r w:rsidR="000E4B87" w:rsidRPr="00061636">
        <w:rPr>
          <w:rFonts w:cs="Times New Roman"/>
        </w:rPr>
        <w:t xml:space="preserve">scale PV </w:t>
      </w:r>
      <w:r w:rsidR="0071646A" w:rsidRPr="00061636">
        <w:rPr>
          <w:rFonts w:cs="Times New Roman"/>
        </w:rPr>
        <w:t>systems When</w:t>
      </w:r>
      <w:r w:rsidR="00850895" w:rsidRPr="00061636">
        <w:rPr>
          <w:rFonts w:cs="Times New Roman"/>
        </w:rPr>
        <w:t xml:space="preserve"> discussing different types of module technologies, </w:t>
      </w:r>
      <w:r w:rsidR="000E4B87" w:rsidRPr="00061636">
        <w:rPr>
          <w:rFonts w:cs="Times New Roman"/>
        </w:rPr>
        <w:t>the term SPV</w:t>
      </w:r>
      <w:r w:rsidRPr="00061636">
        <w:rPr>
          <w:rFonts w:cs="Times New Roman"/>
        </w:rPr>
        <w:t xml:space="preserve"> </w:t>
      </w:r>
      <w:r w:rsidR="002C1087" w:rsidRPr="00061636">
        <w:rPr>
          <w:rFonts w:cs="Times New Roman"/>
        </w:rPr>
        <w:t>necessarily includes</w:t>
      </w:r>
      <w:r w:rsidRPr="00061636">
        <w:rPr>
          <w:rFonts w:cs="Times New Roman"/>
        </w:rPr>
        <w:t xml:space="preserve"> all PV systems, as the</w:t>
      </w:r>
      <w:r w:rsidR="00787D67" w:rsidRPr="00061636">
        <w:rPr>
          <w:rFonts w:cs="Times New Roman"/>
        </w:rPr>
        <w:t xml:space="preserve"> </w:t>
      </w:r>
      <w:r w:rsidR="00850895" w:rsidRPr="00061636">
        <w:rPr>
          <w:rFonts w:cs="Times New Roman"/>
        </w:rPr>
        <w:t>underlying technology of</w:t>
      </w:r>
      <w:r w:rsidR="00680709" w:rsidRPr="00061636">
        <w:rPr>
          <w:rFonts w:cs="Times New Roman"/>
        </w:rPr>
        <w:t xml:space="preserve"> </w:t>
      </w:r>
      <w:r w:rsidRPr="00061636">
        <w:rPr>
          <w:rFonts w:cs="Times New Roman"/>
        </w:rPr>
        <w:t>both</w:t>
      </w:r>
      <w:r w:rsidR="00850895" w:rsidRPr="00061636">
        <w:rPr>
          <w:rFonts w:cs="Times New Roman"/>
        </w:rPr>
        <w:t xml:space="preserve"> the</w:t>
      </w:r>
      <w:r w:rsidRPr="00061636">
        <w:rPr>
          <w:rFonts w:cs="Times New Roman"/>
        </w:rPr>
        <w:t xml:space="preserve"> rooftop and utility-scale PV systems</w:t>
      </w:r>
      <w:r w:rsidR="00850895" w:rsidRPr="00061636">
        <w:rPr>
          <w:rFonts w:cs="Times New Roman"/>
        </w:rPr>
        <w:t xml:space="preserve"> is the same</w:t>
      </w:r>
      <w:r w:rsidRPr="00061636">
        <w:rPr>
          <w:rFonts w:cs="Times New Roman"/>
        </w:rPr>
        <w:t>.</w:t>
      </w:r>
    </w:p>
    <w:p w14:paraId="7AC09104" w14:textId="57340193" w:rsidR="00FA6897" w:rsidRPr="00061636" w:rsidRDefault="00FA6897" w:rsidP="00EB247F">
      <w:pPr>
        <w:rPr>
          <w:rFonts w:cs="Times New Roman"/>
        </w:rPr>
      </w:pPr>
      <w:r w:rsidRPr="00061636">
        <w:rPr>
          <w:rFonts w:cs="Times New Roman"/>
        </w:rPr>
        <w:t xml:space="preserve">While there are many different types of </w:t>
      </w:r>
      <w:r w:rsidR="00AF45A6" w:rsidRPr="00061636">
        <w:rPr>
          <w:rFonts w:cs="Times New Roman"/>
        </w:rPr>
        <w:t>PV cells</w:t>
      </w:r>
      <w:r w:rsidR="00680709" w:rsidRPr="00061636">
        <w:rPr>
          <w:rFonts w:cs="Times New Roman"/>
        </w:rPr>
        <w:t xml:space="preserve"> </w:t>
      </w:r>
      <w:r w:rsidR="0071646A" w:rsidRPr="00061636">
        <w:rPr>
          <w:rFonts w:cs="Times New Roman"/>
        </w:rPr>
        <w:t>under production</w:t>
      </w:r>
      <w:r w:rsidRPr="00061636">
        <w:rPr>
          <w:rFonts w:cs="Times New Roman"/>
        </w:rPr>
        <w:t>, crystalline silicon PV</w:t>
      </w:r>
      <w:r w:rsidR="00680709" w:rsidRPr="00061636">
        <w:rPr>
          <w:rFonts w:cs="Times New Roman"/>
        </w:rPr>
        <w:t xml:space="preserve"> cells are</w:t>
      </w:r>
      <w:r w:rsidR="00787D67" w:rsidRPr="00061636">
        <w:rPr>
          <w:rFonts w:cs="Times New Roman"/>
        </w:rPr>
        <w:t xml:space="preserve"> </w:t>
      </w:r>
      <w:r w:rsidRPr="00061636">
        <w:rPr>
          <w:rFonts w:cs="Times New Roman"/>
        </w:rPr>
        <w:t>by far the most common, with over 90 percent of the market share</w:t>
      </w:r>
      <w:sdt>
        <w:sdtPr>
          <w:rPr>
            <w:rFonts w:cs="Times New Roman"/>
          </w:rPr>
          <w:id w:val="-1243326733"/>
          <w:citation/>
        </w:sdtPr>
        <w:sdtContent>
          <w:r w:rsidR="00074621">
            <w:rPr>
              <w:rFonts w:cs="Times New Roman"/>
            </w:rPr>
            <w:fldChar w:fldCharType="begin"/>
          </w:r>
          <w:r w:rsidR="00074621">
            <w:rPr>
              <w:rFonts w:cs="Times New Roman"/>
            </w:rPr>
            <w:instrText xml:space="preserve">CITATION ITRPV \l 1033 </w:instrText>
          </w:r>
          <w:r w:rsidR="00074621">
            <w:rPr>
              <w:rFonts w:cs="Times New Roman"/>
            </w:rPr>
            <w:fldChar w:fldCharType="separate"/>
          </w:r>
          <w:r w:rsidR="00AC388C">
            <w:rPr>
              <w:rFonts w:cs="Times New Roman"/>
              <w:noProof/>
            </w:rPr>
            <w:t xml:space="preserve"> </w:t>
          </w:r>
          <w:r w:rsidR="00AC388C" w:rsidRPr="00AC388C">
            <w:rPr>
              <w:rFonts w:cs="Times New Roman"/>
              <w:noProof/>
            </w:rPr>
            <w:t>(ITRPV, 2018)</w:t>
          </w:r>
          <w:r w:rsidR="00074621">
            <w:rPr>
              <w:rFonts w:cs="Times New Roman"/>
            </w:rPr>
            <w:fldChar w:fldCharType="end"/>
          </w:r>
        </w:sdtContent>
      </w:sdt>
      <w:r w:rsidRPr="00061636">
        <w:rPr>
          <w:rFonts w:cs="Times New Roman"/>
        </w:rPr>
        <w:t xml:space="preserve">. These devices are made using either monocrystalline or </w:t>
      </w:r>
      <w:r w:rsidR="001A3865" w:rsidRPr="00061636">
        <w:rPr>
          <w:rFonts w:cs="Times New Roman"/>
        </w:rPr>
        <w:t>multi-</w:t>
      </w:r>
      <w:r w:rsidRPr="00061636">
        <w:rPr>
          <w:rFonts w:cs="Times New Roman"/>
        </w:rPr>
        <w:t xml:space="preserve">crystalline wafers of silicon, which accounted for </w:t>
      </w:r>
      <w:r w:rsidR="001A3865" w:rsidRPr="00061636">
        <w:rPr>
          <w:rFonts w:cs="Times New Roman"/>
        </w:rPr>
        <w:t>27</w:t>
      </w:r>
      <w:r w:rsidRPr="00061636">
        <w:rPr>
          <w:rFonts w:cs="Times New Roman"/>
        </w:rPr>
        <w:t xml:space="preserve"> percent </w:t>
      </w:r>
      <w:r w:rsidR="00AF45A6" w:rsidRPr="00061636">
        <w:rPr>
          <w:rFonts w:cs="Times New Roman"/>
        </w:rPr>
        <w:t>and 62</w:t>
      </w:r>
      <w:r w:rsidRPr="00061636">
        <w:rPr>
          <w:rFonts w:cs="Times New Roman"/>
        </w:rPr>
        <w:t xml:space="preserve"> percent of the PV market, respectively</w:t>
      </w:r>
      <w:r w:rsidR="006E1487">
        <w:rPr>
          <w:rFonts w:cs="Times New Roman"/>
        </w:rPr>
        <w:t xml:space="preserve"> </w:t>
      </w:r>
      <w:sdt>
        <w:sdtPr>
          <w:rPr>
            <w:rFonts w:cs="Times New Roman"/>
          </w:rPr>
          <w:id w:val="1409733293"/>
          <w:citation/>
        </w:sdtPr>
        <w:sdtContent>
          <w:r w:rsidR="006E1487">
            <w:rPr>
              <w:rFonts w:cs="Times New Roman"/>
            </w:rPr>
            <w:fldChar w:fldCharType="begin"/>
          </w:r>
          <w:r w:rsidR="009E09E8">
            <w:rPr>
              <w:rFonts w:cs="Times New Roman"/>
            </w:rPr>
            <w:instrText xml:space="preserve">CITATION Fra18 \l 1033 </w:instrText>
          </w:r>
          <w:r w:rsidR="006E1487">
            <w:rPr>
              <w:rFonts w:cs="Times New Roman"/>
            </w:rPr>
            <w:fldChar w:fldCharType="separate"/>
          </w:r>
          <w:r w:rsidR="009E09E8" w:rsidRPr="009E09E8">
            <w:rPr>
              <w:rFonts w:cs="Times New Roman"/>
              <w:noProof/>
            </w:rPr>
            <w:t>(Fraunhofer, ISE, 2018)</w:t>
          </w:r>
          <w:r w:rsidR="006E1487">
            <w:rPr>
              <w:rFonts w:cs="Times New Roman"/>
            </w:rPr>
            <w:fldChar w:fldCharType="end"/>
          </w:r>
        </w:sdtContent>
      </w:sdt>
      <w:r w:rsidRPr="00061636">
        <w:rPr>
          <w:rFonts w:cs="Times New Roman"/>
        </w:rPr>
        <w:t xml:space="preserve">. The rest of the market is primarily </w:t>
      </w:r>
      <w:r w:rsidR="00E8044E" w:rsidRPr="00061636">
        <w:rPr>
          <w:rFonts w:cs="Times New Roman"/>
        </w:rPr>
        <w:t xml:space="preserve">with </w:t>
      </w:r>
      <w:r w:rsidRPr="00061636">
        <w:rPr>
          <w:rFonts w:cs="Times New Roman"/>
        </w:rPr>
        <w:t xml:space="preserve">thin-film </w:t>
      </w:r>
      <w:r w:rsidRPr="00061636">
        <w:rPr>
          <w:rFonts w:cs="Times New Roman"/>
        </w:rPr>
        <w:lastRenderedPageBreak/>
        <w:t>PV</w:t>
      </w:r>
      <w:r w:rsidR="00E8044E" w:rsidRPr="00061636">
        <w:rPr>
          <w:rFonts w:cs="Times New Roman"/>
        </w:rPr>
        <w:t xml:space="preserve"> cells</w:t>
      </w:r>
      <w:r w:rsidRPr="00061636">
        <w:rPr>
          <w:rFonts w:cs="Times New Roman"/>
        </w:rPr>
        <w:t>, which can be made of cadmium telluride (</w:t>
      </w:r>
      <w:proofErr w:type="spellStart"/>
      <w:r w:rsidRPr="00061636">
        <w:rPr>
          <w:rFonts w:cs="Times New Roman"/>
        </w:rPr>
        <w:t>CdTe</w:t>
      </w:r>
      <w:proofErr w:type="spellEnd"/>
      <w:r w:rsidR="00537FD9">
        <w:rPr>
          <w:rFonts w:cs="Times New Roman"/>
        </w:rPr>
        <w:t xml:space="preserve">), </w:t>
      </w:r>
      <w:r w:rsidRPr="00061636">
        <w:rPr>
          <w:rFonts w:cs="Times New Roman"/>
        </w:rPr>
        <w:t>copper indium gallium selenide (CIGS</w:t>
      </w:r>
      <w:r w:rsidR="00537FD9">
        <w:rPr>
          <w:rFonts w:cs="Times New Roman"/>
        </w:rPr>
        <w:t xml:space="preserve">) </w:t>
      </w:r>
      <w:r w:rsidRPr="00061636">
        <w:rPr>
          <w:rFonts w:cs="Times New Roman"/>
        </w:rPr>
        <w:t>or amorphous silicon (a-Si</w:t>
      </w:r>
      <w:r w:rsidR="00537FD9">
        <w:rPr>
          <w:rFonts w:cs="Times New Roman"/>
        </w:rPr>
        <w:t>)</w:t>
      </w:r>
      <w:sdt>
        <w:sdtPr>
          <w:rPr>
            <w:rFonts w:cs="Times New Roman"/>
          </w:rPr>
          <w:id w:val="-312949814"/>
          <w:citation/>
        </w:sdtPr>
        <w:sdtContent>
          <w:r w:rsidR="006C6A56">
            <w:rPr>
              <w:rFonts w:cs="Times New Roman"/>
            </w:rPr>
            <w:fldChar w:fldCharType="begin"/>
          </w:r>
          <w:r w:rsidR="005E3214">
            <w:rPr>
              <w:rFonts w:cs="Times New Roman"/>
            </w:rPr>
            <w:instrText xml:space="preserve">CITATION MIT15 \l 1033 </w:instrText>
          </w:r>
          <w:r w:rsidR="006C6A56">
            <w:rPr>
              <w:rFonts w:cs="Times New Roman"/>
            </w:rPr>
            <w:fldChar w:fldCharType="separate"/>
          </w:r>
          <w:r w:rsidR="005E3214">
            <w:rPr>
              <w:rFonts w:cs="Times New Roman"/>
              <w:noProof/>
            </w:rPr>
            <w:t xml:space="preserve"> </w:t>
          </w:r>
          <w:r w:rsidR="005E3214" w:rsidRPr="005E3214">
            <w:rPr>
              <w:rFonts w:cs="Times New Roman"/>
              <w:noProof/>
            </w:rPr>
            <w:t>(MIT, 2015)</w:t>
          </w:r>
          <w:r w:rsidR="006C6A56">
            <w:rPr>
              <w:rFonts w:cs="Times New Roman"/>
            </w:rPr>
            <w:fldChar w:fldCharType="end"/>
          </w:r>
        </w:sdtContent>
      </w:sdt>
      <w:r w:rsidRPr="00061636">
        <w:rPr>
          <w:rFonts w:cs="Times New Roman"/>
        </w:rPr>
        <w:t>. The chief advantage of thin-film cells is the lower material requirement, though this has been less advantageous in recent years due to a dramatic decline in the market price of silicon. Other types of PV</w:t>
      </w:r>
      <w:r w:rsidR="00A773C4" w:rsidRPr="00061636">
        <w:rPr>
          <w:rFonts w:cs="Times New Roman"/>
        </w:rPr>
        <w:t xml:space="preserve"> cells</w:t>
      </w:r>
      <w:r w:rsidRPr="00061636">
        <w:rPr>
          <w:rFonts w:cs="Times New Roman"/>
        </w:rPr>
        <w:t>, such as GaAs and multi-junction cells, are more expensive to produce and are primarily used in niche applications like satellites and spacecraft</w:t>
      </w:r>
      <w:r w:rsidR="00AF45A6">
        <w:rPr>
          <w:rFonts w:cs="Times New Roman"/>
        </w:rPr>
        <w:t>s</w:t>
      </w:r>
      <w:r w:rsidRPr="00061636">
        <w:rPr>
          <w:rFonts w:cs="Times New Roman"/>
        </w:rPr>
        <w:t xml:space="preserve">. </w:t>
      </w:r>
      <w:r w:rsidR="00646182" w:rsidRPr="00061636">
        <w:rPr>
          <w:rFonts w:cs="Times New Roman"/>
        </w:rPr>
        <w:t>O</w:t>
      </w:r>
      <w:r w:rsidR="00A773C4" w:rsidRPr="00061636">
        <w:rPr>
          <w:rFonts w:cs="Times New Roman"/>
        </w:rPr>
        <w:t xml:space="preserve">ther </w:t>
      </w:r>
      <w:r w:rsidRPr="00061636">
        <w:rPr>
          <w:rFonts w:cs="Times New Roman"/>
        </w:rPr>
        <w:t>PV architectures that have been emerging from ongoing research efforts</w:t>
      </w:r>
      <w:r w:rsidR="00A773C4" w:rsidRPr="00061636">
        <w:rPr>
          <w:rFonts w:cs="Times New Roman"/>
        </w:rPr>
        <w:t xml:space="preserve"> are </w:t>
      </w:r>
      <w:r w:rsidR="00AF45A6" w:rsidRPr="00061636">
        <w:rPr>
          <w:rFonts w:cs="Times New Roman"/>
        </w:rPr>
        <w:t>the organic</w:t>
      </w:r>
      <w:r w:rsidRPr="00061636">
        <w:rPr>
          <w:rFonts w:cs="Times New Roman"/>
        </w:rPr>
        <w:t xml:space="preserve"> PV, quantum dot PV, and dye-sensitized PV</w:t>
      </w:r>
      <w:r w:rsidR="00787D67" w:rsidRPr="00061636">
        <w:rPr>
          <w:rFonts w:cs="Times New Roman"/>
        </w:rPr>
        <w:t>,</w:t>
      </w:r>
      <w:r w:rsidR="00A773C4" w:rsidRPr="00061636">
        <w:rPr>
          <w:rFonts w:cs="Times New Roman"/>
        </w:rPr>
        <w:t xml:space="preserve"> etc</w:t>
      </w:r>
      <w:r w:rsidRPr="00061636">
        <w:rPr>
          <w:rFonts w:cs="Times New Roman"/>
        </w:rPr>
        <w:t>. Most recently,</w:t>
      </w:r>
      <w:r w:rsidR="00A773C4" w:rsidRPr="00061636">
        <w:rPr>
          <w:rFonts w:cs="Times New Roman"/>
        </w:rPr>
        <w:t xml:space="preserve"> the</w:t>
      </w:r>
      <w:r w:rsidRPr="00061636">
        <w:rPr>
          <w:rFonts w:cs="Times New Roman"/>
        </w:rPr>
        <w:t xml:space="preserve"> perovskite solar cells (PSCs) have captured the attention of researchers as their efficiency has rapidly grown over the past six years from 4 percent to 20 percent, nearing that of commercial monocrystalline silicon cells, and researchers are optimistic that </w:t>
      </w:r>
      <w:r w:rsidR="00A773C4" w:rsidRPr="00061636">
        <w:rPr>
          <w:rFonts w:cs="Times New Roman"/>
        </w:rPr>
        <w:t xml:space="preserve">their </w:t>
      </w:r>
      <w:r w:rsidRPr="00061636">
        <w:rPr>
          <w:rFonts w:cs="Times New Roman"/>
        </w:rPr>
        <w:t>performance gains can continue</w:t>
      </w:r>
      <w:r w:rsidR="00A773C4" w:rsidRPr="00061636">
        <w:rPr>
          <w:rFonts w:cs="Times New Roman"/>
        </w:rPr>
        <w:t xml:space="preserve"> to rise further</w:t>
      </w:r>
      <w:sdt>
        <w:sdtPr>
          <w:rPr>
            <w:rFonts w:cs="Times New Roman"/>
          </w:rPr>
          <w:id w:val="1169595725"/>
          <w:citation/>
        </w:sdtPr>
        <w:sdtContent>
          <w:r w:rsidR="006C6A56">
            <w:rPr>
              <w:rFonts w:cs="Times New Roman"/>
            </w:rPr>
            <w:fldChar w:fldCharType="begin"/>
          </w:r>
          <w:r w:rsidR="005E3214">
            <w:rPr>
              <w:rFonts w:cs="Times New Roman"/>
            </w:rPr>
            <w:instrText xml:space="preserve">CITATION alI17 \l 1033 </w:instrText>
          </w:r>
          <w:r w:rsidR="006C6A56">
            <w:rPr>
              <w:rFonts w:cs="Times New Roman"/>
            </w:rPr>
            <w:fldChar w:fldCharType="separate"/>
          </w:r>
          <w:r w:rsidR="005E3214">
            <w:rPr>
              <w:rFonts w:cs="Times New Roman"/>
              <w:noProof/>
            </w:rPr>
            <w:t xml:space="preserve"> </w:t>
          </w:r>
          <w:r w:rsidR="005E3214" w:rsidRPr="005E3214">
            <w:rPr>
              <w:rFonts w:cs="Times New Roman"/>
              <w:noProof/>
            </w:rPr>
            <w:t>(Ibn-Mohammed, 2017)</w:t>
          </w:r>
          <w:r w:rsidR="006C6A56">
            <w:rPr>
              <w:rFonts w:cs="Times New Roman"/>
            </w:rPr>
            <w:fldChar w:fldCharType="end"/>
          </w:r>
        </w:sdtContent>
      </w:sdt>
      <w:r w:rsidRPr="00061636">
        <w:rPr>
          <w:rFonts w:cs="Times New Roman"/>
        </w:rPr>
        <w:t xml:space="preserve">. PSCs are an exciting development in PV research because they have low production </w:t>
      </w:r>
      <w:r w:rsidR="00AF45A6" w:rsidRPr="00061636">
        <w:rPr>
          <w:rFonts w:cs="Times New Roman"/>
        </w:rPr>
        <w:t>costs and</w:t>
      </w:r>
      <w:r w:rsidRPr="00061636">
        <w:rPr>
          <w:rFonts w:cs="Times New Roman"/>
        </w:rPr>
        <w:t xml:space="preserve"> have efficiencies that are competitive with the best cells on the market </w:t>
      </w:r>
      <w:r w:rsidR="004766BF" w:rsidRPr="00864CA8">
        <w:rPr>
          <w:rFonts w:cs="Times New Roman"/>
          <w:noProof/>
        </w:rPr>
        <w:t>(Green, 2014</w:t>
      </w:r>
      <w:r w:rsidRPr="00061636">
        <w:rPr>
          <w:rFonts w:cs="Times New Roman"/>
        </w:rPr>
        <w:t xml:space="preserve">). While this research shows promise, it is still </w:t>
      </w:r>
      <w:r w:rsidR="00AF45A6" w:rsidRPr="00061636">
        <w:rPr>
          <w:rFonts w:cs="Times New Roman"/>
        </w:rPr>
        <w:t>a nascent</w:t>
      </w:r>
      <w:r w:rsidR="00A773C4" w:rsidRPr="00061636">
        <w:rPr>
          <w:rFonts w:cs="Times New Roman"/>
        </w:rPr>
        <w:t xml:space="preserve"> </w:t>
      </w:r>
      <w:r w:rsidRPr="00061636">
        <w:rPr>
          <w:rFonts w:cs="Times New Roman"/>
        </w:rPr>
        <w:t xml:space="preserve">technology, and the long-term stability of PSCs </w:t>
      </w:r>
      <w:r w:rsidR="00646182" w:rsidRPr="00061636">
        <w:rPr>
          <w:rFonts w:cs="Times New Roman"/>
        </w:rPr>
        <w:t xml:space="preserve">yet </w:t>
      </w:r>
      <w:r w:rsidRPr="00061636">
        <w:rPr>
          <w:rFonts w:cs="Times New Roman"/>
        </w:rPr>
        <w:t>remains to be proven</w:t>
      </w:r>
      <w:sdt>
        <w:sdtPr>
          <w:rPr>
            <w:rFonts w:cs="Times New Roman"/>
          </w:rPr>
          <w:id w:val="-1804689630"/>
          <w:citation/>
        </w:sdtPr>
        <w:sdtContent>
          <w:r w:rsidR="003A5AA9">
            <w:rPr>
              <w:rFonts w:cs="Times New Roman"/>
            </w:rPr>
            <w:fldChar w:fldCharType="begin"/>
          </w:r>
          <w:r w:rsidR="003A5AA9">
            <w:rPr>
              <w:rFonts w:cs="Times New Roman"/>
            </w:rPr>
            <w:instrText xml:space="preserve"> CITATION Mat15 \l 1033 </w:instrText>
          </w:r>
          <w:r w:rsidR="003A5AA9">
            <w:rPr>
              <w:rFonts w:cs="Times New Roman"/>
            </w:rPr>
            <w:fldChar w:fldCharType="separate"/>
          </w:r>
          <w:r w:rsidR="00864CA8">
            <w:rPr>
              <w:rFonts w:cs="Times New Roman"/>
              <w:noProof/>
            </w:rPr>
            <w:t xml:space="preserve"> </w:t>
          </w:r>
          <w:r w:rsidR="00864CA8" w:rsidRPr="00864CA8">
            <w:rPr>
              <w:rFonts w:cs="Times New Roman"/>
              <w:noProof/>
            </w:rPr>
            <w:t>(Gunther, 2015)</w:t>
          </w:r>
          <w:r w:rsidR="003A5AA9">
            <w:rPr>
              <w:rFonts w:cs="Times New Roman"/>
            </w:rPr>
            <w:fldChar w:fldCharType="end"/>
          </w:r>
        </w:sdtContent>
      </w:sdt>
      <w:r w:rsidR="00C31DD1">
        <w:rPr>
          <w:rFonts w:cs="Times New Roman"/>
        </w:rPr>
        <w:t>.</w:t>
      </w:r>
    </w:p>
    <w:p w14:paraId="6178BB66" w14:textId="1FF8FE50" w:rsidR="00FA6897" w:rsidRPr="00061636" w:rsidRDefault="00FA6897" w:rsidP="00EB247F">
      <w:pPr>
        <w:rPr>
          <w:rFonts w:cs="Times New Roman"/>
        </w:rPr>
      </w:pPr>
      <w:r w:rsidRPr="00061636">
        <w:rPr>
          <w:rFonts w:cs="Times New Roman"/>
        </w:rPr>
        <w:t>Depending on their design, different types of PV technologies vary greatly in how efficiently they can convert light into electricity. The U.S. National Renewable Energy Laboratory (NREL</w:t>
      </w:r>
      <w:r w:rsidR="00537FD9">
        <w:rPr>
          <w:rFonts w:cs="Times New Roman"/>
        </w:rPr>
        <w:t xml:space="preserve">) </w:t>
      </w:r>
      <w:r w:rsidRPr="00061636">
        <w:rPr>
          <w:rFonts w:cs="Times New Roman"/>
        </w:rPr>
        <w:t xml:space="preserve">in Golden, Colorado, tests PV cells to determine their efficiency under standardized conditions. They also publish a chart of the latest research-cell efficiencies, which can be seen in </w:t>
      </w:r>
      <w:sdt>
        <w:sdtPr>
          <w:rPr>
            <w:rFonts w:cs="Times New Roman"/>
          </w:rPr>
          <w:id w:val="-604884598"/>
          <w:citation/>
        </w:sdtPr>
        <w:sdtContent>
          <w:r w:rsidR="003A5AA9">
            <w:rPr>
              <w:rFonts w:cs="Times New Roman"/>
            </w:rPr>
            <w:fldChar w:fldCharType="begin"/>
          </w:r>
          <w:r w:rsidR="00864CA8">
            <w:rPr>
              <w:rFonts w:cs="Times New Roman"/>
            </w:rPr>
            <w:instrText xml:space="preserve">CITATION NREL17 \l 1033 </w:instrText>
          </w:r>
          <w:r w:rsidR="003A5AA9">
            <w:rPr>
              <w:rFonts w:cs="Times New Roman"/>
            </w:rPr>
            <w:fldChar w:fldCharType="separate"/>
          </w:r>
          <w:r w:rsidR="00864CA8" w:rsidRPr="00864CA8">
            <w:rPr>
              <w:rFonts w:cs="Times New Roman"/>
              <w:noProof/>
            </w:rPr>
            <w:t>(NREL, 2017)</w:t>
          </w:r>
          <w:r w:rsidR="003A5AA9">
            <w:rPr>
              <w:rFonts w:cs="Times New Roman"/>
            </w:rPr>
            <w:fldChar w:fldCharType="end"/>
          </w:r>
        </w:sdtContent>
      </w:sdt>
      <w:r w:rsidRPr="00061636">
        <w:rPr>
          <w:rFonts w:cs="Times New Roman"/>
        </w:rPr>
        <w:t xml:space="preserve">. The NREL </w:t>
      </w:r>
      <w:r w:rsidR="00646182" w:rsidRPr="00061636">
        <w:rPr>
          <w:rFonts w:cs="Times New Roman"/>
        </w:rPr>
        <w:t>data</w:t>
      </w:r>
      <w:r w:rsidRPr="00061636">
        <w:rPr>
          <w:rFonts w:cs="Times New Roman"/>
        </w:rPr>
        <w:t xml:space="preserve"> shows that the </w:t>
      </w:r>
      <w:r w:rsidR="00A773C4" w:rsidRPr="00061636">
        <w:rPr>
          <w:rFonts w:cs="Times New Roman"/>
        </w:rPr>
        <w:t xml:space="preserve">efficiency of </w:t>
      </w:r>
      <w:r w:rsidRPr="00061636">
        <w:rPr>
          <w:rFonts w:cs="Times New Roman"/>
        </w:rPr>
        <w:t>state</w:t>
      </w:r>
      <w:r w:rsidR="00646182" w:rsidRPr="00061636">
        <w:rPr>
          <w:rFonts w:cs="Times New Roman"/>
        </w:rPr>
        <w:t>-</w:t>
      </w:r>
      <w:r w:rsidRPr="00061636">
        <w:rPr>
          <w:rFonts w:cs="Times New Roman"/>
        </w:rPr>
        <w:t>of</w:t>
      </w:r>
      <w:r w:rsidR="00646182" w:rsidRPr="00061636">
        <w:rPr>
          <w:rFonts w:cs="Times New Roman"/>
        </w:rPr>
        <w:t>-</w:t>
      </w:r>
      <w:r w:rsidRPr="00061636">
        <w:rPr>
          <w:rFonts w:cs="Times New Roman"/>
        </w:rPr>
        <w:t>the</w:t>
      </w:r>
      <w:r w:rsidR="00646182" w:rsidRPr="00061636">
        <w:rPr>
          <w:rFonts w:cs="Times New Roman"/>
        </w:rPr>
        <w:t>-</w:t>
      </w:r>
      <w:r w:rsidRPr="00061636">
        <w:rPr>
          <w:rFonts w:cs="Times New Roman"/>
        </w:rPr>
        <w:t>art silico</w:t>
      </w:r>
      <w:r w:rsidR="00801004" w:rsidRPr="00061636">
        <w:rPr>
          <w:rFonts w:cs="Times New Roman"/>
        </w:rPr>
        <w:t>n cells is around 27</w:t>
      </w:r>
      <w:r w:rsidRPr="00061636">
        <w:rPr>
          <w:rFonts w:cs="Times New Roman"/>
        </w:rPr>
        <w:t xml:space="preserve"> percent, though the typical efficiency of a commercial cell is </w:t>
      </w:r>
      <w:r w:rsidR="007B7C3A" w:rsidRPr="00061636">
        <w:rPr>
          <w:rFonts w:cs="Times New Roman"/>
        </w:rPr>
        <w:t xml:space="preserve">between </w:t>
      </w:r>
      <w:r w:rsidRPr="00061636">
        <w:rPr>
          <w:rFonts w:cs="Times New Roman"/>
        </w:rPr>
        <w:t>15-18 percent</w:t>
      </w:r>
      <w:r w:rsidR="00801004" w:rsidRPr="00061636">
        <w:rPr>
          <w:rFonts w:cs="Times New Roman"/>
        </w:rPr>
        <w:t>.</w:t>
      </w:r>
    </w:p>
    <w:p w14:paraId="7B79893F" w14:textId="687B6535" w:rsidR="00FA6897" w:rsidRPr="00061636" w:rsidRDefault="00FA6897" w:rsidP="00EB247F">
      <w:pPr>
        <w:spacing w:after="0"/>
        <w:rPr>
          <w:rFonts w:cs="Times New Roman"/>
          <w:bCs/>
        </w:rPr>
      </w:pPr>
      <w:r w:rsidRPr="00061636">
        <w:rPr>
          <w:rFonts w:cs="Times New Roman"/>
          <w:bCs/>
        </w:rPr>
        <w:t xml:space="preserve">The efficiency of a PV cell </w:t>
      </w:r>
      <w:r w:rsidR="00AF45A6" w:rsidRPr="00061636">
        <w:rPr>
          <w:rFonts w:cs="Times New Roman"/>
          <w:bCs/>
        </w:rPr>
        <w:t>determines the</w:t>
      </w:r>
      <w:r w:rsidR="00A773C4" w:rsidRPr="00061636">
        <w:rPr>
          <w:rFonts w:cs="Times New Roman"/>
          <w:bCs/>
        </w:rPr>
        <w:t xml:space="preserve"> </w:t>
      </w:r>
      <w:r w:rsidRPr="00061636">
        <w:rPr>
          <w:rFonts w:cs="Times New Roman"/>
          <w:bCs/>
        </w:rPr>
        <w:t xml:space="preserve">system’s rated capacity, also known as </w:t>
      </w:r>
      <w:r w:rsidR="00A773C4" w:rsidRPr="00061636">
        <w:rPr>
          <w:rFonts w:cs="Times New Roman"/>
          <w:bCs/>
        </w:rPr>
        <w:t xml:space="preserve">its </w:t>
      </w:r>
      <w:r w:rsidRPr="00061636">
        <w:rPr>
          <w:rFonts w:cs="Times New Roman"/>
          <w:bCs/>
        </w:rPr>
        <w:t>peak capacity</w:t>
      </w:r>
      <w:r w:rsidR="00A773C4" w:rsidRPr="00061636">
        <w:rPr>
          <w:rFonts w:cs="Times New Roman"/>
          <w:bCs/>
        </w:rPr>
        <w:t>,</w:t>
      </w:r>
      <w:r w:rsidRPr="00061636">
        <w:rPr>
          <w:rFonts w:cs="Times New Roman"/>
          <w:bCs/>
        </w:rPr>
        <w:t xml:space="preserve"> nameplate capacity, or nominal power. This value is reported in units of kW (sometimes </w:t>
      </w:r>
      <w:proofErr w:type="spellStart"/>
      <w:r w:rsidRPr="00061636">
        <w:rPr>
          <w:rFonts w:cs="Times New Roman"/>
          <w:bCs/>
        </w:rPr>
        <w:t>kW</w:t>
      </w:r>
      <w:r w:rsidRPr="00061636">
        <w:rPr>
          <w:rFonts w:cs="Times New Roman"/>
          <w:bCs/>
          <w:vertAlign w:val="subscript"/>
        </w:rPr>
        <w:t>p</w:t>
      </w:r>
      <w:proofErr w:type="spellEnd"/>
      <w:r w:rsidR="00537FD9" w:rsidRPr="00537FD9">
        <w:rPr>
          <w:rFonts w:cs="Times New Roman"/>
          <w:bCs/>
        </w:rPr>
        <w:t>)</w:t>
      </w:r>
      <w:r w:rsidR="00537FD9">
        <w:rPr>
          <w:rFonts w:cs="Times New Roman"/>
          <w:bCs/>
        </w:rPr>
        <w:t xml:space="preserve"> </w:t>
      </w:r>
      <w:r w:rsidRPr="00061636">
        <w:rPr>
          <w:rFonts w:cs="Times New Roman"/>
          <w:bCs/>
        </w:rPr>
        <w:t xml:space="preserve">for “peak kilowatt”), </w:t>
      </w:r>
      <w:r w:rsidR="00801004" w:rsidRPr="00061636">
        <w:rPr>
          <w:rFonts w:cs="Times New Roman"/>
          <w:bCs/>
        </w:rPr>
        <w:t>megawatts (</w:t>
      </w:r>
      <w:r w:rsidRPr="00061636">
        <w:rPr>
          <w:rFonts w:cs="Times New Roman"/>
          <w:bCs/>
        </w:rPr>
        <w:t>MW</w:t>
      </w:r>
      <w:r w:rsidR="00801004" w:rsidRPr="00061636">
        <w:rPr>
          <w:rFonts w:cs="Times New Roman"/>
          <w:bCs/>
        </w:rPr>
        <w:t>)</w:t>
      </w:r>
      <w:r w:rsidRPr="00061636">
        <w:rPr>
          <w:rFonts w:cs="Times New Roman"/>
          <w:bCs/>
        </w:rPr>
        <w:t xml:space="preserve">, or </w:t>
      </w:r>
      <w:r w:rsidR="00801004" w:rsidRPr="00061636">
        <w:rPr>
          <w:rFonts w:cs="Times New Roman"/>
          <w:bCs/>
        </w:rPr>
        <w:t>gigawatts (</w:t>
      </w:r>
      <w:r w:rsidRPr="00061636">
        <w:rPr>
          <w:rFonts w:cs="Times New Roman"/>
          <w:bCs/>
        </w:rPr>
        <w:t>GW</w:t>
      </w:r>
      <w:r w:rsidR="00801004" w:rsidRPr="00061636">
        <w:rPr>
          <w:rFonts w:cs="Times New Roman"/>
          <w:bCs/>
        </w:rPr>
        <w:t>)</w:t>
      </w:r>
      <w:r w:rsidRPr="00061636">
        <w:rPr>
          <w:rFonts w:cs="Times New Roman"/>
          <w:bCs/>
        </w:rPr>
        <w:t xml:space="preserve">, depending on the size of the system. </w:t>
      </w:r>
      <w:r w:rsidR="00BF4A8E" w:rsidRPr="00061636">
        <w:rPr>
          <w:rFonts w:cs="Times New Roman"/>
          <w:bCs/>
        </w:rPr>
        <w:t>A system’s c</w:t>
      </w:r>
      <w:r w:rsidRPr="00061636">
        <w:rPr>
          <w:rFonts w:cs="Times New Roman"/>
          <w:bCs/>
        </w:rPr>
        <w:t xml:space="preserve">apacity is calculated by </w:t>
      </w:r>
      <w:r w:rsidR="00BF4A8E" w:rsidRPr="00061636">
        <w:rPr>
          <w:rFonts w:cs="Times New Roman"/>
          <w:bCs/>
        </w:rPr>
        <w:t xml:space="preserve">using </w:t>
      </w:r>
      <w:r w:rsidRPr="00061636">
        <w:rPr>
          <w:rFonts w:cs="Times New Roman"/>
          <w:bCs/>
        </w:rPr>
        <w:t>the following equation:</w:t>
      </w:r>
    </w:p>
    <w:p w14:paraId="009331F9" w14:textId="77777777" w:rsidR="00FA6897" w:rsidRPr="00061636" w:rsidRDefault="00FA6897" w:rsidP="00EB247F">
      <w:pPr>
        <w:spacing w:after="0"/>
        <w:rPr>
          <w:rFonts w:cs="Times New Roman"/>
          <w:bCs/>
        </w:rPr>
      </w:pPr>
    </w:p>
    <w:p w14:paraId="29F0C924" w14:textId="0D08312B" w:rsidR="00FA6897" w:rsidRPr="00061636" w:rsidRDefault="00FA6897" w:rsidP="00EB247F">
      <w:pPr>
        <w:spacing w:after="0"/>
        <w:jc w:val="center"/>
        <w:rPr>
          <w:rFonts w:cs="Times New Roman"/>
          <w:bCs/>
        </w:rPr>
      </w:pPr>
      <m:oMath>
        <m:r>
          <w:rPr>
            <w:rFonts w:ascii="Cambria Math" w:hAnsi="Cambria Math" w:cs="Times New Roman"/>
          </w:rPr>
          <m:t>Capacity=η∙A∙</m:t>
        </m:r>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sun</m:t>
            </m:r>
          </m:sub>
        </m:sSub>
      </m:oMath>
      <w:r w:rsidR="00801004" w:rsidRPr="00061636">
        <w:rPr>
          <w:rFonts w:cs="Times New Roman"/>
          <w:bCs/>
        </w:rPr>
        <w:t xml:space="preserve">      Eq (1)</w:t>
      </w:r>
    </w:p>
    <w:p w14:paraId="15613FF3" w14:textId="77777777" w:rsidR="00FA6897" w:rsidRPr="00061636" w:rsidRDefault="00FA6897" w:rsidP="00EB247F">
      <w:pPr>
        <w:spacing w:after="0"/>
        <w:rPr>
          <w:rFonts w:cs="Times New Roman"/>
          <w:bCs/>
        </w:rPr>
      </w:pPr>
    </w:p>
    <w:p w14:paraId="4EDF1266" w14:textId="77777777" w:rsidR="00FA6897" w:rsidRPr="00061636" w:rsidRDefault="00FA6897" w:rsidP="00EB247F">
      <w:pPr>
        <w:spacing w:after="0"/>
        <w:rPr>
          <w:rFonts w:cs="Times New Roman"/>
          <w:bCs/>
        </w:rPr>
      </w:pPr>
      <w:r w:rsidRPr="00061636">
        <w:rPr>
          <w:rFonts w:cs="Times New Roman"/>
          <w:bCs/>
        </w:rPr>
        <w:t xml:space="preserve">where: </w:t>
      </w:r>
    </w:p>
    <w:p w14:paraId="5ED1AF54" w14:textId="2DED8A82" w:rsidR="00FA6897" w:rsidRPr="00061636" w:rsidRDefault="00FA6897" w:rsidP="002A6808">
      <w:pPr>
        <w:pStyle w:val="ListParagraph"/>
        <w:numPr>
          <w:ilvl w:val="0"/>
          <w:numId w:val="3"/>
        </w:numPr>
        <w:spacing w:after="0"/>
        <w:rPr>
          <w:rFonts w:cs="Times New Roman"/>
          <w:bCs/>
        </w:rPr>
      </w:pPr>
      <m:oMath>
        <m:r>
          <w:rPr>
            <w:rFonts w:ascii="Cambria Math" w:hAnsi="Cambria Math" w:cs="Times New Roman"/>
          </w:rPr>
          <m:t>η</m:t>
        </m:r>
      </m:oMath>
      <w:r w:rsidRPr="00061636">
        <w:rPr>
          <w:rFonts w:cs="Times New Roman"/>
          <w:bCs/>
        </w:rPr>
        <w:t xml:space="preserve"> is the efficiency of the panel.</w:t>
      </w:r>
    </w:p>
    <w:p w14:paraId="2D400AA0" w14:textId="77777777" w:rsidR="00FA6897" w:rsidRPr="00061636" w:rsidRDefault="00FA6897" w:rsidP="002A6808">
      <w:pPr>
        <w:pStyle w:val="ListParagraph"/>
        <w:numPr>
          <w:ilvl w:val="0"/>
          <w:numId w:val="3"/>
        </w:numPr>
        <w:spacing w:after="0"/>
        <w:rPr>
          <w:rFonts w:cs="Times New Roman"/>
          <w:bCs/>
        </w:rPr>
      </w:pPr>
      <m:oMath>
        <m:r>
          <w:rPr>
            <w:rFonts w:ascii="Cambria Math" w:hAnsi="Cambria Math" w:cs="Times New Roman"/>
          </w:rPr>
          <m:t>A</m:t>
        </m:r>
      </m:oMath>
      <w:r w:rsidRPr="00061636">
        <w:rPr>
          <w:rFonts w:cs="Times New Roman"/>
          <w:bCs/>
        </w:rPr>
        <w:t xml:space="preserve"> is the total panel area.</w:t>
      </w:r>
    </w:p>
    <w:p w14:paraId="0CE45F30" w14:textId="3AA73AC8" w:rsidR="00FA6897" w:rsidRPr="00061636" w:rsidRDefault="005F0E84" w:rsidP="002A6808">
      <w:pPr>
        <w:pStyle w:val="ListParagraph"/>
        <w:numPr>
          <w:ilvl w:val="0"/>
          <w:numId w:val="3"/>
        </w:numPr>
        <w:spacing w:after="0"/>
        <w:rPr>
          <w:rFonts w:cs="Times New Roman"/>
          <w:bCs/>
        </w:rPr>
      </w:pPr>
      <m:oMath>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sun</m:t>
            </m:r>
          </m:sub>
        </m:sSub>
      </m:oMath>
      <w:r w:rsidR="00FA6897" w:rsidRPr="00061636">
        <w:rPr>
          <w:rFonts w:cs="Times New Roman"/>
          <w:bCs/>
        </w:rPr>
        <w:t xml:space="preserve"> is 1000 W/m</w:t>
      </w:r>
      <w:r w:rsidR="00FA6897" w:rsidRPr="00061636">
        <w:rPr>
          <w:rFonts w:cs="Times New Roman"/>
          <w:bCs/>
          <w:vertAlign w:val="superscript"/>
        </w:rPr>
        <w:t>2</w:t>
      </w:r>
      <w:r w:rsidR="00FA6897" w:rsidRPr="00061636">
        <w:rPr>
          <w:rFonts w:cs="Times New Roman"/>
          <w:bCs/>
        </w:rPr>
        <w:t>, approximate</w:t>
      </w:r>
      <w:r w:rsidR="00BF4A8E" w:rsidRPr="00061636">
        <w:rPr>
          <w:rFonts w:cs="Times New Roman"/>
          <w:bCs/>
        </w:rPr>
        <w:t xml:space="preserve"> irradiance</w:t>
      </w:r>
      <w:r w:rsidR="00FA6897" w:rsidRPr="00061636">
        <w:rPr>
          <w:rFonts w:cs="Times New Roman"/>
          <w:bCs/>
        </w:rPr>
        <w:t xml:space="preserve"> equivalent to sunshine at noon on a clear day.</w:t>
      </w:r>
    </w:p>
    <w:p w14:paraId="30247DB8" w14:textId="77777777" w:rsidR="00FA6897" w:rsidRPr="00061636" w:rsidRDefault="00FA6897" w:rsidP="00EB247F">
      <w:pPr>
        <w:spacing w:after="0"/>
        <w:rPr>
          <w:rFonts w:cs="Times New Roman"/>
          <w:bCs/>
        </w:rPr>
      </w:pPr>
    </w:p>
    <w:p w14:paraId="1E0F56C8" w14:textId="37C9CF39" w:rsidR="00801004" w:rsidRPr="00061636" w:rsidRDefault="00FA6897" w:rsidP="00EB247F">
      <w:pPr>
        <w:rPr>
          <w:rFonts w:cs="Times New Roman"/>
        </w:rPr>
      </w:pPr>
      <w:r w:rsidRPr="00061636">
        <w:rPr>
          <w:rFonts w:cs="Times New Roman"/>
        </w:rPr>
        <w:t xml:space="preserve">PV systems are produced with a single capacity rating, but the amount of electricity actually produced by a PV system over the course of a year depends on several factors. First, electricity generated is proportional </w:t>
      </w:r>
      <w:r w:rsidRPr="00061636">
        <w:rPr>
          <w:rFonts w:cs="Times New Roman"/>
        </w:rPr>
        <w:lastRenderedPageBreak/>
        <w:t>to the intensity of the sunlight it receives. This irradiance varies widely depending on geographic location</w:t>
      </w:r>
      <w:r w:rsidR="00D777A7" w:rsidRPr="00061636">
        <w:rPr>
          <w:rFonts w:cs="Times New Roman"/>
        </w:rPr>
        <w:t>, time of the day, weather conditions</w:t>
      </w:r>
      <w:r w:rsidR="00787D67" w:rsidRPr="00061636">
        <w:rPr>
          <w:rFonts w:cs="Times New Roman"/>
        </w:rPr>
        <w:t>,</w:t>
      </w:r>
      <w:r w:rsidR="00D777A7" w:rsidRPr="00061636">
        <w:rPr>
          <w:rFonts w:cs="Times New Roman"/>
        </w:rPr>
        <w:t xml:space="preserve"> etc</w:t>
      </w:r>
      <w:r w:rsidRPr="00061636">
        <w:rPr>
          <w:rFonts w:cs="Times New Roman"/>
        </w:rPr>
        <w:t xml:space="preserve">. </w:t>
      </w:r>
      <w:r w:rsidR="00AF45A6" w:rsidRPr="00061636">
        <w:rPr>
          <w:rFonts w:cs="Times New Roman"/>
        </w:rPr>
        <w:t>The ideal</w:t>
      </w:r>
      <w:r w:rsidRPr="00061636">
        <w:rPr>
          <w:rFonts w:cs="Times New Roman"/>
        </w:rPr>
        <w:t xml:space="preserve"> solar</w:t>
      </w:r>
      <w:r w:rsidR="00D777A7" w:rsidRPr="00061636">
        <w:rPr>
          <w:rFonts w:cs="Times New Roman"/>
        </w:rPr>
        <w:t xml:space="preserve"> </w:t>
      </w:r>
      <w:r w:rsidR="0071646A" w:rsidRPr="00061636">
        <w:rPr>
          <w:rFonts w:cs="Times New Roman"/>
        </w:rPr>
        <w:t>sites are</w:t>
      </w:r>
      <w:r w:rsidRPr="00061636">
        <w:rPr>
          <w:rFonts w:cs="Times New Roman"/>
        </w:rPr>
        <w:t xml:space="preserve"> located in equatorial regions of the world, </w:t>
      </w:r>
      <w:r w:rsidR="002C1087" w:rsidRPr="00061636">
        <w:rPr>
          <w:rFonts w:cs="Times New Roman"/>
        </w:rPr>
        <w:t>as have</w:t>
      </w:r>
      <w:r w:rsidR="00D777A7" w:rsidRPr="00061636">
        <w:rPr>
          <w:rFonts w:cs="Times New Roman"/>
        </w:rPr>
        <w:t xml:space="preserve"> been mapped by </w:t>
      </w:r>
      <w:r w:rsidRPr="00061636">
        <w:rPr>
          <w:rFonts w:cs="Times New Roman"/>
        </w:rPr>
        <w:t>the online</w:t>
      </w:r>
      <w:r w:rsidR="007864AB" w:rsidRPr="00061636">
        <w:rPr>
          <w:rFonts w:cs="Times New Roman"/>
        </w:rPr>
        <w:t xml:space="preserve"> Global Solar Atlas </w:t>
      </w:r>
      <w:sdt>
        <w:sdtPr>
          <w:rPr>
            <w:rFonts w:cs="Times New Roman"/>
          </w:rPr>
          <w:id w:val="1142930269"/>
          <w:citation/>
        </w:sdtPr>
        <w:sdtContent>
          <w:r w:rsidR="009A0DDE">
            <w:rPr>
              <w:rFonts w:cs="Times New Roman"/>
            </w:rPr>
            <w:fldChar w:fldCharType="begin"/>
          </w:r>
          <w:r w:rsidR="00EF0FBA">
            <w:rPr>
              <w:rFonts w:cs="Times New Roman"/>
            </w:rPr>
            <w:instrText xml:space="preserve">CITATION Sol18 \l 1033 </w:instrText>
          </w:r>
          <w:r w:rsidR="009A0DDE">
            <w:rPr>
              <w:rFonts w:cs="Times New Roman"/>
            </w:rPr>
            <w:fldChar w:fldCharType="separate"/>
          </w:r>
          <w:r w:rsidR="00EF0FBA" w:rsidRPr="00EF0FBA">
            <w:rPr>
              <w:rFonts w:cs="Times New Roman"/>
              <w:noProof/>
            </w:rPr>
            <w:t>(SolarGIS, 2018)</w:t>
          </w:r>
          <w:r w:rsidR="009A0DDE">
            <w:rPr>
              <w:rFonts w:cs="Times New Roman"/>
            </w:rPr>
            <w:fldChar w:fldCharType="end"/>
          </w:r>
        </w:sdtContent>
      </w:sdt>
      <w:r w:rsidRPr="00061636">
        <w:rPr>
          <w:rFonts w:cs="Times New Roman"/>
        </w:rPr>
        <w:t xml:space="preserve">. Areas that are </w:t>
      </w:r>
      <w:r w:rsidR="00AF45A6" w:rsidRPr="00061636">
        <w:rPr>
          <w:rFonts w:cs="Times New Roman"/>
        </w:rPr>
        <w:t>cloudier or</w:t>
      </w:r>
      <w:r w:rsidR="00385C70" w:rsidRPr="00061636">
        <w:rPr>
          <w:rFonts w:cs="Times New Roman"/>
        </w:rPr>
        <w:t xml:space="preserve"> are located </w:t>
      </w:r>
      <w:r w:rsidRPr="00061636">
        <w:rPr>
          <w:rFonts w:cs="Times New Roman"/>
        </w:rPr>
        <w:t xml:space="preserve">at higher latitudes get less direct sunlight and have correspondingly lower generation </w:t>
      </w:r>
      <w:r w:rsidR="0071646A" w:rsidRPr="00061636">
        <w:rPr>
          <w:rFonts w:cs="Times New Roman"/>
        </w:rPr>
        <w:t>potentials.</w:t>
      </w:r>
      <w:r w:rsidR="00385C70" w:rsidRPr="00061636">
        <w:rPr>
          <w:rFonts w:cs="Times New Roman"/>
        </w:rPr>
        <w:t xml:space="preserve"> Even so,</w:t>
      </w:r>
      <w:r w:rsidRPr="00061636">
        <w:rPr>
          <w:rFonts w:cs="Times New Roman"/>
        </w:rPr>
        <w:t xml:space="preserve"> PV</w:t>
      </w:r>
      <w:r w:rsidR="00385C70" w:rsidRPr="00061636">
        <w:rPr>
          <w:rFonts w:cs="Times New Roman"/>
        </w:rPr>
        <w:t xml:space="preserve"> technology</w:t>
      </w:r>
      <w:r w:rsidRPr="00061636">
        <w:rPr>
          <w:rFonts w:cs="Times New Roman"/>
        </w:rPr>
        <w:t xml:space="preserve"> has been readily adopted even in countries such as Germany with </w:t>
      </w:r>
      <w:r w:rsidR="00385C70" w:rsidRPr="00061636">
        <w:rPr>
          <w:rFonts w:cs="Times New Roman"/>
        </w:rPr>
        <w:t xml:space="preserve">receive </w:t>
      </w:r>
      <w:r w:rsidRPr="00061636">
        <w:rPr>
          <w:rFonts w:cs="Times New Roman"/>
        </w:rPr>
        <w:t>relatively low</w:t>
      </w:r>
      <w:r w:rsidR="00385C70" w:rsidRPr="00061636">
        <w:rPr>
          <w:rFonts w:cs="Times New Roman"/>
        </w:rPr>
        <w:t>er</w:t>
      </w:r>
      <w:r w:rsidRPr="00061636">
        <w:rPr>
          <w:rFonts w:cs="Times New Roman"/>
        </w:rPr>
        <w:t xml:space="preserve"> irradiance.</w:t>
      </w:r>
    </w:p>
    <w:p w14:paraId="447E42A9" w14:textId="17C673DA" w:rsidR="00801004" w:rsidRPr="00061636" w:rsidRDefault="00801004" w:rsidP="00EB247F">
      <w:pPr>
        <w:rPr>
          <w:rFonts w:cs="Times New Roman"/>
        </w:rPr>
      </w:pPr>
      <w:r w:rsidRPr="00061636">
        <w:rPr>
          <w:rFonts w:cs="Times New Roman"/>
        </w:rPr>
        <w:t xml:space="preserve">Second, PV systems produce </w:t>
      </w:r>
      <w:r w:rsidR="00385C70" w:rsidRPr="00061636">
        <w:rPr>
          <w:rFonts w:cs="Times New Roman"/>
        </w:rPr>
        <w:t xml:space="preserve">varying </w:t>
      </w:r>
      <w:r w:rsidRPr="00061636">
        <w:rPr>
          <w:rFonts w:cs="Times New Roman"/>
        </w:rPr>
        <w:t>amounts of power depending on the angle of the panel relative to the sun. One of the primary differences between utility-scale arrays and rooftop installations is that panels in utility-scale arrays are often mounted with one or two axes of rotation for tracking the path of the sun through the sky. Single or dual-axis tracking greatly increases the electricity yield from a panel, in some studies showing an increase of 20-40 percent over fixed-tilt arrays</w:t>
      </w:r>
      <w:r w:rsidR="00FE23D7">
        <w:rPr>
          <w:rFonts w:cs="Times New Roman"/>
          <w:noProof/>
        </w:rPr>
        <w:t xml:space="preserve"> </w:t>
      </w:r>
      <w:r w:rsidR="00FE23D7" w:rsidRPr="004B5B1D">
        <w:rPr>
          <w:rFonts w:cs="Times New Roman"/>
          <w:noProof/>
        </w:rPr>
        <w:t>(Vieira, 2016)</w:t>
      </w:r>
      <w:r w:rsidRPr="00061636">
        <w:rPr>
          <w:rFonts w:cs="Times New Roman"/>
        </w:rPr>
        <w:t>.</w:t>
      </w:r>
    </w:p>
    <w:p w14:paraId="5E3EBD50" w14:textId="1E8005A6" w:rsidR="00801004" w:rsidRPr="00061636" w:rsidRDefault="00801004" w:rsidP="00002A2A">
      <w:pPr>
        <w:rPr>
          <w:rFonts w:cs="Times New Roman"/>
          <w:bCs/>
        </w:rPr>
      </w:pPr>
      <w:r w:rsidRPr="00061636">
        <w:rPr>
          <w:rFonts w:cs="Times New Roman"/>
          <w:bCs/>
        </w:rPr>
        <w:t xml:space="preserve">The amount of power a PV system produces is measured using </w:t>
      </w:r>
      <w:r w:rsidR="00646182" w:rsidRPr="00061636">
        <w:rPr>
          <w:rFonts w:cs="Times New Roman"/>
          <w:bCs/>
        </w:rPr>
        <w:t xml:space="preserve">its </w:t>
      </w:r>
      <w:r w:rsidRPr="00061636">
        <w:rPr>
          <w:rFonts w:cs="Times New Roman"/>
          <w:bCs/>
        </w:rPr>
        <w:t xml:space="preserve">capacity factor, which is </w:t>
      </w:r>
      <w:r w:rsidR="0071646A" w:rsidRPr="00061636">
        <w:rPr>
          <w:rFonts w:cs="Times New Roman"/>
          <w:bCs/>
        </w:rPr>
        <w:t>the ratio</w:t>
      </w:r>
      <w:r w:rsidR="00007E67" w:rsidRPr="00061636">
        <w:rPr>
          <w:rFonts w:cs="Times New Roman"/>
          <w:bCs/>
        </w:rPr>
        <w:t xml:space="preserve"> </w:t>
      </w:r>
      <w:r w:rsidRPr="00061636">
        <w:rPr>
          <w:rFonts w:cs="Times New Roman"/>
          <w:bCs/>
        </w:rPr>
        <w:t>of</w:t>
      </w:r>
      <w:r w:rsidR="00385C70" w:rsidRPr="00061636">
        <w:rPr>
          <w:rFonts w:cs="Times New Roman"/>
          <w:bCs/>
        </w:rPr>
        <w:t xml:space="preserve"> the power that a panel actually generates</w:t>
      </w:r>
      <w:r w:rsidR="00007E67" w:rsidRPr="00061636">
        <w:rPr>
          <w:rFonts w:cs="Times New Roman"/>
          <w:bCs/>
        </w:rPr>
        <w:t xml:space="preserve"> to its</w:t>
      </w:r>
      <w:r w:rsidRPr="00061636">
        <w:rPr>
          <w:rFonts w:cs="Times New Roman"/>
          <w:bCs/>
        </w:rPr>
        <w:t xml:space="preserve"> maximum possible generation</w:t>
      </w:r>
      <w:r w:rsidR="00007E67" w:rsidRPr="00061636">
        <w:rPr>
          <w:rFonts w:cs="Times New Roman"/>
          <w:bCs/>
        </w:rPr>
        <w:t xml:space="preserve"> capacity.</w:t>
      </w:r>
      <w:r w:rsidRPr="00061636">
        <w:rPr>
          <w:rFonts w:cs="Times New Roman"/>
          <w:bCs/>
        </w:rPr>
        <w:t xml:space="preserve"> Capacity factor is also sometimes stated in units of “full load hours,” which can be divided by 8760 </w:t>
      </w:r>
      <w:r w:rsidR="00007E67" w:rsidRPr="00061636">
        <w:rPr>
          <w:rFonts w:cs="Times New Roman"/>
          <w:bCs/>
        </w:rPr>
        <w:t xml:space="preserve">(the number of </w:t>
      </w:r>
      <w:r w:rsidR="0071646A" w:rsidRPr="00061636">
        <w:rPr>
          <w:rFonts w:cs="Times New Roman"/>
          <w:bCs/>
        </w:rPr>
        <w:t>hours in</w:t>
      </w:r>
      <w:r w:rsidR="00007E67" w:rsidRPr="00061636">
        <w:rPr>
          <w:rFonts w:cs="Times New Roman"/>
          <w:bCs/>
        </w:rPr>
        <w:t xml:space="preserve"> a </w:t>
      </w:r>
      <w:r w:rsidRPr="00061636">
        <w:rPr>
          <w:rFonts w:cs="Times New Roman"/>
          <w:bCs/>
        </w:rPr>
        <w:t>year</w:t>
      </w:r>
      <w:r w:rsidR="00007E67" w:rsidRPr="00061636">
        <w:rPr>
          <w:rFonts w:cs="Times New Roman"/>
          <w:bCs/>
        </w:rPr>
        <w:t>)</w:t>
      </w:r>
      <w:r w:rsidRPr="00061636">
        <w:rPr>
          <w:rFonts w:cs="Times New Roman"/>
          <w:bCs/>
        </w:rPr>
        <w:t xml:space="preserve"> to </w:t>
      </w:r>
      <w:r w:rsidR="00007E67" w:rsidRPr="00061636">
        <w:rPr>
          <w:rFonts w:cs="Times New Roman"/>
          <w:bCs/>
        </w:rPr>
        <w:t>arrive at</w:t>
      </w:r>
      <w:r w:rsidRPr="00061636">
        <w:rPr>
          <w:rFonts w:cs="Times New Roman"/>
          <w:bCs/>
        </w:rPr>
        <w:t xml:space="preserve"> a percentage</w:t>
      </w:r>
      <w:r w:rsidR="00007E67" w:rsidRPr="00061636">
        <w:rPr>
          <w:rFonts w:cs="Times New Roman"/>
          <w:bCs/>
        </w:rPr>
        <w:t xml:space="preserve"> factor</w:t>
      </w:r>
      <w:r w:rsidRPr="00061636">
        <w:rPr>
          <w:rFonts w:cs="Times New Roman"/>
          <w:bCs/>
        </w:rPr>
        <w:t>. Utility-scale PV systems tend to have a capacity factor of 15-25 percent globally</w:t>
      </w:r>
      <w:sdt>
        <w:sdtPr>
          <w:rPr>
            <w:rFonts w:cs="Times New Roman"/>
            <w:bCs/>
          </w:rPr>
          <w:id w:val="1128206098"/>
          <w:citation/>
        </w:sdtPr>
        <w:sdtContent>
          <w:r w:rsidR="00316B8E">
            <w:rPr>
              <w:rFonts w:cs="Times New Roman"/>
              <w:bCs/>
            </w:rPr>
            <w:fldChar w:fldCharType="begin"/>
          </w:r>
          <w:r w:rsidR="004B5B1D">
            <w:rPr>
              <w:rFonts w:cs="Times New Roman"/>
              <w:bCs/>
            </w:rPr>
            <w:instrText xml:space="preserve">CITATION REN16 \l 1033 </w:instrText>
          </w:r>
          <w:r w:rsidR="00316B8E">
            <w:rPr>
              <w:rFonts w:cs="Times New Roman"/>
              <w:bCs/>
            </w:rPr>
            <w:fldChar w:fldCharType="separate"/>
          </w:r>
          <w:r w:rsidR="004B5B1D">
            <w:rPr>
              <w:rFonts w:cs="Times New Roman"/>
              <w:bCs/>
              <w:noProof/>
            </w:rPr>
            <w:t xml:space="preserve"> </w:t>
          </w:r>
          <w:r w:rsidR="004B5B1D" w:rsidRPr="004B5B1D">
            <w:rPr>
              <w:rFonts w:cs="Times New Roman"/>
              <w:noProof/>
            </w:rPr>
            <w:t>(REN21, 2016)</w:t>
          </w:r>
          <w:r w:rsidR="00316B8E">
            <w:rPr>
              <w:rFonts w:cs="Times New Roman"/>
              <w:bCs/>
            </w:rPr>
            <w:fldChar w:fldCharType="end"/>
          </w:r>
        </w:sdtContent>
      </w:sdt>
      <w:r w:rsidR="00537FD9">
        <w:rPr>
          <w:rFonts w:cs="Times New Roman"/>
          <w:bCs/>
        </w:rPr>
        <w:t xml:space="preserve">, </w:t>
      </w:r>
      <w:r w:rsidRPr="00061636">
        <w:rPr>
          <w:rFonts w:cs="Times New Roman"/>
          <w:bCs/>
        </w:rPr>
        <w:t xml:space="preserve">with higher capacity factors in the summer and lower in the winter. The capacity factors of utility-scale PV installations are much lower than that of conventional, fuel-based power sources because PV systems can only operate during daylight hours. In this report, PV capacity </w:t>
      </w:r>
      <w:r w:rsidR="00BF4A8E" w:rsidRPr="00061636">
        <w:rPr>
          <w:rFonts w:cs="Times New Roman"/>
          <w:bCs/>
        </w:rPr>
        <w:t>is referred to both in terms of gigawatts</w:t>
      </w:r>
      <w:r w:rsidRPr="00061636">
        <w:rPr>
          <w:rFonts w:cs="Times New Roman"/>
          <w:bCs/>
        </w:rPr>
        <w:t xml:space="preserve"> </w:t>
      </w:r>
      <w:r w:rsidR="00BF4A8E" w:rsidRPr="00061636">
        <w:rPr>
          <w:rFonts w:cs="Times New Roman"/>
          <w:bCs/>
        </w:rPr>
        <w:t>(</w:t>
      </w:r>
      <w:r w:rsidRPr="00061636">
        <w:rPr>
          <w:rFonts w:cs="Times New Roman"/>
          <w:bCs/>
        </w:rPr>
        <w:t>GW</w:t>
      </w:r>
      <w:r w:rsidR="00BF4A8E" w:rsidRPr="00061636">
        <w:rPr>
          <w:rFonts w:cs="Times New Roman"/>
          <w:bCs/>
        </w:rPr>
        <w:t>)</w:t>
      </w:r>
      <w:r w:rsidRPr="00061636">
        <w:rPr>
          <w:rFonts w:cs="Times New Roman"/>
          <w:bCs/>
        </w:rPr>
        <w:t xml:space="preserve"> or terawatts (TW) and solar PV electricity </w:t>
      </w:r>
      <w:r w:rsidR="00BF4A8E" w:rsidRPr="00061636">
        <w:rPr>
          <w:rFonts w:cs="Times New Roman"/>
          <w:bCs/>
        </w:rPr>
        <w:t xml:space="preserve">energy </w:t>
      </w:r>
      <w:r w:rsidRPr="00061636">
        <w:rPr>
          <w:rFonts w:cs="Times New Roman"/>
          <w:bCs/>
        </w:rPr>
        <w:t>generation</w:t>
      </w:r>
      <w:r w:rsidR="00BF4A8E" w:rsidRPr="00061636">
        <w:rPr>
          <w:rFonts w:cs="Times New Roman"/>
          <w:bCs/>
        </w:rPr>
        <w:t xml:space="preserve"> </w:t>
      </w:r>
      <w:r w:rsidR="00002A2A" w:rsidRPr="00061636">
        <w:rPr>
          <w:rFonts w:cs="Times New Roman"/>
          <w:bCs/>
        </w:rPr>
        <w:t xml:space="preserve">in </w:t>
      </w:r>
      <w:r w:rsidR="00BF4A8E" w:rsidRPr="00061636">
        <w:rPr>
          <w:rFonts w:cs="Times New Roman"/>
          <w:bCs/>
        </w:rPr>
        <w:t xml:space="preserve">terms </w:t>
      </w:r>
      <w:r w:rsidR="0071646A" w:rsidRPr="00061636">
        <w:rPr>
          <w:rFonts w:cs="Times New Roman"/>
          <w:bCs/>
        </w:rPr>
        <w:t>of in</w:t>
      </w:r>
      <w:r w:rsidRPr="00061636">
        <w:rPr>
          <w:rFonts w:cs="Times New Roman"/>
          <w:bCs/>
        </w:rPr>
        <w:t xml:space="preserve"> terawatt-hours (</w:t>
      </w:r>
      <w:proofErr w:type="spellStart"/>
      <w:r w:rsidRPr="00061636">
        <w:rPr>
          <w:rFonts w:cs="Times New Roman"/>
          <w:bCs/>
        </w:rPr>
        <w:t>TWh</w:t>
      </w:r>
      <w:proofErr w:type="spellEnd"/>
      <w:r w:rsidRPr="00061636">
        <w:rPr>
          <w:rFonts w:cs="Times New Roman"/>
          <w:bCs/>
        </w:rPr>
        <w:t>).</w:t>
      </w:r>
    </w:p>
    <w:p w14:paraId="3DA0F043" w14:textId="4DF461F1" w:rsidR="008838EA" w:rsidRPr="004A334C" w:rsidRDefault="00924533" w:rsidP="004A334C">
      <w:pPr>
        <w:pStyle w:val="Heading2"/>
      </w:pPr>
      <w:bookmarkStart w:id="5" w:name="_Toc10331896"/>
      <w:r w:rsidRPr="004A334C">
        <w:t xml:space="preserve">Definition of Solar </w:t>
      </w:r>
      <w:r w:rsidR="00787D67" w:rsidRPr="004A334C">
        <w:t>Farms</w:t>
      </w:r>
      <w:bookmarkEnd w:id="5"/>
    </w:p>
    <w:p w14:paraId="7DA5159B" w14:textId="75D4ACF7" w:rsidR="000622EB" w:rsidRPr="00061636" w:rsidRDefault="008838EA" w:rsidP="00EB247F">
      <w:pPr>
        <w:rPr>
          <w:rFonts w:cs="Times New Roman"/>
          <w:bCs/>
        </w:rPr>
      </w:pPr>
      <w:r w:rsidRPr="00061636">
        <w:rPr>
          <w:rFonts w:cs="Times New Roman"/>
          <w:bCs/>
        </w:rPr>
        <w:t>At present</w:t>
      </w:r>
      <w:r w:rsidR="00BD15EF">
        <w:rPr>
          <w:rFonts w:cs="Times New Roman"/>
          <w:bCs/>
        </w:rPr>
        <w:t>,</w:t>
      </w:r>
      <w:r w:rsidRPr="00061636">
        <w:rPr>
          <w:rFonts w:cs="Times New Roman"/>
          <w:bCs/>
        </w:rPr>
        <w:t xml:space="preserve"> there is no uniform benchmark to categorize an SPV system as a “Solar </w:t>
      </w:r>
      <w:r w:rsidR="00061636" w:rsidRPr="00061636">
        <w:rPr>
          <w:rFonts w:cs="Times New Roman"/>
          <w:bCs/>
        </w:rPr>
        <w:t>Farm</w:t>
      </w:r>
      <w:r w:rsidRPr="00061636">
        <w:rPr>
          <w:rFonts w:cs="Times New Roman"/>
          <w:bCs/>
        </w:rPr>
        <w:t xml:space="preserve">”. NREL </w:t>
      </w:r>
      <w:r w:rsidR="00B475C2" w:rsidRPr="00061636">
        <w:rPr>
          <w:rFonts w:cs="Times New Roman"/>
          <w:bCs/>
        </w:rPr>
        <w:t>in their PV sy</w:t>
      </w:r>
      <w:r w:rsidR="00AD7F5E" w:rsidRPr="00061636">
        <w:rPr>
          <w:rFonts w:cs="Times New Roman"/>
          <w:bCs/>
        </w:rPr>
        <w:t>s</w:t>
      </w:r>
      <w:r w:rsidR="00B475C2" w:rsidRPr="00061636">
        <w:rPr>
          <w:rFonts w:cs="Times New Roman"/>
          <w:bCs/>
        </w:rPr>
        <w:t>tems benchmark for 2017(Q1</w:t>
      </w:r>
      <w:r w:rsidR="00AD7F5E" w:rsidRPr="00061636">
        <w:rPr>
          <w:rFonts w:cs="Times New Roman"/>
          <w:bCs/>
        </w:rPr>
        <w:t>) has categorized all ground-mounted systems (fixed-tilt and one-axis tracker) above 2MW as “Utility-Scale” systems</w:t>
      </w:r>
      <w:sdt>
        <w:sdtPr>
          <w:rPr>
            <w:rFonts w:cs="Times New Roman"/>
            <w:bCs/>
          </w:rPr>
          <w:id w:val="23445611"/>
          <w:citation/>
        </w:sdtPr>
        <w:sdtContent>
          <w:r w:rsidR="00BA1D71">
            <w:rPr>
              <w:rFonts w:cs="Times New Roman"/>
              <w:bCs/>
            </w:rPr>
            <w:fldChar w:fldCharType="begin"/>
          </w:r>
          <w:r w:rsidR="00877D67">
            <w:rPr>
              <w:rFonts w:cs="Times New Roman"/>
              <w:bCs/>
            </w:rPr>
            <w:instrText xml:space="preserve">CITATION NRE17 \l 1033 </w:instrText>
          </w:r>
          <w:r w:rsidR="00BA1D71">
            <w:rPr>
              <w:rFonts w:cs="Times New Roman"/>
              <w:bCs/>
            </w:rPr>
            <w:fldChar w:fldCharType="separate"/>
          </w:r>
          <w:r w:rsidR="00877D67">
            <w:rPr>
              <w:rFonts w:cs="Times New Roman"/>
              <w:bCs/>
              <w:noProof/>
            </w:rPr>
            <w:t xml:space="preserve"> </w:t>
          </w:r>
          <w:r w:rsidR="00877D67" w:rsidRPr="00877D67">
            <w:rPr>
              <w:rFonts w:cs="Times New Roman"/>
              <w:noProof/>
            </w:rPr>
            <w:t>(NREL, 2017b)</w:t>
          </w:r>
          <w:r w:rsidR="00BA1D71">
            <w:rPr>
              <w:rFonts w:cs="Times New Roman"/>
              <w:bCs/>
            </w:rPr>
            <w:fldChar w:fldCharType="end"/>
          </w:r>
        </w:sdtContent>
      </w:sdt>
      <w:r w:rsidR="00AD7F5E" w:rsidRPr="00061636">
        <w:rPr>
          <w:rFonts w:cs="Times New Roman"/>
          <w:bCs/>
        </w:rPr>
        <w:t>). The IEA</w:t>
      </w:r>
      <w:r w:rsidR="00537FD9">
        <w:rPr>
          <w:rFonts w:cs="Times New Roman"/>
          <w:bCs/>
        </w:rPr>
        <w:t xml:space="preserve"> </w:t>
      </w:r>
      <w:r w:rsidR="00061636" w:rsidRPr="00061636">
        <w:rPr>
          <w:rFonts w:cs="Times New Roman"/>
          <w:bCs/>
        </w:rPr>
        <w:t>categorizes</w:t>
      </w:r>
      <w:r w:rsidR="00AD7F5E" w:rsidRPr="00061636">
        <w:rPr>
          <w:rFonts w:cs="Times New Roman"/>
          <w:bCs/>
        </w:rPr>
        <w:t xml:space="preserve"> systems above 1MW mounted on buildings or directly on the ground </w:t>
      </w:r>
      <w:r w:rsidR="00E86EAB" w:rsidRPr="00061636">
        <w:rPr>
          <w:rFonts w:cs="Times New Roman"/>
          <w:bCs/>
        </w:rPr>
        <w:t>as Utility Scale.</w:t>
      </w:r>
      <w:r w:rsidR="00884DC5" w:rsidRPr="00061636">
        <w:rPr>
          <w:rFonts w:cs="Times New Roman"/>
          <w:bCs/>
        </w:rPr>
        <w:t xml:space="preserve"> While the U.S.-based Solar Energy Industries Association (SEIA) and Greentech Media (GTM</w:t>
      </w:r>
      <w:r w:rsidR="00537FD9">
        <w:rPr>
          <w:rFonts w:cs="Times New Roman"/>
          <w:bCs/>
        </w:rPr>
        <w:t xml:space="preserve">) </w:t>
      </w:r>
      <w:r w:rsidR="00884DC5" w:rsidRPr="00061636">
        <w:rPr>
          <w:rFonts w:cs="Times New Roman"/>
          <w:bCs/>
        </w:rPr>
        <w:t>define utility-scale as projects that are owned by or sell directly to a utility, the Lawrence Berkeley National Laboratory (LBNL</w:t>
      </w:r>
      <w:r w:rsidR="00537FD9">
        <w:rPr>
          <w:rFonts w:cs="Times New Roman"/>
          <w:bCs/>
        </w:rPr>
        <w:t>)</w:t>
      </w:r>
      <w:r w:rsidR="00884DC5" w:rsidRPr="00061636">
        <w:rPr>
          <w:rFonts w:cs="Times New Roman"/>
          <w:bCs/>
        </w:rPr>
        <w:t xml:space="preserve"> defines utility-scale as any ground-mounted solar project that is larger than 5 MW </w:t>
      </w:r>
      <w:r w:rsidR="008C5694" w:rsidRPr="00877D67">
        <w:rPr>
          <w:rFonts w:cs="Times New Roman"/>
          <w:noProof/>
        </w:rPr>
        <w:t>(Bolinger, 2015)</w:t>
      </w:r>
      <w:r w:rsidR="00E86EAB" w:rsidRPr="00061636">
        <w:rPr>
          <w:rFonts w:cs="Times New Roman"/>
          <w:bCs/>
        </w:rPr>
        <w:t xml:space="preserve"> has a</w:t>
      </w:r>
      <w:r w:rsidR="000E74C1" w:rsidRPr="00061636">
        <w:rPr>
          <w:rFonts w:cs="Times New Roman"/>
          <w:bCs/>
        </w:rPr>
        <w:t>n exclusive</w:t>
      </w:r>
      <w:r w:rsidR="00E86EAB" w:rsidRPr="00061636">
        <w:rPr>
          <w:rFonts w:cs="Times New Roman"/>
          <w:bCs/>
        </w:rPr>
        <w:t xml:space="preserve"> scheme for development of Solar </w:t>
      </w:r>
      <w:r w:rsidR="00061636">
        <w:rPr>
          <w:rFonts w:cs="Times New Roman"/>
          <w:bCs/>
        </w:rPr>
        <w:t>Farms</w:t>
      </w:r>
      <w:r w:rsidR="00E86EAB" w:rsidRPr="00061636">
        <w:rPr>
          <w:rFonts w:cs="Times New Roman"/>
          <w:bCs/>
        </w:rPr>
        <w:t xml:space="preserve"> where </w:t>
      </w:r>
      <w:r w:rsidR="000622EB" w:rsidRPr="00061636">
        <w:rPr>
          <w:rFonts w:cs="Times New Roman"/>
          <w:bCs/>
        </w:rPr>
        <w:t>these are</w:t>
      </w:r>
      <w:r w:rsidR="00E86EAB" w:rsidRPr="00061636">
        <w:rPr>
          <w:rFonts w:cs="Times New Roman"/>
          <w:bCs/>
        </w:rPr>
        <w:t xml:space="preserve"> conceived as a concentrated zone of development of solar power generation projects </w:t>
      </w:r>
      <w:r w:rsidR="00884DC5" w:rsidRPr="00061636">
        <w:rPr>
          <w:rFonts w:cs="Times New Roman"/>
          <w:bCs/>
        </w:rPr>
        <w:t>in which</w:t>
      </w:r>
      <w:r w:rsidR="00E86EAB" w:rsidRPr="00061636">
        <w:rPr>
          <w:rFonts w:cs="Times New Roman"/>
          <w:bCs/>
        </w:rPr>
        <w:t xml:space="preserve"> developers are provided with the requisite infrastructure.</w:t>
      </w:r>
      <w:r w:rsidR="000622EB" w:rsidRPr="00061636">
        <w:rPr>
          <w:rFonts w:cs="Times New Roman"/>
          <w:bCs/>
        </w:rPr>
        <w:t xml:space="preserve"> </w:t>
      </w:r>
      <w:r w:rsidR="000E74C1" w:rsidRPr="00061636">
        <w:rPr>
          <w:rFonts w:cs="Times New Roman"/>
          <w:bCs/>
        </w:rPr>
        <w:t>Here,</w:t>
      </w:r>
      <w:r w:rsidR="000622EB" w:rsidRPr="00061636">
        <w:rPr>
          <w:rFonts w:cs="Times New Roman"/>
          <w:bCs/>
        </w:rPr>
        <w:t xml:space="preserve"> each solar </w:t>
      </w:r>
      <w:r w:rsidR="00061636">
        <w:rPr>
          <w:rFonts w:cs="Times New Roman"/>
          <w:bCs/>
        </w:rPr>
        <w:t>farm</w:t>
      </w:r>
      <w:r w:rsidR="000622EB" w:rsidRPr="00061636">
        <w:rPr>
          <w:rFonts w:cs="Times New Roman"/>
          <w:bCs/>
        </w:rPr>
        <w:t xml:space="preserve"> </w:t>
      </w:r>
      <w:r w:rsidR="000E74C1" w:rsidRPr="00061636">
        <w:rPr>
          <w:rFonts w:cs="Times New Roman"/>
          <w:bCs/>
        </w:rPr>
        <w:t>has</w:t>
      </w:r>
      <w:r w:rsidR="000622EB" w:rsidRPr="00061636">
        <w:rPr>
          <w:rFonts w:cs="Times New Roman"/>
          <w:bCs/>
        </w:rPr>
        <w:t xml:space="preserve"> a capacity of 500MW and above</w:t>
      </w:r>
      <w:r w:rsidR="00061636">
        <w:rPr>
          <w:rFonts w:cs="Times New Roman"/>
          <w:bCs/>
        </w:rPr>
        <w:t xml:space="preserve"> </w:t>
      </w:r>
      <w:sdt>
        <w:sdtPr>
          <w:rPr>
            <w:rFonts w:cs="Times New Roman"/>
            <w:bCs/>
          </w:rPr>
          <w:id w:val="-95712076"/>
          <w:citation/>
        </w:sdtPr>
        <w:sdtContent>
          <w:r w:rsidR="00FC6ABF">
            <w:rPr>
              <w:rFonts w:cs="Times New Roman"/>
              <w:bCs/>
            </w:rPr>
            <w:fldChar w:fldCharType="begin"/>
          </w:r>
          <w:r w:rsidR="008C5694">
            <w:rPr>
              <w:rFonts w:cs="Times New Roman"/>
              <w:bCs/>
            </w:rPr>
            <w:instrText xml:space="preserve">CITATION MNRE15 \l 1033 </w:instrText>
          </w:r>
          <w:r w:rsidR="00FC6ABF">
            <w:rPr>
              <w:rFonts w:cs="Times New Roman"/>
              <w:bCs/>
            </w:rPr>
            <w:fldChar w:fldCharType="separate"/>
          </w:r>
          <w:r w:rsidR="008C5694" w:rsidRPr="008C5694">
            <w:rPr>
              <w:rFonts w:cs="Times New Roman"/>
              <w:noProof/>
            </w:rPr>
            <w:t>(MNRE, 2016)</w:t>
          </w:r>
          <w:r w:rsidR="00FC6ABF">
            <w:rPr>
              <w:rFonts w:cs="Times New Roman"/>
              <w:bCs/>
            </w:rPr>
            <w:fldChar w:fldCharType="end"/>
          </w:r>
        </w:sdtContent>
      </w:sdt>
      <w:r w:rsidR="000622EB" w:rsidRPr="00061636">
        <w:rPr>
          <w:rFonts w:cs="Times New Roman"/>
          <w:bCs/>
        </w:rPr>
        <w:t>.</w:t>
      </w:r>
    </w:p>
    <w:p w14:paraId="78C9FB4F" w14:textId="7AFC7211" w:rsidR="00801004" w:rsidRPr="00061636" w:rsidRDefault="000622EB" w:rsidP="00EB247F">
      <w:pPr>
        <w:rPr>
          <w:rFonts w:cs="Times New Roman"/>
          <w:bCs/>
        </w:rPr>
      </w:pPr>
      <w:r w:rsidRPr="00061636">
        <w:rPr>
          <w:rFonts w:cs="Times New Roman"/>
          <w:bCs/>
        </w:rPr>
        <w:lastRenderedPageBreak/>
        <w:t>Added to this lack of a uniform benchmark</w:t>
      </w:r>
      <w:r w:rsidR="00884DC5" w:rsidRPr="00061636">
        <w:rPr>
          <w:rFonts w:cs="Times New Roman"/>
          <w:bCs/>
        </w:rPr>
        <w:t xml:space="preserve"> for ca</w:t>
      </w:r>
      <w:r w:rsidR="000E74C1" w:rsidRPr="00061636">
        <w:rPr>
          <w:rFonts w:cs="Times New Roman"/>
          <w:bCs/>
        </w:rPr>
        <w:t>te</w:t>
      </w:r>
      <w:r w:rsidR="00884DC5" w:rsidRPr="00061636">
        <w:rPr>
          <w:rFonts w:cs="Times New Roman"/>
          <w:bCs/>
        </w:rPr>
        <w:t>gori</w:t>
      </w:r>
      <w:r w:rsidR="000E74C1" w:rsidRPr="00061636">
        <w:rPr>
          <w:rFonts w:cs="Times New Roman"/>
          <w:bCs/>
        </w:rPr>
        <w:t>z</w:t>
      </w:r>
      <w:r w:rsidR="00884DC5" w:rsidRPr="00061636">
        <w:rPr>
          <w:rFonts w:cs="Times New Roman"/>
          <w:bCs/>
        </w:rPr>
        <w:t xml:space="preserve">ation </w:t>
      </w:r>
      <w:r w:rsidR="000E74C1" w:rsidRPr="00061636">
        <w:rPr>
          <w:rFonts w:cs="Times New Roman"/>
          <w:bCs/>
        </w:rPr>
        <w:t>of</w:t>
      </w:r>
      <w:r w:rsidR="00884DC5" w:rsidRPr="00061636">
        <w:rPr>
          <w:rFonts w:cs="Times New Roman"/>
          <w:bCs/>
        </w:rPr>
        <w:t xml:space="preserve"> systems according to their size</w:t>
      </w:r>
      <w:r w:rsidRPr="00061636">
        <w:rPr>
          <w:rFonts w:cs="Times New Roman"/>
          <w:bCs/>
        </w:rPr>
        <w:t>, there is another divergent is</w:t>
      </w:r>
      <w:r w:rsidR="009F5BCA" w:rsidRPr="00061636">
        <w:rPr>
          <w:rFonts w:cs="Times New Roman"/>
          <w:bCs/>
        </w:rPr>
        <w:t>s</w:t>
      </w:r>
      <w:r w:rsidRPr="00061636">
        <w:rPr>
          <w:rFonts w:cs="Times New Roman"/>
          <w:bCs/>
        </w:rPr>
        <w:t>ue in</w:t>
      </w:r>
      <w:r w:rsidR="009F5BCA" w:rsidRPr="00061636">
        <w:rPr>
          <w:rFonts w:cs="Times New Roman"/>
          <w:bCs/>
        </w:rPr>
        <w:t xml:space="preserve"> this field.</w:t>
      </w:r>
      <w:r w:rsidRPr="00061636">
        <w:rPr>
          <w:rFonts w:cs="Times New Roman"/>
          <w:bCs/>
        </w:rPr>
        <w:t xml:space="preserve"> </w:t>
      </w:r>
      <w:r w:rsidR="00801004" w:rsidRPr="00061636">
        <w:rPr>
          <w:rFonts w:cs="Times New Roman"/>
          <w:bCs/>
        </w:rPr>
        <w:t xml:space="preserve">While both rooftop and utility-scale PV </w:t>
      </w:r>
      <w:r w:rsidR="00002A2A" w:rsidRPr="00061636">
        <w:rPr>
          <w:rFonts w:cs="Times New Roman"/>
          <w:bCs/>
        </w:rPr>
        <w:t xml:space="preserve">systems </w:t>
      </w:r>
      <w:r w:rsidR="00801004" w:rsidRPr="00061636">
        <w:rPr>
          <w:rFonts w:cs="Times New Roman"/>
          <w:bCs/>
        </w:rPr>
        <w:t xml:space="preserve">can be made up of </w:t>
      </w:r>
      <w:r w:rsidR="00002A2A" w:rsidRPr="00061636">
        <w:rPr>
          <w:rFonts w:cs="Times New Roman"/>
          <w:bCs/>
        </w:rPr>
        <w:t xml:space="preserve">modules of </w:t>
      </w:r>
      <w:r w:rsidR="00801004" w:rsidRPr="00061636">
        <w:rPr>
          <w:rFonts w:cs="Times New Roman"/>
          <w:bCs/>
        </w:rPr>
        <w:t xml:space="preserve">either thin-film or crystalline silicon (c-Si) </w:t>
      </w:r>
      <w:r w:rsidR="0071646A" w:rsidRPr="00061636">
        <w:rPr>
          <w:rFonts w:cs="Times New Roman"/>
          <w:bCs/>
        </w:rPr>
        <w:t>solar cells</w:t>
      </w:r>
      <w:r w:rsidR="00801004" w:rsidRPr="00061636">
        <w:rPr>
          <w:rFonts w:cs="Times New Roman"/>
          <w:bCs/>
        </w:rPr>
        <w:t xml:space="preserve">, the primary factor that distinguishes the two is the </w:t>
      </w:r>
      <w:r w:rsidR="009F5BCA" w:rsidRPr="00061636">
        <w:rPr>
          <w:rFonts w:cs="Times New Roman"/>
          <w:bCs/>
        </w:rPr>
        <w:t xml:space="preserve">overall </w:t>
      </w:r>
      <w:r w:rsidR="00801004" w:rsidRPr="00061636">
        <w:rPr>
          <w:rFonts w:cs="Times New Roman"/>
          <w:bCs/>
        </w:rPr>
        <w:t>size of</w:t>
      </w:r>
      <w:r w:rsidR="009F5BCA" w:rsidRPr="00061636">
        <w:rPr>
          <w:rFonts w:cs="Times New Roman"/>
          <w:bCs/>
        </w:rPr>
        <w:t xml:space="preserve"> the</w:t>
      </w:r>
      <w:r w:rsidR="00801004" w:rsidRPr="00061636">
        <w:rPr>
          <w:rFonts w:cs="Times New Roman"/>
          <w:bCs/>
        </w:rPr>
        <w:t xml:space="preserve"> system. Finding consistency in the literature on what system size constitutes “utility-scale” is difficult because different organizations use different definitions. </w:t>
      </w:r>
      <w:r w:rsidR="00884DC5" w:rsidRPr="00061636">
        <w:rPr>
          <w:rFonts w:cs="Times New Roman"/>
          <w:bCs/>
        </w:rPr>
        <w:t>In view of this lack of uniformity</w:t>
      </w:r>
      <w:r w:rsidR="00DE1D6C" w:rsidRPr="00061636">
        <w:rPr>
          <w:rFonts w:cs="Times New Roman"/>
          <w:bCs/>
        </w:rPr>
        <w:t>, f</w:t>
      </w:r>
      <w:r w:rsidR="00BF4A8E" w:rsidRPr="00061636">
        <w:rPr>
          <w:rFonts w:cs="Times New Roman"/>
          <w:bCs/>
        </w:rPr>
        <w:t xml:space="preserve">or the purpose </w:t>
      </w:r>
      <w:r w:rsidR="0071646A" w:rsidRPr="00061636">
        <w:rPr>
          <w:rFonts w:cs="Times New Roman"/>
          <w:bCs/>
        </w:rPr>
        <w:t>of project</w:t>
      </w:r>
      <w:r w:rsidR="00061636">
        <w:rPr>
          <w:rFonts w:cs="Times New Roman"/>
          <w:bCs/>
        </w:rPr>
        <w:t xml:space="preserve"> Drawdown,</w:t>
      </w:r>
      <w:r w:rsidR="00DE1D6C" w:rsidRPr="00061636">
        <w:rPr>
          <w:rFonts w:cs="Times New Roman"/>
          <w:bCs/>
        </w:rPr>
        <w:t xml:space="preserve"> a “Solar </w:t>
      </w:r>
      <w:r w:rsidR="00061636">
        <w:rPr>
          <w:rFonts w:cs="Times New Roman"/>
          <w:bCs/>
        </w:rPr>
        <w:t>Farms</w:t>
      </w:r>
      <w:r w:rsidR="00DE1D6C" w:rsidRPr="00061636">
        <w:rPr>
          <w:rFonts w:cs="Times New Roman"/>
          <w:bCs/>
        </w:rPr>
        <w:t>”</w:t>
      </w:r>
      <w:r w:rsidR="00061636">
        <w:rPr>
          <w:rFonts w:cs="Times New Roman"/>
          <w:bCs/>
        </w:rPr>
        <w:t xml:space="preserve"> </w:t>
      </w:r>
      <w:r w:rsidR="00DE1D6C" w:rsidRPr="00061636">
        <w:rPr>
          <w:rFonts w:cs="Times New Roman"/>
          <w:bCs/>
        </w:rPr>
        <w:t>(i.e. the solution) follows</w:t>
      </w:r>
      <w:r w:rsidR="00801004" w:rsidRPr="00061636">
        <w:rPr>
          <w:rFonts w:cs="Times New Roman"/>
          <w:bCs/>
        </w:rPr>
        <w:t xml:space="preserve"> the International Energy Agency’s (</w:t>
      </w:r>
      <w:r w:rsidR="00FF2149" w:rsidRPr="00061636">
        <w:rPr>
          <w:rFonts w:cs="Times New Roman"/>
          <w:bCs/>
        </w:rPr>
        <w:t>IEA) classification</w:t>
      </w:r>
      <w:r w:rsidR="00801004" w:rsidRPr="00061636">
        <w:rPr>
          <w:rFonts w:cs="Times New Roman"/>
          <w:bCs/>
        </w:rPr>
        <w:t xml:space="preserve"> of any</w:t>
      </w:r>
      <w:r w:rsidR="003E45FF" w:rsidRPr="00061636">
        <w:rPr>
          <w:rFonts w:cs="Times New Roman"/>
          <w:bCs/>
        </w:rPr>
        <w:t xml:space="preserve"> PV</w:t>
      </w:r>
      <w:r w:rsidR="00801004" w:rsidRPr="00061636">
        <w:rPr>
          <w:rFonts w:cs="Times New Roman"/>
          <w:bCs/>
        </w:rPr>
        <w:t xml:space="preserve"> system</w:t>
      </w:r>
      <w:r w:rsidR="003E45FF" w:rsidRPr="00061636">
        <w:rPr>
          <w:rFonts w:cs="Times New Roman"/>
          <w:bCs/>
        </w:rPr>
        <w:t xml:space="preserve"> which has a rating</w:t>
      </w:r>
      <w:r w:rsidR="00801004" w:rsidRPr="00061636">
        <w:rPr>
          <w:rFonts w:cs="Times New Roman"/>
          <w:bCs/>
        </w:rPr>
        <w:t xml:space="preserve"> greater than 1 </w:t>
      </w:r>
      <w:r w:rsidR="00582B86" w:rsidRPr="00061636">
        <w:rPr>
          <w:rFonts w:cs="Times New Roman"/>
          <w:bCs/>
        </w:rPr>
        <w:t>MW and</w:t>
      </w:r>
      <w:r w:rsidR="003E45FF" w:rsidRPr="00061636">
        <w:rPr>
          <w:rFonts w:cs="Times New Roman"/>
          <w:bCs/>
        </w:rPr>
        <w:t xml:space="preserve"> </w:t>
      </w:r>
      <w:r w:rsidR="0017702C" w:rsidRPr="00061636">
        <w:rPr>
          <w:rFonts w:cs="Times New Roman"/>
          <w:bCs/>
        </w:rPr>
        <w:t xml:space="preserve">one </w:t>
      </w:r>
      <w:r w:rsidR="003E45FF" w:rsidRPr="00061636">
        <w:rPr>
          <w:rFonts w:cs="Times New Roman"/>
          <w:bCs/>
        </w:rPr>
        <w:t>which</w:t>
      </w:r>
      <w:r w:rsidR="00801004" w:rsidRPr="00061636">
        <w:rPr>
          <w:rFonts w:cs="Times New Roman"/>
          <w:bCs/>
        </w:rPr>
        <w:t xml:space="preserve"> is grid-connected</w:t>
      </w:r>
      <w:r w:rsidR="003E45FF" w:rsidRPr="00061636">
        <w:rPr>
          <w:rFonts w:cs="Times New Roman"/>
          <w:bCs/>
        </w:rPr>
        <w:t>.  Th</w:t>
      </w:r>
      <w:r w:rsidR="00DE1D6C" w:rsidRPr="00061636">
        <w:rPr>
          <w:rFonts w:cs="Times New Roman"/>
          <w:bCs/>
        </w:rPr>
        <w:t xml:space="preserve">e advantage of adopting </w:t>
      </w:r>
      <w:r w:rsidR="005014E9" w:rsidRPr="00061636">
        <w:rPr>
          <w:rFonts w:cs="Times New Roman"/>
          <w:bCs/>
        </w:rPr>
        <w:t>such a</w:t>
      </w:r>
      <w:r w:rsidR="00DE1D6C" w:rsidRPr="00061636">
        <w:rPr>
          <w:rFonts w:cs="Times New Roman"/>
          <w:bCs/>
        </w:rPr>
        <w:t xml:space="preserve"> classification is that </w:t>
      </w:r>
      <w:r w:rsidR="00FF2149" w:rsidRPr="00061636">
        <w:rPr>
          <w:rFonts w:cs="Times New Roman"/>
          <w:bCs/>
        </w:rPr>
        <w:t>it allows</w:t>
      </w:r>
      <w:r w:rsidR="005014E9" w:rsidRPr="00061636">
        <w:rPr>
          <w:rFonts w:cs="Times New Roman"/>
          <w:bCs/>
        </w:rPr>
        <w:t xml:space="preserve"> the</w:t>
      </w:r>
      <w:r w:rsidR="00801004" w:rsidRPr="00061636">
        <w:rPr>
          <w:rFonts w:cs="Times New Roman"/>
          <w:bCs/>
        </w:rPr>
        <w:t xml:space="preserve"> project</w:t>
      </w:r>
      <w:r w:rsidR="005014E9" w:rsidRPr="00061636">
        <w:rPr>
          <w:rFonts w:cs="Times New Roman"/>
          <w:bCs/>
        </w:rPr>
        <w:t>ion of</w:t>
      </w:r>
      <w:r w:rsidR="00801004" w:rsidRPr="00061636">
        <w:rPr>
          <w:rFonts w:cs="Times New Roman"/>
          <w:bCs/>
        </w:rPr>
        <w:t xml:space="preserve"> future growth of utility-scale solar </w:t>
      </w:r>
      <w:r w:rsidR="003E45FF" w:rsidRPr="00061636">
        <w:rPr>
          <w:rFonts w:cs="Times New Roman"/>
          <w:bCs/>
        </w:rPr>
        <w:t>PV</w:t>
      </w:r>
      <w:r w:rsidR="00027FE3" w:rsidRPr="00061636">
        <w:rPr>
          <w:rFonts w:cs="Times New Roman"/>
          <w:bCs/>
        </w:rPr>
        <w:t xml:space="preserve"> </w:t>
      </w:r>
      <w:r w:rsidR="00DE1D6C" w:rsidRPr="00061636">
        <w:rPr>
          <w:rFonts w:cs="Times New Roman"/>
          <w:bCs/>
        </w:rPr>
        <w:t xml:space="preserve">on a scale </w:t>
      </w:r>
      <w:r w:rsidR="007D706E" w:rsidRPr="00061636">
        <w:rPr>
          <w:rFonts w:cs="Times New Roman"/>
          <w:bCs/>
        </w:rPr>
        <w:t xml:space="preserve">which is </w:t>
      </w:r>
      <w:r w:rsidR="00801004" w:rsidRPr="00061636">
        <w:rPr>
          <w:rFonts w:cs="Times New Roman"/>
          <w:bCs/>
        </w:rPr>
        <w:t xml:space="preserve">consistent with </w:t>
      </w:r>
      <w:r w:rsidR="00027FE3" w:rsidRPr="00061636">
        <w:rPr>
          <w:rFonts w:cs="Times New Roman"/>
          <w:bCs/>
        </w:rPr>
        <w:t xml:space="preserve">the </w:t>
      </w:r>
      <w:r w:rsidR="00801004" w:rsidRPr="00061636">
        <w:rPr>
          <w:rFonts w:cs="Times New Roman"/>
          <w:bCs/>
        </w:rPr>
        <w:t>IEA</w:t>
      </w:r>
      <w:r w:rsidR="00DE1D6C" w:rsidRPr="00061636">
        <w:rPr>
          <w:rFonts w:cs="Times New Roman"/>
          <w:bCs/>
        </w:rPr>
        <w:t>’s own</w:t>
      </w:r>
      <w:r w:rsidR="00801004" w:rsidRPr="00061636">
        <w:rPr>
          <w:rFonts w:cs="Times New Roman"/>
          <w:bCs/>
        </w:rPr>
        <w:t xml:space="preserve"> projections for the </w:t>
      </w:r>
      <w:r w:rsidR="00027FE3" w:rsidRPr="00061636">
        <w:rPr>
          <w:rFonts w:cs="Times New Roman"/>
          <w:bCs/>
        </w:rPr>
        <w:t xml:space="preserve">global </w:t>
      </w:r>
      <w:r w:rsidR="00582B86" w:rsidRPr="00061636">
        <w:rPr>
          <w:rFonts w:cs="Times New Roman"/>
          <w:bCs/>
        </w:rPr>
        <w:t>solar sector</w:t>
      </w:r>
      <w:r w:rsidR="00801004" w:rsidRPr="00061636">
        <w:rPr>
          <w:rFonts w:cs="Times New Roman"/>
          <w:bCs/>
        </w:rPr>
        <w:t xml:space="preserve"> as a whole</w:t>
      </w:r>
      <w:r w:rsidR="00061636">
        <w:rPr>
          <w:rFonts w:cs="Times New Roman"/>
          <w:bCs/>
        </w:rPr>
        <w:t xml:space="preserve"> </w:t>
      </w:r>
      <w:sdt>
        <w:sdtPr>
          <w:rPr>
            <w:rFonts w:cs="Times New Roman"/>
            <w:bCs/>
          </w:rPr>
          <w:id w:val="-409238378"/>
          <w:citation/>
        </w:sdtPr>
        <w:sdtContent>
          <w:r w:rsidR="00EF530F">
            <w:rPr>
              <w:rFonts w:cs="Times New Roman"/>
              <w:bCs/>
            </w:rPr>
            <w:fldChar w:fldCharType="begin"/>
          </w:r>
          <w:r w:rsidR="008C5694">
            <w:rPr>
              <w:rFonts w:cs="Times New Roman"/>
              <w:bCs/>
            </w:rPr>
            <w:instrText xml:space="preserve">CITATION IEA18 \l 1033 </w:instrText>
          </w:r>
          <w:r w:rsidR="00EF530F">
            <w:rPr>
              <w:rFonts w:cs="Times New Roman"/>
              <w:bCs/>
            </w:rPr>
            <w:fldChar w:fldCharType="separate"/>
          </w:r>
          <w:r w:rsidR="008C5694" w:rsidRPr="008C5694">
            <w:rPr>
              <w:rFonts w:cs="Times New Roman"/>
              <w:noProof/>
            </w:rPr>
            <w:t>(IEA, 2018)</w:t>
          </w:r>
          <w:r w:rsidR="00EF530F">
            <w:rPr>
              <w:rFonts w:cs="Times New Roman"/>
              <w:bCs/>
            </w:rPr>
            <w:fldChar w:fldCharType="end"/>
          </w:r>
        </w:sdtContent>
      </w:sdt>
      <w:r w:rsidR="00582B86">
        <w:rPr>
          <w:rFonts w:cs="Times New Roman"/>
          <w:bCs/>
        </w:rPr>
        <w:t>.</w:t>
      </w:r>
    </w:p>
    <w:p w14:paraId="7E638AF3" w14:textId="5EEE76E7" w:rsidR="00582B86" w:rsidRPr="00582B86" w:rsidRDefault="551A77D0" w:rsidP="002A6808">
      <w:pPr>
        <w:pStyle w:val="Heading2"/>
      </w:pPr>
      <w:bookmarkStart w:id="6" w:name="_Toc10331897"/>
      <w:r w:rsidRPr="00582B86">
        <w:t>Adoption Path</w:t>
      </w:r>
      <w:bookmarkEnd w:id="6"/>
    </w:p>
    <w:p w14:paraId="2DE784CA" w14:textId="50A635DF" w:rsidR="00FF2149" w:rsidRDefault="00582B86" w:rsidP="00582B86">
      <w:pPr>
        <w:pStyle w:val="Heading3"/>
        <w:numPr>
          <w:ilvl w:val="0"/>
          <w:numId w:val="0"/>
        </w:numPr>
      </w:pPr>
      <w:bookmarkStart w:id="7" w:name="_Toc10331898"/>
      <w:r>
        <w:t xml:space="preserve">1.3.1     </w:t>
      </w:r>
      <w:r w:rsidR="551A77D0" w:rsidRPr="00061636">
        <w:t>C</w:t>
      </w:r>
      <w:r w:rsidR="00802B1A">
        <w:t>urrent</w:t>
      </w:r>
      <w:r w:rsidR="551A77D0" w:rsidRPr="00061636">
        <w:t xml:space="preserve"> A</w:t>
      </w:r>
      <w:r w:rsidR="00802B1A">
        <w:t>doption</w:t>
      </w:r>
      <w:bookmarkEnd w:id="7"/>
    </w:p>
    <w:p w14:paraId="3FD4E253" w14:textId="38CB523D" w:rsidR="007864AB" w:rsidRDefault="009033B8" w:rsidP="00582B86">
      <w:r w:rsidRPr="009C373D">
        <w:t>Current adoption</w:t>
      </w:r>
      <w:r w:rsidRPr="009C373D">
        <w:rPr>
          <w:vertAlign w:val="superscript"/>
        </w:rPr>
        <w:footnoteReference w:id="1"/>
      </w:r>
      <w:r w:rsidRPr="009C373D">
        <w:t> for solar</w:t>
      </w:r>
      <w:r w:rsidRPr="009C373D">
        <w:rPr>
          <w:rFonts w:cs="Times New Roman"/>
        </w:rPr>
        <w:t xml:space="preserve"> PV </w:t>
      </w:r>
      <w:r w:rsidR="004A672D">
        <w:rPr>
          <w:rFonts w:cs="Times New Roman"/>
        </w:rPr>
        <w:t>farms</w:t>
      </w:r>
      <w:r w:rsidRPr="009C373D">
        <w:rPr>
          <w:rFonts w:cs="Times New Roman"/>
        </w:rPr>
        <w:t xml:space="preserve"> is estimated at only</w:t>
      </w:r>
      <w:r>
        <w:rPr>
          <w:rFonts w:cs="Times New Roman"/>
        </w:rPr>
        <w:t xml:space="preserve"> 0.</w:t>
      </w:r>
      <w:r w:rsidR="004A672D">
        <w:rPr>
          <w:rFonts w:cs="Times New Roman"/>
        </w:rPr>
        <w:t>5</w:t>
      </w:r>
      <w:r w:rsidRPr="009C373D">
        <w:rPr>
          <w:rFonts w:cs="Times New Roman"/>
        </w:rPr>
        <w:t xml:space="preserve"> pe</w:t>
      </w:r>
      <w:r w:rsidR="004A672D">
        <w:rPr>
          <w:rFonts w:cs="Times New Roman"/>
        </w:rPr>
        <w:t>r</w:t>
      </w:r>
      <w:r w:rsidRPr="009C373D">
        <w:rPr>
          <w:rFonts w:cs="Times New Roman"/>
        </w:rPr>
        <w:t>cent (</w:t>
      </w:r>
      <w:r>
        <w:rPr>
          <w:rFonts w:cs="Times New Roman"/>
        </w:rPr>
        <w:t>1</w:t>
      </w:r>
      <w:r w:rsidR="004A672D">
        <w:rPr>
          <w:rFonts w:cs="Times New Roman"/>
        </w:rPr>
        <w:t>13</w:t>
      </w:r>
      <w:r w:rsidRPr="009C373D">
        <w:rPr>
          <w:rFonts w:cs="Times New Roman"/>
        </w:rPr>
        <w:t xml:space="preserve"> terawatt-hours) of total electricity generation </w:t>
      </w:r>
      <w:sdt>
        <w:sdtPr>
          <w:rPr>
            <w:rFonts w:cs="Times New Roman"/>
          </w:rPr>
          <w:id w:val="84739005"/>
          <w:citation/>
        </w:sdtPr>
        <w:sdtContent>
          <w:r>
            <w:rPr>
              <w:rFonts w:cs="Times New Roman"/>
            </w:rPr>
            <w:fldChar w:fldCharType="begin"/>
          </w:r>
          <w:r>
            <w:rPr>
              <w:rFonts w:cs="Times New Roman"/>
            </w:rPr>
            <w:instrText xml:space="preserve"> CITATION WEO18 \l 1033 </w:instrText>
          </w:r>
          <w:r>
            <w:rPr>
              <w:rFonts w:cs="Times New Roman"/>
            </w:rPr>
            <w:fldChar w:fldCharType="separate"/>
          </w:r>
          <w:r w:rsidRPr="007470AB">
            <w:rPr>
              <w:rFonts w:cs="Times New Roman"/>
              <w:noProof/>
            </w:rPr>
            <w:t>(IEA, 2018)</w:t>
          </w:r>
          <w:r>
            <w:rPr>
              <w:rFonts w:cs="Times New Roman"/>
            </w:rPr>
            <w:fldChar w:fldCharType="end"/>
          </w:r>
        </w:sdtContent>
      </w:sdt>
      <w:r w:rsidRPr="009C373D">
        <w:rPr>
          <w:rFonts w:cs="Times New Roman"/>
        </w:rPr>
        <w:t>, while fossil fuels still represent the lion</w:t>
      </w:r>
      <w:r>
        <w:rPr>
          <w:rFonts w:cs="Times New Roman"/>
        </w:rPr>
        <w:t>’s</w:t>
      </w:r>
      <w:r w:rsidRPr="009C373D">
        <w:rPr>
          <w:rFonts w:cs="Times New Roman"/>
        </w:rPr>
        <w:t xml:space="preserve"> share of </w:t>
      </w:r>
      <w:r w:rsidRPr="009C373D">
        <w:rPr>
          <w:rFonts w:cs="Times New Roman"/>
          <w:bCs/>
        </w:rPr>
        <w:t>electricity generation (natural gas 2</w:t>
      </w:r>
      <w:r w:rsidR="004A672D">
        <w:rPr>
          <w:rFonts w:cs="Times New Roman"/>
          <w:bCs/>
        </w:rPr>
        <w:t>2</w:t>
      </w:r>
      <w:r w:rsidRPr="009C373D">
        <w:t>%, coal 3</w:t>
      </w:r>
      <w:r w:rsidR="004A672D">
        <w:t>8.7</w:t>
      </w:r>
      <w:r w:rsidRPr="009C373D">
        <w:t xml:space="preserve">%, and oil </w:t>
      </w:r>
      <w:r w:rsidR="004A672D">
        <w:t>4</w:t>
      </w:r>
      <w:r>
        <w:t>.7</w:t>
      </w:r>
      <w:r w:rsidR="004A672D">
        <w:t>4</w:t>
      </w:r>
      <w:r w:rsidRPr="009C373D">
        <w:t>%)</w:t>
      </w:r>
      <w:r>
        <w:t>.</w:t>
      </w:r>
      <w:r w:rsidR="004A672D">
        <w:t xml:space="preserve"> </w:t>
      </w:r>
      <w:r w:rsidR="00E97B6E" w:rsidRPr="0071646A">
        <w:t>By the end of 201</w:t>
      </w:r>
      <w:r w:rsidR="00E61A22" w:rsidRPr="0071646A">
        <w:t>7</w:t>
      </w:r>
      <w:r w:rsidR="00E97B6E" w:rsidRPr="0071646A">
        <w:t xml:space="preserve">, </w:t>
      </w:r>
      <w:r w:rsidR="0071646A" w:rsidRPr="0071646A">
        <w:t>the SPV</w:t>
      </w:r>
      <w:r w:rsidR="00E97B6E" w:rsidRPr="0071646A">
        <w:t xml:space="preserve"> industry was booming</w:t>
      </w:r>
      <w:r w:rsidR="00F145C3" w:rsidRPr="0071646A">
        <w:t xml:space="preserve"> with a total installed capacity of </w:t>
      </w:r>
      <w:r w:rsidR="00AD6EA4" w:rsidRPr="0071646A">
        <w:t>386</w:t>
      </w:r>
      <w:r w:rsidR="00F145C3" w:rsidRPr="0071646A">
        <w:t xml:space="preserve"> </w:t>
      </w:r>
      <w:r w:rsidR="002D78FC" w:rsidRPr="0071646A">
        <w:t>GW</w:t>
      </w:r>
      <w:r w:rsidR="00E97B6E" w:rsidRPr="0071646A">
        <w:t xml:space="preserve">. </w:t>
      </w:r>
      <w:r w:rsidR="0071646A" w:rsidRPr="0071646A">
        <w:t>In all</w:t>
      </w:r>
      <w:r w:rsidR="007A0921" w:rsidRPr="0071646A">
        <w:t xml:space="preserve">, the world had </w:t>
      </w:r>
      <w:r w:rsidR="00095AFF">
        <w:t xml:space="preserve">a </w:t>
      </w:r>
      <w:r w:rsidR="007A0921" w:rsidRPr="0071646A">
        <w:t>cumulative installed PV capacity</w:t>
      </w:r>
      <w:r w:rsidR="00095AFF">
        <w:t xml:space="preserve"> of 170 GW</w:t>
      </w:r>
      <w:r w:rsidR="007A0921" w:rsidRPr="0071646A">
        <w:t xml:space="preserve"> by the end of 2014 and this rose </w:t>
      </w:r>
      <w:r w:rsidR="0071646A" w:rsidRPr="0071646A">
        <w:t>to 292</w:t>
      </w:r>
      <w:r w:rsidR="007A0921" w:rsidRPr="0071646A">
        <w:t xml:space="preserve"> GW by the end of 2016, most of which was installed in only the previous three years</w:t>
      </w:r>
      <w:r w:rsidR="000B125A">
        <w:t xml:space="preserve"> as may be seen from the chart below</w:t>
      </w:r>
      <w:r w:rsidR="004A672D">
        <w:t xml:space="preserve"> (Figure 1.1)</w:t>
      </w:r>
      <w:r w:rsidR="007A0921" w:rsidRPr="0071646A">
        <w:t xml:space="preserve">. This growth trend has kept its pace, and 2017 was an amazing year for global solar power </w:t>
      </w:r>
      <w:r w:rsidR="00FF2149" w:rsidRPr="0071646A">
        <w:t>with capacity</w:t>
      </w:r>
      <w:r w:rsidR="007A0921" w:rsidRPr="0071646A">
        <w:t xml:space="preserve"> addition growing by 32 percent adding almost 95 GW during the year</w:t>
      </w:r>
      <w:sdt>
        <w:sdtPr>
          <w:id w:val="-156003915"/>
          <w:citation/>
        </w:sdtPr>
        <w:sdtContent>
          <w:r w:rsidR="000F23D8" w:rsidRPr="0071646A">
            <w:fldChar w:fldCharType="begin"/>
          </w:r>
          <w:r w:rsidR="000F23D8" w:rsidRPr="0071646A">
            <w:instrText xml:space="preserve">CITATION WEO18 \l 1033 </w:instrText>
          </w:r>
          <w:r w:rsidR="000F23D8" w:rsidRPr="0071646A">
            <w:fldChar w:fldCharType="separate"/>
          </w:r>
          <w:r w:rsidR="00AC388C">
            <w:rPr>
              <w:noProof/>
            </w:rPr>
            <w:t xml:space="preserve"> (IEA, 2018)</w:t>
          </w:r>
          <w:r w:rsidR="000F23D8" w:rsidRPr="0071646A">
            <w:fldChar w:fldCharType="end"/>
          </w:r>
        </w:sdtContent>
      </w:sdt>
      <w:r w:rsidR="007A0921" w:rsidRPr="0071646A">
        <w:t xml:space="preserve">. </w:t>
      </w:r>
      <w:r w:rsidR="00E97B6E" w:rsidRPr="0071646A">
        <w:t xml:space="preserve">The top </w:t>
      </w:r>
      <w:r w:rsidR="00270974" w:rsidRPr="0071646A">
        <w:t>five</w:t>
      </w:r>
      <w:r w:rsidR="00E97B6E" w:rsidRPr="0071646A">
        <w:t xml:space="preserve"> markets internationally in terms of annual capacity additions were China,</w:t>
      </w:r>
      <w:r w:rsidR="00F145C3" w:rsidRPr="0071646A">
        <w:t xml:space="preserve"> US, India,</w:t>
      </w:r>
      <w:r w:rsidR="00E97B6E" w:rsidRPr="0071646A">
        <w:t xml:space="preserve"> Japan and </w:t>
      </w:r>
      <w:r w:rsidR="00F145C3" w:rsidRPr="0071646A">
        <w:t xml:space="preserve"> Germany</w:t>
      </w:r>
      <w:r w:rsidR="00E97B6E" w:rsidRPr="0071646A">
        <w:t xml:space="preserve">, and these </w:t>
      </w:r>
      <w:r w:rsidR="00F145C3" w:rsidRPr="0071646A">
        <w:t>five</w:t>
      </w:r>
      <w:r w:rsidR="00E97B6E" w:rsidRPr="0071646A">
        <w:t xml:space="preserve"> countries together with the UK and </w:t>
      </w:r>
      <w:r w:rsidR="00B512C8" w:rsidRPr="0071646A">
        <w:t xml:space="preserve">Italy </w:t>
      </w:r>
      <w:r w:rsidR="00E97B6E" w:rsidRPr="0071646A">
        <w:t xml:space="preserve">represented </w:t>
      </w:r>
      <w:r w:rsidR="00B512C8" w:rsidRPr="0071646A">
        <w:t>over 80%</w:t>
      </w:r>
      <w:r w:rsidR="00E97B6E" w:rsidRPr="0071646A">
        <w:t xml:space="preserve"> percent of </w:t>
      </w:r>
      <w:r w:rsidR="00B512C8" w:rsidRPr="0071646A">
        <w:t xml:space="preserve">the global </w:t>
      </w:r>
      <w:r w:rsidR="00E97B6E" w:rsidRPr="0071646A">
        <w:t>installed capacity</w:t>
      </w:r>
      <w:r w:rsidR="004A672D">
        <w:t xml:space="preserve"> </w:t>
      </w:r>
      <w:sdt>
        <w:sdtPr>
          <w:id w:val="2047098117"/>
          <w:citation/>
        </w:sdtPr>
        <w:sdtContent>
          <w:r w:rsidR="008C5694">
            <w:fldChar w:fldCharType="begin"/>
          </w:r>
          <w:r w:rsidR="00814CEC">
            <w:instrText xml:space="preserve">CITATION IRE8b \l 1033 </w:instrText>
          </w:r>
          <w:r w:rsidR="008C5694">
            <w:fldChar w:fldCharType="separate"/>
          </w:r>
          <w:r w:rsidR="00814CEC">
            <w:rPr>
              <w:noProof/>
            </w:rPr>
            <w:t>(IRENA, 2018)</w:t>
          </w:r>
          <w:r w:rsidR="008C5694">
            <w:fldChar w:fldCharType="end"/>
          </w:r>
        </w:sdtContent>
      </w:sdt>
      <w:r w:rsidR="004A0704" w:rsidRPr="0071646A">
        <w:t>.</w:t>
      </w:r>
      <w:r w:rsidR="00E97B6E" w:rsidRPr="0071646A">
        <w:t xml:space="preserve"> </w:t>
      </w:r>
      <w:r w:rsidR="0071646A" w:rsidRPr="0071646A">
        <w:t>China is</w:t>
      </w:r>
      <w:r w:rsidR="00E97B6E" w:rsidRPr="0071646A">
        <w:t xml:space="preserve"> the </w:t>
      </w:r>
      <w:r w:rsidR="004A0704" w:rsidRPr="0071646A">
        <w:t xml:space="preserve">global </w:t>
      </w:r>
      <w:r w:rsidR="00E97B6E" w:rsidRPr="0071646A">
        <w:t xml:space="preserve">leader </w:t>
      </w:r>
      <w:r w:rsidR="004A0704" w:rsidRPr="0071646A">
        <w:t>with an</w:t>
      </w:r>
      <w:r w:rsidR="00E97B6E" w:rsidRPr="0071646A">
        <w:t xml:space="preserve"> installed capacity</w:t>
      </w:r>
      <w:r w:rsidR="004A0704" w:rsidRPr="0071646A">
        <w:t xml:space="preserve"> of 131 MW.</w:t>
      </w:r>
      <w:r w:rsidR="007A09F4" w:rsidRPr="0071646A">
        <w:t xml:space="preserve"> </w:t>
      </w:r>
      <w:r w:rsidR="00061636" w:rsidRPr="0071646A">
        <w:t>T</w:t>
      </w:r>
      <w:r w:rsidR="00E97B6E" w:rsidRPr="0071646A">
        <w:t xml:space="preserve">he top 10 list of countries </w:t>
      </w:r>
      <w:r w:rsidR="00575465" w:rsidRPr="0071646A">
        <w:t>on the basis of</w:t>
      </w:r>
      <w:r w:rsidR="00E97B6E" w:rsidRPr="0071646A">
        <w:t xml:space="preserve"> annual installed capacity in 201</w:t>
      </w:r>
      <w:r w:rsidR="00AD6EA4" w:rsidRPr="0071646A">
        <w:t>7</w:t>
      </w:r>
      <w:r w:rsidR="00E97B6E" w:rsidRPr="0071646A">
        <w:t xml:space="preserve"> included four Asian nations (China, Japan, India, and Korea) compared to three European nations (UK, Germany, and France)</w:t>
      </w:r>
      <w:sdt>
        <w:sdtPr>
          <w:id w:val="659434679"/>
          <w:citation/>
        </w:sdtPr>
        <w:sdtContent>
          <w:r w:rsidR="00F74B00" w:rsidRPr="0071646A">
            <w:fldChar w:fldCharType="begin"/>
          </w:r>
          <w:r w:rsidR="008914AD">
            <w:instrText xml:space="preserve">CITATION BP18 \l 1033 </w:instrText>
          </w:r>
          <w:r w:rsidR="00F74B00" w:rsidRPr="0071646A">
            <w:fldChar w:fldCharType="separate"/>
          </w:r>
          <w:r w:rsidR="008914AD">
            <w:rPr>
              <w:noProof/>
            </w:rPr>
            <w:t xml:space="preserve"> (BP, 2018)</w:t>
          </w:r>
          <w:r w:rsidR="00F74B00" w:rsidRPr="0071646A">
            <w:fldChar w:fldCharType="end"/>
          </w:r>
        </w:sdtContent>
      </w:sdt>
      <w:r w:rsidR="00061636" w:rsidRPr="0071646A">
        <w:t>.</w:t>
      </w:r>
      <w:r w:rsidR="00E97B6E" w:rsidRPr="0071646A">
        <w:t xml:space="preserve"> </w:t>
      </w:r>
      <w:r w:rsidR="00FF3CFD" w:rsidRPr="0071646A">
        <w:t xml:space="preserve">In the Americas, </w:t>
      </w:r>
      <w:r w:rsidR="007A0921" w:rsidRPr="0071646A">
        <w:t xml:space="preserve">though </w:t>
      </w:r>
      <w:r w:rsidR="00FF3CFD" w:rsidRPr="0071646A">
        <w:t>there has been a slow</w:t>
      </w:r>
      <w:r w:rsidR="007A0921" w:rsidRPr="0071646A">
        <w:t>-</w:t>
      </w:r>
      <w:r w:rsidR="00FF3CFD" w:rsidRPr="0071646A">
        <w:t>down in the US market</w:t>
      </w:r>
      <w:r w:rsidR="007A0921" w:rsidRPr="0071646A">
        <w:t>,</w:t>
      </w:r>
      <w:r w:rsidR="00FF3CFD" w:rsidRPr="0071646A">
        <w:t xml:space="preserve"> Brazil and Chile have made </w:t>
      </w:r>
      <w:r w:rsidR="007A09F4" w:rsidRPr="0071646A">
        <w:t>notable</w:t>
      </w:r>
      <w:r w:rsidR="007A0921" w:rsidRPr="0071646A">
        <w:t xml:space="preserve"> </w:t>
      </w:r>
      <w:r w:rsidR="00FF3CFD" w:rsidRPr="0071646A">
        <w:t xml:space="preserve">progress </w:t>
      </w:r>
      <w:r w:rsidR="007A0921" w:rsidRPr="0071646A">
        <w:t>adding over 1</w:t>
      </w:r>
      <w:r w:rsidR="0007144C">
        <w:t xml:space="preserve"> </w:t>
      </w:r>
      <w:r w:rsidR="007A0921" w:rsidRPr="0071646A">
        <w:t>GW and 0.5</w:t>
      </w:r>
      <w:r w:rsidR="00061636" w:rsidRPr="0071646A">
        <w:t xml:space="preserve"> </w:t>
      </w:r>
      <w:r w:rsidR="007A0921" w:rsidRPr="0071646A">
        <w:t>GW respectively in 2017.</w:t>
      </w:r>
      <w:r w:rsidR="00FF3CFD" w:rsidRPr="0071646A">
        <w:t xml:space="preserve"> </w:t>
      </w:r>
      <w:r w:rsidR="00112479" w:rsidRPr="0071646A">
        <w:t>G</w:t>
      </w:r>
      <w:r w:rsidR="007864AB" w:rsidRPr="0071646A">
        <w:t>lobal investments in solar energy</w:t>
      </w:r>
      <w:r w:rsidR="00575465" w:rsidRPr="0071646A">
        <w:t xml:space="preserve"> have </w:t>
      </w:r>
      <w:r w:rsidR="007864AB" w:rsidRPr="0071646A">
        <w:t>outstripped</w:t>
      </w:r>
      <w:r w:rsidR="00575465" w:rsidRPr="0071646A">
        <w:t xml:space="preserve"> investments in</w:t>
      </w:r>
      <w:r w:rsidR="007864AB" w:rsidRPr="0071646A">
        <w:t xml:space="preserve"> all other </w:t>
      </w:r>
      <w:r w:rsidR="007401D1" w:rsidRPr="0071646A">
        <w:t xml:space="preserve">forms of </w:t>
      </w:r>
      <w:r w:rsidR="007864AB" w:rsidRPr="0071646A">
        <w:t>renewable energy.</w:t>
      </w:r>
    </w:p>
    <w:p w14:paraId="0ECA186C" w14:textId="77777777" w:rsidR="004A672D" w:rsidRDefault="002F4C62" w:rsidP="004A672D">
      <w:pPr>
        <w:keepNext/>
        <w:jc w:val="center"/>
      </w:pPr>
      <w:r>
        <w:rPr>
          <w:noProof/>
        </w:rPr>
        <w:lastRenderedPageBreak/>
        <w:drawing>
          <wp:inline distT="0" distB="0" distL="0" distR="0" wp14:anchorId="1588318C" wp14:editId="7FE5FBED">
            <wp:extent cx="5206181" cy="2669458"/>
            <wp:effectExtent l="0" t="0" r="13970" b="10795"/>
            <wp:docPr id="5" name="Chart 5">
              <a:extLst xmlns:a="http://schemas.openxmlformats.org/drawingml/2006/main">
                <a:ext uri="{FF2B5EF4-FFF2-40B4-BE49-F238E27FC236}">
                  <a16:creationId xmlns:a16="http://schemas.microsoft.com/office/drawing/2014/main" id="{715A896F-45F9-4477-A7C8-2B7BD06ED5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0E2BF4" w14:textId="68C945ED" w:rsidR="004A672D" w:rsidRPr="0071646A" w:rsidRDefault="004A672D" w:rsidP="004A672D">
      <w:pPr>
        <w:pStyle w:val="Caption"/>
        <w:jc w:val="center"/>
      </w:pPr>
      <w:bookmarkStart w:id="8" w:name="_Toc23606358"/>
      <w:r>
        <w:t xml:space="preserve">Figure </w:t>
      </w:r>
      <w:r w:rsidR="00404B22">
        <w:rPr>
          <w:noProof/>
        </w:rPr>
        <w:fldChar w:fldCharType="begin"/>
      </w:r>
      <w:r w:rsidR="00404B22">
        <w:rPr>
          <w:noProof/>
        </w:rPr>
        <w:instrText xml:space="preserve"> SEQ Figure \* ARABIC </w:instrText>
      </w:r>
      <w:r w:rsidR="00404B22">
        <w:rPr>
          <w:noProof/>
        </w:rPr>
        <w:fldChar w:fldCharType="separate"/>
      </w:r>
      <w:r>
        <w:rPr>
          <w:noProof/>
        </w:rPr>
        <w:t>1</w:t>
      </w:r>
      <w:r w:rsidR="00404B22">
        <w:rPr>
          <w:noProof/>
        </w:rPr>
        <w:fldChar w:fldCharType="end"/>
      </w:r>
      <w:r>
        <w:t xml:space="preserve">.1 </w:t>
      </w:r>
      <w:r w:rsidR="009A024A">
        <w:t xml:space="preserve">- </w:t>
      </w:r>
      <w:r w:rsidRPr="004A672D">
        <w:t>Global Cumulative Installed Solar PV capacity  (Source: IRENA 2018)</w:t>
      </w:r>
      <w:bookmarkEnd w:id="8"/>
    </w:p>
    <w:p w14:paraId="08016201" w14:textId="335BFB28" w:rsidR="00E97B6E" w:rsidRPr="00061636" w:rsidRDefault="00344262" w:rsidP="00582B86">
      <w:r w:rsidRPr="00061636">
        <w:t>T</w:t>
      </w:r>
      <w:r w:rsidR="00112479" w:rsidRPr="00061636">
        <w:t xml:space="preserve">hough </w:t>
      </w:r>
      <w:r w:rsidRPr="00061636">
        <w:t xml:space="preserve">the IEA and other international research agencies </w:t>
      </w:r>
      <w:r w:rsidR="006B43BD" w:rsidRPr="00061636">
        <w:t>d</w:t>
      </w:r>
      <w:r w:rsidR="007401D1" w:rsidRPr="00061636">
        <w:t>o</w:t>
      </w:r>
      <w:r w:rsidR="006B43BD" w:rsidRPr="00061636">
        <w:t xml:space="preserve"> </w:t>
      </w:r>
      <w:r w:rsidRPr="00061636">
        <w:t xml:space="preserve">not usually </w:t>
      </w:r>
      <w:r w:rsidR="00477251" w:rsidRPr="00061636">
        <w:t xml:space="preserve">publish </w:t>
      </w:r>
      <w:r w:rsidRPr="00061636">
        <w:t>installed capacit</w:t>
      </w:r>
      <w:r w:rsidR="00575465" w:rsidRPr="00061636">
        <w:t xml:space="preserve">ies </w:t>
      </w:r>
      <w:r w:rsidRPr="00061636">
        <w:t>separately for utility-scale and rooftop PV</w:t>
      </w:r>
      <w:r w:rsidR="007A0921" w:rsidRPr="00061636">
        <w:t xml:space="preserve"> figures</w:t>
      </w:r>
      <w:r w:rsidRPr="00061636">
        <w:t xml:space="preserve">, </w:t>
      </w:r>
      <w:r w:rsidR="006B43BD" w:rsidRPr="00061636">
        <w:t>some</w:t>
      </w:r>
      <w:r w:rsidRPr="00061636">
        <w:t xml:space="preserve"> </w:t>
      </w:r>
      <w:r w:rsidR="0071646A" w:rsidRPr="00061636">
        <w:t>organizations are</w:t>
      </w:r>
      <w:r w:rsidRPr="00061636">
        <w:t xml:space="preserve"> now starting to do so</w:t>
      </w:r>
      <w:r w:rsidR="000F2698" w:rsidRPr="00061636">
        <w:t xml:space="preserve"> reflecting</w:t>
      </w:r>
      <w:r w:rsidR="00477251" w:rsidRPr="00061636">
        <w:t xml:space="preserve"> the growth in both these sub-sectors</w:t>
      </w:r>
      <w:r w:rsidR="006B43BD" w:rsidRPr="00061636">
        <w:t>. Th</w:t>
      </w:r>
      <w:r w:rsidR="00477251" w:rsidRPr="00061636">
        <w:t>ere</w:t>
      </w:r>
      <w:r w:rsidR="000F2698" w:rsidRPr="00061636">
        <w:t xml:space="preserve"> </w:t>
      </w:r>
      <w:r w:rsidR="0071646A" w:rsidRPr="00061636">
        <w:t>are trends</w:t>
      </w:r>
      <w:r w:rsidR="000F2698" w:rsidRPr="00061636">
        <w:t xml:space="preserve"> which</w:t>
      </w:r>
      <w:r w:rsidRPr="00061636">
        <w:t xml:space="preserve"> indicate that most of the major </w:t>
      </w:r>
      <w:r w:rsidR="00477251" w:rsidRPr="00061636">
        <w:t xml:space="preserve">capacity </w:t>
      </w:r>
      <w:r w:rsidRPr="00061636">
        <w:t>developments in emerging markets are</w:t>
      </w:r>
      <w:r w:rsidR="000F2698" w:rsidRPr="00061636">
        <w:t xml:space="preserve"> coming</w:t>
      </w:r>
      <w:r w:rsidRPr="00061636">
        <w:t xml:space="preserve"> from utility-scale PV</w:t>
      </w:r>
      <w:r w:rsidR="006B43BD" w:rsidRPr="00061636">
        <w:t xml:space="preserve"> systems</w:t>
      </w:r>
      <w:r w:rsidRPr="00061636">
        <w:t xml:space="preserve">. For instance, the IEA Photovoltaic Power Systems </w:t>
      </w:r>
      <w:proofErr w:type="spellStart"/>
      <w:r w:rsidRPr="00061636">
        <w:t>Programme</w:t>
      </w:r>
      <w:proofErr w:type="spellEnd"/>
      <w:r w:rsidRPr="00061636">
        <w:t xml:space="preserve"> (PVPS</w:t>
      </w:r>
      <w:r w:rsidR="00537FD9">
        <w:t>)</w:t>
      </w:r>
      <w:r w:rsidRPr="00061636">
        <w:t xml:space="preserve"> reports in </w:t>
      </w:r>
      <w:r w:rsidR="00F74B00">
        <w:t>“</w:t>
      </w:r>
      <w:r w:rsidR="00C56E83" w:rsidRPr="00061636">
        <w:t>2018: Snapshot of Global Photovoltaic Markets</w:t>
      </w:r>
      <w:r w:rsidR="00F74B00">
        <w:t>”</w:t>
      </w:r>
      <w:r w:rsidR="00C56E83" w:rsidRPr="00061636">
        <w:t xml:space="preserve"> </w:t>
      </w:r>
      <w:r w:rsidRPr="00061636">
        <w:t xml:space="preserve">that centralized PV </w:t>
      </w:r>
      <w:r w:rsidR="00C56E83" w:rsidRPr="00061636">
        <w:t xml:space="preserve">now </w:t>
      </w:r>
      <w:r w:rsidRPr="00061636">
        <w:t>represent</w:t>
      </w:r>
      <w:r w:rsidR="00C56E83" w:rsidRPr="00061636">
        <w:t>s</w:t>
      </w:r>
      <w:r w:rsidRPr="00061636">
        <w:t xml:space="preserve"> more than 50 percent of the global market driven mainly by growth in China, the USA, and other emerging PV markets. Especially given that large-scale installations are typically less expensive </w:t>
      </w:r>
      <w:r w:rsidR="006B43BD" w:rsidRPr="00061636">
        <w:t xml:space="preserve">(on a per unit basis) </w:t>
      </w:r>
      <w:r w:rsidRPr="00061636">
        <w:t xml:space="preserve">than small-scale or rooftop PV systems, many countries are choosing to add </w:t>
      </w:r>
      <w:r w:rsidR="006B43BD" w:rsidRPr="00061636">
        <w:t xml:space="preserve">bulk </w:t>
      </w:r>
      <w:r w:rsidRPr="00061636">
        <w:t xml:space="preserve">solar capacity </w:t>
      </w:r>
      <w:r w:rsidR="000F2698" w:rsidRPr="00061636">
        <w:t xml:space="preserve">mainly </w:t>
      </w:r>
      <w:r w:rsidRPr="00061636">
        <w:t>through centralized</w:t>
      </w:r>
      <w:r w:rsidR="00BC10B8" w:rsidRPr="00061636">
        <w:t xml:space="preserve"> PV</w:t>
      </w:r>
      <w:r w:rsidRPr="00061636">
        <w:t xml:space="preserve"> installations</w:t>
      </w:r>
      <w:sdt>
        <w:sdtPr>
          <w:id w:val="1623958812"/>
          <w:citation/>
        </w:sdtPr>
        <w:sdtContent>
          <w:r w:rsidR="006773D2">
            <w:fldChar w:fldCharType="begin"/>
          </w:r>
          <w:r w:rsidR="00E87E6D">
            <w:instrText xml:space="preserve">CITATION IEA \l 1033 </w:instrText>
          </w:r>
          <w:r w:rsidR="006773D2">
            <w:fldChar w:fldCharType="separate"/>
          </w:r>
          <w:r w:rsidR="00E87E6D">
            <w:rPr>
              <w:noProof/>
            </w:rPr>
            <w:t xml:space="preserve"> (IEA-PVPS, 2018a)</w:t>
          </w:r>
          <w:r w:rsidR="006773D2">
            <w:fldChar w:fldCharType="end"/>
          </w:r>
        </w:sdtContent>
      </w:sdt>
      <w:r w:rsidRPr="00061636">
        <w:t>.</w:t>
      </w:r>
    </w:p>
    <w:p w14:paraId="4597E7BE" w14:textId="2036015B" w:rsidR="007952C3" w:rsidRPr="009A5527" w:rsidRDefault="006E1487" w:rsidP="00FF2149">
      <w:pPr>
        <w:pStyle w:val="Heading3"/>
        <w:numPr>
          <w:ilvl w:val="0"/>
          <w:numId w:val="0"/>
        </w:numPr>
      </w:pPr>
      <w:bookmarkStart w:id="9" w:name="_Toc10331899"/>
      <w:r>
        <w:t>1.3.2</w:t>
      </w:r>
      <w:r>
        <w:tab/>
      </w:r>
      <w:r w:rsidR="00FF2149" w:rsidRPr="00061636">
        <w:t>Trends of</w:t>
      </w:r>
      <w:r w:rsidR="008D2FF4" w:rsidRPr="00061636">
        <w:t xml:space="preserve"> </w:t>
      </w:r>
      <w:r w:rsidR="00A53CDF" w:rsidRPr="00061636">
        <w:t>Accelerat</w:t>
      </w:r>
      <w:r w:rsidR="008D2FF4" w:rsidRPr="00061636">
        <w:t>ing</w:t>
      </w:r>
      <w:r w:rsidR="00A53CDF" w:rsidRPr="00061636">
        <w:t xml:space="preserve"> Adoption</w:t>
      </w:r>
      <w:bookmarkEnd w:id="9"/>
    </w:p>
    <w:p w14:paraId="0871FC84" w14:textId="714FB66F" w:rsidR="008D2FF4" w:rsidRPr="00061636" w:rsidRDefault="0035531E" w:rsidP="00061636">
      <w:pPr>
        <w:rPr>
          <w:rFonts w:cs="Times New Roman"/>
        </w:rPr>
      </w:pPr>
      <w:bookmarkStart w:id="10" w:name="_Hlk533583768"/>
      <w:r w:rsidRPr="00061636">
        <w:rPr>
          <w:rFonts w:cs="Times New Roman"/>
        </w:rPr>
        <w:t xml:space="preserve">One of the </w:t>
      </w:r>
      <w:r w:rsidR="007952C3" w:rsidRPr="00061636">
        <w:rPr>
          <w:rFonts w:cs="Times New Roman"/>
        </w:rPr>
        <w:t>primary source</w:t>
      </w:r>
      <w:r w:rsidRPr="00061636">
        <w:rPr>
          <w:rFonts w:cs="Times New Roman"/>
        </w:rPr>
        <w:t>s</w:t>
      </w:r>
      <w:r w:rsidR="007952C3" w:rsidRPr="00061636">
        <w:rPr>
          <w:rFonts w:cs="Times New Roman"/>
        </w:rPr>
        <w:t xml:space="preserve"> of data relating to renewable energy for this work ha</w:t>
      </w:r>
      <w:r w:rsidR="00D04B24">
        <w:rPr>
          <w:rFonts w:cs="Times New Roman"/>
        </w:rPr>
        <w:t>ve</w:t>
      </w:r>
      <w:r w:rsidR="007952C3" w:rsidRPr="00061636">
        <w:rPr>
          <w:rFonts w:cs="Times New Roman"/>
        </w:rPr>
        <w:t xml:space="preserve"> been the various reports and documents brought out by the International Renewable Energy Agency (IRENA) which has come to be considered a repository of renewable energy</w:t>
      </w:r>
      <w:r w:rsidR="00BD15EF">
        <w:rPr>
          <w:rFonts w:cs="Times New Roman"/>
        </w:rPr>
        <w:t>-</w:t>
      </w:r>
      <w:r w:rsidR="007952C3" w:rsidRPr="00061636">
        <w:rPr>
          <w:rFonts w:cs="Times New Roman"/>
        </w:rPr>
        <w:t>related data. It has recently come out with its 2018 statistics report which gives country-wise and region-wise capacity/generation data</w:t>
      </w:r>
      <w:r w:rsidR="00061636">
        <w:rPr>
          <w:rFonts w:cs="Times New Roman"/>
        </w:rPr>
        <w:t>,</w:t>
      </w:r>
      <w:r w:rsidR="007952C3" w:rsidRPr="00061636">
        <w:rPr>
          <w:rFonts w:cs="Times New Roman"/>
        </w:rPr>
        <w:t xml:space="preserve"> etc</w:t>
      </w:r>
      <w:r w:rsidR="00061636">
        <w:rPr>
          <w:rFonts w:cs="Times New Roman"/>
        </w:rPr>
        <w:t>.</w:t>
      </w:r>
      <w:r w:rsidRPr="00061636">
        <w:rPr>
          <w:rFonts w:cs="Times New Roman"/>
        </w:rPr>
        <w:t xml:space="preserve"> </w:t>
      </w:r>
      <w:sdt>
        <w:sdtPr>
          <w:rPr>
            <w:rFonts w:cs="Times New Roman"/>
          </w:rPr>
          <w:id w:val="-360043064"/>
          <w:citation/>
        </w:sdtPr>
        <w:sdtContent>
          <w:r w:rsidR="003B20D3">
            <w:rPr>
              <w:rFonts w:cs="Times New Roman"/>
            </w:rPr>
            <w:fldChar w:fldCharType="begin"/>
          </w:r>
          <w:r w:rsidR="00814CEC">
            <w:rPr>
              <w:rFonts w:cs="Times New Roman"/>
            </w:rPr>
            <w:instrText xml:space="preserve">CITATION IRE8b \l 1033 </w:instrText>
          </w:r>
          <w:r w:rsidR="003B20D3">
            <w:rPr>
              <w:rFonts w:cs="Times New Roman"/>
            </w:rPr>
            <w:fldChar w:fldCharType="separate"/>
          </w:r>
          <w:r w:rsidR="00814CEC" w:rsidRPr="00814CEC">
            <w:rPr>
              <w:rFonts w:cs="Times New Roman"/>
              <w:noProof/>
            </w:rPr>
            <w:t>(IRENA, 2018)</w:t>
          </w:r>
          <w:r w:rsidR="003B20D3">
            <w:rPr>
              <w:rFonts w:cs="Times New Roman"/>
            </w:rPr>
            <w:fldChar w:fldCharType="end"/>
          </w:r>
        </w:sdtContent>
      </w:sdt>
      <w:r w:rsidR="003B20D3">
        <w:rPr>
          <w:rFonts w:cs="Times New Roman"/>
        </w:rPr>
        <w:t xml:space="preserve">. IRENA </w:t>
      </w:r>
      <w:r w:rsidR="002B7648">
        <w:rPr>
          <w:rFonts w:cs="Times New Roman"/>
        </w:rPr>
        <w:t>has al</w:t>
      </w:r>
      <w:r w:rsidR="007952C3" w:rsidRPr="00061636">
        <w:rPr>
          <w:rFonts w:cs="Times New Roman"/>
        </w:rPr>
        <w:t xml:space="preserve">so painted its own scenario </w:t>
      </w:r>
      <w:r w:rsidR="00FF2149" w:rsidRPr="00061636">
        <w:rPr>
          <w:rFonts w:cs="Times New Roman"/>
        </w:rPr>
        <w:t>“A</w:t>
      </w:r>
      <w:r w:rsidR="007952C3" w:rsidRPr="00061636">
        <w:rPr>
          <w:rFonts w:cs="Times New Roman"/>
        </w:rPr>
        <w:t xml:space="preserve"> Roadmap to 2050” which projects an increase in </w:t>
      </w:r>
      <w:r w:rsidR="00CC6265" w:rsidRPr="00061636">
        <w:rPr>
          <w:rFonts w:cs="Times New Roman"/>
        </w:rPr>
        <w:t xml:space="preserve">global </w:t>
      </w:r>
      <w:r w:rsidR="007952C3" w:rsidRPr="00061636">
        <w:rPr>
          <w:rFonts w:cs="Times New Roman"/>
        </w:rPr>
        <w:t xml:space="preserve">SPV </w:t>
      </w:r>
      <w:r w:rsidR="00CC6265" w:rsidRPr="00061636">
        <w:rPr>
          <w:rFonts w:cs="Times New Roman"/>
        </w:rPr>
        <w:t xml:space="preserve">generation </w:t>
      </w:r>
      <w:r w:rsidR="007952C3" w:rsidRPr="00061636">
        <w:rPr>
          <w:rFonts w:cs="Times New Roman"/>
        </w:rPr>
        <w:t>capacity from 223 GW in 2017 to 7122 GW by 2050</w:t>
      </w:r>
      <w:sdt>
        <w:sdtPr>
          <w:rPr>
            <w:rFonts w:cs="Times New Roman"/>
          </w:rPr>
          <w:id w:val="1401490929"/>
          <w:citation/>
        </w:sdtPr>
        <w:sdtContent>
          <w:r w:rsidR="006773D2">
            <w:rPr>
              <w:rFonts w:cs="Times New Roman"/>
            </w:rPr>
            <w:fldChar w:fldCharType="begin"/>
          </w:r>
          <w:r w:rsidR="00814CEC">
            <w:rPr>
              <w:rFonts w:cs="Times New Roman"/>
            </w:rPr>
            <w:instrText xml:space="preserve">CITATION IRE181 \l 1033 </w:instrText>
          </w:r>
          <w:r w:rsidR="006773D2">
            <w:rPr>
              <w:rFonts w:cs="Times New Roman"/>
            </w:rPr>
            <w:fldChar w:fldCharType="separate"/>
          </w:r>
          <w:r w:rsidR="00814CEC">
            <w:rPr>
              <w:rFonts w:cs="Times New Roman"/>
              <w:noProof/>
            </w:rPr>
            <w:t xml:space="preserve"> </w:t>
          </w:r>
          <w:r w:rsidR="00814CEC" w:rsidRPr="00814CEC">
            <w:rPr>
              <w:rFonts w:cs="Times New Roman"/>
              <w:noProof/>
            </w:rPr>
            <w:t>(IRENA, 2018d)</w:t>
          </w:r>
          <w:r w:rsidR="006773D2">
            <w:rPr>
              <w:rFonts w:cs="Times New Roman"/>
            </w:rPr>
            <w:fldChar w:fldCharType="end"/>
          </w:r>
        </w:sdtContent>
      </w:sdt>
      <w:r w:rsidR="00FF2149">
        <w:rPr>
          <w:rFonts w:cs="Times New Roman"/>
        </w:rPr>
        <w:t>.</w:t>
      </w:r>
    </w:p>
    <w:p w14:paraId="02FE4AAE" w14:textId="3A20A348" w:rsidR="008D2FF4" w:rsidRPr="00061636" w:rsidRDefault="0063291A" w:rsidP="00061636">
      <w:pPr>
        <w:rPr>
          <w:rFonts w:cs="Times New Roman"/>
        </w:rPr>
      </w:pPr>
      <w:r w:rsidRPr="00061636">
        <w:rPr>
          <w:rFonts w:cs="Times New Roman"/>
        </w:rPr>
        <w:t xml:space="preserve">The International Energy </w:t>
      </w:r>
      <w:r w:rsidR="00FF2149" w:rsidRPr="00061636">
        <w:rPr>
          <w:rFonts w:cs="Times New Roman"/>
        </w:rPr>
        <w:t>Agency has</w:t>
      </w:r>
      <w:r w:rsidRPr="00061636">
        <w:rPr>
          <w:rFonts w:cs="Times New Roman"/>
        </w:rPr>
        <w:t xml:space="preserve"> come </w:t>
      </w:r>
      <w:r w:rsidR="005F72DF" w:rsidRPr="00061636">
        <w:rPr>
          <w:rFonts w:cs="Times New Roman"/>
        </w:rPr>
        <w:t xml:space="preserve">out </w:t>
      </w:r>
      <w:r w:rsidRPr="00061636">
        <w:rPr>
          <w:rFonts w:cs="Times New Roman"/>
        </w:rPr>
        <w:t xml:space="preserve">with its latest World Energy Outlook </w:t>
      </w:r>
      <w:r w:rsidR="005F72DF" w:rsidRPr="00061636">
        <w:rPr>
          <w:rFonts w:cs="Times New Roman"/>
        </w:rPr>
        <w:t xml:space="preserve">- </w:t>
      </w:r>
      <w:r w:rsidRPr="00061636">
        <w:rPr>
          <w:rFonts w:cs="Times New Roman"/>
        </w:rPr>
        <w:t>2018 which has a special focus on electricity and the transformation taking place</w:t>
      </w:r>
      <w:r w:rsidR="00077793" w:rsidRPr="00061636">
        <w:rPr>
          <w:rFonts w:cs="Times New Roman"/>
        </w:rPr>
        <w:t xml:space="preserve"> within the global power sector. This annual publication is</w:t>
      </w:r>
      <w:r w:rsidR="002A573C" w:rsidRPr="00061636">
        <w:rPr>
          <w:rFonts w:cs="Times New Roman"/>
        </w:rPr>
        <w:t xml:space="preserve"> </w:t>
      </w:r>
      <w:r w:rsidR="00C527FA" w:rsidRPr="00061636">
        <w:rPr>
          <w:rFonts w:cs="Times New Roman"/>
        </w:rPr>
        <w:t>often</w:t>
      </w:r>
      <w:r w:rsidR="00077793" w:rsidRPr="00061636">
        <w:rPr>
          <w:rFonts w:cs="Times New Roman"/>
        </w:rPr>
        <w:t xml:space="preserve"> felt to be the “gold standard” for </w:t>
      </w:r>
      <w:r w:rsidR="00C527FA" w:rsidRPr="00061636">
        <w:rPr>
          <w:rFonts w:cs="Times New Roman"/>
        </w:rPr>
        <w:t>global</w:t>
      </w:r>
      <w:r w:rsidR="00077793" w:rsidRPr="00061636">
        <w:rPr>
          <w:rFonts w:cs="Times New Roman"/>
        </w:rPr>
        <w:t xml:space="preserve"> energy related data. Since the 2018 volume has electricity a</w:t>
      </w:r>
      <w:r w:rsidR="00F90A2F" w:rsidRPr="00061636">
        <w:rPr>
          <w:rFonts w:cs="Times New Roman"/>
        </w:rPr>
        <w:t xml:space="preserve">s its theme, it provides up-to-date information on matters related to our solution. Apart from </w:t>
      </w:r>
      <w:r w:rsidR="00F90A2F" w:rsidRPr="00061636">
        <w:rPr>
          <w:rFonts w:cs="Times New Roman"/>
        </w:rPr>
        <w:lastRenderedPageBreak/>
        <w:t xml:space="preserve">being a data-mine, it also paints three future scenarios of the paths our energy sector will take over the period between now </w:t>
      </w:r>
      <w:r w:rsidR="00836777" w:rsidRPr="00061636">
        <w:rPr>
          <w:rFonts w:cs="Times New Roman"/>
        </w:rPr>
        <w:t>and 2040</w:t>
      </w:r>
      <w:sdt>
        <w:sdtPr>
          <w:rPr>
            <w:rFonts w:cs="Times New Roman"/>
          </w:rPr>
          <w:id w:val="-1912450089"/>
          <w:citation/>
        </w:sdtPr>
        <w:sdtContent>
          <w:r w:rsidR="006773D2">
            <w:rPr>
              <w:rFonts w:cs="Times New Roman"/>
            </w:rPr>
            <w:fldChar w:fldCharType="begin"/>
          </w:r>
          <w:r w:rsidR="008C5694">
            <w:rPr>
              <w:rFonts w:cs="Times New Roman"/>
            </w:rPr>
            <w:instrText xml:space="preserve">CITATION IEA18 \l 1033 </w:instrText>
          </w:r>
          <w:r w:rsidR="006773D2">
            <w:rPr>
              <w:rFonts w:cs="Times New Roman"/>
            </w:rPr>
            <w:fldChar w:fldCharType="separate"/>
          </w:r>
          <w:r w:rsidR="008C5694">
            <w:rPr>
              <w:rFonts w:cs="Times New Roman"/>
              <w:noProof/>
            </w:rPr>
            <w:t xml:space="preserve"> </w:t>
          </w:r>
          <w:r w:rsidR="008C5694" w:rsidRPr="008C5694">
            <w:rPr>
              <w:rFonts w:cs="Times New Roman"/>
              <w:noProof/>
            </w:rPr>
            <w:t>(IEA, 2018)</w:t>
          </w:r>
          <w:r w:rsidR="006773D2">
            <w:rPr>
              <w:rFonts w:cs="Times New Roman"/>
            </w:rPr>
            <w:fldChar w:fldCharType="end"/>
          </w:r>
        </w:sdtContent>
      </w:sdt>
      <w:r w:rsidR="00836777" w:rsidRPr="00061636">
        <w:rPr>
          <w:rFonts w:cs="Times New Roman"/>
        </w:rPr>
        <w:t>.</w:t>
      </w:r>
      <w:r w:rsidR="00061636">
        <w:rPr>
          <w:rFonts w:cs="Times New Roman"/>
        </w:rPr>
        <w:t xml:space="preserve"> </w:t>
      </w:r>
      <w:r w:rsidR="00836777" w:rsidRPr="00061636">
        <w:rPr>
          <w:rFonts w:cs="Times New Roman"/>
        </w:rPr>
        <w:t>The first is the Current Policies Scenario which is business-as-usual scenario based on current laws and regulations without any major changes.</w:t>
      </w:r>
      <w:r w:rsidR="002654E9" w:rsidRPr="00061636">
        <w:rPr>
          <w:rFonts w:cs="Times New Roman"/>
        </w:rPr>
        <w:t xml:space="preserve"> It sees SPV generating 2956 </w:t>
      </w:r>
      <w:proofErr w:type="spellStart"/>
      <w:r w:rsidR="002654E9" w:rsidRPr="00061636">
        <w:rPr>
          <w:rFonts w:cs="Times New Roman"/>
        </w:rPr>
        <w:t>TWh</w:t>
      </w:r>
      <w:proofErr w:type="spellEnd"/>
      <w:r w:rsidR="002654E9" w:rsidRPr="00061636">
        <w:rPr>
          <w:rFonts w:cs="Times New Roman"/>
        </w:rPr>
        <w:t xml:space="preserve"> by 2040.</w:t>
      </w:r>
      <w:r w:rsidR="005F72DF" w:rsidRPr="00061636">
        <w:rPr>
          <w:rFonts w:cs="Times New Roman"/>
        </w:rPr>
        <w:t xml:space="preserve"> </w:t>
      </w:r>
      <w:r w:rsidR="00E3596D" w:rsidRPr="00061636">
        <w:rPr>
          <w:rFonts w:cs="Times New Roman"/>
        </w:rPr>
        <w:t xml:space="preserve">The </w:t>
      </w:r>
      <w:r w:rsidR="002654E9" w:rsidRPr="00061636">
        <w:rPr>
          <w:rFonts w:cs="Times New Roman"/>
        </w:rPr>
        <w:t>next</w:t>
      </w:r>
      <w:r w:rsidR="00E3596D" w:rsidRPr="00061636">
        <w:rPr>
          <w:rFonts w:cs="Times New Roman"/>
        </w:rPr>
        <w:t xml:space="preserve"> is the New Policies Scenario which sees SPV increas</w:t>
      </w:r>
      <w:r w:rsidR="002654E9" w:rsidRPr="00061636">
        <w:rPr>
          <w:rFonts w:cs="Times New Roman"/>
        </w:rPr>
        <w:t>ing its generation</w:t>
      </w:r>
      <w:r w:rsidR="00E3596D" w:rsidRPr="00061636">
        <w:rPr>
          <w:rFonts w:cs="Times New Roman"/>
        </w:rPr>
        <w:t xml:space="preserve"> </w:t>
      </w:r>
      <w:r w:rsidR="00D35724" w:rsidRPr="00061636">
        <w:rPr>
          <w:rFonts w:cs="Times New Roman"/>
        </w:rPr>
        <w:t xml:space="preserve">to 3839 </w:t>
      </w:r>
      <w:proofErr w:type="spellStart"/>
      <w:r w:rsidR="00D35724" w:rsidRPr="00061636">
        <w:rPr>
          <w:rFonts w:cs="Times New Roman"/>
        </w:rPr>
        <w:t>TWh</w:t>
      </w:r>
      <w:proofErr w:type="spellEnd"/>
      <w:r w:rsidR="00E3596D" w:rsidRPr="00061636">
        <w:rPr>
          <w:rFonts w:cs="Times New Roman"/>
        </w:rPr>
        <w:t xml:space="preserve"> by 2040. The most ambitious is the Sustainable Development Scenario</w:t>
      </w:r>
      <w:r w:rsidR="002654E9" w:rsidRPr="00061636">
        <w:rPr>
          <w:rFonts w:cs="Times New Roman"/>
        </w:rPr>
        <w:t xml:space="preserve"> </w:t>
      </w:r>
      <w:r w:rsidR="00D35724" w:rsidRPr="00061636">
        <w:rPr>
          <w:rFonts w:cs="Times New Roman"/>
        </w:rPr>
        <w:t xml:space="preserve">which is </w:t>
      </w:r>
      <w:r w:rsidR="002654E9" w:rsidRPr="00061636">
        <w:rPr>
          <w:rFonts w:cs="Times New Roman"/>
        </w:rPr>
        <w:t>intended to keep the global temperature rise to well below 2</w:t>
      </w:r>
      <w:r w:rsidR="00061636">
        <w:rPr>
          <w:rFonts w:cs="Times New Roman"/>
        </w:rPr>
        <w:t>°</w:t>
      </w:r>
      <w:r w:rsidR="002654E9" w:rsidRPr="00061636">
        <w:rPr>
          <w:rFonts w:cs="Times New Roman"/>
        </w:rPr>
        <w:t>C. It forecasts a</w:t>
      </w:r>
      <w:r w:rsidR="001C3F8D" w:rsidRPr="00061636">
        <w:rPr>
          <w:rFonts w:cs="Times New Roman"/>
        </w:rPr>
        <w:t xml:space="preserve"> 15-fold increase in electricity</w:t>
      </w:r>
      <w:r w:rsidR="00D35724" w:rsidRPr="00061636">
        <w:rPr>
          <w:rFonts w:cs="Times New Roman"/>
        </w:rPr>
        <w:t xml:space="preserve"> generation</w:t>
      </w:r>
      <w:r w:rsidR="001C3F8D" w:rsidRPr="00061636">
        <w:rPr>
          <w:rFonts w:cs="Times New Roman"/>
        </w:rPr>
        <w:t xml:space="preserve"> through SPV from 435 </w:t>
      </w:r>
      <w:proofErr w:type="spellStart"/>
      <w:r w:rsidR="001C3F8D" w:rsidRPr="00061636">
        <w:rPr>
          <w:rFonts w:cs="Times New Roman"/>
        </w:rPr>
        <w:t>TWh</w:t>
      </w:r>
      <w:proofErr w:type="spellEnd"/>
      <w:r w:rsidR="001C3F8D" w:rsidRPr="00061636">
        <w:rPr>
          <w:rFonts w:cs="Times New Roman"/>
        </w:rPr>
        <w:t xml:space="preserve"> in 2017 to</w:t>
      </w:r>
      <w:r w:rsidR="00D35724" w:rsidRPr="00061636">
        <w:rPr>
          <w:rFonts w:cs="Times New Roman"/>
        </w:rPr>
        <w:t xml:space="preserve"> 6409</w:t>
      </w:r>
      <w:r w:rsidR="002654E9" w:rsidRPr="00061636">
        <w:rPr>
          <w:rFonts w:cs="Times New Roman"/>
        </w:rPr>
        <w:t xml:space="preserve"> GW</w:t>
      </w:r>
      <w:r w:rsidR="00D35724" w:rsidRPr="00061636">
        <w:rPr>
          <w:rFonts w:cs="Times New Roman"/>
        </w:rPr>
        <w:t>h</w:t>
      </w:r>
      <w:r w:rsidR="002654E9" w:rsidRPr="00061636">
        <w:rPr>
          <w:rFonts w:cs="Times New Roman"/>
        </w:rPr>
        <w:t xml:space="preserve"> by 2040</w:t>
      </w:r>
      <w:r w:rsidR="00CC6265" w:rsidRPr="00061636">
        <w:rPr>
          <w:rFonts w:cs="Times New Roman"/>
        </w:rPr>
        <w:t>.</w:t>
      </w:r>
    </w:p>
    <w:p w14:paraId="3987BF47" w14:textId="350E04A3" w:rsidR="00836777" w:rsidRPr="00061636" w:rsidRDefault="00DE3438" w:rsidP="00061636">
      <w:pPr>
        <w:rPr>
          <w:rFonts w:cs="Times New Roman"/>
        </w:rPr>
      </w:pPr>
      <w:r w:rsidRPr="00061636">
        <w:rPr>
          <w:rFonts w:cs="Times New Roman"/>
        </w:rPr>
        <w:t xml:space="preserve">The energy major </w:t>
      </w:r>
      <w:r w:rsidR="00B03EFF" w:rsidRPr="00061636">
        <w:rPr>
          <w:rFonts w:cs="Times New Roman"/>
        </w:rPr>
        <w:t xml:space="preserve">Shell has </w:t>
      </w:r>
      <w:r w:rsidR="009B5D55" w:rsidRPr="00061636">
        <w:rPr>
          <w:rFonts w:cs="Times New Roman"/>
        </w:rPr>
        <w:t>a</w:t>
      </w:r>
      <w:r w:rsidRPr="00061636">
        <w:rPr>
          <w:rFonts w:cs="Times New Roman"/>
        </w:rPr>
        <w:t>lso put out its</w:t>
      </w:r>
      <w:r w:rsidR="00B03EFF" w:rsidRPr="00061636">
        <w:rPr>
          <w:rFonts w:cs="Times New Roman"/>
        </w:rPr>
        <w:t xml:space="preserve"> Sky Scenario which outlines a route which</w:t>
      </w:r>
      <w:r w:rsidRPr="00061636">
        <w:rPr>
          <w:rFonts w:cs="Times New Roman"/>
        </w:rPr>
        <w:t>, if followed,</w:t>
      </w:r>
      <w:r w:rsidR="00B03EFF" w:rsidRPr="00061636">
        <w:rPr>
          <w:rFonts w:cs="Times New Roman"/>
        </w:rPr>
        <w:t xml:space="preserve"> will limit global temperature rise to within the Paris</w:t>
      </w:r>
      <w:r w:rsidR="009B5D55" w:rsidRPr="00061636">
        <w:rPr>
          <w:rFonts w:cs="Times New Roman"/>
        </w:rPr>
        <w:t xml:space="preserve"> Agreement</w:t>
      </w:r>
      <w:r w:rsidR="00B03EFF" w:rsidRPr="00061636">
        <w:rPr>
          <w:rFonts w:cs="Times New Roman"/>
        </w:rPr>
        <w:t xml:space="preserve"> ordained 2</w:t>
      </w:r>
      <w:r w:rsidR="008910C8">
        <w:rPr>
          <w:rFonts w:cs="Times New Roman"/>
        </w:rPr>
        <w:t>°</w:t>
      </w:r>
      <w:r w:rsidR="00EA5B30" w:rsidRPr="00061636">
        <w:rPr>
          <w:rFonts w:cs="Times New Roman"/>
        </w:rPr>
        <w:t>C.</w:t>
      </w:r>
      <w:r w:rsidR="00AF41E6" w:rsidRPr="00061636">
        <w:rPr>
          <w:rFonts w:cs="Times New Roman"/>
        </w:rPr>
        <w:t xml:space="preserve"> It forecasts a f</w:t>
      </w:r>
      <w:r w:rsidR="001C3F8D" w:rsidRPr="00061636">
        <w:rPr>
          <w:rFonts w:cs="Times New Roman"/>
        </w:rPr>
        <w:t>ive</w:t>
      </w:r>
      <w:r w:rsidR="00AF41E6" w:rsidRPr="00061636">
        <w:rPr>
          <w:rFonts w:cs="Times New Roman"/>
        </w:rPr>
        <w:t xml:space="preserve">-fold increase from SPV generation form 241 </w:t>
      </w:r>
      <w:proofErr w:type="spellStart"/>
      <w:r w:rsidR="00AF41E6" w:rsidRPr="00061636">
        <w:rPr>
          <w:rFonts w:cs="Times New Roman"/>
        </w:rPr>
        <w:t>TWh</w:t>
      </w:r>
      <w:proofErr w:type="spellEnd"/>
      <w:r w:rsidR="00AF41E6" w:rsidRPr="00061636">
        <w:rPr>
          <w:rFonts w:cs="Times New Roman"/>
        </w:rPr>
        <w:t xml:space="preserve"> by 2</w:t>
      </w:r>
      <w:r w:rsidR="009B5D55" w:rsidRPr="00061636">
        <w:rPr>
          <w:rFonts w:cs="Times New Roman"/>
        </w:rPr>
        <w:t>0</w:t>
      </w:r>
      <w:r w:rsidR="00AF41E6" w:rsidRPr="00061636">
        <w:rPr>
          <w:rFonts w:cs="Times New Roman"/>
        </w:rPr>
        <w:t xml:space="preserve">15 to 1351 </w:t>
      </w:r>
      <w:proofErr w:type="spellStart"/>
      <w:r w:rsidR="00AF41E6" w:rsidRPr="00061636">
        <w:rPr>
          <w:rFonts w:cs="Times New Roman"/>
        </w:rPr>
        <w:t>TWh</w:t>
      </w:r>
      <w:proofErr w:type="spellEnd"/>
      <w:r w:rsidR="00AF41E6" w:rsidRPr="00061636">
        <w:rPr>
          <w:rFonts w:cs="Times New Roman"/>
        </w:rPr>
        <w:t xml:space="preserve"> by 2040</w:t>
      </w:r>
      <w:sdt>
        <w:sdtPr>
          <w:rPr>
            <w:rFonts w:cs="Times New Roman"/>
          </w:rPr>
          <w:id w:val="527143147"/>
          <w:citation/>
        </w:sdtPr>
        <w:sdtContent>
          <w:r w:rsidR="006F4951">
            <w:rPr>
              <w:rFonts w:cs="Times New Roman"/>
            </w:rPr>
            <w:fldChar w:fldCharType="begin"/>
          </w:r>
          <w:r w:rsidR="003B20D3">
            <w:rPr>
              <w:rFonts w:cs="Times New Roman"/>
            </w:rPr>
            <w:instrText xml:space="preserve">CITATION She18 \l 1033 </w:instrText>
          </w:r>
          <w:r w:rsidR="006F4951">
            <w:rPr>
              <w:rFonts w:cs="Times New Roman"/>
            </w:rPr>
            <w:fldChar w:fldCharType="separate"/>
          </w:r>
          <w:r w:rsidR="003B20D3">
            <w:rPr>
              <w:rFonts w:cs="Times New Roman"/>
              <w:noProof/>
            </w:rPr>
            <w:t xml:space="preserve"> </w:t>
          </w:r>
          <w:r w:rsidR="003B20D3" w:rsidRPr="003B20D3">
            <w:rPr>
              <w:rFonts w:cs="Times New Roman"/>
              <w:noProof/>
            </w:rPr>
            <w:t>(Shell, 2018)</w:t>
          </w:r>
          <w:r w:rsidR="006F4951">
            <w:rPr>
              <w:rFonts w:cs="Times New Roman"/>
            </w:rPr>
            <w:fldChar w:fldCharType="end"/>
          </w:r>
        </w:sdtContent>
      </w:sdt>
      <w:r w:rsidR="00AF41E6" w:rsidRPr="00061636">
        <w:rPr>
          <w:rFonts w:cs="Times New Roman"/>
        </w:rPr>
        <w:t>. The Grantham Institu</w:t>
      </w:r>
      <w:r w:rsidR="007952C3" w:rsidRPr="00061636">
        <w:rPr>
          <w:rFonts w:cs="Times New Roman"/>
        </w:rPr>
        <w:t>t</w:t>
      </w:r>
      <w:r w:rsidR="00AF41E6" w:rsidRPr="00061636">
        <w:rPr>
          <w:rFonts w:cs="Times New Roman"/>
        </w:rPr>
        <w:t xml:space="preserve">e at Imperial College in partnership with Carbon Tracker </w:t>
      </w:r>
      <w:r w:rsidR="00904E6E" w:rsidRPr="00061636">
        <w:rPr>
          <w:rFonts w:cs="Times New Roman"/>
        </w:rPr>
        <w:t xml:space="preserve">makes an ambitious </w:t>
      </w:r>
      <w:r w:rsidR="00AF41E6" w:rsidRPr="00061636">
        <w:rPr>
          <w:rFonts w:cs="Times New Roman"/>
        </w:rPr>
        <w:t>pr</w:t>
      </w:r>
      <w:r w:rsidR="007952C3" w:rsidRPr="00061636">
        <w:rPr>
          <w:rFonts w:cs="Times New Roman"/>
        </w:rPr>
        <w:t>ojection</w:t>
      </w:r>
      <w:r w:rsidR="00AF41E6" w:rsidRPr="00061636">
        <w:rPr>
          <w:rFonts w:cs="Times New Roman"/>
        </w:rPr>
        <w:t xml:space="preserve"> that SPV cou</w:t>
      </w:r>
      <w:r w:rsidR="001C3F8D" w:rsidRPr="00061636">
        <w:rPr>
          <w:rFonts w:cs="Times New Roman"/>
        </w:rPr>
        <w:t>l</w:t>
      </w:r>
      <w:r w:rsidR="00AF41E6" w:rsidRPr="00061636">
        <w:rPr>
          <w:rFonts w:cs="Times New Roman"/>
        </w:rPr>
        <w:t xml:space="preserve">d supply 23% of global power generation by 2050 entirely phasing out coal and leaving natural gas with just 1% </w:t>
      </w:r>
      <w:r w:rsidR="007952C3" w:rsidRPr="00061636">
        <w:rPr>
          <w:rFonts w:cs="Times New Roman"/>
        </w:rPr>
        <w:t xml:space="preserve">of the </w:t>
      </w:r>
      <w:r w:rsidR="00AF41E6" w:rsidRPr="00061636">
        <w:rPr>
          <w:rFonts w:cs="Times New Roman"/>
        </w:rPr>
        <w:t>market share</w:t>
      </w:r>
      <w:sdt>
        <w:sdtPr>
          <w:rPr>
            <w:rFonts w:cs="Times New Roman"/>
          </w:rPr>
          <w:id w:val="778383979"/>
          <w:citation/>
        </w:sdtPr>
        <w:sdtContent>
          <w:r w:rsidR="003B20D3">
            <w:rPr>
              <w:rFonts w:cs="Times New Roman"/>
            </w:rPr>
            <w:fldChar w:fldCharType="begin"/>
          </w:r>
          <w:r w:rsidR="003B20D3">
            <w:rPr>
              <w:rFonts w:cs="Times New Roman"/>
            </w:rPr>
            <w:instrText xml:space="preserve"> CITATION Sus17 \l 1033 </w:instrText>
          </w:r>
          <w:r w:rsidR="003B20D3">
            <w:rPr>
              <w:rFonts w:cs="Times New Roman"/>
            </w:rPr>
            <w:fldChar w:fldCharType="separate"/>
          </w:r>
          <w:r w:rsidR="003B20D3">
            <w:rPr>
              <w:rFonts w:cs="Times New Roman"/>
              <w:noProof/>
            </w:rPr>
            <w:t xml:space="preserve"> </w:t>
          </w:r>
          <w:r w:rsidR="003B20D3" w:rsidRPr="003B20D3">
            <w:rPr>
              <w:rFonts w:cs="Times New Roman"/>
              <w:noProof/>
            </w:rPr>
            <w:t>(Sussams, 2017)</w:t>
          </w:r>
          <w:r w:rsidR="003B20D3">
            <w:rPr>
              <w:rFonts w:cs="Times New Roman"/>
            </w:rPr>
            <w:fldChar w:fldCharType="end"/>
          </w:r>
        </w:sdtContent>
      </w:sdt>
      <w:r w:rsidR="003B20D3">
        <w:rPr>
          <w:rFonts w:cs="Times New Roman"/>
        </w:rPr>
        <w:t>.</w:t>
      </w:r>
      <w:r w:rsidR="006E466A" w:rsidRPr="00061636">
        <w:rPr>
          <w:rFonts w:cs="Times New Roman"/>
        </w:rPr>
        <w:t xml:space="preserve"> National Renewable Energy Laboratory (NREL)’s Electrification Future</w:t>
      </w:r>
      <w:r w:rsidR="00A82C14" w:rsidRPr="00061636">
        <w:rPr>
          <w:rFonts w:cs="Times New Roman"/>
        </w:rPr>
        <w:t xml:space="preserve">s Study </w:t>
      </w:r>
      <w:r w:rsidR="006E466A" w:rsidRPr="00061636">
        <w:rPr>
          <w:rFonts w:cs="Times New Roman"/>
        </w:rPr>
        <w:t>and the US Energy Information Administration</w:t>
      </w:r>
      <w:r w:rsidR="00A82C14" w:rsidRPr="00061636">
        <w:rPr>
          <w:rFonts w:cs="Times New Roman"/>
        </w:rPr>
        <w:t xml:space="preserve"> (EIA’s Energy Outlook 2017</w:t>
      </w:r>
      <w:r w:rsidR="00061636">
        <w:rPr>
          <w:rFonts w:cs="Times New Roman"/>
        </w:rPr>
        <w:t xml:space="preserve"> </w:t>
      </w:r>
      <w:sdt>
        <w:sdtPr>
          <w:rPr>
            <w:rFonts w:cs="Times New Roman"/>
          </w:rPr>
          <w:id w:val="-1186590029"/>
          <w:citation/>
        </w:sdtPr>
        <w:sdtContent>
          <w:r w:rsidR="004961CC">
            <w:rPr>
              <w:rFonts w:cs="Times New Roman"/>
            </w:rPr>
            <w:fldChar w:fldCharType="begin"/>
          </w:r>
          <w:r w:rsidR="00DB312B">
            <w:rPr>
              <w:rFonts w:cs="Times New Roman"/>
            </w:rPr>
            <w:instrText xml:space="preserve">CITATION EIA18 \l 1033 </w:instrText>
          </w:r>
          <w:r w:rsidR="004961CC">
            <w:rPr>
              <w:rFonts w:cs="Times New Roman"/>
            </w:rPr>
            <w:fldChar w:fldCharType="separate"/>
          </w:r>
          <w:r w:rsidR="00DB312B" w:rsidRPr="00DB312B">
            <w:rPr>
              <w:rFonts w:cs="Times New Roman"/>
              <w:noProof/>
            </w:rPr>
            <w:t>(EIA, 2018)</w:t>
          </w:r>
          <w:r w:rsidR="004961CC">
            <w:rPr>
              <w:rFonts w:cs="Times New Roman"/>
            </w:rPr>
            <w:fldChar w:fldCharType="end"/>
          </w:r>
        </w:sdtContent>
      </w:sdt>
      <w:r w:rsidR="00A82C14" w:rsidRPr="00061636">
        <w:rPr>
          <w:rFonts w:cs="Times New Roman"/>
        </w:rPr>
        <w:t xml:space="preserve"> also provide valuable foresight into the future of SPV, especially in the US.</w:t>
      </w:r>
    </w:p>
    <w:p w14:paraId="25B35BE3" w14:textId="5ACA365F" w:rsidR="0007144C" w:rsidRDefault="00954CF1" w:rsidP="00FF2149">
      <w:pPr>
        <w:spacing w:after="0"/>
        <w:rPr>
          <w:rFonts w:cs="Times New Roman"/>
          <w:bCs/>
        </w:rPr>
      </w:pPr>
      <w:r w:rsidRPr="00061636">
        <w:rPr>
          <w:rFonts w:cs="Times New Roman"/>
          <w:bCs/>
        </w:rPr>
        <w:t xml:space="preserve">The startling pace of PV adoption globally has come as a surprise to </w:t>
      </w:r>
      <w:r w:rsidR="004F7656" w:rsidRPr="00061636">
        <w:rPr>
          <w:rFonts w:cs="Times New Roman"/>
          <w:bCs/>
        </w:rPr>
        <w:t xml:space="preserve">most </w:t>
      </w:r>
      <w:r w:rsidR="00FF2149" w:rsidRPr="00061636">
        <w:rPr>
          <w:rFonts w:cs="Times New Roman"/>
          <w:bCs/>
        </w:rPr>
        <w:t>organizations including</w:t>
      </w:r>
      <w:r w:rsidRPr="00061636">
        <w:rPr>
          <w:rFonts w:cs="Times New Roman"/>
          <w:bCs/>
        </w:rPr>
        <w:t xml:space="preserve"> the IEA and the U.S. Energy Information </w:t>
      </w:r>
      <w:r w:rsidR="00FF2149" w:rsidRPr="00061636">
        <w:rPr>
          <w:rFonts w:cs="Times New Roman"/>
          <w:bCs/>
        </w:rPr>
        <w:t>Administration.</w:t>
      </w:r>
      <w:r w:rsidRPr="00061636">
        <w:rPr>
          <w:rFonts w:cs="Times New Roman"/>
          <w:bCs/>
        </w:rPr>
        <w:t xml:space="preserve"> </w:t>
      </w:r>
      <w:r w:rsidR="00BD3A4C" w:rsidRPr="00061636">
        <w:rPr>
          <w:rFonts w:cs="Times New Roman"/>
          <w:bCs/>
        </w:rPr>
        <w:t>Many</w:t>
      </w:r>
      <w:r w:rsidR="00B40D4F" w:rsidRPr="00061636">
        <w:rPr>
          <w:rFonts w:cs="Times New Roman"/>
          <w:bCs/>
        </w:rPr>
        <w:t xml:space="preserve"> organi</w:t>
      </w:r>
      <w:r w:rsidR="008F5269" w:rsidRPr="00061636">
        <w:rPr>
          <w:rFonts w:cs="Times New Roman"/>
          <w:bCs/>
        </w:rPr>
        <w:t>z</w:t>
      </w:r>
      <w:r w:rsidR="00B40D4F" w:rsidRPr="00061636">
        <w:rPr>
          <w:rFonts w:cs="Times New Roman"/>
          <w:bCs/>
        </w:rPr>
        <w:t>ations</w:t>
      </w:r>
      <w:r w:rsidR="00BD3A4C" w:rsidRPr="00061636">
        <w:rPr>
          <w:rFonts w:cs="Times New Roman"/>
          <w:bCs/>
        </w:rPr>
        <w:t xml:space="preserve"> such as these</w:t>
      </w:r>
      <w:r w:rsidRPr="00061636">
        <w:rPr>
          <w:rFonts w:cs="Times New Roman"/>
          <w:bCs/>
        </w:rPr>
        <w:t xml:space="preserve"> have been inclined to raise their estimates for future PV growth with each successive report, as the</w:t>
      </w:r>
      <w:r w:rsidR="00CE0F94" w:rsidRPr="00061636">
        <w:rPr>
          <w:rFonts w:cs="Times New Roman"/>
          <w:bCs/>
        </w:rPr>
        <w:t xml:space="preserve"> </w:t>
      </w:r>
      <w:r w:rsidR="00FF2149" w:rsidRPr="00061636">
        <w:rPr>
          <w:rFonts w:cs="Times New Roman"/>
          <w:bCs/>
        </w:rPr>
        <w:t>ground reality</w:t>
      </w:r>
      <w:r w:rsidRPr="00061636">
        <w:rPr>
          <w:rFonts w:cs="Times New Roman"/>
          <w:bCs/>
        </w:rPr>
        <w:t xml:space="preserve"> of the market</w:t>
      </w:r>
      <w:r w:rsidR="00CE0F94" w:rsidRPr="00061636">
        <w:rPr>
          <w:rFonts w:cs="Times New Roman"/>
          <w:bCs/>
        </w:rPr>
        <w:t xml:space="preserve"> growth rates</w:t>
      </w:r>
      <w:r w:rsidRPr="00061636">
        <w:rPr>
          <w:rFonts w:cs="Times New Roman"/>
          <w:bCs/>
        </w:rPr>
        <w:t xml:space="preserve"> for both solar PV and concentrated solar power (CSP) have outpaced previous estimates. Even the U.S. Department of Energy’s </w:t>
      </w:r>
      <w:r w:rsidR="007952C3" w:rsidRPr="00061636">
        <w:rPr>
          <w:rFonts w:cs="Times New Roman"/>
          <w:bCs/>
        </w:rPr>
        <w:t>“</w:t>
      </w:r>
      <w:proofErr w:type="spellStart"/>
      <w:r w:rsidRPr="00061636">
        <w:rPr>
          <w:rFonts w:cs="Times New Roman"/>
          <w:bCs/>
        </w:rPr>
        <w:t>SunShot</w:t>
      </w:r>
      <w:proofErr w:type="spellEnd"/>
      <w:r w:rsidR="007952C3" w:rsidRPr="00061636">
        <w:rPr>
          <w:rFonts w:cs="Times New Roman"/>
          <w:bCs/>
        </w:rPr>
        <w:t>”</w:t>
      </w:r>
      <w:r w:rsidRPr="00061636">
        <w:rPr>
          <w:rFonts w:cs="Times New Roman"/>
          <w:bCs/>
        </w:rPr>
        <w:t xml:space="preserve"> scenario</w:t>
      </w:r>
      <w:r w:rsidR="0050631A" w:rsidRPr="00061636">
        <w:rPr>
          <w:rFonts w:cs="Times New Roman"/>
          <w:bCs/>
        </w:rPr>
        <w:t xml:space="preserve"> of 2012</w:t>
      </w:r>
      <w:r w:rsidRPr="00061636">
        <w:rPr>
          <w:rFonts w:cs="Times New Roman"/>
          <w:bCs/>
        </w:rPr>
        <w:t xml:space="preserve"> </w:t>
      </w:r>
      <w:sdt>
        <w:sdtPr>
          <w:rPr>
            <w:rFonts w:cs="Times New Roman"/>
            <w:bCs/>
          </w:rPr>
          <w:id w:val="498384720"/>
          <w:citation/>
        </w:sdtPr>
        <w:sdtContent>
          <w:r w:rsidR="00EB66BC">
            <w:rPr>
              <w:rFonts w:cs="Times New Roman"/>
              <w:bCs/>
            </w:rPr>
            <w:fldChar w:fldCharType="begin"/>
          </w:r>
          <w:r w:rsidR="00414616">
            <w:rPr>
              <w:rFonts w:cs="Times New Roman"/>
              <w:bCs/>
            </w:rPr>
            <w:instrText xml:space="preserve">CITATION EER16 \l 1033 </w:instrText>
          </w:r>
          <w:r w:rsidR="00EB66BC">
            <w:rPr>
              <w:rFonts w:cs="Times New Roman"/>
              <w:bCs/>
            </w:rPr>
            <w:fldChar w:fldCharType="separate"/>
          </w:r>
          <w:r w:rsidR="00414616" w:rsidRPr="00414616">
            <w:rPr>
              <w:rFonts w:cs="Times New Roman"/>
              <w:noProof/>
            </w:rPr>
            <w:t>(EERE, 2016)</w:t>
          </w:r>
          <w:r w:rsidR="00EB66BC">
            <w:rPr>
              <w:rFonts w:cs="Times New Roman"/>
              <w:bCs/>
            </w:rPr>
            <w:fldChar w:fldCharType="end"/>
          </w:r>
        </w:sdtContent>
      </w:sdt>
      <w:r w:rsidR="00FF2149">
        <w:rPr>
          <w:rFonts w:cs="Times New Roman"/>
          <w:bCs/>
        </w:rPr>
        <w:t xml:space="preserve"> </w:t>
      </w:r>
      <w:r w:rsidRPr="00061636">
        <w:rPr>
          <w:rFonts w:cs="Times New Roman"/>
          <w:bCs/>
        </w:rPr>
        <w:t>seems to</w:t>
      </w:r>
      <w:r w:rsidR="0050631A" w:rsidRPr="00061636">
        <w:rPr>
          <w:rFonts w:cs="Times New Roman"/>
          <w:bCs/>
        </w:rPr>
        <w:t xml:space="preserve"> have</w:t>
      </w:r>
      <w:r w:rsidRPr="00061636">
        <w:rPr>
          <w:rFonts w:cs="Times New Roman"/>
          <w:bCs/>
        </w:rPr>
        <w:t xml:space="preserve"> seriously underestimate</w:t>
      </w:r>
      <w:r w:rsidR="0050631A" w:rsidRPr="00061636">
        <w:rPr>
          <w:rFonts w:cs="Times New Roman"/>
          <w:bCs/>
        </w:rPr>
        <w:t>d</w:t>
      </w:r>
      <w:r w:rsidRPr="00061636">
        <w:rPr>
          <w:rFonts w:cs="Times New Roman"/>
          <w:bCs/>
        </w:rPr>
        <w:t xml:space="preserve"> growth of the</w:t>
      </w:r>
      <w:r w:rsidR="00FF2149">
        <w:rPr>
          <w:rFonts w:cs="Times New Roman"/>
          <w:bCs/>
        </w:rPr>
        <w:t xml:space="preserve"> solar market—it predicted only</w:t>
      </w:r>
      <w:r w:rsidR="0050631A" w:rsidRPr="00061636">
        <w:rPr>
          <w:rFonts w:cs="Times New Roman"/>
          <w:bCs/>
        </w:rPr>
        <w:t xml:space="preserve"> 302</w:t>
      </w:r>
      <w:r w:rsidRPr="00061636">
        <w:rPr>
          <w:rFonts w:cs="Times New Roman"/>
          <w:bCs/>
        </w:rPr>
        <w:t xml:space="preserve"> GW of </w:t>
      </w:r>
      <w:r w:rsidR="0050631A" w:rsidRPr="00061636">
        <w:rPr>
          <w:rFonts w:cs="Times New Roman"/>
          <w:bCs/>
        </w:rPr>
        <w:t xml:space="preserve"> </w:t>
      </w:r>
      <w:r w:rsidRPr="00061636">
        <w:rPr>
          <w:rFonts w:cs="Times New Roman"/>
          <w:bCs/>
        </w:rPr>
        <w:t xml:space="preserve"> </w:t>
      </w:r>
      <w:r w:rsidR="0050631A" w:rsidRPr="00061636">
        <w:rPr>
          <w:rFonts w:cs="Times New Roman"/>
          <w:bCs/>
        </w:rPr>
        <w:t xml:space="preserve">SPV </w:t>
      </w:r>
      <w:r w:rsidRPr="00061636">
        <w:rPr>
          <w:rFonts w:cs="Times New Roman"/>
          <w:bCs/>
        </w:rPr>
        <w:t xml:space="preserve">capacity for 2030, which would </w:t>
      </w:r>
      <w:r w:rsidR="00CE0F94" w:rsidRPr="00061636">
        <w:rPr>
          <w:rFonts w:cs="Times New Roman"/>
          <w:bCs/>
        </w:rPr>
        <w:t xml:space="preserve">actually </w:t>
      </w:r>
      <w:r w:rsidRPr="00061636">
        <w:rPr>
          <w:rFonts w:cs="Times New Roman"/>
          <w:bCs/>
        </w:rPr>
        <w:t>represent a major slowdown on the current adoption path</w:t>
      </w:r>
      <w:r w:rsidR="00DA7E16" w:rsidRPr="00061636">
        <w:rPr>
          <w:rFonts w:cs="Times New Roman"/>
          <w:bCs/>
        </w:rPr>
        <w:t xml:space="preserve"> since the global capacity has already reached 435 GW by 2017</w:t>
      </w:r>
      <w:sdt>
        <w:sdtPr>
          <w:rPr>
            <w:rFonts w:cs="Times New Roman"/>
            <w:bCs/>
          </w:rPr>
          <w:id w:val="-1382541818"/>
          <w:citation/>
        </w:sdtPr>
        <w:sdtContent>
          <w:r w:rsidR="00EB66BC">
            <w:rPr>
              <w:rFonts w:cs="Times New Roman"/>
              <w:bCs/>
            </w:rPr>
            <w:fldChar w:fldCharType="begin"/>
          </w:r>
          <w:r w:rsidR="00EB66BC">
            <w:rPr>
              <w:rFonts w:cs="Times New Roman"/>
              <w:bCs/>
            </w:rPr>
            <w:instrText xml:space="preserve"> CITATION WEO18 \l 1033 </w:instrText>
          </w:r>
          <w:r w:rsidR="00EB66BC">
            <w:rPr>
              <w:rFonts w:cs="Times New Roman"/>
              <w:bCs/>
            </w:rPr>
            <w:fldChar w:fldCharType="separate"/>
          </w:r>
          <w:r w:rsidR="00AC388C">
            <w:rPr>
              <w:rFonts w:cs="Times New Roman"/>
              <w:bCs/>
              <w:noProof/>
            </w:rPr>
            <w:t xml:space="preserve"> </w:t>
          </w:r>
          <w:r w:rsidR="00AC388C" w:rsidRPr="00AC388C">
            <w:rPr>
              <w:rFonts w:cs="Times New Roman"/>
              <w:noProof/>
            </w:rPr>
            <w:t>(IEA, 2018)</w:t>
          </w:r>
          <w:r w:rsidR="00EB66BC">
            <w:rPr>
              <w:rFonts w:cs="Times New Roman"/>
              <w:bCs/>
            </w:rPr>
            <w:fldChar w:fldCharType="end"/>
          </w:r>
        </w:sdtContent>
      </w:sdt>
      <w:r w:rsidR="00DA7E16" w:rsidRPr="00061636">
        <w:rPr>
          <w:rFonts w:cs="Times New Roman"/>
          <w:bCs/>
        </w:rPr>
        <w:t xml:space="preserve">. </w:t>
      </w:r>
      <w:r w:rsidR="00B40D4F" w:rsidRPr="00061636">
        <w:rPr>
          <w:rFonts w:cs="Times New Roman"/>
          <w:bCs/>
        </w:rPr>
        <w:t xml:space="preserve"> Be that as it may, all experts are agreed that the growth </w:t>
      </w:r>
      <w:r w:rsidR="004F7656" w:rsidRPr="00061636">
        <w:rPr>
          <w:rFonts w:cs="Times New Roman"/>
          <w:bCs/>
        </w:rPr>
        <w:t>rate for SPV, and especially for the solution</w:t>
      </w:r>
      <w:r w:rsidR="006B2E61">
        <w:rPr>
          <w:rFonts w:cs="Times New Roman"/>
          <w:bCs/>
        </w:rPr>
        <w:t>,</w:t>
      </w:r>
      <w:r w:rsidR="004F7656" w:rsidRPr="00061636">
        <w:rPr>
          <w:rFonts w:cs="Times New Roman"/>
          <w:bCs/>
        </w:rPr>
        <w:t xml:space="preserve"> solar farms will continue to be quite high</w:t>
      </w:r>
      <w:r w:rsidR="00F5092B" w:rsidRPr="00061636">
        <w:rPr>
          <w:rFonts w:cs="Times New Roman"/>
          <w:bCs/>
        </w:rPr>
        <w:t xml:space="preserve"> for the future as well</w:t>
      </w:r>
      <w:r w:rsidR="004F7656" w:rsidRPr="00061636">
        <w:rPr>
          <w:rFonts w:cs="Times New Roman"/>
          <w:bCs/>
        </w:rPr>
        <w:t>.</w:t>
      </w:r>
      <w:bookmarkEnd w:id="10"/>
    </w:p>
    <w:p w14:paraId="0B8C3EFB" w14:textId="275825CF" w:rsidR="00D1508C" w:rsidRPr="00061636" w:rsidRDefault="006E1487" w:rsidP="00582B86">
      <w:pPr>
        <w:pStyle w:val="Heading3"/>
        <w:numPr>
          <w:ilvl w:val="0"/>
          <w:numId w:val="0"/>
        </w:numPr>
      </w:pPr>
      <w:bookmarkStart w:id="11" w:name="_Toc10331900"/>
      <w:r w:rsidRPr="00582B86">
        <w:t>1.3.3</w:t>
      </w:r>
      <w:r>
        <w:tab/>
      </w:r>
      <w:r w:rsidR="551A77D0" w:rsidRPr="00582B86">
        <w:t>Barriers to Adoption</w:t>
      </w:r>
      <w:bookmarkEnd w:id="11"/>
    </w:p>
    <w:p w14:paraId="1A024746" w14:textId="1CB22CA7" w:rsidR="00627B9B" w:rsidRPr="00061636" w:rsidRDefault="001E021F" w:rsidP="00EB247F">
      <w:pPr>
        <w:rPr>
          <w:rFonts w:cs="Times New Roman"/>
        </w:rPr>
      </w:pPr>
      <w:bookmarkStart w:id="12" w:name="_Hlk533584524"/>
      <w:r w:rsidRPr="00061636">
        <w:rPr>
          <w:rFonts w:cs="Times New Roman"/>
        </w:rPr>
        <w:t>The primary barrier to the adoption of this solution is the high first cost of installation.</w:t>
      </w:r>
      <w:r w:rsidR="00E92D29" w:rsidRPr="00061636">
        <w:rPr>
          <w:rFonts w:cs="Times New Roman"/>
        </w:rPr>
        <w:t xml:space="preserve"> An NREL Report has estimated that the utility system costs were 2017US$ 5.44 per watt in 2010. Hence a 100MW plant would </w:t>
      </w:r>
      <w:r w:rsidR="00205F24" w:rsidRPr="00061636">
        <w:rPr>
          <w:rFonts w:cs="Times New Roman"/>
        </w:rPr>
        <w:t xml:space="preserve">have </w:t>
      </w:r>
      <w:r w:rsidR="00E92D29" w:rsidRPr="00061636">
        <w:rPr>
          <w:rFonts w:cs="Times New Roman"/>
        </w:rPr>
        <w:t xml:space="preserve">cost </w:t>
      </w:r>
      <w:r w:rsidR="00995ABF">
        <w:rPr>
          <w:rFonts w:cs="Times New Roman"/>
        </w:rPr>
        <w:t>US$</w:t>
      </w:r>
      <w:r w:rsidR="00E92D29" w:rsidRPr="00061636">
        <w:rPr>
          <w:rFonts w:cs="Times New Roman"/>
        </w:rPr>
        <w:t>544</w:t>
      </w:r>
      <w:r w:rsidR="00C24412">
        <w:rPr>
          <w:rFonts w:cs="Times New Roman"/>
        </w:rPr>
        <w:t xml:space="preserve"> </w:t>
      </w:r>
      <w:r w:rsidR="00E92D29" w:rsidRPr="00061636">
        <w:rPr>
          <w:rFonts w:cs="Times New Roman"/>
        </w:rPr>
        <w:t>million</w:t>
      </w:r>
      <w:r w:rsidR="00205F24" w:rsidRPr="00061636">
        <w:rPr>
          <w:rFonts w:cs="Times New Roman"/>
        </w:rPr>
        <w:t xml:space="preserve"> in 2010. </w:t>
      </w:r>
      <w:r w:rsidR="00A12265" w:rsidRPr="00061636">
        <w:rPr>
          <w:rFonts w:cs="Times New Roman"/>
        </w:rPr>
        <w:t>However, these costs have been steadily and rapidly declining</w:t>
      </w:r>
      <w:r w:rsidR="00F5092B" w:rsidRPr="00061636">
        <w:rPr>
          <w:rFonts w:cs="Times New Roman"/>
        </w:rPr>
        <w:t xml:space="preserve">. </w:t>
      </w:r>
      <w:r w:rsidR="00205F24" w:rsidRPr="00061636">
        <w:rPr>
          <w:rFonts w:cs="Times New Roman"/>
        </w:rPr>
        <w:t xml:space="preserve">In 2017, this there has been an almost five-fold decline in costs and a similar plant set up today would cost only </w:t>
      </w:r>
      <w:r w:rsidR="00995ABF">
        <w:rPr>
          <w:rFonts w:cs="Times New Roman"/>
        </w:rPr>
        <w:t>US$</w:t>
      </w:r>
      <w:r w:rsidR="00205F24" w:rsidRPr="00061636">
        <w:rPr>
          <w:rFonts w:cs="Times New Roman"/>
        </w:rPr>
        <w:t xml:space="preserve"> 111 million</w:t>
      </w:r>
      <w:sdt>
        <w:sdtPr>
          <w:rPr>
            <w:rFonts w:cs="Times New Roman"/>
          </w:rPr>
          <w:id w:val="-1384326466"/>
          <w:citation/>
        </w:sdtPr>
        <w:sdtContent>
          <w:r w:rsidR="006B2E61">
            <w:rPr>
              <w:rFonts w:cs="Times New Roman"/>
            </w:rPr>
            <w:fldChar w:fldCharType="begin"/>
          </w:r>
          <w:r w:rsidR="00864CA8">
            <w:rPr>
              <w:rFonts w:cs="Times New Roman"/>
            </w:rPr>
            <w:instrText xml:space="preserve">CITATION NREL17 \l 1033 </w:instrText>
          </w:r>
          <w:r w:rsidR="006B2E61">
            <w:rPr>
              <w:rFonts w:cs="Times New Roman"/>
            </w:rPr>
            <w:fldChar w:fldCharType="separate"/>
          </w:r>
          <w:r w:rsidR="00864CA8">
            <w:rPr>
              <w:rFonts w:cs="Times New Roman"/>
              <w:noProof/>
            </w:rPr>
            <w:t xml:space="preserve"> </w:t>
          </w:r>
          <w:r w:rsidR="00864CA8" w:rsidRPr="00864CA8">
            <w:rPr>
              <w:rFonts w:cs="Times New Roman"/>
              <w:noProof/>
            </w:rPr>
            <w:t>(NREL, 2017)</w:t>
          </w:r>
          <w:r w:rsidR="006B2E61">
            <w:rPr>
              <w:rFonts w:cs="Times New Roman"/>
            </w:rPr>
            <w:fldChar w:fldCharType="end"/>
          </w:r>
        </w:sdtContent>
      </w:sdt>
      <w:r w:rsidR="00205F24" w:rsidRPr="00061636">
        <w:rPr>
          <w:rFonts w:cs="Times New Roman"/>
        </w:rPr>
        <w:t>.</w:t>
      </w:r>
    </w:p>
    <w:p w14:paraId="3DEC169C" w14:textId="4D3FA64A" w:rsidR="00CB603A" w:rsidRPr="00061636" w:rsidRDefault="00CB603A" w:rsidP="00EB247F">
      <w:pPr>
        <w:rPr>
          <w:rFonts w:cs="Times New Roman"/>
        </w:rPr>
      </w:pPr>
      <w:r w:rsidRPr="00061636">
        <w:rPr>
          <w:rFonts w:cs="Times New Roman"/>
        </w:rPr>
        <w:t>Adoption of utility-scale PV will depend in large part on the economics</w:t>
      </w:r>
      <w:r w:rsidR="009E306A" w:rsidRPr="00061636">
        <w:rPr>
          <w:rFonts w:cs="Times New Roman"/>
        </w:rPr>
        <w:t xml:space="preserve"> and financials</w:t>
      </w:r>
      <w:r w:rsidRPr="00061636">
        <w:rPr>
          <w:rFonts w:cs="Times New Roman"/>
        </w:rPr>
        <w:t xml:space="preserve"> of specific projects as well as </w:t>
      </w:r>
      <w:r w:rsidR="009E306A" w:rsidRPr="00061636">
        <w:rPr>
          <w:rFonts w:cs="Times New Roman"/>
        </w:rPr>
        <w:t xml:space="preserve">the </w:t>
      </w:r>
      <w:r w:rsidR="00627B9B" w:rsidRPr="00061636">
        <w:rPr>
          <w:rFonts w:cs="Times New Roman"/>
        </w:rPr>
        <w:t xml:space="preserve">incentives, the </w:t>
      </w:r>
      <w:r w:rsidR="009E306A" w:rsidRPr="00061636">
        <w:rPr>
          <w:rFonts w:cs="Times New Roman"/>
        </w:rPr>
        <w:t>polic</w:t>
      </w:r>
      <w:r w:rsidR="00627B9B" w:rsidRPr="00061636">
        <w:rPr>
          <w:rFonts w:cs="Times New Roman"/>
        </w:rPr>
        <w:t>ies</w:t>
      </w:r>
      <w:r w:rsidR="009E306A" w:rsidRPr="00061636">
        <w:rPr>
          <w:rFonts w:cs="Times New Roman"/>
        </w:rPr>
        <w:t xml:space="preserve"> and</w:t>
      </w:r>
      <w:r w:rsidRPr="00061636">
        <w:rPr>
          <w:rFonts w:cs="Times New Roman"/>
        </w:rPr>
        <w:t xml:space="preserve"> regulatory framework </w:t>
      </w:r>
      <w:r w:rsidR="00FF2149" w:rsidRPr="00061636">
        <w:rPr>
          <w:rFonts w:cs="Times New Roman"/>
        </w:rPr>
        <w:t>that encourages</w:t>
      </w:r>
      <w:r w:rsidRPr="00061636">
        <w:rPr>
          <w:rFonts w:cs="Times New Roman"/>
        </w:rPr>
        <w:t xml:space="preserve"> utilities </w:t>
      </w:r>
      <w:r w:rsidR="009E306A" w:rsidRPr="00061636">
        <w:rPr>
          <w:rFonts w:cs="Times New Roman"/>
        </w:rPr>
        <w:t xml:space="preserve">and large players </w:t>
      </w:r>
      <w:r w:rsidRPr="00061636">
        <w:rPr>
          <w:rFonts w:cs="Times New Roman"/>
        </w:rPr>
        <w:lastRenderedPageBreak/>
        <w:t xml:space="preserve">to </w:t>
      </w:r>
      <w:r w:rsidR="009E306A" w:rsidRPr="00061636">
        <w:rPr>
          <w:rFonts w:cs="Times New Roman"/>
        </w:rPr>
        <w:t xml:space="preserve">set up and </w:t>
      </w:r>
      <w:r w:rsidR="00FF2149" w:rsidRPr="00061636">
        <w:rPr>
          <w:rFonts w:cs="Times New Roman"/>
        </w:rPr>
        <w:t>implement large</w:t>
      </w:r>
      <w:r w:rsidR="009E306A" w:rsidRPr="00061636">
        <w:rPr>
          <w:rFonts w:cs="Times New Roman"/>
        </w:rPr>
        <w:t>-scale</w:t>
      </w:r>
      <w:r w:rsidRPr="00061636">
        <w:rPr>
          <w:rFonts w:cs="Times New Roman"/>
        </w:rPr>
        <w:t xml:space="preserve"> PV projects. The growth of </w:t>
      </w:r>
      <w:r w:rsidR="009E306A" w:rsidRPr="00061636">
        <w:rPr>
          <w:rFonts w:cs="Times New Roman"/>
        </w:rPr>
        <w:t xml:space="preserve">the </w:t>
      </w:r>
      <w:r w:rsidRPr="00061636">
        <w:rPr>
          <w:rFonts w:cs="Times New Roman"/>
        </w:rPr>
        <w:t xml:space="preserve">utility-scale </w:t>
      </w:r>
      <w:r w:rsidR="00FF2149" w:rsidRPr="00061636">
        <w:rPr>
          <w:rFonts w:cs="Times New Roman"/>
        </w:rPr>
        <w:t>solar also</w:t>
      </w:r>
      <w:r w:rsidR="009E306A" w:rsidRPr="00061636">
        <w:rPr>
          <w:rFonts w:cs="Times New Roman"/>
        </w:rPr>
        <w:t xml:space="preserve"> depends</w:t>
      </w:r>
      <w:r w:rsidRPr="00061636">
        <w:rPr>
          <w:rFonts w:cs="Times New Roman"/>
        </w:rPr>
        <w:t xml:space="preserve"> in large </w:t>
      </w:r>
      <w:r w:rsidR="00FF2149" w:rsidRPr="00061636">
        <w:rPr>
          <w:rFonts w:cs="Times New Roman"/>
        </w:rPr>
        <w:t>part on</w:t>
      </w:r>
      <w:r w:rsidRPr="00061636">
        <w:rPr>
          <w:rFonts w:cs="Times New Roman"/>
        </w:rPr>
        <w:t xml:space="preserve"> the development of policies and institutions necessary to govern </w:t>
      </w:r>
      <w:r w:rsidR="00CE0F94" w:rsidRPr="00061636">
        <w:rPr>
          <w:rFonts w:cs="Times New Roman"/>
        </w:rPr>
        <w:t>and manage</w:t>
      </w:r>
      <w:r w:rsidRPr="00061636">
        <w:rPr>
          <w:rFonts w:cs="Times New Roman"/>
        </w:rPr>
        <w:t xml:space="preserve"> future</w:t>
      </w:r>
      <w:r w:rsidR="00CE0F94" w:rsidRPr="00061636">
        <w:rPr>
          <w:rFonts w:cs="Times New Roman"/>
        </w:rPr>
        <w:t xml:space="preserve"> “smart”</w:t>
      </w:r>
      <w:r w:rsidRPr="00061636">
        <w:rPr>
          <w:rFonts w:cs="Times New Roman"/>
        </w:rPr>
        <w:t xml:space="preserve"> electric grid</w:t>
      </w:r>
      <w:r w:rsidR="00CE0F94" w:rsidRPr="00061636">
        <w:rPr>
          <w:rFonts w:cs="Times New Roman"/>
        </w:rPr>
        <w:t>s</w:t>
      </w:r>
      <w:r w:rsidRPr="00061636">
        <w:rPr>
          <w:rFonts w:cs="Times New Roman"/>
        </w:rPr>
        <w:t xml:space="preserve"> that receive a large </w:t>
      </w:r>
      <w:r w:rsidR="00CE0F94" w:rsidRPr="00061636">
        <w:rPr>
          <w:rFonts w:cs="Times New Roman"/>
        </w:rPr>
        <w:t>pro</w:t>
      </w:r>
      <w:r w:rsidRPr="00061636">
        <w:rPr>
          <w:rFonts w:cs="Times New Roman"/>
        </w:rPr>
        <w:t xml:space="preserve">portion of </w:t>
      </w:r>
      <w:r w:rsidR="00CE0F94" w:rsidRPr="00061636">
        <w:rPr>
          <w:rFonts w:cs="Times New Roman"/>
        </w:rPr>
        <w:t>power</w:t>
      </w:r>
      <w:r w:rsidRPr="00061636">
        <w:rPr>
          <w:rFonts w:cs="Times New Roman"/>
        </w:rPr>
        <w:t xml:space="preserve"> from intermittent</w:t>
      </w:r>
      <w:r w:rsidR="00EF5CDF" w:rsidRPr="00061636">
        <w:rPr>
          <w:rFonts w:cs="Times New Roman"/>
        </w:rPr>
        <w:t xml:space="preserve"> and variable </w:t>
      </w:r>
      <w:r w:rsidRPr="00061636">
        <w:rPr>
          <w:rFonts w:cs="Times New Roman"/>
        </w:rPr>
        <w:t>sources</w:t>
      </w:r>
      <w:r w:rsidR="00EF5CDF" w:rsidRPr="00061636">
        <w:rPr>
          <w:rFonts w:cs="Times New Roman"/>
        </w:rPr>
        <w:t xml:space="preserve"> of energy</w:t>
      </w:r>
      <w:r w:rsidRPr="00061636">
        <w:rPr>
          <w:rFonts w:cs="Times New Roman"/>
        </w:rPr>
        <w:t>.</w:t>
      </w:r>
      <w:r w:rsidR="00F5092B" w:rsidRPr="00061636">
        <w:rPr>
          <w:rFonts w:cs="Times New Roman"/>
        </w:rPr>
        <w:t xml:space="preserve"> Lack of appropriate and encouraging policies and incentives is also</w:t>
      </w:r>
      <w:r w:rsidR="00BD15EF">
        <w:rPr>
          <w:rFonts w:cs="Times New Roman"/>
        </w:rPr>
        <w:t xml:space="preserve"> a</w:t>
      </w:r>
      <w:r w:rsidR="00F5092B" w:rsidRPr="00061636">
        <w:rPr>
          <w:rFonts w:cs="Times New Roman"/>
        </w:rPr>
        <w:t xml:space="preserve"> barrier to adoption of this solution.</w:t>
      </w:r>
    </w:p>
    <w:bookmarkEnd w:id="12"/>
    <w:p w14:paraId="27939B26" w14:textId="7D65D59C" w:rsidR="00627B9B" w:rsidRPr="00061636" w:rsidRDefault="00627B9B" w:rsidP="00EB247F">
      <w:pPr>
        <w:rPr>
          <w:rFonts w:cs="Times New Roman"/>
        </w:rPr>
      </w:pPr>
      <w:r w:rsidRPr="00061636">
        <w:rPr>
          <w:rFonts w:cs="Times New Roman"/>
        </w:rPr>
        <w:t xml:space="preserve">Another barrier to large scale development of solar </w:t>
      </w:r>
      <w:r w:rsidR="009A5527">
        <w:rPr>
          <w:rFonts w:cs="Times New Roman"/>
        </w:rPr>
        <w:t>farms</w:t>
      </w:r>
      <w:r w:rsidRPr="00061636">
        <w:rPr>
          <w:rFonts w:cs="Times New Roman"/>
        </w:rPr>
        <w:t xml:space="preserve"> is the availability of large tracts of cheap and suitable land. </w:t>
      </w:r>
      <w:r w:rsidR="00F94B3C" w:rsidRPr="00061636">
        <w:rPr>
          <w:rFonts w:cs="Times New Roman"/>
        </w:rPr>
        <w:t xml:space="preserve">Land near the load centers of big towns tends to be rather costly and is usually not available in quantities </w:t>
      </w:r>
      <w:r w:rsidR="007D6810" w:rsidRPr="00061636">
        <w:rPr>
          <w:rFonts w:cs="Times New Roman"/>
        </w:rPr>
        <w:t>required</w:t>
      </w:r>
      <w:r w:rsidR="00F94B3C" w:rsidRPr="00061636">
        <w:rPr>
          <w:rFonts w:cs="Times New Roman"/>
        </w:rPr>
        <w:t xml:space="preserve"> for large scale projects. </w:t>
      </w:r>
      <w:r w:rsidR="007D6810" w:rsidRPr="00061636">
        <w:rPr>
          <w:rFonts w:cs="Times New Roman"/>
        </w:rPr>
        <w:t>L</w:t>
      </w:r>
      <w:r w:rsidR="00F94B3C" w:rsidRPr="00061636">
        <w:rPr>
          <w:rFonts w:cs="Times New Roman"/>
        </w:rPr>
        <w:t>and</w:t>
      </w:r>
      <w:r w:rsidR="007D6810" w:rsidRPr="00061636">
        <w:rPr>
          <w:rFonts w:cs="Times New Roman"/>
        </w:rPr>
        <w:t xml:space="preserve"> of appropriate size and cost is</w:t>
      </w:r>
      <w:r w:rsidR="00F94B3C" w:rsidRPr="00061636">
        <w:rPr>
          <w:rFonts w:cs="Times New Roman"/>
        </w:rPr>
        <w:t xml:space="preserve"> usually located far away from load centers</w:t>
      </w:r>
      <w:r w:rsidR="007D6810" w:rsidRPr="00061636">
        <w:rPr>
          <w:rFonts w:cs="Times New Roman"/>
        </w:rPr>
        <w:t xml:space="preserve"> thus entailing</w:t>
      </w:r>
      <w:r w:rsidR="00F94B3C" w:rsidRPr="00061636">
        <w:rPr>
          <w:rFonts w:cs="Times New Roman"/>
        </w:rPr>
        <w:t xml:space="preserve"> high investments in evacuation infrastructure.</w:t>
      </w:r>
    </w:p>
    <w:p w14:paraId="4C6913E2" w14:textId="3DFCAC92" w:rsidR="008A4D7D" w:rsidRDefault="00F94B3C" w:rsidP="00FF2149">
      <w:pPr>
        <w:rPr>
          <w:rFonts w:cs="Times New Roman"/>
        </w:rPr>
      </w:pPr>
      <w:r w:rsidRPr="00061636">
        <w:rPr>
          <w:rFonts w:cs="Times New Roman"/>
        </w:rPr>
        <w:t xml:space="preserve">Availability of </w:t>
      </w:r>
      <w:r w:rsidR="00794CAA" w:rsidRPr="00061636">
        <w:rPr>
          <w:rFonts w:cs="Times New Roman"/>
        </w:rPr>
        <w:t xml:space="preserve">stable grids of adequate capacity is another barrier to investment in these projects. As these </w:t>
      </w:r>
      <w:r w:rsidR="007D6810" w:rsidRPr="00061636">
        <w:rPr>
          <w:rFonts w:cs="Times New Roman"/>
        </w:rPr>
        <w:t xml:space="preserve">projects </w:t>
      </w:r>
      <w:r w:rsidR="00794CAA" w:rsidRPr="00061636">
        <w:rPr>
          <w:rFonts w:cs="Times New Roman"/>
        </w:rPr>
        <w:t>are</w:t>
      </w:r>
      <w:r w:rsidR="007D6810" w:rsidRPr="00061636">
        <w:rPr>
          <w:rFonts w:cs="Times New Roman"/>
        </w:rPr>
        <w:t xml:space="preserve"> usually located</w:t>
      </w:r>
      <w:r w:rsidR="00794CAA" w:rsidRPr="00061636">
        <w:rPr>
          <w:rFonts w:cs="Times New Roman"/>
        </w:rPr>
        <w:t xml:space="preserve"> far away from the load centers, the project promoters are not keen to invest in evacuation costs. They look up to the public authorities to come up with the requisite infrastructure. And unless this come</w:t>
      </w:r>
      <w:r w:rsidR="007D6810" w:rsidRPr="00061636">
        <w:rPr>
          <w:rFonts w:cs="Times New Roman"/>
        </w:rPr>
        <w:t>s</w:t>
      </w:r>
      <w:r w:rsidR="00794CAA" w:rsidRPr="00061636">
        <w:rPr>
          <w:rFonts w:cs="Times New Roman"/>
        </w:rPr>
        <w:t xml:space="preserve"> up, </w:t>
      </w:r>
      <w:r w:rsidR="007D6810" w:rsidRPr="00061636">
        <w:rPr>
          <w:rFonts w:cs="Times New Roman"/>
        </w:rPr>
        <w:t>such</w:t>
      </w:r>
      <w:r w:rsidR="00794CAA" w:rsidRPr="00061636">
        <w:rPr>
          <w:rFonts w:cs="Times New Roman"/>
        </w:rPr>
        <w:t xml:space="preserve"> projects are not attractive enough to the investors.</w:t>
      </w:r>
    </w:p>
    <w:p w14:paraId="017D3822" w14:textId="77777777" w:rsidR="00FF2149" w:rsidRDefault="00FF2149" w:rsidP="00FF2149">
      <w:pPr>
        <w:rPr>
          <w:rFonts w:cs="Times New Roman"/>
        </w:rPr>
      </w:pPr>
    </w:p>
    <w:p w14:paraId="29D18A1A" w14:textId="21280F01" w:rsidR="008A4D7D" w:rsidRPr="00582B86" w:rsidRDefault="00802B1A" w:rsidP="00582B86">
      <w:pPr>
        <w:pStyle w:val="Heading3"/>
        <w:numPr>
          <w:ilvl w:val="0"/>
          <w:numId w:val="0"/>
        </w:numPr>
      </w:pPr>
      <w:bookmarkStart w:id="13" w:name="_Toc10331901"/>
      <w:r w:rsidRPr="00582B86">
        <w:t>1.3.4</w:t>
      </w:r>
      <w:r w:rsidRPr="00582B86">
        <w:tab/>
      </w:r>
      <w:r w:rsidR="008A4D7D" w:rsidRPr="00582B86">
        <w:t>Incentives for Adoption</w:t>
      </w:r>
      <w:bookmarkEnd w:id="13"/>
    </w:p>
    <w:p w14:paraId="2DCB5C64" w14:textId="21753169" w:rsidR="00CB603A" w:rsidRPr="00061636" w:rsidRDefault="00CB603A" w:rsidP="00EB247F">
      <w:pPr>
        <w:rPr>
          <w:rFonts w:cs="Times New Roman"/>
        </w:rPr>
      </w:pPr>
      <w:r w:rsidRPr="00061636">
        <w:rPr>
          <w:rFonts w:cs="Times New Roman"/>
        </w:rPr>
        <w:t xml:space="preserve">The rapid growth of rooftop or distributed PV can be attributed </w:t>
      </w:r>
      <w:r w:rsidR="00FF2149" w:rsidRPr="00061636">
        <w:rPr>
          <w:rFonts w:cs="Times New Roman"/>
        </w:rPr>
        <w:t>in large</w:t>
      </w:r>
      <w:r w:rsidR="007D6810" w:rsidRPr="00061636">
        <w:rPr>
          <w:rFonts w:cs="Times New Roman"/>
        </w:rPr>
        <w:t xml:space="preserve"> measure</w:t>
      </w:r>
      <w:r w:rsidRPr="00061636">
        <w:rPr>
          <w:rFonts w:cs="Times New Roman"/>
        </w:rPr>
        <w:t xml:space="preserve"> to pro-solar policies and incentives such as net energy metering</w:t>
      </w:r>
      <w:r w:rsidR="00EF5CDF" w:rsidRPr="00061636">
        <w:rPr>
          <w:rFonts w:cs="Times New Roman"/>
        </w:rPr>
        <w:t>. This</w:t>
      </w:r>
      <w:r w:rsidRPr="00061636">
        <w:rPr>
          <w:rFonts w:cs="Times New Roman"/>
        </w:rPr>
        <w:t xml:space="preserve"> </w:t>
      </w:r>
      <w:r w:rsidR="00FF2149" w:rsidRPr="00061636">
        <w:rPr>
          <w:rFonts w:cs="Times New Roman"/>
        </w:rPr>
        <w:t>policy allows</w:t>
      </w:r>
      <w:r w:rsidRPr="00061636">
        <w:rPr>
          <w:rFonts w:cs="Times New Roman"/>
        </w:rPr>
        <w:t xml:space="preserve"> </w:t>
      </w:r>
      <w:r w:rsidR="00582B86" w:rsidRPr="00061636">
        <w:rPr>
          <w:rFonts w:cs="Times New Roman"/>
        </w:rPr>
        <w:t>homeowners and</w:t>
      </w:r>
      <w:r w:rsidRPr="00061636">
        <w:rPr>
          <w:rFonts w:cs="Times New Roman"/>
        </w:rPr>
        <w:t xml:space="preserve"> businesses to get credit</w:t>
      </w:r>
      <w:r w:rsidR="00EF5CDF" w:rsidRPr="00061636">
        <w:rPr>
          <w:rFonts w:cs="Times New Roman"/>
        </w:rPr>
        <w:t>s</w:t>
      </w:r>
      <w:r w:rsidRPr="00061636">
        <w:rPr>
          <w:rFonts w:cs="Times New Roman"/>
        </w:rPr>
        <w:t xml:space="preserve"> on their electricity bill</w:t>
      </w:r>
      <w:r w:rsidR="00EF5CDF" w:rsidRPr="00061636">
        <w:rPr>
          <w:rFonts w:cs="Times New Roman"/>
        </w:rPr>
        <w:t>s</w:t>
      </w:r>
      <w:r w:rsidRPr="00061636">
        <w:rPr>
          <w:rFonts w:cs="Times New Roman"/>
        </w:rPr>
        <w:t xml:space="preserve"> for the amount of electricity they feed back </w:t>
      </w:r>
      <w:r w:rsidR="00BA4485" w:rsidRPr="00061636">
        <w:rPr>
          <w:rFonts w:cs="Times New Roman"/>
        </w:rPr>
        <w:t>in</w:t>
      </w:r>
      <w:r w:rsidRPr="00061636">
        <w:rPr>
          <w:rFonts w:cs="Times New Roman"/>
        </w:rPr>
        <w:t xml:space="preserve">to the grid thus offsetting their own electricity usage. Because utility-scale PV installations are often projects that sell </w:t>
      </w:r>
      <w:r w:rsidR="00FF2149" w:rsidRPr="00061636">
        <w:rPr>
          <w:rFonts w:cs="Times New Roman"/>
        </w:rPr>
        <w:t>the electricity</w:t>
      </w:r>
      <w:r w:rsidR="00EF5CDF" w:rsidRPr="00061636">
        <w:rPr>
          <w:rFonts w:cs="Times New Roman"/>
        </w:rPr>
        <w:t xml:space="preserve"> generated</w:t>
      </w:r>
      <w:r w:rsidRPr="00061636">
        <w:rPr>
          <w:rFonts w:cs="Times New Roman"/>
        </w:rPr>
        <w:t xml:space="preserve"> to wholesale buyers or are owned directly by utility companies, these projects do not often benefit from policies such as net </w:t>
      </w:r>
      <w:r w:rsidR="00582B86" w:rsidRPr="00061636">
        <w:rPr>
          <w:rFonts w:cs="Times New Roman"/>
        </w:rPr>
        <w:t>metering.</w:t>
      </w:r>
      <w:r w:rsidRPr="00061636">
        <w:rPr>
          <w:rFonts w:cs="Times New Roman"/>
        </w:rPr>
        <w:t xml:space="preserve"> </w:t>
      </w:r>
      <w:r w:rsidR="007D6810" w:rsidRPr="00061636">
        <w:rPr>
          <w:rFonts w:cs="Times New Roman"/>
        </w:rPr>
        <w:t>H</w:t>
      </w:r>
      <w:r w:rsidR="005B128E" w:rsidRPr="00061636">
        <w:rPr>
          <w:rFonts w:cs="Times New Roman"/>
        </w:rPr>
        <w:t>igher</w:t>
      </w:r>
      <w:r w:rsidR="007D6810" w:rsidRPr="00061636">
        <w:rPr>
          <w:rFonts w:cs="Times New Roman"/>
        </w:rPr>
        <w:t>, f</w:t>
      </w:r>
      <w:r w:rsidRPr="00061636">
        <w:rPr>
          <w:rFonts w:cs="Times New Roman"/>
        </w:rPr>
        <w:t>eed-in tariffs</w:t>
      </w:r>
      <w:r w:rsidR="007A09F4" w:rsidRPr="00061636">
        <w:rPr>
          <w:rFonts w:cs="Times New Roman"/>
        </w:rPr>
        <w:t xml:space="preserve"> </w:t>
      </w:r>
      <w:r w:rsidR="007D6810" w:rsidRPr="00061636">
        <w:rPr>
          <w:rFonts w:cs="Times New Roman"/>
        </w:rPr>
        <w:t xml:space="preserve">are </w:t>
      </w:r>
      <w:r w:rsidR="005B128E" w:rsidRPr="00061636">
        <w:rPr>
          <w:rFonts w:cs="Times New Roman"/>
        </w:rPr>
        <w:t>a</w:t>
      </w:r>
      <w:r w:rsidR="007D6810" w:rsidRPr="00061636">
        <w:rPr>
          <w:rFonts w:cs="Times New Roman"/>
        </w:rPr>
        <w:t xml:space="preserve"> </w:t>
      </w:r>
      <w:r w:rsidRPr="00061636">
        <w:rPr>
          <w:rFonts w:cs="Times New Roman"/>
        </w:rPr>
        <w:t>way of compensating PV electricity generators</w:t>
      </w:r>
      <w:r w:rsidR="005B128E" w:rsidRPr="00061636">
        <w:rPr>
          <w:rFonts w:cs="Times New Roman"/>
        </w:rPr>
        <w:t>.</w:t>
      </w:r>
      <w:r w:rsidRPr="00061636">
        <w:rPr>
          <w:rFonts w:cs="Times New Roman"/>
        </w:rPr>
        <w:t xml:space="preserve"> </w:t>
      </w:r>
      <w:r w:rsidR="005B128E" w:rsidRPr="00061636">
        <w:rPr>
          <w:rFonts w:cs="Times New Roman"/>
        </w:rPr>
        <w:t>L</w:t>
      </w:r>
      <w:r w:rsidRPr="00061636">
        <w:rPr>
          <w:rFonts w:cs="Times New Roman"/>
        </w:rPr>
        <w:t>ong-term contracts</w:t>
      </w:r>
      <w:r w:rsidR="00506414" w:rsidRPr="00061636">
        <w:rPr>
          <w:rFonts w:cs="Times New Roman"/>
        </w:rPr>
        <w:t xml:space="preserve"> </w:t>
      </w:r>
      <w:r w:rsidR="00FF2149" w:rsidRPr="00061636">
        <w:rPr>
          <w:rFonts w:cs="Times New Roman"/>
        </w:rPr>
        <w:t>and power</w:t>
      </w:r>
      <w:r w:rsidR="00506414" w:rsidRPr="00061636">
        <w:rPr>
          <w:rFonts w:cs="Times New Roman"/>
        </w:rPr>
        <w:t xml:space="preserve"> purchase agreements (PPA</w:t>
      </w:r>
      <w:r w:rsidR="00537FD9">
        <w:rPr>
          <w:rFonts w:cs="Times New Roman"/>
        </w:rPr>
        <w:t>s)</w:t>
      </w:r>
      <w:r w:rsidRPr="00061636">
        <w:rPr>
          <w:rFonts w:cs="Times New Roman"/>
        </w:rPr>
        <w:t xml:space="preserve"> that typically </w:t>
      </w:r>
      <w:r w:rsidR="00582B86" w:rsidRPr="00061636">
        <w:rPr>
          <w:rFonts w:cs="Times New Roman"/>
        </w:rPr>
        <w:t>pay higher</w:t>
      </w:r>
      <w:r w:rsidR="00506414" w:rsidRPr="00061636">
        <w:rPr>
          <w:rFonts w:cs="Times New Roman"/>
        </w:rPr>
        <w:t xml:space="preserve"> </w:t>
      </w:r>
      <w:r w:rsidRPr="00061636">
        <w:rPr>
          <w:rFonts w:cs="Times New Roman"/>
        </w:rPr>
        <w:t>prices to</w:t>
      </w:r>
      <w:r w:rsidR="00506414" w:rsidRPr="00061636">
        <w:rPr>
          <w:rFonts w:cs="Times New Roman"/>
        </w:rPr>
        <w:t xml:space="preserve"> the utilit</w:t>
      </w:r>
      <w:r w:rsidR="005B128E" w:rsidRPr="00061636">
        <w:rPr>
          <w:rFonts w:cs="Times New Roman"/>
        </w:rPr>
        <w:t>i</w:t>
      </w:r>
      <w:r w:rsidR="00506414" w:rsidRPr="00061636">
        <w:rPr>
          <w:rFonts w:cs="Times New Roman"/>
        </w:rPr>
        <w:t>es to</w:t>
      </w:r>
      <w:r w:rsidRPr="00061636">
        <w:rPr>
          <w:rFonts w:cs="Times New Roman"/>
        </w:rPr>
        <w:t xml:space="preserve"> reflect the higher</w:t>
      </w:r>
      <w:r w:rsidR="00506414" w:rsidRPr="00061636">
        <w:rPr>
          <w:rFonts w:cs="Times New Roman"/>
        </w:rPr>
        <w:t xml:space="preserve"> generation</w:t>
      </w:r>
      <w:r w:rsidRPr="00061636">
        <w:rPr>
          <w:rFonts w:cs="Times New Roman"/>
        </w:rPr>
        <w:t xml:space="preserve"> cost</w:t>
      </w:r>
      <w:r w:rsidR="00506414" w:rsidRPr="00061636">
        <w:rPr>
          <w:rFonts w:cs="Times New Roman"/>
        </w:rPr>
        <w:t>s associated with</w:t>
      </w:r>
      <w:r w:rsidRPr="00061636">
        <w:rPr>
          <w:rFonts w:cs="Times New Roman"/>
        </w:rPr>
        <w:t xml:space="preserve"> PV </w:t>
      </w:r>
      <w:r w:rsidR="00506414" w:rsidRPr="00061636">
        <w:rPr>
          <w:rFonts w:cs="Times New Roman"/>
        </w:rPr>
        <w:t>systems</w:t>
      </w:r>
      <w:r w:rsidR="005B128E" w:rsidRPr="00061636">
        <w:rPr>
          <w:rFonts w:cs="Times New Roman"/>
        </w:rPr>
        <w:t xml:space="preserve"> are the preferred way of attracting investors</w:t>
      </w:r>
      <w:r w:rsidR="00506414" w:rsidRPr="00061636">
        <w:rPr>
          <w:rFonts w:cs="Times New Roman"/>
        </w:rPr>
        <w:t>.</w:t>
      </w:r>
      <w:r w:rsidR="007A09F4" w:rsidRPr="00061636">
        <w:rPr>
          <w:rFonts w:cs="Times New Roman"/>
        </w:rPr>
        <w:t xml:space="preserve"> </w:t>
      </w:r>
      <w:r w:rsidR="00506414" w:rsidRPr="00061636">
        <w:rPr>
          <w:rFonts w:cs="Times New Roman"/>
        </w:rPr>
        <w:t>Such</w:t>
      </w:r>
      <w:r w:rsidRPr="00061636">
        <w:rPr>
          <w:rFonts w:cs="Times New Roman"/>
        </w:rPr>
        <w:t xml:space="preserve"> policies help offset the higher capital cost of PV systems </w:t>
      </w:r>
      <w:r w:rsidR="005B128E" w:rsidRPr="00061636">
        <w:rPr>
          <w:rFonts w:cs="Times New Roman"/>
        </w:rPr>
        <w:t xml:space="preserve">as </w:t>
      </w:r>
      <w:r w:rsidRPr="00061636">
        <w:rPr>
          <w:rFonts w:cs="Times New Roman"/>
        </w:rPr>
        <w:t>compared to conventional sources</w:t>
      </w:r>
      <w:r w:rsidR="008910C8">
        <w:rPr>
          <w:rFonts w:cs="Times New Roman"/>
        </w:rPr>
        <w:t>.</w:t>
      </w:r>
    </w:p>
    <w:p w14:paraId="1BDB212F" w14:textId="479A94ED" w:rsidR="00794CAA" w:rsidRPr="00061636" w:rsidRDefault="00794CAA" w:rsidP="00794CAA">
      <w:pPr>
        <w:rPr>
          <w:rFonts w:cs="Times New Roman"/>
        </w:rPr>
      </w:pPr>
      <w:r w:rsidRPr="00061636">
        <w:rPr>
          <w:rFonts w:cs="Times New Roman"/>
        </w:rPr>
        <w:t>The main reason for the steadily falling cost of SPV projects</w:t>
      </w:r>
      <w:r w:rsidR="005B128E" w:rsidRPr="00061636">
        <w:rPr>
          <w:rFonts w:cs="Times New Roman"/>
        </w:rPr>
        <w:t>, of course,</w:t>
      </w:r>
      <w:r w:rsidRPr="00061636">
        <w:rPr>
          <w:rFonts w:cs="Times New Roman"/>
        </w:rPr>
        <w:t xml:space="preserve"> </w:t>
      </w:r>
      <w:r w:rsidR="005B128E" w:rsidRPr="00061636">
        <w:rPr>
          <w:rFonts w:cs="Times New Roman"/>
        </w:rPr>
        <w:t>ha</w:t>
      </w:r>
      <w:r w:rsidRPr="00061636">
        <w:rPr>
          <w:rFonts w:cs="Times New Roman"/>
        </w:rPr>
        <w:t>s</w:t>
      </w:r>
      <w:r w:rsidR="005B128E" w:rsidRPr="00061636">
        <w:rPr>
          <w:rFonts w:cs="Times New Roman"/>
        </w:rPr>
        <w:t xml:space="preserve"> been</w:t>
      </w:r>
      <w:r w:rsidRPr="00061636">
        <w:rPr>
          <w:rFonts w:cs="Times New Roman"/>
        </w:rPr>
        <w:t xml:space="preserve"> the sharp fall in SPV module prices witnessed globally over the last few years. So much so that in some of the recent tariff-based bids for solar parks, the quoted tariffs have fallen </w:t>
      </w:r>
      <w:r w:rsidR="005B128E" w:rsidRPr="00061636">
        <w:rPr>
          <w:rFonts w:cs="Times New Roman"/>
        </w:rPr>
        <w:t xml:space="preserve">even </w:t>
      </w:r>
      <w:r w:rsidRPr="00061636">
        <w:rPr>
          <w:rFonts w:cs="Times New Roman"/>
        </w:rPr>
        <w:t xml:space="preserve">below the conventional energy tariffs. The growth curve </w:t>
      </w:r>
      <w:r w:rsidR="005B128E" w:rsidRPr="00061636">
        <w:rPr>
          <w:rFonts w:cs="Times New Roman"/>
        </w:rPr>
        <w:t xml:space="preserve">thus </w:t>
      </w:r>
      <w:r w:rsidRPr="00061636">
        <w:rPr>
          <w:rFonts w:cs="Times New Roman"/>
        </w:rPr>
        <w:t xml:space="preserve">seems set for a steep rise. However, of late there have been worries of over-capacity in the module manufacturing and also a slowdown in the international market due to the raising of import tariffs </w:t>
      </w:r>
      <w:r w:rsidR="005B128E" w:rsidRPr="00061636">
        <w:rPr>
          <w:rFonts w:cs="Times New Roman"/>
        </w:rPr>
        <w:t>on modules</w:t>
      </w:r>
      <w:r w:rsidRPr="00061636">
        <w:rPr>
          <w:rFonts w:cs="Times New Roman"/>
        </w:rPr>
        <w:t xml:space="preserve"> by major </w:t>
      </w:r>
      <w:r w:rsidR="005B128E" w:rsidRPr="00061636">
        <w:rPr>
          <w:rFonts w:cs="Times New Roman"/>
        </w:rPr>
        <w:t>markets</w:t>
      </w:r>
      <w:r w:rsidRPr="00061636">
        <w:rPr>
          <w:rFonts w:cs="Times New Roman"/>
        </w:rPr>
        <w:t xml:space="preserve"> like the US, China and India.</w:t>
      </w:r>
    </w:p>
    <w:p w14:paraId="4F71B57A" w14:textId="14B3D63C" w:rsidR="00CB603A" w:rsidRPr="00061636" w:rsidRDefault="00CB603A" w:rsidP="00EB247F">
      <w:pPr>
        <w:rPr>
          <w:rFonts w:cs="Times New Roman"/>
        </w:rPr>
      </w:pPr>
      <w:r w:rsidRPr="00061636">
        <w:rPr>
          <w:rFonts w:cs="Times New Roman"/>
        </w:rPr>
        <w:t xml:space="preserve">The economics of utility-scale PV projects are highly specific to country or city-level electricity market dynamics, but in many regions around the world, utility-scale PV is </w:t>
      </w:r>
      <w:r w:rsidR="00BA4485" w:rsidRPr="00061636">
        <w:rPr>
          <w:rFonts w:cs="Times New Roman"/>
        </w:rPr>
        <w:t xml:space="preserve">fast </w:t>
      </w:r>
      <w:r w:rsidRPr="00061636">
        <w:rPr>
          <w:rFonts w:cs="Times New Roman"/>
        </w:rPr>
        <w:t xml:space="preserve">becoming cost-competitive with </w:t>
      </w:r>
      <w:r w:rsidRPr="00061636">
        <w:rPr>
          <w:rFonts w:cs="Times New Roman"/>
        </w:rPr>
        <w:lastRenderedPageBreak/>
        <w:t>traditional sources of generation, and this is one of the primary reasons that the utility-scale sector has seen such rapid growth in the last few years. Utility-scale PV systems generally sell power to utilities or other buyers through a (PPA</w:t>
      </w:r>
      <w:r w:rsidR="009A5527">
        <w:rPr>
          <w:rFonts w:cs="Times New Roman"/>
        </w:rPr>
        <w:t xml:space="preserve"> </w:t>
      </w:r>
      <w:r w:rsidRPr="00061636">
        <w:rPr>
          <w:rFonts w:cs="Times New Roman"/>
        </w:rPr>
        <w:t>—</w:t>
      </w:r>
      <w:r w:rsidR="009A5527">
        <w:rPr>
          <w:rFonts w:cs="Times New Roman"/>
        </w:rPr>
        <w:t xml:space="preserve"> </w:t>
      </w:r>
      <w:r w:rsidRPr="00061636">
        <w:rPr>
          <w:rFonts w:cs="Times New Roman"/>
        </w:rPr>
        <w:t>a fixed-price contractual agreement to purchase a power plant’s electricity—and the price</w:t>
      </w:r>
      <w:r w:rsidR="00F4258D" w:rsidRPr="00061636">
        <w:rPr>
          <w:rFonts w:cs="Times New Roman"/>
        </w:rPr>
        <w:t xml:space="preserve"> is typically calculated using Levelized Cost </w:t>
      </w:r>
      <w:r w:rsidR="00FF2149" w:rsidRPr="00061636">
        <w:rPr>
          <w:rFonts w:cs="Times New Roman"/>
        </w:rPr>
        <w:t>of</w:t>
      </w:r>
      <w:r w:rsidR="00F4258D" w:rsidRPr="00061636">
        <w:rPr>
          <w:rFonts w:cs="Times New Roman"/>
        </w:rPr>
        <w:t xml:space="preserve"> E</w:t>
      </w:r>
      <w:r w:rsidRPr="00061636">
        <w:rPr>
          <w:rFonts w:cs="Times New Roman"/>
        </w:rPr>
        <w:t>lectricity (LCOE). LCOE</w:t>
      </w:r>
      <w:r w:rsidR="00537FD9">
        <w:rPr>
          <w:rFonts w:cs="Times New Roman"/>
        </w:rPr>
        <w:t xml:space="preserve"> </w:t>
      </w:r>
      <w:r w:rsidRPr="00061636">
        <w:rPr>
          <w:rFonts w:cs="Times New Roman"/>
        </w:rPr>
        <w:t xml:space="preserve">represents the total system and operating costs divided by the </w:t>
      </w:r>
      <w:r w:rsidR="00FF2149" w:rsidRPr="00061636">
        <w:rPr>
          <w:rFonts w:cs="Times New Roman"/>
        </w:rPr>
        <w:t>total energy</w:t>
      </w:r>
      <w:r w:rsidR="00BD3A4C" w:rsidRPr="00061636">
        <w:rPr>
          <w:rFonts w:cs="Times New Roman"/>
        </w:rPr>
        <w:t xml:space="preserve"> </w:t>
      </w:r>
      <w:r w:rsidRPr="00061636">
        <w:rPr>
          <w:rFonts w:cs="Times New Roman"/>
        </w:rPr>
        <w:t>produced</w:t>
      </w:r>
      <w:r w:rsidR="00BD3A4C" w:rsidRPr="00061636">
        <w:rPr>
          <w:rFonts w:cs="Times New Roman"/>
        </w:rPr>
        <w:t xml:space="preserve"> by the project</w:t>
      </w:r>
      <w:r w:rsidRPr="00061636">
        <w:rPr>
          <w:rFonts w:cs="Times New Roman"/>
        </w:rPr>
        <w:t xml:space="preserve"> </w:t>
      </w:r>
      <w:r w:rsidR="00FF2149" w:rsidRPr="00061636">
        <w:rPr>
          <w:rFonts w:cs="Times New Roman"/>
        </w:rPr>
        <w:t>over its</w:t>
      </w:r>
      <w:r w:rsidRPr="00061636">
        <w:rPr>
          <w:rFonts w:cs="Times New Roman"/>
        </w:rPr>
        <w:t xml:space="preserve"> lifetime</w:t>
      </w:r>
      <w:r w:rsidR="00211004" w:rsidRPr="00061636">
        <w:rPr>
          <w:rFonts w:cs="Times New Roman"/>
        </w:rPr>
        <w:t>.</w:t>
      </w:r>
      <w:r w:rsidR="007A09F4" w:rsidRPr="00061636">
        <w:rPr>
          <w:rFonts w:cs="Times New Roman"/>
        </w:rPr>
        <w:t xml:space="preserve"> </w:t>
      </w:r>
      <w:r w:rsidR="00BD3A4C" w:rsidRPr="00061636">
        <w:rPr>
          <w:rFonts w:cs="Times New Roman"/>
        </w:rPr>
        <w:t>LCOE</w:t>
      </w:r>
      <w:r w:rsidRPr="00061636">
        <w:rPr>
          <w:rFonts w:cs="Times New Roman"/>
        </w:rPr>
        <w:t xml:space="preserve"> thus</w:t>
      </w:r>
      <w:r w:rsidR="00BD3A4C" w:rsidRPr="00061636">
        <w:rPr>
          <w:rFonts w:cs="Times New Roman"/>
        </w:rPr>
        <w:t xml:space="preserve"> becomes</w:t>
      </w:r>
      <w:r w:rsidRPr="00061636">
        <w:rPr>
          <w:rFonts w:cs="Times New Roman"/>
        </w:rPr>
        <w:t xml:space="preserve"> a useful way to compare </w:t>
      </w:r>
      <w:r w:rsidR="00BD3A4C" w:rsidRPr="00061636">
        <w:rPr>
          <w:rFonts w:cs="Times New Roman"/>
        </w:rPr>
        <w:t xml:space="preserve">the costs of </w:t>
      </w:r>
      <w:r w:rsidRPr="00061636">
        <w:rPr>
          <w:rFonts w:cs="Times New Roman"/>
        </w:rPr>
        <w:t xml:space="preserve">intermittent, renewable energy sources </w:t>
      </w:r>
      <w:r w:rsidR="00FF2149" w:rsidRPr="00061636">
        <w:rPr>
          <w:rFonts w:cs="Times New Roman"/>
        </w:rPr>
        <w:t>with energy</w:t>
      </w:r>
      <w:r w:rsidR="00CE0F94" w:rsidRPr="00061636">
        <w:rPr>
          <w:rFonts w:cs="Times New Roman"/>
        </w:rPr>
        <w:t xml:space="preserve"> </w:t>
      </w:r>
      <w:r w:rsidRPr="00061636">
        <w:rPr>
          <w:rFonts w:cs="Times New Roman"/>
        </w:rPr>
        <w:t>generation</w:t>
      </w:r>
      <w:r w:rsidR="00BD3A4C" w:rsidRPr="00061636">
        <w:rPr>
          <w:rFonts w:cs="Times New Roman"/>
        </w:rPr>
        <w:t xml:space="preserve"> costs from conventional projects</w:t>
      </w:r>
      <w:r w:rsidRPr="00061636">
        <w:rPr>
          <w:rFonts w:cs="Times New Roman"/>
        </w:rPr>
        <w:t xml:space="preserve">. Given the significant cost reductions and increasing capacity factors for utility-scale </w:t>
      </w:r>
      <w:r w:rsidR="00BD3A4C" w:rsidRPr="00061636">
        <w:rPr>
          <w:rFonts w:cs="Times New Roman"/>
        </w:rPr>
        <w:t>systems</w:t>
      </w:r>
      <w:r w:rsidRPr="00061636">
        <w:rPr>
          <w:rFonts w:cs="Times New Roman"/>
        </w:rPr>
        <w:t>, many</w:t>
      </w:r>
      <w:r w:rsidR="00211004" w:rsidRPr="00061636">
        <w:rPr>
          <w:rFonts w:cs="Times New Roman"/>
        </w:rPr>
        <w:t xml:space="preserve"> PV</w:t>
      </w:r>
      <w:r w:rsidRPr="00061636">
        <w:rPr>
          <w:rFonts w:cs="Times New Roman"/>
        </w:rPr>
        <w:t xml:space="preserve"> projects are now competitive with or </w:t>
      </w:r>
      <w:r w:rsidR="00CE0F94" w:rsidRPr="00061636">
        <w:rPr>
          <w:rFonts w:cs="Times New Roman"/>
        </w:rPr>
        <w:t>even</w:t>
      </w:r>
      <w:r w:rsidR="00BD3A4C" w:rsidRPr="00061636">
        <w:rPr>
          <w:rFonts w:cs="Times New Roman"/>
        </w:rPr>
        <w:t xml:space="preserve"> becoming</w:t>
      </w:r>
      <w:r w:rsidR="00CE0F94" w:rsidRPr="00061636">
        <w:rPr>
          <w:rFonts w:cs="Times New Roman"/>
        </w:rPr>
        <w:t xml:space="preserve"> </w:t>
      </w:r>
      <w:r w:rsidRPr="00061636">
        <w:rPr>
          <w:rFonts w:cs="Times New Roman"/>
        </w:rPr>
        <w:t xml:space="preserve">cheaper than conventional electricity </w:t>
      </w:r>
      <w:r w:rsidR="00582B86" w:rsidRPr="00061636">
        <w:rPr>
          <w:rFonts w:cs="Times New Roman"/>
        </w:rPr>
        <w:t>in different</w:t>
      </w:r>
      <w:r w:rsidRPr="00061636">
        <w:rPr>
          <w:rFonts w:cs="Times New Roman"/>
        </w:rPr>
        <w:t xml:space="preserve"> regions of the world</w:t>
      </w:r>
      <w:r w:rsidR="0064474A">
        <w:rPr>
          <w:rFonts w:cs="Times New Roman"/>
          <w:noProof/>
        </w:rPr>
        <w:t xml:space="preserve"> </w:t>
      </w:r>
      <w:sdt>
        <w:sdtPr>
          <w:rPr>
            <w:rFonts w:cs="Times New Roman"/>
            <w:noProof/>
          </w:rPr>
          <w:id w:val="-189541580"/>
          <w:citation/>
        </w:sdtPr>
        <w:sdtContent>
          <w:r w:rsidR="00C64D64">
            <w:rPr>
              <w:rFonts w:cs="Times New Roman"/>
              <w:noProof/>
            </w:rPr>
            <w:fldChar w:fldCharType="begin"/>
          </w:r>
          <w:r w:rsidR="00814CEC">
            <w:rPr>
              <w:rFonts w:cs="Times New Roman"/>
              <w:noProof/>
            </w:rPr>
            <w:instrText xml:space="preserve">CITATION IREa182 \l 1033 </w:instrText>
          </w:r>
          <w:r w:rsidR="00C64D64">
            <w:rPr>
              <w:rFonts w:cs="Times New Roman"/>
              <w:noProof/>
            </w:rPr>
            <w:fldChar w:fldCharType="separate"/>
          </w:r>
          <w:r w:rsidR="00814CEC" w:rsidRPr="00814CEC">
            <w:rPr>
              <w:rFonts w:cs="Times New Roman"/>
              <w:noProof/>
            </w:rPr>
            <w:t>(IRENA, 2018b)</w:t>
          </w:r>
          <w:r w:rsidR="00C64D64">
            <w:rPr>
              <w:rFonts w:cs="Times New Roman"/>
              <w:noProof/>
            </w:rPr>
            <w:fldChar w:fldCharType="end"/>
          </w:r>
        </w:sdtContent>
      </w:sdt>
      <w:r w:rsidR="00FF2149">
        <w:rPr>
          <w:rFonts w:cs="Times New Roman"/>
        </w:rPr>
        <w:t xml:space="preserve">. </w:t>
      </w:r>
      <w:r w:rsidR="00233C0E" w:rsidRPr="00061636">
        <w:rPr>
          <w:rFonts w:cs="Times New Roman"/>
        </w:rPr>
        <w:t xml:space="preserve">Several LCOE </w:t>
      </w:r>
      <w:r w:rsidR="00582B86" w:rsidRPr="00061636">
        <w:rPr>
          <w:rFonts w:cs="Times New Roman"/>
        </w:rPr>
        <w:t>assessments also</w:t>
      </w:r>
      <w:r w:rsidR="00233C0E" w:rsidRPr="00061636">
        <w:rPr>
          <w:rFonts w:cs="Times New Roman"/>
        </w:rPr>
        <w:t xml:space="preserve"> show that solar and also wind</w:t>
      </w:r>
      <w:r w:rsidRPr="00061636">
        <w:rPr>
          <w:rFonts w:cs="Times New Roman"/>
        </w:rPr>
        <w:t xml:space="preserve"> are now </w:t>
      </w:r>
      <w:r w:rsidR="00CE0F94" w:rsidRPr="00061636">
        <w:rPr>
          <w:rFonts w:cs="Times New Roman"/>
        </w:rPr>
        <w:t>cost-</w:t>
      </w:r>
      <w:r w:rsidRPr="00061636">
        <w:rPr>
          <w:rFonts w:cs="Times New Roman"/>
        </w:rPr>
        <w:t xml:space="preserve">competitive with conventional generation, </w:t>
      </w:r>
      <w:r w:rsidR="00CE0F94" w:rsidRPr="00061636">
        <w:rPr>
          <w:rFonts w:cs="Times New Roman"/>
        </w:rPr>
        <w:t>even without</w:t>
      </w:r>
      <w:r w:rsidR="00FA0A93" w:rsidRPr="00061636">
        <w:rPr>
          <w:rFonts w:cs="Times New Roman"/>
        </w:rPr>
        <w:t xml:space="preserve"> accounting for </w:t>
      </w:r>
      <w:r w:rsidRPr="00061636">
        <w:rPr>
          <w:rFonts w:cs="Times New Roman"/>
        </w:rPr>
        <w:t>the CO</w:t>
      </w:r>
      <w:r w:rsidRPr="00061636">
        <w:rPr>
          <w:rFonts w:cs="Times New Roman"/>
          <w:vertAlign w:val="subscript"/>
        </w:rPr>
        <w:t>2</w:t>
      </w:r>
      <w:r w:rsidRPr="00061636">
        <w:rPr>
          <w:rFonts w:cs="Times New Roman"/>
        </w:rPr>
        <w:t xml:space="preserve"> externality costs of fossil</w:t>
      </w:r>
      <w:r w:rsidR="00A72150" w:rsidRPr="00061636">
        <w:rPr>
          <w:rFonts w:cs="Times New Roman"/>
        </w:rPr>
        <w:t xml:space="preserve"> based energy</w:t>
      </w:r>
      <w:r w:rsidRPr="00061636">
        <w:rPr>
          <w:rFonts w:cs="Times New Roman"/>
        </w:rPr>
        <w:t>.</w:t>
      </w:r>
    </w:p>
    <w:p w14:paraId="23F30AA5" w14:textId="27F550DA" w:rsidR="00CB603A" w:rsidRPr="00061636" w:rsidRDefault="00CB603A" w:rsidP="00EB247F">
      <w:pPr>
        <w:rPr>
          <w:rFonts w:cs="Times New Roman"/>
        </w:rPr>
      </w:pPr>
      <w:r w:rsidRPr="00061636">
        <w:rPr>
          <w:rFonts w:cs="Times New Roman"/>
        </w:rPr>
        <w:t xml:space="preserve">While utility-scale PV is set to continue its rapid growth due to favorable </w:t>
      </w:r>
      <w:r w:rsidR="00FF2149" w:rsidRPr="00061636">
        <w:rPr>
          <w:rFonts w:cs="Times New Roman"/>
        </w:rPr>
        <w:t>economics,</w:t>
      </w:r>
      <w:r w:rsidRPr="00061636">
        <w:rPr>
          <w:rFonts w:cs="Times New Roman"/>
        </w:rPr>
        <w:t xml:space="preserve"> an encouraging regulatory </w:t>
      </w:r>
      <w:r w:rsidR="009E47B7" w:rsidRPr="00061636">
        <w:rPr>
          <w:rFonts w:cs="Times New Roman"/>
        </w:rPr>
        <w:t xml:space="preserve">and policy </w:t>
      </w:r>
      <w:r w:rsidRPr="00061636">
        <w:rPr>
          <w:rFonts w:cs="Times New Roman"/>
        </w:rPr>
        <w:t>framework</w:t>
      </w:r>
      <w:r w:rsidR="00FA0A93" w:rsidRPr="00061636">
        <w:rPr>
          <w:rFonts w:cs="Times New Roman"/>
        </w:rPr>
        <w:t xml:space="preserve"> is</w:t>
      </w:r>
      <w:r w:rsidRPr="00061636">
        <w:rPr>
          <w:rFonts w:cs="Times New Roman"/>
        </w:rPr>
        <w:t xml:space="preserve"> critical to</w:t>
      </w:r>
      <w:r w:rsidR="009E47B7" w:rsidRPr="00061636">
        <w:rPr>
          <w:rFonts w:cs="Times New Roman"/>
        </w:rPr>
        <w:t xml:space="preserve"> its</w:t>
      </w:r>
      <w:r w:rsidRPr="00061636">
        <w:rPr>
          <w:rFonts w:cs="Times New Roman"/>
        </w:rPr>
        <w:t xml:space="preserve"> accelerated adoption. After the landmark climate agreement signed in Paris in 2015, many countries have set ambitious targets for </w:t>
      </w:r>
      <w:r w:rsidR="00814EF4" w:rsidRPr="00061636">
        <w:rPr>
          <w:rFonts w:cs="Times New Roman"/>
        </w:rPr>
        <w:t>greenhouse gases (</w:t>
      </w:r>
      <w:r w:rsidRPr="00061636">
        <w:rPr>
          <w:rFonts w:cs="Times New Roman"/>
        </w:rPr>
        <w:t>GHG</w:t>
      </w:r>
      <w:r w:rsidR="00537FD9">
        <w:rPr>
          <w:rFonts w:cs="Times New Roman"/>
        </w:rPr>
        <w:t xml:space="preserve">) </w:t>
      </w:r>
      <w:r w:rsidRPr="00061636">
        <w:rPr>
          <w:rFonts w:cs="Times New Roman"/>
        </w:rPr>
        <w:t xml:space="preserve">emissions reductions as well as </w:t>
      </w:r>
      <w:r w:rsidR="00A72150" w:rsidRPr="00061636">
        <w:rPr>
          <w:rFonts w:cs="Times New Roman"/>
        </w:rPr>
        <w:t xml:space="preserve">substantial </w:t>
      </w:r>
      <w:r w:rsidRPr="00061636">
        <w:rPr>
          <w:rFonts w:cs="Times New Roman"/>
        </w:rPr>
        <w:t xml:space="preserve">renewable energy deployment. </w:t>
      </w:r>
      <w:r w:rsidR="009E47B7" w:rsidRPr="00061636">
        <w:rPr>
          <w:rFonts w:cs="Times New Roman"/>
        </w:rPr>
        <w:t>Many countries have adopted Renewable Purchase Obligations (RPO</w:t>
      </w:r>
      <w:r w:rsidR="00537FD9">
        <w:rPr>
          <w:rFonts w:cs="Times New Roman"/>
        </w:rPr>
        <w:t>)</w:t>
      </w:r>
      <w:r w:rsidR="009E47B7" w:rsidRPr="00061636">
        <w:rPr>
          <w:rFonts w:cs="Times New Roman"/>
        </w:rPr>
        <w:t xml:space="preserve"> mandate utilities to purchase a certain purchase of their</w:t>
      </w:r>
      <w:r w:rsidR="005B6B47" w:rsidRPr="00061636">
        <w:rPr>
          <w:rFonts w:cs="Times New Roman"/>
        </w:rPr>
        <w:t xml:space="preserve"> power from renewable sources.</w:t>
      </w:r>
      <w:r w:rsidRPr="00061636">
        <w:rPr>
          <w:rFonts w:cs="Times New Roman"/>
        </w:rPr>
        <w:t xml:space="preserve"> For </w:t>
      </w:r>
      <w:r w:rsidR="00FF2149" w:rsidRPr="00061636">
        <w:rPr>
          <w:rFonts w:cs="Times New Roman"/>
        </w:rPr>
        <w:t>instance.</w:t>
      </w:r>
      <w:r w:rsidR="00FA0A93" w:rsidRPr="00061636">
        <w:rPr>
          <w:rFonts w:cs="Times New Roman"/>
        </w:rPr>
        <w:t xml:space="preserve"> India has set a target of installing 100</w:t>
      </w:r>
      <w:r w:rsidR="009A5527">
        <w:rPr>
          <w:rFonts w:cs="Times New Roman"/>
        </w:rPr>
        <w:t xml:space="preserve"> </w:t>
      </w:r>
      <w:r w:rsidR="00FA0A93" w:rsidRPr="00061636">
        <w:rPr>
          <w:rFonts w:cs="Times New Roman"/>
        </w:rPr>
        <w:t>GW of SPV by 2022.</w:t>
      </w:r>
      <w:r w:rsidR="005B6B47" w:rsidRPr="00061636">
        <w:rPr>
          <w:rFonts w:cs="Times New Roman"/>
        </w:rPr>
        <w:t xml:space="preserve"> </w:t>
      </w:r>
      <w:r w:rsidR="00FA0A93" w:rsidRPr="00061636">
        <w:rPr>
          <w:rFonts w:cs="Times New Roman"/>
        </w:rPr>
        <w:t>I</w:t>
      </w:r>
      <w:r w:rsidR="005B6B47" w:rsidRPr="00061636">
        <w:rPr>
          <w:rFonts w:cs="Times New Roman"/>
        </w:rPr>
        <w:t>n the USA</w:t>
      </w:r>
      <w:r w:rsidRPr="00061636">
        <w:rPr>
          <w:rFonts w:cs="Times New Roman"/>
        </w:rPr>
        <w:t>, California’s regulation</w:t>
      </w:r>
      <w:r w:rsidR="005B6B47" w:rsidRPr="00061636">
        <w:rPr>
          <w:rFonts w:cs="Times New Roman"/>
        </w:rPr>
        <w:t>s</w:t>
      </w:r>
      <w:r w:rsidRPr="00061636">
        <w:rPr>
          <w:rFonts w:cs="Times New Roman"/>
        </w:rPr>
        <w:t xml:space="preserve"> require utility companies and electric service providers to increase their procurement of renewable energy to 33 percent of the total by 2020, and many of the state’s utilities have already met this </w:t>
      </w:r>
      <w:r w:rsidR="00FF2149" w:rsidRPr="00061636">
        <w:rPr>
          <w:rFonts w:cs="Times New Roman"/>
        </w:rPr>
        <w:t>target or</w:t>
      </w:r>
      <w:r w:rsidRPr="00061636">
        <w:rPr>
          <w:rFonts w:cs="Times New Roman"/>
        </w:rPr>
        <w:t xml:space="preserve"> are</w:t>
      </w:r>
      <w:r w:rsidR="00FA0A93" w:rsidRPr="00061636">
        <w:rPr>
          <w:rFonts w:cs="Times New Roman"/>
        </w:rPr>
        <w:t xml:space="preserve"> even</w:t>
      </w:r>
      <w:r w:rsidRPr="00061636">
        <w:rPr>
          <w:rFonts w:cs="Times New Roman"/>
        </w:rPr>
        <w:t xml:space="preserve"> exceeding </w:t>
      </w:r>
      <w:r w:rsidR="00537FD9">
        <w:rPr>
          <w:rFonts w:cs="Times New Roman"/>
        </w:rPr>
        <w:t>it</w:t>
      </w:r>
      <w:sdt>
        <w:sdtPr>
          <w:rPr>
            <w:rFonts w:cs="Times New Roman"/>
          </w:rPr>
          <w:id w:val="1990669609"/>
          <w:citation/>
        </w:sdtPr>
        <w:sdtContent>
          <w:r w:rsidR="0097352D">
            <w:rPr>
              <w:rFonts w:cs="Times New Roman"/>
            </w:rPr>
            <w:fldChar w:fldCharType="begin"/>
          </w:r>
          <w:r w:rsidR="00C64D64">
            <w:rPr>
              <w:rFonts w:cs="Times New Roman"/>
            </w:rPr>
            <w:instrText xml:space="preserve">CITATION CPU15 \l 1033 </w:instrText>
          </w:r>
          <w:r w:rsidR="0097352D">
            <w:rPr>
              <w:rFonts w:cs="Times New Roman"/>
            </w:rPr>
            <w:fldChar w:fldCharType="separate"/>
          </w:r>
          <w:r w:rsidR="00C64D64">
            <w:rPr>
              <w:rFonts w:cs="Times New Roman"/>
              <w:noProof/>
            </w:rPr>
            <w:t xml:space="preserve"> </w:t>
          </w:r>
          <w:r w:rsidR="00C64D64" w:rsidRPr="00C64D64">
            <w:rPr>
              <w:rFonts w:cs="Times New Roman"/>
              <w:noProof/>
            </w:rPr>
            <w:t>(CPUC, 2015)</w:t>
          </w:r>
          <w:r w:rsidR="0097352D">
            <w:rPr>
              <w:rFonts w:cs="Times New Roman"/>
            </w:rPr>
            <w:fldChar w:fldCharType="end"/>
          </w:r>
        </w:sdtContent>
      </w:sdt>
      <w:r w:rsidRPr="00061636">
        <w:rPr>
          <w:rFonts w:cs="Times New Roman"/>
        </w:rPr>
        <w:t xml:space="preserve">. With increasing pressure on energy utilities and state and national governments to </w:t>
      </w:r>
      <w:r w:rsidR="00A72150" w:rsidRPr="00061636">
        <w:rPr>
          <w:rFonts w:cs="Times New Roman"/>
        </w:rPr>
        <w:t xml:space="preserve">source </w:t>
      </w:r>
      <w:r w:rsidRPr="00061636">
        <w:rPr>
          <w:rFonts w:cs="Times New Roman"/>
        </w:rPr>
        <w:t>an increasing amount of electricity through renewable sources, and given the competitive economics of utility-scale PV, the market is primed to continue its rapid growth.</w:t>
      </w:r>
    </w:p>
    <w:p w14:paraId="34222FBE" w14:textId="68759001" w:rsidR="00D1508C" w:rsidRPr="00582B86" w:rsidRDefault="00802B1A" w:rsidP="00FF2149">
      <w:pPr>
        <w:pStyle w:val="Heading3"/>
        <w:numPr>
          <w:ilvl w:val="0"/>
          <w:numId w:val="0"/>
        </w:numPr>
      </w:pPr>
      <w:bookmarkStart w:id="14" w:name="_Toc10331902"/>
      <w:r w:rsidRPr="00582B86">
        <w:t>1.3.5</w:t>
      </w:r>
      <w:r w:rsidRPr="00582B86">
        <w:tab/>
      </w:r>
      <w:r w:rsidR="551A77D0" w:rsidRPr="00582B86">
        <w:t>Adoption</w:t>
      </w:r>
      <w:r w:rsidR="006E6C65" w:rsidRPr="00582B86">
        <w:t xml:space="preserve"> </w:t>
      </w:r>
      <w:r w:rsidR="551A77D0" w:rsidRPr="00582B86">
        <w:t>Potential</w:t>
      </w:r>
      <w:bookmarkEnd w:id="14"/>
    </w:p>
    <w:p w14:paraId="76CA7972" w14:textId="092B8E85" w:rsidR="00CB603A" w:rsidRPr="00061636" w:rsidRDefault="00EF21F4" w:rsidP="005D49A8">
      <w:pPr>
        <w:rPr>
          <w:rFonts w:eastAsia="Times New Roman" w:cs="Times New Roman"/>
          <w:lang w:eastAsia="en-US"/>
        </w:rPr>
      </w:pPr>
      <w:r w:rsidRPr="00061636">
        <w:rPr>
          <w:rFonts w:eastAsia="Times New Roman" w:cs="Times New Roman"/>
          <w:lang w:eastAsia="en-US"/>
        </w:rPr>
        <w:t>Most adoption scenarios in the literature predict</w:t>
      </w:r>
      <w:r w:rsidR="0097352D">
        <w:rPr>
          <w:rFonts w:eastAsia="Times New Roman" w:cs="Times New Roman"/>
          <w:lang w:eastAsia="en-US"/>
        </w:rPr>
        <w:t>ed</w:t>
      </w:r>
      <w:r w:rsidRPr="00061636">
        <w:rPr>
          <w:rFonts w:eastAsia="Times New Roman" w:cs="Times New Roman"/>
          <w:lang w:eastAsia="en-US"/>
        </w:rPr>
        <w:t xml:space="preserve"> low, single-digit percentages of </w:t>
      </w:r>
      <w:r w:rsidR="0097352D">
        <w:rPr>
          <w:rFonts w:eastAsia="Times New Roman" w:cs="Times New Roman"/>
          <w:lang w:eastAsia="en-US"/>
        </w:rPr>
        <w:t xml:space="preserve">growth in </w:t>
      </w:r>
      <w:r w:rsidRPr="00061636">
        <w:rPr>
          <w:rFonts w:eastAsia="Times New Roman" w:cs="Times New Roman"/>
          <w:lang w:eastAsia="en-US"/>
        </w:rPr>
        <w:t>total electricity</w:t>
      </w:r>
      <w:r w:rsidR="0097352D">
        <w:rPr>
          <w:rFonts w:eastAsia="Times New Roman" w:cs="Times New Roman"/>
          <w:lang w:eastAsia="en-US"/>
        </w:rPr>
        <w:t xml:space="preserve"> generation through</w:t>
      </w:r>
      <w:r w:rsidRPr="00061636">
        <w:rPr>
          <w:rFonts w:eastAsia="Times New Roman" w:cs="Times New Roman"/>
          <w:lang w:eastAsia="en-US"/>
        </w:rPr>
        <w:t xml:space="preserve"> solar </w:t>
      </w:r>
      <w:r w:rsidR="00FF2149" w:rsidRPr="00061636">
        <w:rPr>
          <w:rFonts w:eastAsia="Times New Roman" w:cs="Times New Roman"/>
          <w:lang w:eastAsia="en-US"/>
        </w:rPr>
        <w:t>photovoltaic</w:t>
      </w:r>
      <w:r w:rsidR="00FF2149">
        <w:rPr>
          <w:rFonts w:eastAsia="Times New Roman" w:cs="Times New Roman"/>
          <w:lang w:eastAsia="en-US"/>
        </w:rPr>
        <w:t>s</w:t>
      </w:r>
      <w:r w:rsidR="00FF2149" w:rsidRPr="00061636">
        <w:rPr>
          <w:rFonts w:eastAsia="Times New Roman" w:cs="Times New Roman"/>
          <w:lang w:eastAsia="en-US"/>
        </w:rPr>
        <w:t xml:space="preserve"> by</w:t>
      </w:r>
      <w:r w:rsidRPr="00061636">
        <w:rPr>
          <w:rFonts w:eastAsia="Times New Roman" w:cs="Times New Roman"/>
          <w:lang w:eastAsia="en-US"/>
        </w:rPr>
        <w:t xml:space="preserve"> the mid-point of the </w:t>
      </w:r>
      <w:r w:rsidR="00FF2149" w:rsidRPr="00061636">
        <w:rPr>
          <w:rFonts w:eastAsia="Times New Roman" w:cs="Times New Roman"/>
          <w:lang w:eastAsia="en-US"/>
        </w:rPr>
        <w:t xml:space="preserve">century; </w:t>
      </w:r>
      <w:r w:rsidR="00FF2149">
        <w:rPr>
          <w:rFonts w:eastAsia="Times New Roman" w:cs="Times New Roman"/>
          <w:lang w:eastAsia="en-US"/>
        </w:rPr>
        <w:t>these</w:t>
      </w:r>
      <w:r w:rsidR="0097352D">
        <w:rPr>
          <w:rFonts w:eastAsia="Times New Roman" w:cs="Times New Roman"/>
          <w:lang w:eastAsia="en-US"/>
        </w:rPr>
        <w:t xml:space="preserve"> included the</w:t>
      </w:r>
      <w:r w:rsidR="00F74517" w:rsidRPr="00061636">
        <w:rPr>
          <w:rFonts w:eastAsia="Times New Roman" w:cs="Times New Roman"/>
          <w:lang w:eastAsia="en-US"/>
        </w:rPr>
        <w:t xml:space="preserve"> IEA</w:t>
      </w:r>
      <w:r w:rsidR="0097352D">
        <w:rPr>
          <w:rFonts w:eastAsia="Times New Roman" w:cs="Times New Roman"/>
          <w:lang w:eastAsia="en-US"/>
        </w:rPr>
        <w:t>’s</w:t>
      </w:r>
      <w:r w:rsidR="00F74517" w:rsidRPr="00061636">
        <w:rPr>
          <w:rFonts w:eastAsia="Times New Roman" w:cs="Times New Roman"/>
          <w:lang w:eastAsia="en-US"/>
        </w:rPr>
        <w:t xml:space="preserve"> E</w:t>
      </w:r>
      <w:r w:rsidR="0097352D">
        <w:rPr>
          <w:rFonts w:eastAsia="Times New Roman" w:cs="Times New Roman"/>
          <w:lang w:eastAsia="en-US"/>
        </w:rPr>
        <w:t xml:space="preserve">nergy </w:t>
      </w:r>
      <w:r w:rsidR="00F74517" w:rsidRPr="00061636">
        <w:rPr>
          <w:rFonts w:eastAsia="Times New Roman" w:cs="Times New Roman"/>
          <w:lang w:eastAsia="en-US"/>
        </w:rPr>
        <w:t>T</w:t>
      </w:r>
      <w:r w:rsidR="0097352D">
        <w:rPr>
          <w:rFonts w:eastAsia="Times New Roman" w:cs="Times New Roman"/>
          <w:lang w:eastAsia="en-US"/>
        </w:rPr>
        <w:t xml:space="preserve">echnology </w:t>
      </w:r>
      <w:r w:rsidR="00F74517" w:rsidRPr="00061636">
        <w:rPr>
          <w:rFonts w:eastAsia="Times New Roman" w:cs="Times New Roman"/>
          <w:lang w:eastAsia="en-US"/>
        </w:rPr>
        <w:t>P</w:t>
      </w:r>
      <w:r w:rsidR="0097352D">
        <w:rPr>
          <w:rFonts w:eastAsia="Times New Roman" w:cs="Times New Roman"/>
          <w:lang w:eastAsia="en-US"/>
        </w:rPr>
        <w:t>erspective</w:t>
      </w:r>
      <w:r w:rsidR="00F74517" w:rsidRPr="00061636">
        <w:rPr>
          <w:rFonts w:eastAsia="Times New Roman" w:cs="Times New Roman"/>
          <w:lang w:eastAsia="en-US"/>
        </w:rPr>
        <w:t xml:space="preserve"> (2016)</w:t>
      </w:r>
      <w:r w:rsidR="0097352D">
        <w:rPr>
          <w:rFonts w:eastAsia="Times New Roman" w:cs="Times New Roman"/>
          <w:lang w:eastAsia="en-US"/>
        </w:rPr>
        <w:t xml:space="preserve"> with </w:t>
      </w:r>
      <w:r w:rsidR="00FF2149">
        <w:rPr>
          <w:rFonts w:eastAsia="Times New Roman" w:cs="Times New Roman"/>
          <w:lang w:eastAsia="en-US"/>
        </w:rPr>
        <w:t xml:space="preserve">its </w:t>
      </w:r>
      <w:r w:rsidR="00FF2149" w:rsidRPr="00061636">
        <w:rPr>
          <w:rFonts w:eastAsia="Times New Roman" w:cs="Times New Roman"/>
          <w:lang w:eastAsia="en-US"/>
        </w:rPr>
        <w:t>6</w:t>
      </w:r>
      <w:r w:rsidR="00F74517" w:rsidRPr="00061636">
        <w:rPr>
          <w:rFonts w:eastAsia="Times New Roman" w:cs="Times New Roman"/>
          <w:lang w:eastAsia="en-US"/>
        </w:rPr>
        <w:t>DS</w:t>
      </w:r>
      <w:r w:rsidR="00537FD9">
        <w:rPr>
          <w:rFonts w:eastAsia="Times New Roman" w:cs="Times New Roman"/>
          <w:lang w:eastAsia="en-US"/>
        </w:rPr>
        <w:t xml:space="preserve"> </w:t>
      </w:r>
      <w:r w:rsidR="00F74517" w:rsidRPr="00061636">
        <w:rPr>
          <w:rFonts w:eastAsia="Times New Roman" w:cs="Times New Roman"/>
          <w:lang w:eastAsia="en-US"/>
        </w:rPr>
        <w:t>and 4DS</w:t>
      </w:r>
      <w:r w:rsidR="00537FD9">
        <w:rPr>
          <w:rFonts w:eastAsia="Times New Roman" w:cs="Times New Roman"/>
          <w:lang w:eastAsia="en-US"/>
        </w:rPr>
        <w:t xml:space="preserve"> </w:t>
      </w:r>
      <w:r w:rsidR="00F74517" w:rsidRPr="00061636">
        <w:rPr>
          <w:rFonts w:eastAsia="Times New Roman" w:cs="Times New Roman"/>
          <w:lang w:eastAsia="en-US"/>
        </w:rPr>
        <w:t xml:space="preserve">scenarios with 4.2% (2187 </w:t>
      </w:r>
      <w:proofErr w:type="spellStart"/>
      <w:r w:rsidR="00F74517" w:rsidRPr="00061636">
        <w:rPr>
          <w:rFonts w:eastAsia="Times New Roman" w:cs="Times New Roman"/>
          <w:lang w:eastAsia="en-US"/>
        </w:rPr>
        <w:t>TWh</w:t>
      </w:r>
      <w:proofErr w:type="spellEnd"/>
      <w:r w:rsidR="00F74517" w:rsidRPr="00061636">
        <w:rPr>
          <w:rFonts w:eastAsia="Times New Roman" w:cs="Times New Roman"/>
          <w:lang w:eastAsia="en-US"/>
        </w:rPr>
        <w:t>) and</w:t>
      </w:r>
      <w:r w:rsidR="00FF2149">
        <w:rPr>
          <w:rFonts w:eastAsia="Times New Roman" w:cs="Times New Roman"/>
          <w:lang w:eastAsia="en-US"/>
        </w:rPr>
        <w:t xml:space="preserve"> </w:t>
      </w:r>
      <w:r w:rsidR="00F74517" w:rsidRPr="00061636">
        <w:rPr>
          <w:rFonts w:eastAsia="Times New Roman" w:cs="Times New Roman"/>
          <w:lang w:eastAsia="en-US"/>
        </w:rPr>
        <w:t xml:space="preserve">5.8% (2703 </w:t>
      </w:r>
      <w:proofErr w:type="spellStart"/>
      <w:r w:rsidR="00F74517" w:rsidRPr="00061636">
        <w:rPr>
          <w:rFonts w:eastAsia="Times New Roman" w:cs="Times New Roman"/>
          <w:lang w:eastAsia="en-US"/>
        </w:rPr>
        <w:t>TWh</w:t>
      </w:r>
      <w:proofErr w:type="spellEnd"/>
      <w:r w:rsidR="00F74517" w:rsidRPr="00061636">
        <w:rPr>
          <w:rFonts w:eastAsia="Times New Roman" w:cs="Times New Roman"/>
          <w:lang w:eastAsia="en-US"/>
        </w:rPr>
        <w:t>)</w:t>
      </w:r>
      <w:r w:rsidR="00AF78D3" w:rsidRPr="00061636">
        <w:rPr>
          <w:rFonts w:eastAsia="Times New Roman" w:cs="Times New Roman"/>
          <w:lang w:eastAsia="en-US"/>
        </w:rPr>
        <w:t xml:space="preserve"> respectively. B</w:t>
      </w:r>
      <w:r w:rsidRPr="00061636">
        <w:rPr>
          <w:rFonts w:eastAsia="Times New Roman" w:cs="Times New Roman"/>
          <w:lang w:eastAsia="en-US"/>
        </w:rPr>
        <w:t xml:space="preserve">ut some, such as the Greenpeace Energy [R]evolution scenarios, </w:t>
      </w:r>
      <w:r w:rsidR="00FF2149" w:rsidRPr="00061636">
        <w:rPr>
          <w:rFonts w:eastAsia="Times New Roman" w:cs="Times New Roman"/>
          <w:lang w:eastAsia="en-US"/>
        </w:rPr>
        <w:t>envision renewables</w:t>
      </w:r>
      <w:r w:rsidR="00A72150" w:rsidRPr="00061636">
        <w:rPr>
          <w:rFonts w:eastAsia="Times New Roman" w:cs="Times New Roman"/>
          <w:lang w:eastAsia="en-US"/>
        </w:rPr>
        <w:t xml:space="preserve"> </w:t>
      </w:r>
      <w:r w:rsidRPr="00061636">
        <w:rPr>
          <w:rFonts w:eastAsia="Times New Roman" w:cs="Times New Roman"/>
          <w:lang w:eastAsia="en-US"/>
        </w:rPr>
        <w:t>holding a much larger share of future electricity generation (near</w:t>
      </w:r>
      <w:r w:rsidR="00A72150" w:rsidRPr="00061636">
        <w:rPr>
          <w:rFonts w:eastAsia="Times New Roman" w:cs="Times New Roman"/>
          <w:lang w:eastAsia="en-US"/>
        </w:rPr>
        <w:t>ly</w:t>
      </w:r>
      <w:r w:rsidRPr="00061636">
        <w:rPr>
          <w:rFonts w:eastAsia="Times New Roman" w:cs="Times New Roman"/>
          <w:lang w:eastAsia="en-US"/>
        </w:rPr>
        <w:t xml:space="preserve"> 20 percent of the electricity generation mix</w:t>
      </w:r>
      <w:r w:rsidR="00A72150" w:rsidRPr="00061636">
        <w:rPr>
          <w:rFonts w:eastAsia="Times New Roman" w:cs="Times New Roman"/>
          <w:lang w:eastAsia="en-US"/>
        </w:rPr>
        <w:t xml:space="preserve"> by 2050</w:t>
      </w:r>
      <w:r w:rsidRPr="00061636">
        <w:rPr>
          <w:rFonts w:eastAsia="Times New Roman" w:cs="Times New Roman"/>
          <w:lang w:eastAsia="en-US"/>
        </w:rPr>
        <w:t>)</w:t>
      </w:r>
      <w:r w:rsidR="00A72150" w:rsidRPr="00061636">
        <w:rPr>
          <w:rFonts w:eastAsia="Times New Roman" w:cs="Times New Roman"/>
          <w:lang w:eastAsia="en-US"/>
        </w:rPr>
        <w:t>. This estimate is</w:t>
      </w:r>
      <w:r w:rsidR="00AF78D3" w:rsidRPr="00061636">
        <w:rPr>
          <w:rFonts w:eastAsia="Times New Roman" w:cs="Times New Roman"/>
          <w:lang w:eastAsia="en-US"/>
        </w:rPr>
        <w:t xml:space="preserve"> </w:t>
      </w:r>
      <w:r w:rsidR="00176B3E" w:rsidRPr="00061636">
        <w:rPr>
          <w:rFonts w:eastAsia="Times New Roman" w:cs="Times New Roman"/>
          <w:lang w:eastAsia="en-US"/>
        </w:rPr>
        <w:t>close to</w:t>
      </w:r>
      <w:r w:rsidR="00A72150" w:rsidRPr="00061636">
        <w:rPr>
          <w:rFonts w:eastAsia="Times New Roman" w:cs="Times New Roman"/>
          <w:lang w:eastAsia="en-US"/>
        </w:rPr>
        <w:t xml:space="preserve"> the figure of </w:t>
      </w:r>
      <w:r w:rsidR="00AF78D3" w:rsidRPr="00061636">
        <w:rPr>
          <w:rFonts w:eastAsia="Times New Roman" w:cs="Times New Roman"/>
          <w:lang w:eastAsia="en-US"/>
        </w:rPr>
        <w:t>10000</w:t>
      </w:r>
      <w:r w:rsidR="009A5527">
        <w:rPr>
          <w:rFonts w:eastAsia="Times New Roman" w:cs="Times New Roman"/>
          <w:lang w:eastAsia="en-US"/>
        </w:rPr>
        <w:t xml:space="preserve"> </w:t>
      </w:r>
      <w:proofErr w:type="spellStart"/>
      <w:r w:rsidR="00AF78D3" w:rsidRPr="00061636">
        <w:rPr>
          <w:rFonts w:eastAsia="Times New Roman" w:cs="Times New Roman"/>
          <w:lang w:eastAsia="en-US"/>
        </w:rPr>
        <w:t>TWh</w:t>
      </w:r>
      <w:proofErr w:type="spellEnd"/>
      <w:r w:rsidR="00A72150" w:rsidRPr="00061636">
        <w:rPr>
          <w:rFonts w:eastAsia="Times New Roman" w:cs="Times New Roman"/>
          <w:lang w:eastAsia="en-US"/>
        </w:rPr>
        <w:t xml:space="preserve"> electricity generation</w:t>
      </w:r>
      <w:r w:rsidRPr="00061636">
        <w:rPr>
          <w:rFonts w:eastAsia="Times New Roman" w:cs="Times New Roman"/>
          <w:lang w:eastAsia="en-US"/>
        </w:rPr>
        <w:t xml:space="preserve"> </w:t>
      </w:r>
      <w:r w:rsidR="00176B3E" w:rsidRPr="00061636">
        <w:rPr>
          <w:rFonts w:eastAsia="Times New Roman" w:cs="Times New Roman"/>
          <w:lang w:eastAsia="en-US"/>
        </w:rPr>
        <w:t xml:space="preserve">in the Energy [R]evolution scenario and around 13612 </w:t>
      </w:r>
      <w:proofErr w:type="spellStart"/>
      <w:r w:rsidR="00176B3E" w:rsidRPr="00061636">
        <w:rPr>
          <w:rFonts w:eastAsia="Times New Roman" w:cs="Times New Roman"/>
          <w:lang w:eastAsia="en-US"/>
        </w:rPr>
        <w:t>TWh</w:t>
      </w:r>
      <w:proofErr w:type="spellEnd"/>
      <w:r w:rsidR="00176B3E" w:rsidRPr="00061636">
        <w:rPr>
          <w:rFonts w:eastAsia="Times New Roman" w:cs="Times New Roman"/>
          <w:lang w:eastAsia="en-US"/>
        </w:rPr>
        <w:t xml:space="preserve"> in the Advanced Revolution Scenario </w:t>
      </w:r>
      <w:r w:rsidR="00813873" w:rsidRPr="007814BE">
        <w:rPr>
          <w:rFonts w:eastAsia="Times New Roman" w:cs="Times New Roman"/>
          <w:noProof/>
          <w:lang w:eastAsia="en-US"/>
        </w:rPr>
        <w:t>(Teske, 2015)</w:t>
      </w:r>
      <w:r w:rsidR="00593408">
        <w:rPr>
          <w:rFonts w:eastAsia="Times New Roman" w:cs="Times New Roman"/>
          <w:lang w:eastAsia="en-US"/>
        </w:rPr>
        <w:t>.</w:t>
      </w:r>
    </w:p>
    <w:p w14:paraId="1F0EEA00" w14:textId="06CA92C8" w:rsidR="000412C7" w:rsidRPr="00061636" w:rsidRDefault="000412C7" w:rsidP="005D49A8">
      <w:pPr>
        <w:rPr>
          <w:rFonts w:eastAsia="Times New Roman" w:cs="Times New Roman"/>
          <w:lang w:eastAsia="en-US"/>
        </w:rPr>
      </w:pPr>
      <w:r w:rsidRPr="00061636">
        <w:rPr>
          <w:rFonts w:cs="Times New Roman"/>
        </w:rPr>
        <w:t>In 2018, IRENA has also come out with another scenario called R</w:t>
      </w:r>
      <w:r w:rsidR="00537FD9" w:rsidRPr="00061636">
        <w:rPr>
          <w:rFonts w:cs="Times New Roman"/>
        </w:rPr>
        <w:t>e</w:t>
      </w:r>
      <w:r w:rsidRPr="00061636">
        <w:rPr>
          <w:rFonts w:cs="Times New Roman"/>
        </w:rPr>
        <w:t>map</w:t>
      </w:r>
      <w:r w:rsidR="00537FD9">
        <w:rPr>
          <w:rFonts w:cs="Times New Roman"/>
        </w:rPr>
        <w:t xml:space="preserve"> </w:t>
      </w:r>
      <w:r w:rsidRPr="00061636">
        <w:rPr>
          <w:rFonts w:cs="Times New Roman"/>
        </w:rPr>
        <w:t>which foresees the share of SPV rising from 1% of electricity generation at present to 22% by the year 2050</w:t>
      </w:r>
      <w:r w:rsidR="009A5527">
        <w:rPr>
          <w:rFonts w:cs="Times New Roman"/>
        </w:rPr>
        <w:t xml:space="preserve"> </w:t>
      </w:r>
      <w:sdt>
        <w:sdtPr>
          <w:rPr>
            <w:rFonts w:cs="Times New Roman"/>
          </w:rPr>
          <w:id w:val="-1781097541"/>
          <w:citation/>
        </w:sdtPr>
        <w:sdtContent>
          <w:r w:rsidR="00593408">
            <w:rPr>
              <w:rFonts w:cs="Times New Roman"/>
            </w:rPr>
            <w:fldChar w:fldCharType="begin"/>
          </w:r>
          <w:r w:rsidR="00814CEC">
            <w:rPr>
              <w:rFonts w:cs="Times New Roman"/>
            </w:rPr>
            <w:instrText xml:space="preserve">CITATION IRE181 \l 1033 </w:instrText>
          </w:r>
          <w:r w:rsidR="00593408">
            <w:rPr>
              <w:rFonts w:cs="Times New Roman"/>
            </w:rPr>
            <w:fldChar w:fldCharType="separate"/>
          </w:r>
          <w:r w:rsidR="00814CEC" w:rsidRPr="00814CEC">
            <w:rPr>
              <w:rFonts w:cs="Times New Roman"/>
              <w:noProof/>
            </w:rPr>
            <w:t>(IRENA, 2018d)</w:t>
          </w:r>
          <w:r w:rsidR="00593408">
            <w:rPr>
              <w:rFonts w:cs="Times New Roman"/>
            </w:rPr>
            <w:fldChar w:fldCharType="end"/>
          </w:r>
        </w:sdtContent>
      </w:sdt>
      <w:r w:rsidRPr="00061636">
        <w:rPr>
          <w:rFonts w:cs="Times New Roman"/>
        </w:rPr>
        <w:t>.</w:t>
      </w:r>
    </w:p>
    <w:p w14:paraId="28302F17" w14:textId="11D06805" w:rsidR="005B6B47" w:rsidRPr="00061636" w:rsidRDefault="005B6B47" w:rsidP="005D49A8">
      <w:pPr>
        <w:rPr>
          <w:rFonts w:eastAsia="Times New Roman" w:cs="Times New Roman"/>
          <w:lang w:eastAsia="en-US"/>
        </w:rPr>
      </w:pPr>
      <w:bookmarkStart w:id="15" w:name="_Hlk533587033"/>
      <w:r w:rsidRPr="00061636">
        <w:rPr>
          <w:rFonts w:eastAsia="Times New Roman" w:cs="Times New Roman"/>
          <w:lang w:eastAsia="en-US"/>
        </w:rPr>
        <w:lastRenderedPageBreak/>
        <w:t xml:space="preserve">Two highly ambitious scenarios which foresee a 100% switch over to renewable energy are the </w:t>
      </w:r>
      <w:r w:rsidR="00E43DF0">
        <w:rPr>
          <w:rFonts w:eastAsia="Times New Roman" w:cs="Times New Roman"/>
          <w:lang w:eastAsia="en-US"/>
        </w:rPr>
        <w:t>Ram et. al. (2017)</w:t>
      </w:r>
      <w:r w:rsidRPr="00061636">
        <w:rPr>
          <w:rFonts w:eastAsia="Times New Roman" w:cs="Times New Roman"/>
          <w:lang w:eastAsia="en-US"/>
        </w:rPr>
        <w:t xml:space="preserve"> and the </w:t>
      </w:r>
      <w:proofErr w:type="spellStart"/>
      <w:r w:rsidR="00E43DF0">
        <w:rPr>
          <w:rFonts w:eastAsia="Times New Roman" w:cs="Times New Roman"/>
          <w:lang w:eastAsia="en-US"/>
        </w:rPr>
        <w:t>Ecofys</w:t>
      </w:r>
      <w:proofErr w:type="spellEnd"/>
      <w:r w:rsidR="00537FD9">
        <w:rPr>
          <w:rFonts w:eastAsia="Times New Roman" w:cs="Times New Roman"/>
          <w:lang w:eastAsia="en-US"/>
        </w:rPr>
        <w:t xml:space="preserve"> </w:t>
      </w:r>
      <w:r w:rsidRPr="00061636">
        <w:rPr>
          <w:rFonts w:eastAsia="Times New Roman" w:cs="Times New Roman"/>
          <w:lang w:eastAsia="en-US"/>
        </w:rPr>
        <w:t xml:space="preserve">scenarios. </w:t>
      </w:r>
      <w:r w:rsidR="00E43DF0">
        <w:rPr>
          <w:rFonts w:eastAsia="Times New Roman" w:cs="Times New Roman"/>
          <w:lang w:eastAsia="en-US"/>
        </w:rPr>
        <w:t>Ram et al (2107) study projects</w:t>
      </w:r>
      <w:r w:rsidRPr="00061636">
        <w:rPr>
          <w:rFonts w:eastAsia="Times New Roman" w:cs="Times New Roman"/>
          <w:lang w:eastAsia="en-US"/>
        </w:rPr>
        <w:t xml:space="preserve"> an 85-fold increase of SPV generation from 187 </w:t>
      </w:r>
      <w:proofErr w:type="spellStart"/>
      <w:r w:rsidRPr="00061636">
        <w:rPr>
          <w:rFonts w:eastAsia="Times New Roman" w:cs="Times New Roman"/>
          <w:lang w:eastAsia="en-US"/>
        </w:rPr>
        <w:t>TWh</w:t>
      </w:r>
      <w:proofErr w:type="spellEnd"/>
      <w:r w:rsidRPr="00061636">
        <w:rPr>
          <w:rFonts w:eastAsia="Times New Roman" w:cs="Times New Roman"/>
          <w:lang w:eastAsia="en-US"/>
        </w:rPr>
        <w:t xml:space="preserve"> in 2015 to almost 16</w:t>
      </w:r>
      <w:r w:rsidR="0007144C">
        <w:rPr>
          <w:rFonts w:eastAsia="Times New Roman" w:cs="Times New Roman"/>
          <w:lang w:eastAsia="en-US"/>
        </w:rPr>
        <w:t>,</w:t>
      </w:r>
      <w:r w:rsidRPr="00061636">
        <w:rPr>
          <w:rFonts w:eastAsia="Times New Roman" w:cs="Times New Roman"/>
          <w:lang w:eastAsia="en-US"/>
        </w:rPr>
        <w:t xml:space="preserve">000 </w:t>
      </w:r>
      <w:proofErr w:type="spellStart"/>
      <w:r w:rsidRPr="00061636">
        <w:rPr>
          <w:rFonts w:eastAsia="Times New Roman" w:cs="Times New Roman"/>
          <w:lang w:eastAsia="en-US"/>
        </w:rPr>
        <w:t>TWh</w:t>
      </w:r>
      <w:proofErr w:type="spellEnd"/>
      <w:r w:rsidRPr="00061636">
        <w:rPr>
          <w:rFonts w:eastAsia="Times New Roman" w:cs="Times New Roman"/>
          <w:lang w:eastAsia="en-US"/>
        </w:rPr>
        <w:t xml:space="preserve"> by 2040 whereas the ECOFYS report (</w:t>
      </w:r>
      <w:r w:rsidR="00C5604A" w:rsidRPr="00061636">
        <w:rPr>
          <w:rFonts w:eastAsia="Times New Roman" w:cs="Times New Roman"/>
          <w:lang w:eastAsia="en-US"/>
        </w:rPr>
        <w:t>evocatively</w:t>
      </w:r>
      <w:r w:rsidRPr="00061636">
        <w:rPr>
          <w:rFonts w:eastAsia="Times New Roman" w:cs="Times New Roman"/>
          <w:lang w:eastAsia="en-US"/>
        </w:rPr>
        <w:t xml:space="preserve"> called ‘A Disruptive Approach’) foresees an almost 200-fold rise from 112 </w:t>
      </w:r>
      <w:proofErr w:type="spellStart"/>
      <w:r w:rsidRPr="00061636">
        <w:rPr>
          <w:rFonts w:eastAsia="Times New Roman" w:cs="Times New Roman"/>
          <w:lang w:eastAsia="en-US"/>
        </w:rPr>
        <w:t>TWh</w:t>
      </w:r>
      <w:proofErr w:type="spellEnd"/>
      <w:r w:rsidRPr="00061636">
        <w:rPr>
          <w:rFonts w:eastAsia="Times New Roman" w:cs="Times New Roman"/>
          <w:lang w:eastAsia="en-US"/>
        </w:rPr>
        <w:t xml:space="preserve"> in 2014 to 22,222 </w:t>
      </w:r>
      <w:proofErr w:type="spellStart"/>
      <w:r w:rsidRPr="00061636">
        <w:rPr>
          <w:rFonts w:eastAsia="Times New Roman" w:cs="Times New Roman"/>
          <w:lang w:eastAsia="en-US"/>
        </w:rPr>
        <w:t>TWh</w:t>
      </w:r>
      <w:proofErr w:type="spellEnd"/>
      <w:r w:rsidRPr="00061636">
        <w:rPr>
          <w:rFonts w:eastAsia="Times New Roman" w:cs="Times New Roman"/>
          <w:lang w:eastAsia="en-US"/>
        </w:rPr>
        <w:t xml:space="preserve"> in 2040 </w:t>
      </w:r>
      <w:sdt>
        <w:sdtPr>
          <w:rPr>
            <w:rFonts w:eastAsia="Times New Roman" w:cs="Times New Roman"/>
            <w:lang w:eastAsia="en-US"/>
          </w:rPr>
          <w:id w:val="-1331213676"/>
          <w:citation/>
        </w:sdtPr>
        <w:sdtContent>
          <w:r w:rsidR="00F201C3">
            <w:rPr>
              <w:rFonts w:eastAsia="Times New Roman" w:cs="Times New Roman"/>
              <w:lang w:eastAsia="en-US"/>
            </w:rPr>
            <w:fldChar w:fldCharType="begin"/>
          </w:r>
          <w:r w:rsidR="003A1D86">
            <w:rPr>
              <w:rFonts w:eastAsia="Times New Roman" w:cs="Times New Roman"/>
              <w:lang w:eastAsia="en-US"/>
            </w:rPr>
            <w:instrText xml:space="preserve">CITATION Blo18 \l 1033 </w:instrText>
          </w:r>
          <w:r w:rsidR="00F201C3">
            <w:rPr>
              <w:rFonts w:eastAsia="Times New Roman" w:cs="Times New Roman"/>
              <w:lang w:eastAsia="en-US"/>
            </w:rPr>
            <w:fldChar w:fldCharType="separate"/>
          </w:r>
          <w:r w:rsidR="003A1D86" w:rsidRPr="003A1D86">
            <w:rPr>
              <w:rFonts w:eastAsia="Times New Roman" w:cs="Times New Roman"/>
              <w:noProof/>
              <w:lang w:eastAsia="en-US"/>
            </w:rPr>
            <w:t>(Blok, 2018)</w:t>
          </w:r>
          <w:r w:rsidR="00F201C3">
            <w:rPr>
              <w:rFonts w:eastAsia="Times New Roman" w:cs="Times New Roman"/>
              <w:lang w:eastAsia="en-US"/>
            </w:rPr>
            <w:fldChar w:fldCharType="end"/>
          </w:r>
        </w:sdtContent>
      </w:sdt>
      <w:bookmarkEnd w:id="15"/>
      <w:r w:rsidRPr="00061636">
        <w:rPr>
          <w:rFonts w:eastAsia="Times New Roman" w:cs="Times New Roman"/>
          <w:lang w:eastAsia="en-US"/>
        </w:rPr>
        <w:t>.</w:t>
      </w:r>
    </w:p>
    <w:p w14:paraId="12A2F24A" w14:textId="3E4968DF" w:rsidR="001C49CB" w:rsidRPr="00061636" w:rsidRDefault="00582B86" w:rsidP="002A6808">
      <w:pPr>
        <w:pStyle w:val="Heading2"/>
      </w:pPr>
      <w:bookmarkStart w:id="16" w:name="_Toc10331903"/>
      <w:r>
        <w:t xml:space="preserve">Advantages </w:t>
      </w:r>
      <w:r w:rsidR="551A77D0" w:rsidRPr="00061636">
        <w:t xml:space="preserve">and disadvantages of </w:t>
      </w:r>
      <w:r w:rsidR="002D6588" w:rsidRPr="00061636">
        <w:t xml:space="preserve">Solar PV </w:t>
      </w:r>
      <w:r w:rsidR="00F4258D" w:rsidRPr="00061636">
        <w:t>Utility-scale</w:t>
      </w:r>
      <w:bookmarkEnd w:id="16"/>
    </w:p>
    <w:p w14:paraId="473285D3" w14:textId="2CD175E4" w:rsidR="00202788" w:rsidRPr="00582B86" w:rsidRDefault="00802B1A" w:rsidP="00582B86">
      <w:pPr>
        <w:pStyle w:val="Heading3"/>
        <w:numPr>
          <w:ilvl w:val="0"/>
          <w:numId w:val="0"/>
        </w:numPr>
      </w:pPr>
      <w:bookmarkStart w:id="17" w:name="_Toc10331904"/>
      <w:r w:rsidRPr="00582B86">
        <w:t>1.4.1</w:t>
      </w:r>
      <w:r w:rsidRPr="00582B86">
        <w:tab/>
      </w:r>
      <w:r w:rsidR="551A77D0" w:rsidRPr="00582B86">
        <w:t>Similar Solutions</w:t>
      </w:r>
      <w:bookmarkEnd w:id="17"/>
    </w:p>
    <w:p w14:paraId="037F669A" w14:textId="07655DF7" w:rsidR="00202788" w:rsidRPr="00061636" w:rsidRDefault="00202788" w:rsidP="00EB247F">
      <w:pPr>
        <w:rPr>
          <w:rFonts w:cs="Times New Roman"/>
        </w:rPr>
      </w:pPr>
      <w:r w:rsidRPr="00061636">
        <w:rPr>
          <w:rFonts w:cs="Times New Roman"/>
        </w:rPr>
        <w:t xml:space="preserve">There are several solutions in the electricity generation sector that </w:t>
      </w:r>
      <w:r w:rsidR="00051E61">
        <w:rPr>
          <w:rFonts w:cs="Times New Roman"/>
        </w:rPr>
        <w:t xml:space="preserve">can </w:t>
      </w:r>
      <w:r w:rsidRPr="00061636">
        <w:rPr>
          <w:rFonts w:cs="Times New Roman"/>
        </w:rPr>
        <w:t>replace conventional electricity-generating technologies such as coal, oil, and natural gas power plants</w:t>
      </w:r>
      <w:r w:rsidR="00C5604A" w:rsidRPr="00061636">
        <w:rPr>
          <w:rFonts w:cs="Times New Roman"/>
        </w:rPr>
        <w:t xml:space="preserve"> which</w:t>
      </w:r>
      <w:r w:rsidRPr="00061636">
        <w:rPr>
          <w:rFonts w:cs="Times New Roman"/>
        </w:rPr>
        <w:t xml:space="preserve"> could be considered</w:t>
      </w:r>
      <w:r w:rsidR="00C5604A" w:rsidRPr="00061636">
        <w:rPr>
          <w:rFonts w:cs="Times New Roman"/>
        </w:rPr>
        <w:t xml:space="preserve"> as</w:t>
      </w:r>
      <w:r w:rsidRPr="00061636">
        <w:rPr>
          <w:rFonts w:cs="Times New Roman"/>
        </w:rPr>
        <w:t xml:space="preserve"> similar</w:t>
      </w:r>
      <w:r w:rsidR="00051E61">
        <w:rPr>
          <w:rFonts w:cs="Times New Roman"/>
        </w:rPr>
        <w:t>/analogous</w:t>
      </w:r>
      <w:r w:rsidRPr="00061636">
        <w:rPr>
          <w:rFonts w:cs="Times New Roman"/>
        </w:rPr>
        <w:t xml:space="preserve"> solutions. </w:t>
      </w:r>
      <w:r w:rsidR="00051E61">
        <w:rPr>
          <w:rFonts w:cs="Times New Roman"/>
        </w:rPr>
        <w:t>S</w:t>
      </w:r>
      <w:r w:rsidRPr="00061636">
        <w:rPr>
          <w:rFonts w:cs="Times New Roman"/>
        </w:rPr>
        <w:t>olutions</w:t>
      </w:r>
      <w:r w:rsidR="00051E61">
        <w:rPr>
          <w:rFonts w:cs="Times New Roman"/>
        </w:rPr>
        <w:t xml:space="preserve"> similar</w:t>
      </w:r>
      <w:r w:rsidRPr="00061636">
        <w:rPr>
          <w:rFonts w:cs="Times New Roman"/>
        </w:rPr>
        <w:t xml:space="preserve"> </w:t>
      </w:r>
      <w:r w:rsidR="00F4258D" w:rsidRPr="00061636">
        <w:rPr>
          <w:rFonts w:cs="Times New Roman"/>
        </w:rPr>
        <w:t xml:space="preserve">to solar photovoltaics utility-scale </w:t>
      </w:r>
      <w:r w:rsidRPr="00061636">
        <w:rPr>
          <w:rFonts w:cs="Times New Roman"/>
        </w:rPr>
        <w:t>that use the same resource: i.e. solar energy for electricity generation</w:t>
      </w:r>
      <w:r w:rsidR="00051E61">
        <w:rPr>
          <w:rFonts w:cs="Times New Roman"/>
        </w:rPr>
        <w:t xml:space="preserve"> are considered here</w:t>
      </w:r>
      <w:r w:rsidRPr="00061636">
        <w:rPr>
          <w:rFonts w:cs="Times New Roman"/>
        </w:rPr>
        <w:t xml:space="preserve">. </w:t>
      </w:r>
      <w:r w:rsidR="00051E61">
        <w:rPr>
          <w:rFonts w:cs="Times New Roman"/>
        </w:rPr>
        <w:t>These differ from our solution either</w:t>
      </w:r>
      <w:r w:rsidR="00F4258D" w:rsidRPr="00061636">
        <w:rPr>
          <w:rFonts w:cs="Times New Roman"/>
        </w:rPr>
        <w:t xml:space="preserve"> i</w:t>
      </w:r>
      <w:r w:rsidRPr="00061636">
        <w:rPr>
          <w:rFonts w:cs="Times New Roman"/>
        </w:rPr>
        <w:t xml:space="preserve">n the level of agency (e.g. household or </w:t>
      </w:r>
      <w:r w:rsidR="00F4258D" w:rsidRPr="00061636">
        <w:rPr>
          <w:rFonts w:cs="Times New Roman"/>
        </w:rPr>
        <w:t>utility-scale</w:t>
      </w:r>
      <w:r w:rsidRPr="00061636">
        <w:rPr>
          <w:rFonts w:cs="Times New Roman"/>
        </w:rPr>
        <w:t xml:space="preserve"> level) or </w:t>
      </w:r>
      <w:r w:rsidR="006F08EA" w:rsidRPr="00061636">
        <w:rPr>
          <w:rFonts w:cs="Times New Roman"/>
        </w:rPr>
        <w:t>i</w:t>
      </w:r>
      <w:r w:rsidRPr="00061636">
        <w:rPr>
          <w:rFonts w:cs="Times New Roman"/>
        </w:rPr>
        <w:t>n the way the technologies work</w:t>
      </w:r>
      <w:r w:rsidR="003D75DA" w:rsidRPr="00061636">
        <w:rPr>
          <w:rFonts w:cs="Times New Roman"/>
        </w:rPr>
        <w:t>. These are</w:t>
      </w:r>
      <w:r w:rsidRPr="00061636">
        <w:rPr>
          <w:rFonts w:cs="Times New Roman"/>
        </w:rPr>
        <w:t xml:space="preserve">: </w:t>
      </w:r>
    </w:p>
    <w:p w14:paraId="088464AB" w14:textId="732076C2" w:rsidR="00A728AC" w:rsidRPr="001B13F6" w:rsidRDefault="00537FD9" w:rsidP="002A6808">
      <w:pPr>
        <w:pStyle w:val="ListParagraph"/>
        <w:numPr>
          <w:ilvl w:val="0"/>
          <w:numId w:val="6"/>
        </w:numPr>
        <w:rPr>
          <w:rFonts w:cs="Times New Roman"/>
          <w:b/>
          <w:bCs/>
          <w:u w:val="single"/>
        </w:rPr>
      </w:pPr>
      <w:r w:rsidRPr="00582B86">
        <w:rPr>
          <w:rFonts w:cs="Times New Roman"/>
          <w:b/>
          <w:bCs/>
          <w:u w:val="single"/>
        </w:rPr>
        <w:t xml:space="preserve">Rooftop Solar </w:t>
      </w:r>
      <w:r w:rsidRPr="00C95DF0">
        <w:rPr>
          <w:rFonts w:cs="Times New Roman"/>
          <w:b/>
          <w:bCs/>
          <w:u w:val="single"/>
        </w:rPr>
        <w:t>Photovoltaic</w:t>
      </w:r>
      <w:r>
        <w:rPr>
          <w:rFonts w:cs="Times New Roman"/>
          <w:b/>
          <w:bCs/>
          <w:u w:val="single"/>
        </w:rPr>
        <w:t xml:space="preserve"> </w:t>
      </w:r>
      <w:r w:rsidRPr="00582B86">
        <w:rPr>
          <w:rFonts w:cs="Times New Roman"/>
          <w:b/>
          <w:bCs/>
          <w:u w:val="single"/>
        </w:rPr>
        <w:t xml:space="preserve">System: </w:t>
      </w:r>
      <w:r w:rsidR="00EF530F" w:rsidRPr="00582B86">
        <w:rPr>
          <w:rFonts w:cs="Times New Roman"/>
          <w:bCs/>
        </w:rPr>
        <w:t xml:space="preserve">In </w:t>
      </w:r>
      <w:r w:rsidR="00582B86" w:rsidRPr="00582B86">
        <w:rPr>
          <w:rFonts w:cs="Times New Roman"/>
          <w:bCs/>
        </w:rPr>
        <w:t>fact,</w:t>
      </w:r>
      <w:r w:rsidR="00EF530F" w:rsidRPr="00582B86">
        <w:rPr>
          <w:rFonts w:cs="Times New Roman"/>
          <w:bCs/>
        </w:rPr>
        <w:t xml:space="preserve"> the SPV program</w:t>
      </w:r>
      <w:r w:rsidR="00051E61" w:rsidRPr="00582B86">
        <w:rPr>
          <w:rFonts w:cs="Times New Roman"/>
          <w:bCs/>
        </w:rPr>
        <w:t>s</w:t>
      </w:r>
      <w:r w:rsidR="00EF530F" w:rsidRPr="00582B86">
        <w:rPr>
          <w:rFonts w:cs="Times New Roman"/>
          <w:bCs/>
        </w:rPr>
        <w:t xml:space="preserve"> started with small scale household and </w:t>
      </w:r>
      <w:r w:rsidR="00582B86" w:rsidRPr="00582B86">
        <w:rPr>
          <w:rFonts w:cs="Times New Roman"/>
          <w:bCs/>
        </w:rPr>
        <w:t>community-based</w:t>
      </w:r>
      <w:r w:rsidR="00EF530F" w:rsidRPr="00582B86">
        <w:rPr>
          <w:rFonts w:cs="Times New Roman"/>
          <w:bCs/>
        </w:rPr>
        <w:t xml:space="preserve"> systems and later on grew in scale to utility systems. The underlying technology is the same – the difference being in the scale and the implementing agency </w:t>
      </w:r>
      <w:r w:rsidR="00582B86" w:rsidRPr="00582B86">
        <w:rPr>
          <w:rFonts w:cs="Times New Roman"/>
          <w:bCs/>
        </w:rPr>
        <w:t>(i.e.</w:t>
      </w:r>
      <w:r w:rsidR="00EF530F" w:rsidRPr="00582B86">
        <w:rPr>
          <w:rFonts w:cs="Times New Roman"/>
          <w:bCs/>
        </w:rPr>
        <w:t xml:space="preserve"> household or utility). Many countries have mounted and run successful rooftop and decentralized SPV programs like the “Million Roofs Initiative” of the US </w:t>
      </w:r>
      <w:r w:rsidR="00EF530F" w:rsidRPr="00582B86">
        <w:rPr>
          <w:rFonts w:cs="Times New Roman"/>
          <w:bCs/>
        </w:rPr>
        <w:fldChar w:fldCharType="begin"/>
      </w:r>
      <w:r w:rsidR="00EF530F" w:rsidRPr="00582B86">
        <w:rPr>
          <w:rFonts w:cs="Times New Roman"/>
          <w:bCs/>
        </w:rPr>
        <w:instrText xml:space="preserve"> ADDIN ZOTERO_ITEM CSL_CITATION {"citationID":"LNxbDWRe","properties":{"formattedCitation":"(Strahs &amp; Tombari, 2006)","plainCitation":"(Strahs &amp; Tombari, 2006)","noteIndex":0},"citationItems":[{"id":2327,"uris":["http://zotero.org/users/3385572/items/KUSIMEGT"],"uri":["http://zotero.org/users/3385572/items/KUSIMEGT"],"itemData":{"id":2327,"type":"report","title":"Laying the Foundation for a Solar America: The Million Solar Roofs Initiative","source":"Crossref","URL":"http://www.osti.gov/servlets/purl/893443-kYpOWa/","note":"DOI: 10.2172/893443","number":"DOE/GO-102006-2371, 893443","shortTitle":"Laying the Foundation for a Solar America","language":"en","author":[{"family":"Strahs","given":"G."},{"family":"Tombari","given":"C."}],"issued":{"date-parts":[["2006",10,1]]},"accessed":{"date-parts":[["2018",12,5]]}}}],"schema":"https://github.com/citation-style-language/schema/raw/master/csl-citation.json"} </w:instrText>
      </w:r>
      <w:r w:rsidR="00EF530F" w:rsidRPr="00582B86">
        <w:rPr>
          <w:rFonts w:cs="Times New Roman"/>
          <w:bCs/>
        </w:rPr>
        <w:fldChar w:fldCharType="separate"/>
      </w:r>
      <w:r w:rsidR="00EF530F" w:rsidRPr="00582B86">
        <w:rPr>
          <w:rFonts w:cs="Times New Roman"/>
        </w:rPr>
        <w:t>(Strahs &amp; Tombari, 2006)</w:t>
      </w:r>
      <w:r w:rsidR="00EF530F" w:rsidRPr="00582B86">
        <w:rPr>
          <w:rFonts w:cs="Times New Roman"/>
          <w:bCs/>
        </w:rPr>
        <w:fldChar w:fldCharType="end"/>
      </w:r>
      <w:r w:rsidR="00EF530F" w:rsidRPr="00582B86">
        <w:rPr>
          <w:rFonts w:cs="Times New Roman"/>
          <w:bCs/>
        </w:rPr>
        <w:t>. Rooftop and small community SPV programs still account for a roughly estimated 40% of all global investments in SPV</w:t>
      </w:r>
      <w:r>
        <w:rPr>
          <w:rFonts w:cs="Times New Roman"/>
          <w:bCs/>
        </w:rPr>
        <w:t xml:space="preserve"> and are the favored solution for providing decentralized and off-grid power to remote habitations and households.</w:t>
      </w:r>
    </w:p>
    <w:p w14:paraId="17F41263" w14:textId="4D0C2E2F" w:rsidR="001B13F6" w:rsidRPr="00582B86" w:rsidRDefault="001B13F6" w:rsidP="002A6808">
      <w:pPr>
        <w:pStyle w:val="ListParagraph"/>
        <w:numPr>
          <w:ilvl w:val="0"/>
          <w:numId w:val="6"/>
        </w:numPr>
        <w:rPr>
          <w:rFonts w:cs="Times New Roman"/>
          <w:b/>
          <w:bCs/>
          <w:u w:val="single"/>
        </w:rPr>
      </w:pPr>
      <w:r w:rsidRPr="001B13F6">
        <w:rPr>
          <w:rFonts w:cs="Times New Roman"/>
          <w:b/>
          <w:bCs/>
          <w:u w:val="single"/>
        </w:rPr>
        <w:t>Concentrating Photovoltaic Technology</w:t>
      </w:r>
      <w:r>
        <w:rPr>
          <w:rFonts w:cs="Times New Roman"/>
          <w:b/>
          <w:bCs/>
          <w:u w:val="single"/>
        </w:rPr>
        <w:t xml:space="preserve"> (CPV)</w:t>
      </w:r>
      <w:r w:rsidR="00F025BB">
        <w:rPr>
          <w:rFonts w:cs="Times New Roman"/>
          <w:b/>
          <w:bCs/>
          <w:u w:val="single"/>
        </w:rPr>
        <w:t>:</w:t>
      </w:r>
      <w:r w:rsidRPr="001B13F6">
        <w:rPr>
          <w:rFonts w:cs="Times New Roman"/>
          <w:bCs/>
        </w:rPr>
        <w:t xml:space="preserve"> Another type of utility-scale PV technology which can be used to generate electricity is the </w:t>
      </w:r>
      <w:r>
        <w:rPr>
          <w:rFonts w:cs="Times New Roman"/>
          <w:bCs/>
        </w:rPr>
        <w:t>CPV</w:t>
      </w:r>
      <w:r w:rsidRPr="001B13F6">
        <w:rPr>
          <w:rFonts w:cs="Times New Roman"/>
          <w:bCs/>
        </w:rPr>
        <w:t xml:space="preserve"> technology. This uses an optical system to focus large areas of sunlight on each solar cell for enhanced energy conversion. Usually</w:t>
      </w:r>
      <w:r w:rsidR="00BD15EF">
        <w:rPr>
          <w:rFonts w:cs="Times New Roman"/>
          <w:bCs/>
        </w:rPr>
        <w:t>,</w:t>
      </w:r>
      <w:r w:rsidRPr="001B13F6">
        <w:rPr>
          <w:rFonts w:cs="Times New Roman"/>
          <w:bCs/>
        </w:rPr>
        <w:t xml:space="preserve"> such systems are combined with a tracking system to increase efficiency and power generation. This technology is relatively new, and its share of the market small, but there is interest in exploring it further because of its significant efficiency gains especially in areas having direct sunlight and low moisture. This report does not consider CPV as a part of utility-scale installations because CPV systems at present constitute a very small share (370 </w:t>
      </w:r>
      <w:proofErr w:type="spellStart"/>
      <w:r w:rsidRPr="001B13F6">
        <w:rPr>
          <w:rFonts w:cs="Times New Roman"/>
          <w:bCs/>
        </w:rPr>
        <w:t>MWp</w:t>
      </w:r>
      <w:proofErr w:type="spellEnd"/>
      <w:r w:rsidR="00537FD9">
        <w:rPr>
          <w:rFonts w:cs="Times New Roman"/>
          <w:bCs/>
        </w:rPr>
        <w:t>)</w:t>
      </w:r>
      <w:r w:rsidRPr="001B13F6">
        <w:rPr>
          <w:rFonts w:cs="Times New Roman"/>
          <w:bCs/>
        </w:rPr>
        <w:t xml:space="preserve"> by the end of 2016 or less than 1 percent) of total installed utility-scale PV capacity </w:t>
      </w:r>
      <w:sdt>
        <w:sdtPr>
          <w:id w:val="2022900103"/>
          <w:citation/>
        </w:sdtPr>
        <w:sdtContent>
          <w:r w:rsidRPr="001B13F6">
            <w:rPr>
              <w:rFonts w:cs="Times New Roman"/>
              <w:bCs/>
            </w:rPr>
            <w:fldChar w:fldCharType="begin"/>
          </w:r>
          <w:r w:rsidR="00FA64BE">
            <w:rPr>
              <w:rFonts w:cs="Times New Roman"/>
              <w:bCs/>
            </w:rPr>
            <w:instrText xml:space="preserve">CITATION Phi \t  \l 1033 </w:instrText>
          </w:r>
          <w:r w:rsidRPr="001B13F6">
            <w:rPr>
              <w:rFonts w:cs="Times New Roman"/>
              <w:bCs/>
            </w:rPr>
            <w:fldChar w:fldCharType="separate"/>
          </w:r>
          <w:r w:rsidR="00FA64BE" w:rsidRPr="004A672D">
            <w:rPr>
              <w:rFonts w:cs="Times New Roman"/>
              <w:noProof/>
            </w:rPr>
            <w:t>(Philipps, 2015)</w:t>
          </w:r>
          <w:r w:rsidRPr="001B13F6">
            <w:rPr>
              <w:rFonts w:cs="Times New Roman"/>
              <w:bCs/>
            </w:rPr>
            <w:fldChar w:fldCharType="end"/>
          </w:r>
        </w:sdtContent>
      </w:sdt>
      <w:r w:rsidR="004A672D">
        <w:t>.</w:t>
      </w:r>
    </w:p>
    <w:p w14:paraId="4FE14875" w14:textId="653D0A98" w:rsidR="00EF530F" w:rsidRPr="00C24412" w:rsidRDefault="00582B86" w:rsidP="00C24412">
      <w:pPr>
        <w:pStyle w:val="ListParagraph"/>
        <w:numPr>
          <w:ilvl w:val="0"/>
          <w:numId w:val="6"/>
        </w:numPr>
        <w:spacing w:after="0"/>
        <w:rPr>
          <w:rFonts w:cs="Times New Roman"/>
        </w:rPr>
      </w:pPr>
      <w:r w:rsidRPr="001B13F6">
        <w:rPr>
          <w:rFonts w:cs="Times New Roman"/>
          <w:b/>
          <w:u w:val="single"/>
        </w:rPr>
        <w:t>Concentrat</w:t>
      </w:r>
      <w:r w:rsidR="00FD4AFC">
        <w:rPr>
          <w:rFonts w:cs="Times New Roman"/>
          <w:b/>
          <w:u w:val="single"/>
        </w:rPr>
        <w:t>ed</w:t>
      </w:r>
      <w:r w:rsidRPr="001B13F6">
        <w:rPr>
          <w:rFonts w:cs="Times New Roman"/>
          <w:b/>
          <w:u w:val="single"/>
        </w:rPr>
        <w:t xml:space="preserve"> Solar Power (CSP</w:t>
      </w:r>
      <w:r w:rsidR="00537FD9">
        <w:rPr>
          <w:rFonts w:cs="Times New Roman"/>
          <w:b/>
          <w:u w:val="single"/>
        </w:rPr>
        <w:t xml:space="preserve">): </w:t>
      </w:r>
      <w:r w:rsidRPr="00061636">
        <w:rPr>
          <w:rFonts w:cs="Times New Roman"/>
        </w:rPr>
        <w:t xml:space="preserve">systems </w:t>
      </w:r>
      <w:r w:rsidR="00191414">
        <w:rPr>
          <w:rFonts w:cs="Times New Roman"/>
        </w:rPr>
        <w:t xml:space="preserve">are systems </w:t>
      </w:r>
      <w:r w:rsidRPr="00061636">
        <w:rPr>
          <w:rFonts w:cs="Times New Roman"/>
        </w:rPr>
        <w:t xml:space="preserve">that use solar thermal energy to produce electricity. Instead of converting sunlight directly into electricity like photovoltaics (PV) does, </w:t>
      </w:r>
      <w:r w:rsidRPr="00061636">
        <w:rPr>
          <w:rFonts w:cs="Times New Roman"/>
        </w:rPr>
        <w:lastRenderedPageBreak/>
        <w:t>these systems rely on the core technology of electricity generation: steam turbines. The difference is that rather than using coal or natural gas, CSP uses solar radiation to generate heat. A critical advantage of CSP over SPV is the ease of energy storage. Unlike PV panels and wind turbines, CSP generates heat before converting it into electricity - and heat is easier to store. When equipped with molten salt tanks for storing heat, CSP plants can continue to produce electricity even after the sun goes down.</w:t>
      </w:r>
    </w:p>
    <w:p w14:paraId="66FEF337" w14:textId="61D6173A" w:rsidR="000330C6" w:rsidRPr="00061636" w:rsidRDefault="00802B1A" w:rsidP="00582B86">
      <w:pPr>
        <w:pStyle w:val="Heading3"/>
        <w:numPr>
          <w:ilvl w:val="0"/>
          <w:numId w:val="0"/>
        </w:numPr>
      </w:pPr>
      <w:bookmarkStart w:id="18" w:name="_Toc10331905"/>
      <w:r>
        <w:t>1.4.2</w:t>
      </w:r>
      <w:r>
        <w:tab/>
      </w:r>
      <w:r w:rsidR="551A77D0" w:rsidRPr="00061636">
        <w:t>Arguments for Adoption</w:t>
      </w:r>
      <w:bookmarkEnd w:id="18"/>
    </w:p>
    <w:p w14:paraId="55B6FFE1" w14:textId="67073731" w:rsidR="00CB603A" w:rsidRPr="00061636" w:rsidRDefault="00CB603A" w:rsidP="00EB247F">
      <w:pPr>
        <w:rPr>
          <w:rFonts w:cs="Times New Roman"/>
        </w:rPr>
      </w:pPr>
      <w:r w:rsidRPr="00061636">
        <w:rPr>
          <w:rFonts w:cs="Times New Roman"/>
        </w:rPr>
        <w:t>As is the case with other renewable energy resources, the primary benefit of solar energy is that its fuel is free—the sun shines every day at no cost. In other words, once a PV system has been installed, its production of electricity does not incur any marginal costs. The only costs beyond installation are fixed operation and maintenance (O</w:t>
      </w:r>
      <w:r w:rsidR="00435F01">
        <w:rPr>
          <w:rFonts w:cs="Times New Roman"/>
        </w:rPr>
        <w:t xml:space="preserve"> &amp; </w:t>
      </w:r>
      <w:r w:rsidRPr="00061636">
        <w:rPr>
          <w:rFonts w:cs="Times New Roman"/>
        </w:rPr>
        <w:t>M</w:t>
      </w:r>
      <w:r w:rsidR="00537FD9">
        <w:rPr>
          <w:rFonts w:cs="Times New Roman"/>
        </w:rPr>
        <w:t>)</w:t>
      </w:r>
      <w:r w:rsidRPr="00061636">
        <w:rPr>
          <w:rFonts w:cs="Times New Roman"/>
        </w:rPr>
        <w:t xml:space="preserve"> costs, which, in the case of utility-scale PV, are minimal. Additionally, the total solar resource potential is practically inexhaustible. This is evident from a simple calculation. If average irradiance is 1000 W/m</w:t>
      </w:r>
      <w:r w:rsidRPr="00061636">
        <w:rPr>
          <w:rFonts w:cs="Times New Roman"/>
          <w:vertAlign w:val="superscript"/>
        </w:rPr>
        <w:t>2</w:t>
      </w:r>
      <w:r w:rsidRPr="00061636">
        <w:rPr>
          <w:rFonts w:cs="Times New Roman"/>
        </w:rPr>
        <w:t xml:space="preserve"> and the area of irradiance circumscribed by the Earth is 1.28 x 10</w:t>
      </w:r>
      <w:r w:rsidRPr="00061636">
        <w:rPr>
          <w:rFonts w:cs="Times New Roman"/>
          <w:vertAlign w:val="superscript"/>
        </w:rPr>
        <w:t>14</w:t>
      </w:r>
      <w:r w:rsidRPr="00061636">
        <w:rPr>
          <w:rFonts w:cs="Times New Roman"/>
        </w:rPr>
        <w:t xml:space="preserve"> m</w:t>
      </w:r>
      <w:r w:rsidRPr="00061636">
        <w:rPr>
          <w:rFonts w:cs="Times New Roman"/>
          <w:vertAlign w:val="superscript"/>
        </w:rPr>
        <w:t>2</w:t>
      </w:r>
      <w:r w:rsidRPr="00061636">
        <w:rPr>
          <w:rFonts w:cs="Times New Roman"/>
        </w:rPr>
        <w:t xml:space="preserve"> (the area of a circle with Earth’s radius), then </w:t>
      </w:r>
      <w:r w:rsidR="00DE33AF" w:rsidRPr="00061636">
        <w:rPr>
          <w:rFonts w:cs="Times New Roman"/>
        </w:rPr>
        <w:t>the</w:t>
      </w:r>
      <w:r w:rsidRPr="00061636">
        <w:rPr>
          <w:rFonts w:cs="Times New Roman"/>
        </w:rPr>
        <w:t xml:space="preserve"> plan</w:t>
      </w:r>
      <w:r w:rsidR="001E0FF2" w:rsidRPr="00061636">
        <w:rPr>
          <w:rFonts w:cs="Times New Roman"/>
        </w:rPr>
        <w:t>et is constantly receiving 1.28</w:t>
      </w:r>
      <w:r w:rsidRPr="00061636">
        <w:rPr>
          <w:rFonts w:cs="Times New Roman"/>
        </w:rPr>
        <w:t xml:space="preserve"> x 10</w:t>
      </w:r>
      <w:r w:rsidRPr="00061636">
        <w:rPr>
          <w:rFonts w:cs="Times New Roman"/>
          <w:vertAlign w:val="superscript"/>
        </w:rPr>
        <w:t>17</w:t>
      </w:r>
      <w:r w:rsidRPr="00061636">
        <w:rPr>
          <w:rFonts w:cs="Times New Roman"/>
        </w:rPr>
        <w:t xml:space="preserve"> W (1.28 x 10</w:t>
      </w:r>
      <w:r w:rsidRPr="00061636">
        <w:rPr>
          <w:rFonts w:cs="Times New Roman"/>
          <w:vertAlign w:val="superscript"/>
        </w:rPr>
        <w:t>5</w:t>
      </w:r>
      <w:r w:rsidRPr="00061636">
        <w:rPr>
          <w:rFonts w:cs="Times New Roman"/>
        </w:rPr>
        <w:t xml:space="preserve"> TW) of power from the sun. If </w:t>
      </w:r>
      <w:r w:rsidR="00DE33AF" w:rsidRPr="00061636">
        <w:rPr>
          <w:rFonts w:cs="Times New Roman"/>
        </w:rPr>
        <w:t>it is</w:t>
      </w:r>
      <w:r w:rsidRPr="00061636">
        <w:rPr>
          <w:rFonts w:cs="Times New Roman"/>
        </w:rPr>
        <w:t xml:space="preserve"> assume</w:t>
      </w:r>
      <w:r w:rsidR="00DE33AF" w:rsidRPr="00061636">
        <w:rPr>
          <w:rFonts w:cs="Times New Roman"/>
        </w:rPr>
        <w:t>d</w:t>
      </w:r>
      <w:r w:rsidRPr="00061636">
        <w:rPr>
          <w:rFonts w:cs="Times New Roman"/>
        </w:rPr>
        <w:t xml:space="preserve"> that energy demand in 2050 will rise </w:t>
      </w:r>
      <w:r w:rsidR="009A5527">
        <w:rPr>
          <w:rFonts w:cs="Times New Roman"/>
        </w:rPr>
        <w:t>at the levels presented in the previous chapters</w:t>
      </w:r>
      <w:r w:rsidRPr="00061636">
        <w:rPr>
          <w:rFonts w:cs="Times New Roman"/>
        </w:rPr>
        <w:t xml:space="preserve">, this usage is </w:t>
      </w:r>
      <w:r w:rsidR="00B524E8" w:rsidRPr="00061636">
        <w:rPr>
          <w:rFonts w:cs="Times New Roman"/>
        </w:rPr>
        <w:t xml:space="preserve">still </w:t>
      </w:r>
      <w:r w:rsidRPr="00061636">
        <w:rPr>
          <w:rFonts w:cs="Times New Roman"/>
        </w:rPr>
        <w:t xml:space="preserve">only </w:t>
      </w:r>
      <w:r w:rsidR="00582B86" w:rsidRPr="00061636">
        <w:rPr>
          <w:rFonts w:cs="Times New Roman"/>
        </w:rPr>
        <w:t>a min</w:t>
      </w:r>
      <w:r w:rsidR="00BD15EF">
        <w:rPr>
          <w:rFonts w:cs="Times New Roman"/>
        </w:rPr>
        <w:t>u</w:t>
      </w:r>
      <w:r w:rsidR="00582B86" w:rsidRPr="00061636">
        <w:rPr>
          <w:rFonts w:cs="Times New Roman"/>
        </w:rPr>
        <w:t>scule fraction</w:t>
      </w:r>
      <w:r w:rsidRPr="00061636">
        <w:rPr>
          <w:rFonts w:cs="Times New Roman"/>
        </w:rPr>
        <w:t xml:space="preserve"> (~0.02 percent) of the available solar energy. Even with losses due to conversion efficiency and land area unavailable for solar harvesting, it is still an overwhelmingly abundant source of energy </w:t>
      </w:r>
      <w:sdt>
        <w:sdtPr>
          <w:rPr>
            <w:rFonts w:cs="Times New Roman"/>
          </w:rPr>
          <w:id w:val="-566572764"/>
          <w:citation/>
        </w:sdtPr>
        <w:sdtContent>
          <w:r w:rsidR="00690171">
            <w:rPr>
              <w:rFonts w:cs="Times New Roman"/>
            </w:rPr>
            <w:fldChar w:fldCharType="begin"/>
          </w:r>
          <w:r w:rsidR="00690171">
            <w:rPr>
              <w:rFonts w:cs="Times New Roman"/>
            </w:rPr>
            <w:instrText xml:space="preserve"> CITATION Tsa06 \l 1033 </w:instrText>
          </w:r>
          <w:r w:rsidR="00690171">
            <w:rPr>
              <w:rFonts w:cs="Times New Roman"/>
            </w:rPr>
            <w:fldChar w:fldCharType="separate"/>
          </w:r>
          <w:r w:rsidR="00AC388C" w:rsidRPr="00AC388C">
            <w:rPr>
              <w:rFonts w:cs="Times New Roman"/>
              <w:noProof/>
            </w:rPr>
            <w:t>(Tsao, 2006)</w:t>
          </w:r>
          <w:r w:rsidR="00690171">
            <w:rPr>
              <w:rFonts w:cs="Times New Roman"/>
            </w:rPr>
            <w:fldChar w:fldCharType="end"/>
          </w:r>
        </w:sdtContent>
      </w:sdt>
      <w:r w:rsidR="001B13F6">
        <w:rPr>
          <w:rFonts w:cs="Times New Roman"/>
        </w:rPr>
        <w:t>.</w:t>
      </w:r>
    </w:p>
    <w:p w14:paraId="54BC452F" w14:textId="33D92EBC" w:rsidR="00CB603A" w:rsidRPr="00061636" w:rsidRDefault="00CB603A" w:rsidP="005D49A8">
      <w:pPr>
        <w:rPr>
          <w:rFonts w:cs="Times New Roman"/>
        </w:rPr>
      </w:pPr>
      <w:r w:rsidRPr="00061636">
        <w:rPr>
          <w:rFonts w:cs="Times New Roman"/>
        </w:rPr>
        <w:t>Given that utility-scale PV installations will in most cases be deployed to replace fossil fuel power plants, the carbon mitigation potential of PV is</w:t>
      </w:r>
      <w:r w:rsidR="00B524E8" w:rsidRPr="00061636">
        <w:rPr>
          <w:rFonts w:cs="Times New Roman"/>
        </w:rPr>
        <w:t xml:space="preserve"> also</w:t>
      </w:r>
      <w:r w:rsidRPr="00061636">
        <w:rPr>
          <w:rFonts w:cs="Times New Roman"/>
        </w:rPr>
        <w:t xml:space="preserve"> significant. There are, of course, indirect emissions associated with PV manufacturing and installation, and this issue will be discussed in greater detail below</w:t>
      </w:r>
      <w:r w:rsidR="00B524E8" w:rsidRPr="00061636">
        <w:rPr>
          <w:rFonts w:cs="Times New Roman"/>
        </w:rPr>
        <w:t>.</w:t>
      </w:r>
      <w:r w:rsidRPr="00061636">
        <w:rPr>
          <w:rFonts w:cs="Times New Roman"/>
        </w:rPr>
        <w:t xml:space="preserve">  </w:t>
      </w:r>
      <w:r w:rsidR="00B524E8" w:rsidRPr="00061636">
        <w:rPr>
          <w:rFonts w:cs="Times New Roman"/>
        </w:rPr>
        <w:t>A</w:t>
      </w:r>
      <w:r w:rsidRPr="00061636">
        <w:rPr>
          <w:rFonts w:cs="Times New Roman"/>
        </w:rPr>
        <w:t xml:space="preserve">ccording to the IEA, the large emission reductions resulting from </w:t>
      </w:r>
      <w:r w:rsidR="00BD15EF">
        <w:rPr>
          <w:rFonts w:cs="Times New Roman"/>
        </w:rPr>
        <w:t xml:space="preserve">the </w:t>
      </w:r>
      <w:r w:rsidRPr="00061636">
        <w:rPr>
          <w:rFonts w:cs="Times New Roman"/>
        </w:rPr>
        <w:t xml:space="preserve">substitution of fossil fuel-based electricity generation with PV electricity are </w:t>
      </w:r>
      <w:r w:rsidR="00B524E8" w:rsidRPr="00061636">
        <w:rPr>
          <w:rFonts w:cs="Times New Roman"/>
        </w:rPr>
        <w:t xml:space="preserve">of </w:t>
      </w:r>
      <w:r w:rsidRPr="00061636">
        <w:rPr>
          <w:rFonts w:cs="Times New Roman"/>
        </w:rPr>
        <w:t>orders of magnitude larger than emission increases due to PV lifecycle emissions and</w:t>
      </w:r>
      <w:r w:rsidR="00B524E8" w:rsidRPr="00061636">
        <w:rPr>
          <w:rFonts w:cs="Times New Roman"/>
        </w:rPr>
        <w:t xml:space="preserve"> also</w:t>
      </w:r>
      <w:r w:rsidRPr="00061636">
        <w:rPr>
          <w:rFonts w:cs="Times New Roman"/>
        </w:rPr>
        <w:t xml:space="preserve"> the variability that may come with a high</w:t>
      </w:r>
      <w:r w:rsidR="00B524E8" w:rsidRPr="00061636">
        <w:rPr>
          <w:rFonts w:cs="Times New Roman"/>
        </w:rPr>
        <w:t>er</w:t>
      </w:r>
      <w:r w:rsidRPr="00061636">
        <w:rPr>
          <w:rFonts w:cs="Times New Roman"/>
        </w:rPr>
        <w:t xml:space="preserve"> penetration of PV electricity in future grids </w:t>
      </w:r>
      <w:sdt>
        <w:sdtPr>
          <w:rPr>
            <w:rFonts w:cs="Times New Roman"/>
          </w:rPr>
          <w:id w:val="645485075"/>
          <w:citation/>
        </w:sdtPr>
        <w:sdtContent>
          <w:r w:rsidR="00252619">
            <w:rPr>
              <w:rFonts w:cs="Times New Roman"/>
            </w:rPr>
            <w:fldChar w:fldCharType="begin"/>
          </w:r>
          <w:r w:rsidR="00C92058">
            <w:rPr>
              <w:rFonts w:cs="Times New Roman"/>
            </w:rPr>
            <w:instrText xml:space="preserve">CITATION IEA14 \l 1033 </w:instrText>
          </w:r>
          <w:r w:rsidR="00252619">
            <w:rPr>
              <w:rFonts w:cs="Times New Roman"/>
            </w:rPr>
            <w:fldChar w:fldCharType="separate"/>
          </w:r>
          <w:r w:rsidR="00C92058" w:rsidRPr="00C92058">
            <w:rPr>
              <w:rFonts w:cs="Times New Roman"/>
              <w:noProof/>
            </w:rPr>
            <w:t>(IEA, 2014)</w:t>
          </w:r>
          <w:r w:rsidR="00252619">
            <w:rPr>
              <w:rFonts w:cs="Times New Roman"/>
            </w:rPr>
            <w:fldChar w:fldCharType="end"/>
          </w:r>
        </w:sdtContent>
      </w:sdt>
      <w:r w:rsidR="00252619">
        <w:rPr>
          <w:rFonts w:cs="Times New Roman"/>
        </w:rPr>
        <w:t>.</w:t>
      </w:r>
    </w:p>
    <w:p w14:paraId="631C1215" w14:textId="595FA0E7" w:rsidR="006D6012" w:rsidRPr="00061636" w:rsidRDefault="00802B1A" w:rsidP="00582B86">
      <w:pPr>
        <w:pStyle w:val="Heading3"/>
        <w:numPr>
          <w:ilvl w:val="0"/>
          <w:numId w:val="0"/>
        </w:numPr>
        <w:ind w:left="720"/>
      </w:pPr>
      <w:bookmarkStart w:id="19" w:name="_Toc10331906"/>
      <w:r>
        <w:t>1.4.3</w:t>
      </w:r>
      <w:r>
        <w:tab/>
      </w:r>
      <w:r w:rsidR="551A77D0" w:rsidRPr="00061636">
        <w:t>Additional Benefits</w:t>
      </w:r>
      <w:bookmarkEnd w:id="19"/>
      <w:r w:rsidR="551A77D0" w:rsidRPr="00061636">
        <w:t xml:space="preserve"> </w:t>
      </w:r>
    </w:p>
    <w:p w14:paraId="5F86A0DD" w14:textId="194511D7" w:rsidR="00E23241" w:rsidRPr="00061636" w:rsidRDefault="00CB603A" w:rsidP="00EB247F">
      <w:pPr>
        <w:rPr>
          <w:rFonts w:cs="Times New Roman"/>
        </w:rPr>
      </w:pPr>
      <w:r w:rsidRPr="00061636">
        <w:rPr>
          <w:rFonts w:cs="Times New Roman"/>
          <w:color w:val="000000"/>
        </w:rPr>
        <w:t>Further adoption of utility-scale PV will bring important benefits in addition to financial savings and carbon abatement. The public health benefits of replacing fossil fuel power plants with utility-scale PV can be enormous because PV avoids h</w:t>
      </w:r>
      <w:r w:rsidRPr="00061636">
        <w:rPr>
          <w:rFonts w:cs="Times New Roman"/>
        </w:rPr>
        <w:t>armful pollutants including fine particular matter (PM</w:t>
      </w:r>
      <w:r w:rsidRPr="00061636">
        <w:rPr>
          <w:rFonts w:cs="Times New Roman"/>
          <w:vertAlign w:val="subscript"/>
        </w:rPr>
        <w:t>2.5</w:t>
      </w:r>
      <w:r w:rsidR="0007144C" w:rsidRPr="0007144C">
        <w:rPr>
          <w:rFonts w:cs="Times New Roman"/>
        </w:rPr>
        <w:t>)</w:t>
      </w:r>
      <w:r w:rsidRPr="00061636">
        <w:rPr>
          <w:rFonts w:cs="Times New Roman"/>
        </w:rPr>
        <w:t xml:space="preserve"> sulfur dioxide (SO</w:t>
      </w:r>
      <w:r w:rsidRPr="00061636">
        <w:rPr>
          <w:rFonts w:cs="Times New Roman"/>
          <w:vertAlign w:val="subscript"/>
        </w:rPr>
        <w:t>2</w:t>
      </w:r>
      <w:r w:rsidR="00537FD9" w:rsidRPr="00537FD9">
        <w:rPr>
          <w:rFonts w:cs="Times New Roman"/>
        </w:rPr>
        <w:t>)</w:t>
      </w:r>
      <w:r w:rsidRPr="00061636">
        <w:rPr>
          <w:rFonts w:cs="Times New Roman"/>
        </w:rPr>
        <w:t xml:space="preserve"> and nitrogen oxides (NO</w:t>
      </w:r>
      <w:r w:rsidRPr="00061636">
        <w:rPr>
          <w:rFonts w:cs="Times New Roman"/>
          <w:vertAlign w:val="subscript"/>
        </w:rPr>
        <w:t>x</w:t>
      </w:r>
      <w:r w:rsidR="00537FD9" w:rsidRPr="00537FD9">
        <w:rPr>
          <w:rFonts w:cs="Times New Roman"/>
        </w:rPr>
        <w:t>)</w:t>
      </w:r>
      <w:r w:rsidRPr="00061636">
        <w:rPr>
          <w:rFonts w:cs="Times New Roman"/>
        </w:rPr>
        <w:t xml:space="preserve"> In its recent report on the public health and environmental benefits of achieving high penetrations of PV in the US, the US Department of Energy estimated that the monetary benefits of reducing pollutants in its </w:t>
      </w:r>
      <w:proofErr w:type="spellStart"/>
      <w:r w:rsidRPr="00061636">
        <w:rPr>
          <w:rFonts w:cs="Times New Roman"/>
          <w:i/>
        </w:rPr>
        <w:t>SunShot</w:t>
      </w:r>
      <w:proofErr w:type="spellEnd"/>
      <w:r w:rsidRPr="00061636">
        <w:rPr>
          <w:rFonts w:cs="Times New Roman"/>
          <w:i/>
        </w:rPr>
        <w:t xml:space="preserve"> Scenario</w:t>
      </w:r>
      <w:r w:rsidRPr="00061636">
        <w:rPr>
          <w:rFonts w:cs="Times New Roman"/>
        </w:rPr>
        <w:t xml:space="preserve"> totaled $167 billion in the form of lower future health </w:t>
      </w:r>
      <w:r w:rsidRPr="00061636">
        <w:rPr>
          <w:rFonts w:cs="Times New Roman"/>
        </w:rPr>
        <w:lastRenderedPageBreak/>
        <w:t>and environmental damages, including a reduction of 25,000-59,000 premature deaths</w:t>
      </w:r>
      <w:sdt>
        <w:sdtPr>
          <w:rPr>
            <w:rFonts w:cs="Times New Roman"/>
          </w:rPr>
          <w:id w:val="-1900355054"/>
          <w:citation/>
        </w:sdtPr>
        <w:sdtContent>
          <w:r w:rsidR="00636E06">
            <w:rPr>
              <w:rFonts w:cs="Times New Roman"/>
            </w:rPr>
            <w:fldChar w:fldCharType="begin"/>
          </w:r>
          <w:r w:rsidR="00414616">
            <w:rPr>
              <w:rFonts w:cs="Times New Roman"/>
            </w:rPr>
            <w:instrText xml:space="preserve">CITATION EER16 \l 1033 </w:instrText>
          </w:r>
          <w:r w:rsidR="00636E06">
            <w:rPr>
              <w:rFonts w:cs="Times New Roman"/>
            </w:rPr>
            <w:fldChar w:fldCharType="separate"/>
          </w:r>
          <w:r w:rsidR="00414616">
            <w:rPr>
              <w:rFonts w:cs="Times New Roman"/>
              <w:noProof/>
            </w:rPr>
            <w:t xml:space="preserve"> </w:t>
          </w:r>
          <w:r w:rsidR="00414616" w:rsidRPr="00414616">
            <w:rPr>
              <w:rFonts w:cs="Times New Roman"/>
              <w:noProof/>
            </w:rPr>
            <w:t>(EERE, 2016)</w:t>
          </w:r>
          <w:r w:rsidR="00636E06">
            <w:rPr>
              <w:rFonts w:cs="Times New Roman"/>
            </w:rPr>
            <w:fldChar w:fldCharType="end"/>
          </w:r>
        </w:sdtContent>
      </w:sdt>
      <w:r w:rsidRPr="00061636">
        <w:rPr>
          <w:rFonts w:cs="Times New Roman"/>
        </w:rPr>
        <w:t xml:space="preserve">. Given these substantial benefits, it is perhaps not surprising that China </w:t>
      </w:r>
      <w:r w:rsidR="00B524E8" w:rsidRPr="00061636">
        <w:rPr>
          <w:rFonts w:cs="Times New Roman"/>
        </w:rPr>
        <w:t>is mounting</w:t>
      </w:r>
      <w:r w:rsidRPr="00061636">
        <w:rPr>
          <w:rFonts w:cs="Times New Roman"/>
        </w:rPr>
        <w:t xml:space="preserve"> a massive effort to grow its PV market and replace polluting sources of energy </w:t>
      </w:r>
      <w:r w:rsidR="00B524E8" w:rsidRPr="00061636">
        <w:rPr>
          <w:rFonts w:cs="Times New Roman"/>
        </w:rPr>
        <w:t>which are creating a</w:t>
      </w:r>
      <w:r w:rsidR="00A06D48" w:rsidRPr="00061636">
        <w:rPr>
          <w:rFonts w:cs="Times New Roman"/>
        </w:rPr>
        <w:t xml:space="preserve"> </w:t>
      </w:r>
      <w:r w:rsidRPr="00061636">
        <w:rPr>
          <w:rFonts w:cs="Times New Roman"/>
        </w:rPr>
        <w:t>serious public health crisis</w:t>
      </w:r>
      <w:r w:rsidR="00A06D48" w:rsidRPr="00061636">
        <w:rPr>
          <w:rFonts w:cs="Times New Roman"/>
        </w:rPr>
        <w:t xml:space="preserve">. </w:t>
      </w:r>
      <w:r w:rsidR="00FB3DFB" w:rsidRPr="00061636">
        <w:rPr>
          <w:rFonts w:cs="Times New Roman"/>
        </w:rPr>
        <w:t xml:space="preserve">Another </w:t>
      </w:r>
      <w:r w:rsidRPr="00061636">
        <w:rPr>
          <w:rFonts w:cs="Times New Roman"/>
        </w:rPr>
        <w:t xml:space="preserve">benefit of solar PV systems and other renewable generation sources worth mentioning is </w:t>
      </w:r>
      <w:r w:rsidR="00A06D48" w:rsidRPr="00061636">
        <w:rPr>
          <w:rFonts w:cs="Times New Roman"/>
        </w:rPr>
        <w:t xml:space="preserve">the concept of </w:t>
      </w:r>
      <w:r w:rsidRPr="00061636">
        <w:rPr>
          <w:rFonts w:cs="Times New Roman"/>
        </w:rPr>
        <w:t xml:space="preserve">energy independence. Because their production of electricity is not tied to fluctuating fuel prices, PV systems can enable nations to achieve a certain degree of </w:t>
      </w:r>
      <w:r w:rsidR="00582B86" w:rsidRPr="00061636">
        <w:rPr>
          <w:rFonts w:cs="Times New Roman"/>
        </w:rPr>
        <w:t>independence from</w:t>
      </w:r>
      <w:r w:rsidR="00A06D48" w:rsidRPr="00061636">
        <w:rPr>
          <w:rFonts w:cs="Times New Roman"/>
        </w:rPr>
        <w:t xml:space="preserve"> </w:t>
      </w:r>
      <w:r w:rsidRPr="00061636">
        <w:rPr>
          <w:rFonts w:cs="Times New Roman"/>
        </w:rPr>
        <w:t xml:space="preserve">imported fuels. And in parts of the world that suffer from low </w:t>
      </w:r>
      <w:r w:rsidR="00FB3DFB" w:rsidRPr="00061636">
        <w:rPr>
          <w:rFonts w:cs="Times New Roman"/>
        </w:rPr>
        <w:t xml:space="preserve">levels of </w:t>
      </w:r>
      <w:r w:rsidRPr="00061636">
        <w:rPr>
          <w:rFonts w:cs="Times New Roman"/>
        </w:rPr>
        <w:t xml:space="preserve">electrification—both in cities and rural areas—utility-scale PV can </w:t>
      </w:r>
      <w:r w:rsidR="00582B86" w:rsidRPr="00061636">
        <w:rPr>
          <w:rFonts w:cs="Times New Roman"/>
        </w:rPr>
        <w:t>provide alternate</w:t>
      </w:r>
      <w:r w:rsidRPr="00061636">
        <w:rPr>
          <w:rFonts w:cs="Times New Roman"/>
        </w:rPr>
        <w:t xml:space="preserve"> means of ensuring </w:t>
      </w:r>
      <w:r w:rsidR="00A06D48" w:rsidRPr="00061636">
        <w:rPr>
          <w:rFonts w:cs="Times New Roman"/>
        </w:rPr>
        <w:t xml:space="preserve">greater </w:t>
      </w:r>
      <w:r w:rsidRPr="00061636">
        <w:rPr>
          <w:rFonts w:cs="Times New Roman"/>
        </w:rPr>
        <w:t>energy access for the poor, bringing with it economic and social development.</w:t>
      </w:r>
    </w:p>
    <w:p w14:paraId="16FB77A2" w14:textId="2DE2C461" w:rsidR="00A25BB7" w:rsidRPr="00061636" w:rsidRDefault="00CB603A" w:rsidP="00EB247F">
      <w:pPr>
        <w:rPr>
          <w:rFonts w:cs="Times New Roman"/>
        </w:rPr>
      </w:pPr>
      <w:r w:rsidRPr="00061636">
        <w:rPr>
          <w:rFonts w:cs="Times New Roman"/>
        </w:rPr>
        <w:t xml:space="preserve">While there exist many </w:t>
      </w:r>
      <w:r w:rsidR="00582B86" w:rsidRPr="00061636">
        <w:rPr>
          <w:rFonts w:cs="Times New Roman"/>
        </w:rPr>
        <w:t>advantages of</w:t>
      </w:r>
      <w:r w:rsidR="00A06D48" w:rsidRPr="00061636">
        <w:rPr>
          <w:rFonts w:cs="Times New Roman"/>
        </w:rPr>
        <w:t xml:space="preserve"> </w:t>
      </w:r>
      <w:r w:rsidRPr="00061636">
        <w:rPr>
          <w:rFonts w:cs="Times New Roman"/>
        </w:rPr>
        <w:t xml:space="preserve">a growing market for utility-scale PV, there are also several disadvantages of </w:t>
      </w:r>
      <w:r w:rsidR="00A06D48" w:rsidRPr="00061636">
        <w:rPr>
          <w:rFonts w:cs="Times New Roman"/>
        </w:rPr>
        <w:t>over-</w:t>
      </w:r>
      <w:r w:rsidRPr="00061636">
        <w:rPr>
          <w:rFonts w:cs="Times New Roman"/>
        </w:rPr>
        <w:t>rel</w:t>
      </w:r>
      <w:r w:rsidR="00A06D48" w:rsidRPr="00061636">
        <w:rPr>
          <w:rFonts w:cs="Times New Roman"/>
        </w:rPr>
        <w:t>iance</w:t>
      </w:r>
      <w:r w:rsidRPr="00061636">
        <w:rPr>
          <w:rFonts w:cs="Times New Roman"/>
        </w:rPr>
        <w:t xml:space="preserve"> on PV for an increasing share of electricity generation. The </w:t>
      </w:r>
      <w:r w:rsidRPr="00061636">
        <w:rPr>
          <w:rFonts w:cs="Times New Roman"/>
          <w:i/>
        </w:rPr>
        <w:t>Future of Solar Energy Study</w:t>
      </w:r>
      <w:r w:rsidRPr="00061636">
        <w:rPr>
          <w:rFonts w:cs="Times New Roman"/>
        </w:rPr>
        <w:t xml:space="preserve"> from MIT offers a thorough analysis of these </w:t>
      </w:r>
      <w:r w:rsidR="00A25BB7" w:rsidRPr="00061636">
        <w:rPr>
          <w:rFonts w:cs="Times New Roman"/>
        </w:rPr>
        <w:t xml:space="preserve">and other </w:t>
      </w:r>
      <w:r w:rsidR="00582B86" w:rsidRPr="00061636">
        <w:rPr>
          <w:rFonts w:cs="Times New Roman"/>
        </w:rPr>
        <w:t>issues; some</w:t>
      </w:r>
      <w:r w:rsidR="00A06D48" w:rsidRPr="00061636">
        <w:rPr>
          <w:rFonts w:cs="Times New Roman"/>
        </w:rPr>
        <w:t xml:space="preserve"> of them are</w:t>
      </w:r>
      <w:r w:rsidR="00DE33AF" w:rsidRPr="00061636">
        <w:rPr>
          <w:rFonts w:cs="Times New Roman"/>
        </w:rPr>
        <w:t xml:space="preserve"> </w:t>
      </w:r>
      <w:r w:rsidRPr="00061636">
        <w:rPr>
          <w:rFonts w:cs="Times New Roman"/>
        </w:rPr>
        <w:t>summarize</w:t>
      </w:r>
      <w:r w:rsidR="00DE33AF" w:rsidRPr="00061636">
        <w:rPr>
          <w:rFonts w:cs="Times New Roman"/>
        </w:rPr>
        <w:t>d</w:t>
      </w:r>
      <w:r w:rsidRPr="00061636">
        <w:rPr>
          <w:rFonts w:cs="Times New Roman"/>
        </w:rPr>
        <w:t xml:space="preserve"> </w:t>
      </w:r>
      <w:r w:rsidR="00A25BB7" w:rsidRPr="00061636">
        <w:rPr>
          <w:rFonts w:cs="Times New Roman"/>
        </w:rPr>
        <w:t>below</w:t>
      </w:r>
      <w:sdt>
        <w:sdtPr>
          <w:rPr>
            <w:rFonts w:cs="Times New Roman"/>
          </w:rPr>
          <w:id w:val="-1006743575"/>
          <w:citation/>
        </w:sdtPr>
        <w:sdtContent>
          <w:r w:rsidR="002D1D5F">
            <w:rPr>
              <w:rFonts w:cs="Times New Roman"/>
            </w:rPr>
            <w:fldChar w:fldCharType="begin"/>
          </w:r>
          <w:r w:rsidR="002D1D5F">
            <w:rPr>
              <w:rFonts w:cs="Times New Roman"/>
            </w:rPr>
            <w:instrText xml:space="preserve"> CITATION MIT151 \l 1033 </w:instrText>
          </w:r>
          <w:r w:rsidR="002D1D5F">
            <w:rPr>
              <w:rFonts w:cs="Times New Roman"/>
            </w:rPr>
            <w:fldChar w:fldCharType="separate"/>
          </w:r>
          <w:r w:rsidR="002D1D5F">
            <w:rPr>
              <w:rFonts w:cs="Times New Roman"/>
              <w:noProof/>
            </w:rPr>
            <w:t xml:space="preserve"> </w:t>
          </w:r>
          <w:r w:rsidR="002D1D5F" w:rsidRPr="002D1D5F">
            <w:rPr>
              <w:rFonts w:cs="Times New Roman"/>
              <w:noProof/>
            </w:rPr>
            <w:t>(MIT, 2015)</w:t>
          </w:r>
          <w:r w:rsidR="002D1D5F">
            <w:rPr>
              <w:rFonts w:cs="Times New Roman"/>
            </w:rPr>
            <w:fldChar w:fldCharType="end"/>
          </w:r>
        </w:sdtContent>
      </w:sdt>
      <w:r w:rsidRPr="00061636">
        <w:rPr>
          <w:rFonts w:cs="Times New Roman"/>
        </w:rPr>
        <w:t>.</w:t>
      </w:r>
    </w:p>
    <w:p w14:paraId="709381D0" w14:textId="5540D45B" w:rsidR="00A25BB7" w:rsidRPr="00E27BD3" w:rsidRDefault="00802B1A" w:rsidP="00582B86">
      <w:pPr>
        <w:pStyle w:val="Heading3"/>
        <w:numPr>
          <w:ilvl w:val="0"/>
          <w:numId w:val="0"/>
        </w:numPr>
        <w:ind w:left="720"/>
      </w:pPr>
      <w:bookmarkStart w:id="20" w:name="_Toc10331907"/>
      <w:r>
        <w:t>1.4.4</w:t>
      </w:r>
      <w:r>
        <w:tab/>
      </w:r>
      <w:r w:rsidR="00A25BB7" w:rsidRPr="00E27BD3">
        <w:t>Drawbacks</w:t>
      </w:r>
      <w:bookmarkEnd w:id="20"/>
    </w:p>
    <w:p w14:paraId="3A6796B7" w14:textId="311E9B54" w:rsidR="001C7D91" w:rsidRPr="00061636" w:rsidRDefault="00CB603A" w:rsidP="00EB247F">
      <w:pPr>
        <w:rPr>
          <w:rFonts w:cs="Times New Roman"/>
        </w:rPr>
      </w:pPr>
      <w:r w:rsidRPr="00061636">
        <w:rPr>
          <w:rFonts w:cs="Times New Roman"/>
        </w:rPr>
        <w:t xml:space="preserve"> One central challenge to an electrical grid or system receiving a large percentage of electricity from renewable sources like PV is that this energy is intermittent; the amount of electricity generated can fluctuate unexpectedly based on changing weather patterns as well as </w:t>
      </w:r>
      <w:r w:rsidR="00A06D48" w:rsidRPr="00061636">
        <w:rPr>
          <w:rFonts w:cs="Times New Roman"/>
        </w:rPr>
        <w:t xml:space="preserve">due to </w:t>
      </w:r>
      <w:r w:rsidRPr="00061636">
        <w:rPr>
          <w:rFonts w:cs="Times New Roman"/>
        </w:rPr>
        <w:t>seasonal shifts in solar irradiance.</w:t>
      </w:r>
      <w:r w:rsidR="0052059F" w:rsidRPr="00061636">
        <w:rPr>
          <w:rFonts w:cs="Times New Roman"/>
        </w:rPr>
        <w:t xml:space="preserve"> </w:t>
      </w:r>
      <w:r w:rsidR="00246F22" w:rsidRPr="00061636">
        <w:rPr>
          <w:rFonts w:cs="Times New Roman"/>
        </w:rPr>
        <w:t xml:space="preserve">As the share of renewable energy being injected into the grid increases, the grids have to cope with the unpredictability and intermittency of these sources. This impacts the grid stability and affects the quality of power. Grid </w:t>
      </w:r>
      <w:r w:rsidR="00582B86" w:rsidRPr="00061636">
        <w:rPr>
          <w:rFonts w:cs="Times New Roman"/>
        </w:rPr>
        <w:t>management becomes</w:t>
      </w:r>
      <w:r w:rsidR="00246F22" w:rsidRPr="00061636">
        <w:rPr>
          <w:rFonts w:cs="Times New Roman"/>
        </w:rPr>
        <w:t xml:space="preserve"> a major problem as the grid operators have to cope with </w:t>
      </w:r>
      <w:r w:rsidR="0052059F" w:rsidRPr="00061636">
        <w:rPr>
          <w:rFonts w:cs="Times New Roman"/>
        </w:rPr>
        <w:t xml:space="preserve">ever </w:t>
      </w:r>
      <w:r w:rsidR="00246F22" w:rsidRPr="00061636">
        <w:rPr>
          <w:rFonts w:cs="Times New Roman"/>
        </w:rPr>
        <w:t>fluctuating and unpredictable amounts of energy being fed into the grid. At present, the grids schedule their operations in advance but w</w:t>
      </w:r>
      <w:r w:rsidR="0052059F" w:rsidRPr="00061636">
        <w:rPr>
          <w:rFonts w:cs="Times New Roman"/>
        </w:rPr>
        <w:t>i</w:t>
      </w:r>
      <w:r w:rsidR="00246F22" w:rsidRPr="00061636">
        <w:rPr>
          <w:rFonts w:cs="Times New Roman"/>
        </w:rPr>
        <w:t>t</w:t>
      </w:r>
      <w:r w:rsidR="0052059F" w:rsidRPr="00061636">
        <w:rPr>
          <w:rFonts w:cs="Times New Roman"/>
        </w:rPr>
        <w:t>h increasing</w:t>
      </w:r>
      <w:r w:rsidR="00246F22" w:rsidRPr="00061636">
        <w:rPr>
          <w:rFonts w:cs="Times New Roman"/>
        </w:rPr>
        <w:t xml:space="preserve"> renewables, this becomes a continuous balancing act. The grids need to </w:t>
      </w:r>
      <w:r w:rsidR="000D3B08" w:rsidRPr="00061636">
        <w:rPr>
          <w:rFonts w:cs="Times New Roman"/>
        </w:rPr>
        <w:t>be designed</w:t>
      </w:r>
      <w:r w:rsidR="0052059F" w:rsidRPr="00061636">
        <w:rPr>
          <w:rFonts w:cs="Times New Roman"/>
        </w:rPr>
        <w:t xml:space="preserve"> and their operators trained</w:t>
      </w:r>
      <w:r w:rsidR="000D3B08" w:rsidRPr="00061636">
        <w:rPr>
          <w:rFonts w:cs="Times New Roman"/>
        </w:rPr>
        <w:t xml:space="preserve"> to cope with ever</w:t>
      </w:r>
      <w:r w:rsidR="00BD15EF">
        <w:rPr>
          <w:rFonts w:cs="Times New Roman"/>
        </w:rPr>
        <w:t>-</w:t>
      </w:r>
      <w:r w:rsidR="000D3B08" w:rsidRPr="00061636">
        <w:rPr>
          <w:rFonts w:cs="Times New Roman"/>
        </w:rPr>
        <w:t>increasing amounts of this energy.</w:t>
      </w:r>
    </w:p>
    <w:p w14:paraId="1FEC638C" w14:textId="072166BC" w:rsidR="00CB603A" w:rsidRPr="00061636" w:rsidRDefault="00CB603A" w:rsidP="00EB247F">
      <w:pPr>
        <w:rPr>
          <w:rFonts w:cs="Times New Roman"/>
        </w:rPr>
      </w:pPr>
      <w:r w:rsidRPr="00061636">
        <w:rPr>
          <w:rFonts w:cs="Times New Roman"/>
        </w:rPr>
        <w:t xml:space="preserve">A related barrier is </w:t>
      </w:r>
      <w:r w:rsidR="00BD15EF">
        <w:rPr>
          <w:rFonts w:cs="Times New Roman"/>
        </w:rPr>
        <w:t>a</w:t>
      </w:r>
      <w:r w:rsidRPr="00061636">
        <w:rPr>
          <w:rFonts w:cs="Times New Roman"/>
        </w:rPr>
        <w:t xml:space="preserve"> mismatch between the daily profile of solar irradiance, which peaks mid-day, and the daily profile for electricity demand. This mismatch is particularly problematic for residential and industrial electricity customers. A typical household’s electricity demands are highest in the evening, after the sun has set, while an industrial facility has relatively flat demand 24 hours a day</w:t>
      </w:r>
      <w:sdt>
        <w:sdtPr>
          <w:rPr>
            <w:rFonts w:cs="Times New Roman"/>
          </w:rPr>
          <w:id w:val="-1049916430"/>
          <w:citation/>
        </w:sdtPr>
        <w:sdtContent>
          <w:r w:rsidR="002C1F13">
            <w:rPr>
              <w:rFonts w:cs="Times New Roman"/>
            </w:rPr>
            <w:fldChar w:fldCharType="begin"/>
          </w:r>
          <w:r w:rsidR="002C1F13">
            <w:rPr>
              <w:rFonts w:cs="Times New Roman"/>
            </w:rPr>
            <w:instrText xml:space="preserve"> CITATION MIT151 \l 1033 </w:instrText>
          </w:r>
          <w:r w:rsidR="002C1F13">
            <w:rPr>
              <w:rFonts w:cs="Times New Roman"/>
            </w:rPr>
            <w:fldChar w:fldCharType="separate"/>
          </w:r>
          <w:r w:rsidR="002C1F13">
            <w:rPr>
              <w:rFonts w:cs="Times New Roman"/>
              <w:noProof/>
            </w:rPr>
            <w:t xml:space="preserve"> </w:t>
          </w:r>
          <w:r w:rsidR="002C1F13" w:rsidRPr="002C1F13">
            <w:rPr>
              <w:rFonts w:cs="Times New Roman"/>
              <w:noProof/>
            </w:rPr>
            <w:t>(MIT, 2015)</w:t>
          </w:r>
          <w:r w:rsidR="002C1F13">
            <w:rPr>
              <w:rFonts w:cs="Times New Roman"/>
            </w:rPr>
            <w:fldChar w:fldCharType="end"/>
          </w:r>
        </w:sdtContent>
      </w:sdt>
      <w:r w:rsidRPr="00061636">
        <w:rPr>
          <w:rFonts w:cs="Times New Roman"/>
        </w:rPr>
        <w:t>. In terms of cost, this means that PV generation may be competing in real time with deflated market prices rather than average market prices for electricity</w:t>
      </w:r>
      <w:r w:rsidR="00E27BD3">
        <w:rPr>
          <w:rFonts w:cs="Times New Roman"/>
        </w:rPr>
        <w:t xml:space="preserve"> </w:t>
      </w:r>
      <w:r w:rsidRPr="00061636">
        <w:rPr>
          <w:rFonts w:cs="Times New Roman"/>
        </w:rPr>
        <w:fldChar w:fldCharType="begin"/>
      </w:r>
      <w:r w:rsidRPr="00061636">
        <w:rPr>
          <w:rFonts w:cs="Times New Roman"/>
        </w:rPr>
        <w:instrText xml:space="preserve"> ADDIN ZOTERO_ITEM CSL_CITATION {"citationID":"2fh5ril3ak","properties":{"formattedCitation":"(MIT, 2015)","plainCitation":"(MIT, 2015)"},"citationItems":[{"id":5007,"uris":["http://zotero.org/groups/277937/items/KIE62KVE"],"uri":["http://zotero.org/groups/277937/items/KIE62KVE"],"itemData":{"id":5007,"type":"article","title":"The Future of Solar Energy: An Interdisciplinary MIT Study","author":[{"family":"MIT","given":""}],"issued":{"date-parts":[["2015"]]}}}],"schema":"https://github.com/citation-style-language/schema/raw/master/csl-citation.json"} </w:instrText>
      </w:r>
      <w:r w:rsidRPr="00061636">
        <w:rPr>
          <w:rFonts w:cs="Times New Roman"/>
        </w:rPr>
        <w:fldChar w:fldCharType="separate"/>
      </w:r>
      <w:r w:rsidRPr="00061636">
        <w:t>(MIT, 2015)</w:t>
      </w:r>
      <w:r w:rsidRPr="00061636">
        <w:rPr>
          <w:rFonts w:cs="Times New Roman"/>
        </w:rPr>
        <w:fldChar w:fldCharType="end"/>
      </w:r>
      <w:r w:rsidRPr="00061636">
        <w:rPr>
          <w:rFonts w:cs="Times New Roman"/>
        </w:rPr>
        <w:t>. It should be noted that this effect is not universal</w:t>
      </w:r>
      <w:r w:rsidR="00E27BD3">
        <w:rPr>
          <w:rFonts w:cs="Times New Roman"/>
        </w:rPr>
        <w:t xml:space="preserve"> </w:t>
      </w:r>
      <w:r w:rsidRPr="00061636">
        <w:rPr>
          <w:rFonts w:cs="Times New Roman"/>
        </w:rPr>
        <w:t xml:space="preserve">—in places like the western U.S., electricity demand peaks during the day because of air conditioning usage </w:t>
      </w:r>
      <w:sdt>
        <w:sdtPr>
          <w:rPr>
            <w:rFonts w:cs="Times New Roman"/>
          </w:rPr>
          <w:id w:val="602083379"/>
          <w:citation/>
        </w:sdtPr>
        <w:sdtContent>
          <w:r w:rsidR="00DC3EB2">
            <w:rPr>
              <w:rFonts w:cs="Times New Roman"/>
            </w:rPr>
            <w:fldChar w:fldCharType="begin"/>
          </w:r>
          <w:r w:rsidR="00DC3EB2">
            <w:rPr>
              <w:rFonts w:cs="Times New Roman"/>
            </w:rPr>
            <w:instrText xml:space="preserve"> CITATION NRE13 \l 1033 </w:instrText>
          </w:r>
          <w:r w:rsidR="00DC3EB2">
            <w:rPr>
              <w:rFonts w:cs="Times New Roman"/>
            </w:rPr>
            <w:fldChar w:fldCharType="separate"/>
          </w:r>
          <w:r w:rsidR="00AC388C" w:rsidRPr="00AC388C">
            <w:rPr>
              <w:rFonts w:cs="Times New Roman"/>
              <w:noProof/>
            </w:rPr>
            <w:t>(NREL, 2013)</w:t>
          </w:r>
          <w:r w:rsidR="00DC3EB2">
            <w:rPr>
              <w:rFonts w:cs="Times New Roman"/>
            </w:rPr>
            <w:fldChar w:fldCharType="end"/>
          </w:r>
        </w:sdtContent>
      </w:sdt>
      <w:r w:rsidR="00582B86">
        <w:rPr>
          <w:rFonts w:cs="Times New Roman"/>
        </w:rPr>
        <w:t>.</w:t>
      </w:r>
    </w:p>
    <w:p w14:paraId="6CF0F6D6" w14:textId="22D1553B" w:rsidR="00CB603A" w:rsidRPr="00061636" w:rsidRDefault="00CB603A" w:rsidP="00EB247F">
      <w:pPr>
        <w:rPr>
          <w:rFonts w:cs="Times New Roman"/>
        </w:rPr>
      </w:pPr>
      <w:r w:rsidRPr="00061636">
        <w:rPr>
          <w:rFonts w:cs="Times New Roman"/>
        </w:rPr>
        <w:t>Some countr</w:t>
      </w:r>
      <w:r w:rsidR="00AD768A" w:rsidRPr="00061636">
        <w:rPr>
          <w:rFonts w:cs="Times New Roman"/>
        </w:rPr>
        <w:t>ies</w:t>
      </w:r>
      <w:r w:rsidRPr="00061636">
        <w:rPr>
          <w:rFonts w:cs="Times New Roman"/>
        </w:rPr>
        <w:t xml:space="preserve"> and regional electricity markets with a high penetration of PV are already facing challenges related to these barriers. Germany presents an illustrative case, as the country receives a significant amount </w:t>
      </w:r>
      <w:r w:rsidRPr="00061636">
        <w:rPr>
          <w:rFonts w:cs="Times New Roman"/>
        </w:rPr>
        <w:lastRenderedPageBreak/>
        <w:t xml:space="preserve">of electric generating capacity from renewable sources. During the mid-day hours when PV is producing peak power, supply can outmatch demand, driving electricity prices down and, as happened in October 2011 and as recently as May 2016, into the negative for a period </w:t>
      </w:r>
      <w:r w:rsidR="00582B86" w:rsidRPr="00061636">
        <w:rPr>
          <w:rFonts w:cs="Times New Roman"/>
        </w:rPr>
        <w:t>lasting a</w:t>
      </w:r>
      <w:r w:rsidRPr="00061636">
        <w:rPr>
          <w:rFonts w:cs="Times New Roman"/>
        </w:rPr>
        <w:t xml:space="preserve"> full work day </w:t>
      </w:r>
      <w:sdt>
        <w:sdtPr>
          <w:rPr>
            <w:rFonts w:cs="Times New Roman"/>
          </w:rPr>
          <w:id w:val="-1936507270"/>
          <w:citation/>
        </w:sdtPr>
        <w:sdtContent>
          <w:r w:rsidR="00DC3EB2">
            <w:rPr>
              <w:rFonts w:cs="Times New Roman"/>
            </w:rPr>
            <w:fldChar w:fldCharType="begin"/>
          </w:r>
          <w:r w:rsidR="00DC3EB2">
            <w:rPr>
              <w:rFonts w:cs="Times New Roman"/>
            </w:rPr>
            <w:instrText xml:space="preserve"> CITATION The \l 1033 </w:instrText>
          </w:r>
          <w:r w:rsidR="00DC3EB2">
            <w:rPr>
              <w:rFonts w:cs="Times New Roman"/>
            </w:rPr>
            <w:fldChar w:fldCharType="separate"/>
          </w:r>
          <w:r w:rsidR="00AC388C" w:rsidRPr="00AC388C">
            <w:rPr>
              <w:rFonts w:cs="Times New Roman"/>
              <w:noProof/>
            </w:rPr>
            <w:t>(Haas, 2013)</w:t>
          </w:r>
          <w:r w:rsidR="00DC3EB2">
            <w:rPr>
              <w:rFonts w:cs="Times New Roman"/>
            </w:rPr>
            <w:fldChar w:fldCharType="end"/>
          </w:r>
        </w:sdtContent>
      </w:sdt>
      <w:r w:rsidR="00582B86">
        <w:rPr>
          <w:rFonts w:cs="Times New Roman"/>
        </w:rPr>
        <w:t>.</w:t>
      </w:r>
      <w:r w:rsidRPr="00061636">
        <w:rPr>
          <w:rFonts w:cs="Times New Roman"/>
        </w:rPr>
        <w:t xml:space="preserve"> One of the causes of this sudden drop in prices is the inflexibility in traditional electricity markets. When renewables are producing a large share of electricity supply, conventional power plants can be taken offline, but coal and nuclear plants cannot shut down quickly, and it is generally cheaper to generate electricity at a loss than it is to shut them down and then ramp them up again a few hours later, once PV stops producing electricity. This inflexibility leads to market inefficiencies and price volatility, which can harm the overall functioning of the market.</w:t>
      </w:r>
    </w:p>
    <w:p w14:paraId="233EB02A" w14:textId="14650B52" w:rsidR="00CB603A" w:rsidRPr="00061636" w:rsidRDefault="00CB603A" w:rsidP="00EB247F">
      <w:pPr>
        <w:rPr>
          <w:rFonts w:eastAsia="Times New Roman" w:cs="Times New Roman"/>
          <w:color w:val="000000"/>
        </w:rPr>
      </w:pPr>
      <w:r w:rsidRPr="00061636">
        <w:rPr>
          <w:rFonts w:eastAsia="Times New Roman" w:cs="Times New Roman"/>
          <w:color w:val="000000"/>
        </w:rPr>
        <w:t xml:space="preserve">In terms of </w:t>
      </w:r>
      <w:r w:rsidR="00582B86" w:rsidRPr="00061636">
        <w:rPr>
          <w:rFonts w:eastAsia="Times New Roman" w:cs="Times New Roman"/>
          <w:color w:val="000000"/>
        </w:rPr>
        <w:t>intermittency, renewable</w:t>
      </w:r>
      <w:r w:rsidRPr="00061636">
        <w:rPr>
          <w:rFonts w:eastAsia="Times New Roman" w:cs="Times New Roman"/>
          <w:color w:val="000000"/>
        </w:rPr>
        <w:t xml:space="preserve"> technology </w:t>
      </w:r>
      <w:r w:rsidR="00AD768A" w:rsidRPr="00061636">
        <w:rPr>
          <w:rFonts w:eastAsia="Times New Roman" w:cs="Times New Roman"/>
          <w:color w:val="000000"/>
        </w:rPr>
        <w:t xml:space="preserve">comparable </w:t>
      </w:r>
      <w:r w:rsidRPr="00061636">
        <w:rPr>
          <w:rFonts w:eastAsia="Times New Roman" w:cs="Times New Roman"/>
          <w:color w:val="000000"/>
        </w:rPr>
        <w:t xml:space="preserve">to PV is wind power, but it often has a complementary generation profile to PV over the course </w:t>
      </w:r>
      <w:r w:rsidR="00582B86" w:rsidRPr="00061636">
        <w:rPr>
          <w:rFonts w:eastAsia="Times New Roman" w:cs="Times New Roman"/>
          <w:color w:val="000000"/>
        </w:rPr>
        <w:t>of the</w:t>
      </w:r>
      <w:r w:rsidRPr="00061636">
        <w:rPr>
          <w:rFonts w:eastAsia="Times New Roman" w:cs="Times New Roman"/>
          <w:color w:val="000000"/>
        </w:rPr>
        <w:t xml:space="preserve"> day. As a result, there is a synergistic effect of deploying solar energy and wind energy together in a region</w:t>
      </w:r>
      <w:sdt>
        <w:sdtPr>
          <w:rPr>
            <w:rFonts w:eastAsia="Times New Roman" w:cs="Times New Roman"/>
            <w:color w:val="000000"/>
          </w:rPr>
          <w:id w:val="1123657713"/>
          <w:citation/>
        </w:sdtPr>
        <w:sdtContent>
          <w:r w:rsidR="00CA56D1">
            <w:rPr>
              <w:rFonts w:eastAsia="Times New Roman" w:cs="Times New Roman"/>
              <w:color w:val="000000"/>
            </w:rPr>
            <w:fldChar w:fldCharType="begin"/>
          </w:r>
          <w:r w:rsidR="00CA56D1">
            <w:rPr>
              <w:rFonts w:eastAsia="Times New Roman" w:cs="Times New Roman"/>
              <w:color w:val="000000"/>
            </w:rPr>
            <w:instrText xml:space="preserve"> CITATION Nik11 \l 1033 </w:instrText>
          </w:r>
          <w:r w:rsidR="00CA56D1">
            <w:rPr>
              <w:rFonts w:eastAsia="Times New Roman" w:cs="Times New Roman"/>
              <w:color w:val="000000"/>
            </w:rPr>
            <w:fldChar w:fldCharType="separate"/>
          </w:r>
          <w:r w:rsidR="00AC388C">
            <w:rPr>
              <w:rFonts w:eastAsia="Times New Roman" w:cs="Times New Roman"/>
              <w:noProof/>
              <w:color w:val="000000"/>
            </w:rPr>
            <w:t xml:space="preserve"> </w:t>
          </w:r>
          <w:r w:rsidR="00AC388C" w:rsidRPr="00AC388C">
            <w:rPr>
              <w:rFonts w:eastAsia="Times New Roman" w:cs="Times New Roman"/>
              <w:noProof/>
              <w:color w:val="000000"/>
            </w:rPr>
            <w:t>(Nikolakakis, 2011)</w:t>
          </w:r>
          <w:r w:rsidR="00CA56D1">
            <w:rPr>
              <w:rFonts w:eastAsia="Times New Roman" w:cs="Times New Roman"/>
              <w:color w:val="000000"/>
            </w:rPr>
            <w:fldChar w:fldCharType="end"/>
          </w:r>
        </w:sdtContent>
      </w:sdt>
      <w:r w:rsidRPr="00061636">
        <w:rPr>
          <w:rFonts w:eastAsia="Times New Roman" w:cs="Times New Roman"/>
          <w:color w:val="000000"/>
        </w:rPr>
        <w:t xml:space="preserve">. The intermittent nature of both PV and wind </w:t>
      </w:r>
      <w:r w:rsidRPr="00061636">
        <w:rPr>
          <w:rFonts w:cs="Times New Roman"/>
        </w:rPr>
        <w:t>will require innovative market and governance structures that can keep prices from fluctuating while making sure that the power reaches those who need it. For this reason, future adoption scenarios for PV and wind power include assumptions that they will be adopted in parallel with energy storage or dispatchable generation sources such as natural gas. While these solutions can address the supply side of the equation, changes also need to occur on the demand side. Electricity consumers may have to shift their patterns of usage depending on when the intermittent sources are producing electricity, and one way they can be incentivized to do this is through dynamic electricity pricing schemes. While this report will not discuss in depth the challenges and opportunities for integrating renewables, it is clear that a future energy system relying on substantial amounts of electricity from renewable sources will function much differently than the majority of existing electricity markets</w:t>
      </w:r>
      <w:r w:rsidR="00AD768A" w:rsidRPr="00061636">
        <w:rPr>
          <w:rFonts w:cs="Times New Roman"/>
        </w:rPr>
        <w:t xml:space="preserve"> and conventional grids</w:t>
      </w:r>
      <w:r w:rsidR="001E0FF2" w:rsidRPr="00061636">
        <w:rPr>
          <w:rFonts w:cs="Times New Roman"/>
        </w:rPr>
        <w:t>.</w:t>
      </w:r>
    </w:p>
    <w:p w14:paraId="093B9955" w14:textId="660261F7" w:rsidR="00CB603A" w:rsidRPr="00061636" w:rsidRDefault="00CB603A" w:rsidP="00EB247F">
      <w:pPr>
        <w:rPr>
          <w:rFonts w:cs="Times New Roman"/>
        </w:rPr>
      </w:pPr>
      <w:r w:rsidRPr="00061636">
        <w:rPr>
          <w:rFonts w:cs="Times New Roman"/>
        </w:rPr>
        <w:t xml:space="preserve">Another potential disadvantage of adopting an increasing capacity of utility-scale PV is </w:t>
      </w:r>
      <w:r w:rsidR="00AD768A" w:rsidRPr="00061636">
        <w:rPr>
          <w:rFonts w:cs="Times New Roman"/>
        </w:rPr>
        <w:t xml:space="preserve">the </w:t>
      </w:r>
      <w:r w:rsidRPr="00061636">
        <w:rPr>
          <w:rFonts w:cs="Times New Roman"/>
        </w:rPr>
        <w:t xml:space="preserve">material constraints on the expansion of production capacity for current PV technology. </w:t>
      </w:r>
      <w:r w:rsidR="00AD768A" w:rsidRPr="00061636">
        <w:rPr>
          <w:rFonts w:cs="Times New Roman"/>
        </w:rPr>
        <w:t>T</w:t>
      </w:r>
      <w:r w:rsidRPr="00061636">
        <w:rPr>
          <w:rFonts w:cs="Times New Roman"/>
        </w:rPr>
        <w:t xml:space="preserve">he </w:t>
      </w:r>
      <w:r w:rsidR="00D10268" w:rsidRPr="00061636">
        <w:rPr>
          <w:rFonts w:cs="Times New Roman"/>
        </w:rPr>
        <w:t>demand</w:t>
      </w:r>
      <w:r w:rsidRPr="00061636">
        <w:rPr>
          <w:rFonts w:cs="Times New Roman"/>
        </w:rPr>
        <w:t xml:space="preserve"> for </w:t>
      </w:r>
      <w:r w:rsidR="00AD768A" w:rsidRPr="00061636">
        <w:rPr>
          <w:rFonts w:cs="Times New Roman"/>
        </w:rPr>
        <w:t>common</w:t>
      </w:r>
      <w:r w:rsidRPr="00061636">
        <w:rPr>
          <w:rFonts w:cs="Times New Roman"/>
        </w:rPr>
        <w:t xml:space="preserve"> materials</w:t>
      </w:r>
      <w:r w:rsidR="00AD768A" w:rsidRPr="00061636">
        <w:rPr>
          <w:rFonts w:cs="Times New Roman"/>
        </w:rPr>
        <w:t xml:space="preserve"> like </w:t>
      </w:r>
      <w:r w:rsidRPr="00061636">
        <w:rPr>
          <w:rFonts w:cs="Times New Roman"/>
        </w:rPr>
        <w:t xml:space="preserve">concrete, steel, plastic, glass, aluminum, and copper </w:t>
      </w:r>
      <w:r w:rsidR="00D10268" w:rsidRPr="00061636">
        <w:rPr>
          <w:rFonts w:cs="Times New Roman"/>
        </w:rPr>
        <w:t>is</w:t>
      </w:r>
      <w:r w:rsidRPr="00061636">
        <w:rPr>
          <w:rFonts w:cs="Times New Roman"/>
        </w:rPr>
        <w:t xml:space="preserve"> likely</w:t>
      </w:r>
      <w:r w:rsidR="00D10268" w:rsidRPr="00061636">
        <w:rPr>
          <w:rFonts w:cs="Times New Roman"/>
        </w:rPr>
        <w:t xml:space="preserve"> to</w:t>
      </w:r>
      <w:r w:rsidRPr="00061636">
        <w:rPr>
          <w:rFonts w:cs="Times New Roman"/>
        </w:rPr>
        <w:t xml:space="preserve"> be accommodated at current and projected production rates, as will the </w:t>
      </w:r>
      <w:r w:rsidR="00D10268" w:rsidRPr="00061636">
        <w:rPr>
          <w:rFonts w:cs="Times New Roman"/>
        </w:rPr>
        <w:t xml:space="preserve">case for </w:t>
      </w:r>
      <w:r w:rsidRPr="00061636">
        <w:rPr>
          <w:rFonts w:cs="Times New Roman"/>
        </w:rPr>
        <w:t>critical materials silicon and silver)</w:t>
      </w:r>
      <w:sdt>
        <w:sdtPr>
          <w:rPr>
            <w:rFonts w:cs="Times New Roman"/>
          </w:rPr>
          <w:id w:val="-1910839431"/>
          <w:citation/>
        </w:sdtPr>
        <w:sdtContent>
          <w:r w:rsidR="00682FD4">
            <w:rPr>
              <w:rFonts w:cs="Times New Roman"/>
            </w:rPr>
            <w:fldChar w:fldCharType="begin"/>
          </w:r>
          <w:r w:rsidR="00682FD4">
            <w:rPr>
              <w:rFonts w:cs="Times New Roman"/>
            </w:rPr>
            <w:instrText xml:space="preserve"> CITATION MIT151 \l 1033 </w:instrText>
          </w:r>
          <w:r w:rsidR="00682FD4">
            <w:rPr>
              <w:rFonts w:cs="Times New Roman"/>
            </w:rPr>
            <w:fldChar w:fldCharType="separate"/>
          </w:r>
          <w:r w:rsidR="00682FD4">
            <w:rPr>
              <w:rFonts w:cs="Times New Roman"/>
              <w:noProof/>
            </w:rPr>
            <w:t xml:space="preserve"> </w:t>
          </w:r>
          <w:r w:rsidR="00682FD4" w:rsidRPr="00682FD4">
            <w:rPr>
              <w:rFonts w:cs="Times New Roman"/>
              <w:noProof/>
            </w:rPr>
            <w:t>(MIT, 2015)</w:t>
          </w:r>
          <w:r w:rsidR="00682FD4">
            <w:rPr>
              <w:rFonts w:cs="Times New Roman"/>
            </w:rPr>
            <w:fldChar w:fldCharType="end"/>
          </w:r>
        </w:sdtContent>
      </w:sdt>
      <w:r w:rsidRPr="00061636">
        <w:rPr>
          <w:rFonts w:cs="Times New Roman"/>
        </w:rPr>
        <w:t>. However, several critical materials for thin-film PV (indium, gallium, selenium</w:t>
      </w:r>
      <w:r w:rsidR="00BD15EF">
        <w:rPr>
          <w:rFonts w:cs="Times New Roman"/>
        </w:rPr>
        <w:t>,</w:t>
      </w:r>
      <w:r w:rsidRPr="00061636">
        <w:rPr>
          <w:rFonts w:cs="Times New Roman"/>
        </w:rPr>
        <w:t xml:space="preserve"> and tellurium) are only mined as byproducts of other metals and </w:t>
      </w:r>
      <w:r w:rsidR="00D10268" w:rsidRPr="00061636">
        <w:rPr>
          <w:rFonts w:cs="Times New Roman"/>
        </w:rPr>
        <w:t>their production may not be able</w:t>
      </w:r>
      <w:r w:rsidRPr="00061636">
        <w:rPr>
          <w:rFonts w:cs="Times New Roman"/>
        </w:rPr>
        <w:t xml:space="preserve"> to meet the levels </w:t>
      </w:r>
      <w:r w:rsidR="00D10268" w:rsidRPr="00061636">
        <w:rPr>
          <w:rFonts w:cs="Times New Roman"/>
        </w:rPr>
        <w:t>required</w:t>
      </w:r>
      <w:r w:rsidRPr="00061636">
        <w:rPr>
          <w:rFonts w:cs="Times New Roman"/>
        </w:rPr>
        <w:t xml:space="preserve"> for global adoption. More research into</w:t>
      </w:r>
      <w:r w:rsidR="00E35D78" w:rsidRPr="00061636">
        <w:rPr>
          <w:rFonts w:cs="Times New Roman"/>
        </w:rPr>
        <w:t xml:space="preserve"> such</w:t>
      </w:r>
      <w:r w:rsidRPr="00061636">
        <w:rPr>
          <w:rFonts w:cs="Times New Roman"/>
        </w:rPr>
        <w:t xml:space="preserve"> materials</w:t>
      </w:r>
      <w:r w:rsidR="00E35D78" w:rsidRPr="00061636">
        <w:rPr>
          <w:rFonts w:cs="Times New Roman"/>
        </w:rPr>
        <w:t xml:space="preserve"> and their production would be necessary especially for</w:t>
      </w:r>
      <w:r w:rsidRPr="00061636">
        <w:rPr>
          <w:rFonts w:cs="Times New Roman"/>
        </w:rPr>
        <w:t xml:space="preserve"> thin-film PV </w:t>
      </w:r>
      <w:r w:rsidR="00E35D78" w:rsidRPr="00061636">
        <w:rPr>
          <w:rFonts w:cs="Times New Roman"/>
        </w:rPr>
        <w:t xml:space="preserve">materials and </w:t>
      </w:r>
      <w:r w:rsidRPr="00061636">
        <w:rPr>
          <w:rFonts w:cs="Times New Roman"/>
        </w:rPr>
        <w:t>design</w:t>
      </w:r>
      <w:r w:rsidR="00E35D78" w:rsidRPr="00061636">
        <w:rPr>
          <w:rFonts w:cs="Times New Roman"/>
        </w:rPr>
        <w:t>.</w:t>
      </w:r>
    </w:p>
    <w:p w14:paraId="19A4CD18" w14:textId="0BDC0248" w:rsidR="00260F43" w:rsidRDefault="00CB603A" w:rsidP="00260F43">
      <w:r w:rsidRPr="00061636">
        <w:rPr>
          <w:rFonts w:eastAsia="Times New Roman" w:cs="Times New Roman"/>
          <w:color w:val="000000"/>
        </w:rPr>
        <w:t>There has been a substantial amount of research analyzing the lifecycle, as well as the energy return on investment (EROI) and energy payback times (EPBT</w:t>
      </w:r>
      <w:r w:rsidR="00537FD9">
        <w:rPr>
          <w:rFonts w:eastAsia="Times New Roman" w:cs="Times New Roman"/>
          <w:color w:val="000000"/>
        </w:rPr>
        <w:t>),</w:t>
      </w:r>
      <w:r w:rsidRPr="00061636">
        <w:rPr>
          <w:rFonts w:eastAsia="Times New Roman" w:cs="Times New Roman"/>
          <w:color w:val="000000"/>
        </w:rPr>
        <w:t xml:space="preserve"> of solar PV. Historically, critics of PV argue that it has a low EROI value compared to conventional energy sources such as coal and natural gas, and they cite </w:t>
      </w:r>
      <w:r w:rsidRPr="00061636">
        <w:rPr>
          <w:rFonts w:eastAsia="Times New Roman" w:cs="Times New Roman"/>
          <w:color w:val="000000"/>
        </w:rPr>
        <w:lastRenderedPageBreak/>
        <w:t>the energy intensiveness of purifying silicon as the primary reason for PV’s low EROI</w:t>
      </w:r>
      <w:sdt>
        <w:sdtPr>
          <w:rPr>
            <w:rFonts w:eastAsia="Times New Roman" w:cs="Times New Roman"/>
            <w:color w:val="000000"/>
          </w:rPr>
          <w:id w:val="-1411541859"/>
          <w:citation/>
        </w:sdtPr>
        <w:sdtContent>
          <w:r w:rsidR="000D6C97">
            <w:rPr>
              <w:rFonts w:eastAsia="Times New Roman" w:cs="Times New Roman"/>
              <w:color w:val="000000"/>
            </w:rPr>
            <w:fldChar w:fldCharType="begin"/>
          </w:r>
          <w:r w:rsidR="000D6C97">
            <w:rPr>
              <w:rFonts w:eastAsia="Times New Roman" w:cs="Times New Roman"/>
              <w:color w:val="000000"/>
            </w:rPr>
            <w:instrText xml:space="preserve"> CITATION Wei13 \l 1033 </w:instrText>
          </w:r>
          <w:r w:rsidR="000D6C97">
            <w:rPr>
              <w:rFonts w:eastAsia="Times New Roman" w:cs="Times New Roman"/>
              <w:color w:val="000000"/>
            </w:rPr>
            <w:fldChar w:fldCharType="separate"/>
          </w:r>
          <w:r w:rsidR="00AC388C">
            <w:rPr>
              <w:rFonts w:eastAsia="Times New Roman" w:cs="Times New Roman"/>
              <w:noProof/>
              <w:color w:val="000000"/>
            </w:rPr>
            <w:t xml:space="preserve"> </w:t>
          </w:r>
          <w:r w:rsidR="00AC388C" w:rsidRPr="00AC388C">
            <w:rPr>
              <w:rFonts w:eastAsia="Times New Roman" w:cs="Times New Roman"/>
              <w:noProof/>
              <w:color w:val="000000"/>
            </w:rPr>
            <w:t>(WeiBbach, 2013)</w:t>
          </w:r>
          <w:r w:rsidR="000D6C97">
            <w:rPr>
              <w:rFonts w:eastAsia="Times New Roman" w:cs="Times New Roman"/>
              <w:color w:val="000000"/>
            </w:rPr>
            <w:fldChar w:fldCharType="end"/>
          </w:r>
        </w:sdtContent>
      </w:sdt>
      <w:r w:rsidRPr="00061636">
        <w:rPr>
          <w:rFonts w:eastAsia="Times New Roman" w:cs="Times New Roman"/>
          <w:color w:val="000000"/>
        </w:rPr>
        <w:t xml:space="preserve">. </w:t>
      </w:r>
      <w:r w:rsidR="00551BCE" w:rsidRPr="00061636">
        <w:rPr>
          <w:rFonts w:eastAsia="Times New Roman" w:cs="Times New Roman"/>
          <w:color w:val="000000"/>
        </w:rPr>
        <w:t xml:space="preserve">Lazard’s LCOE Analysis </w:t>
      </w:r>
      <w:r w:rsidR="00A25BB7" w:rsidRPr="00061636">
        <w:rPr>
          <w:rFonts w:eastAsia="Times New Roman" w:cs="Times New Roman"/>
          <w:color w:val="000000"/>
        </w:rPr>
        <w:t>12.0</w:t>
      </w:r>
      <w:sdt>
        <w:sdtPr>
          <w:rPr>
            <w:rFonts w:eastAsia="Times New Roman" w:cs="Times New Roman"/>
            <w:color w:val="000000"/>
          </w:rPr>
          <w:id w:val="-138887836"/>
          <w:citation/>
        </w:sdtPr>
        <w:sdtContent>
          <w:r w:rsidR="000D6C97">
            <w:rPr>
              <w:rFonts w:eastAsia="Times New Roman" w:cs="Times New Roman"/>
              <w:color w:val="000000"/>
            </w:rPr>
            <w:fldChar w:fldCharType="begin"/>
          </w:r>
          <w:r w:rsidR="003B432B">
            <w:rPr>
              <w:rFonts w:eastAsia="Times New Roman" w:cs="Times New Roman"/>
              <w:color w:val="000000"/>
            </w:rPr>
            <w:instrText xml:space="preserve">CITATION Laz18 \l 1033 </w:instrText>
          </w:r>
          <w:r w:rsidR="000D6C97">
            <w:rPr>
              <w:rFonts w:eastAsia="Times New Roman" w:cs="Times New Roman"/>
              <w:color w:val="000000"/>
            </w:rPr>
            <w:fldChar w:fldCharType="separate"/>
          </w:r>
          <w:r w:rsidR="003B432B">
            <w:rPr>
              <w:rFonts w:eastAsia="Times New Roman" w:cs="Times New Roman"/>
              <w:noProof/>
              <w:color w:val="000000"/>
            </w:rPr>
            <w:t xml:space="preserve"> </w:t>
          </w:r>
          <w:r w:rsidR="003B432B" w:rsidRPr="003B432B">
            <w:rPr>
              <w:rFonts w:eastAsia="Times New Roman" w:cs="Times New Roman"/>
              <w:noProof/>
              <w:color w:val="000000"/>
            </w:rPr>
            <w:t>(Lazard, 2018)</w:t>
          </w:r>
          <w:r w:rsidR="000D6C97">
            <w:rPr>
              <w:rFonts w:eastAsia="Times New Roman" w:cs="Times New Roman"/>
              <w:color w:val="000000"/>
            </w:rPr>
            <w:fldChar w:fldCharType="end"/>
          </w:r>
        </w:sdtContent>
      </w:sdt>
      <w:r w:rsidR="00551BCE" w:rsidRPr="00061636">
        <w:rPr>
          <w:rFonts w:eastAsia="Times New Roman" w:cs="Times New Roman"/>
          <w:color w:val="000000"/>
        </w:rPr>
        <w:t xml:space="preserve"> </w:t>
      </w:r>
      <w:r w:rsidRPr="00061636">
        <w:rPr>
          <w:rFonts w:eastAsia="Times New Roman" w:cs="Times New Roman"/>
          <w:color w:val="000000"/>
        </w:rPr>
        <w:t>argue</w:t>
      </w:r>
      <w:r w:rsidR="00551BCE" w:rsidRPr="00061636">
        <w:rPr>
          <w:rFonts w:eastAsia="Times New Roman" w:cs="Times New Roman"/>
          <w:color w:val="000000"/>
        </w:rPr>
        <w:t>s</w:t>
      </w:r>
      <w:r w:rsidRPr="00061636">
        <w:rPr>
          <w:rFonts w:eastAsia="Times New Roman" w:cs="Times New Roman"/>
          <w:color w:val="000000"/>
        </w:rPr>
        <w:t xml:space="preserve">, however, that while the EROI of electricity </w:t>
      </w:r>
      <w:r w:rsidR="00FC7A20">
        <w:rPr>
          <w:rFonts w:eastAsia="Times New Roman" w:cs="Times New Roman"/>
          <w:color w:val="000000"/>
        </w:rPr>
        <w:t xml:space="preserve">generation </w:t>
      </w:r>
      <w:r w:rsidRPr="00061636">
        <w:rPr>
          <w:rFonts w:eastAsia="Times New Roman" w:cs="Times New Roman"/>
          <w:color w:val="000000"/>
        </w:rPr>
        <w:t xml:space="preserve">from fossil fuels has been viewed as being much higher than the EROI of renewable energy, and specifically PV, </w:t>
      </w:r>
      <w:r w:rsidR="00FC7A20">
        <w:rPr>
          <w:rFonts w:eastAsia="Times New Roman" w:cs="Times New Roman"/>
          <w:color w:val="000000"/>
        </w:rPr>
        <w:t>happening</w:t>
      </w:r>
      <w:r w:rsidRPr="00061636">
        <w:rPr>
          <w:rFonts w:eastAsia="Times New Roman" w:cs="Times New Roman"/>
          <w:color w:val="000000"/>
        </w:rPr>
        <w:t xml:space="preserve"> due to the use of outdated data and a lack of consistency in calculation methods. Their results show that the range of EROI values for PV are within the same range as oil-fired electricity systems and half that of coal-fired electricity systems, but they make the important note that coal-fired power plants have much higher lifecycle GHG emissions than PV, which could be reduced by using carbon capture and storage (CCS</w:t>
      </w:r>
      <w:r w:rsidR="00537FD9">
        <w:rPr>
          <w:rFonts w:eastAsia="Times New Roman" w:cs="Times New Roman"/>
          <w:color w:val="000000"/>
        </w:rPr>
        <w:t>),</w:t>
      </w:r>
      <w:r w:rsidRPr="00061636">
        <w:rPr>
          <w:rFonts w:eastAsia="Times New Roman" w:cs="Times New Roman"/>
          <w:color w:val="000000"/>
        </w:rPr>
        <w:t xml:space="preserve"> but this would considerably reduce the coal-fired electricity’s final EROI.</w:t>
      </w:r>
      <w:r w:rsidR="00260F43" w:rsidRPr="00260F43">
        <w:t xml:space="preserve"> </w:t>
      </w:r>
      <w:r w:rsidR="00260F43">
        <w:t xml:space="preserve">Estimates for EROI values of several different electricity sources are shown in Figure 1.2. It can be seen that conventional fuels have a high EROI, </w:t>
      </w:r>
      <w:r w:rsidR="00260F43">
        <w:rPr>
          <w:i/>
        </w:rPr>
        <w:t xml:space="preserve">i.e. </w:t>
      </w:r>
      <w:r w:rsidR="00260F43">
        <w:t>they provide a large energy return on the energy invested in them. Solar PV has a respectable EROI.</w:t>
      </w:r>
    </w:p>
    <w:p w14:paraId="2E79B86D" w14:textId="0C53CA53" w:rsidR="00CB603A" w:rsidRPr="00061636" w:rsidRDefault="00085C9A" w:rsidP="004A672D">
      <w:pPr>
        <w:jc w:val="center"/>
        <w:rPr>
          <w:rFonts w:eastAsia="Times New Roman" w:cs="Times New Roman"/>
          <w:color w:val="000000"/>
        </w:rPr>
      </w:pPr>
      <w:r>
        <w:rPr>
          <w:noProof/>
        </w:rPr>
        <w:drawing>
          <wp:inline distT="0" distB="0" distL="0" distR="0" wp14:anchorId="058580FD" wp14:editId="0C5DFDE0">
            <wp:extent cx="4793226" cy="2625213"/>
            <wp:effectExtent l="0" t="0" r="0" b="3810"/>
            <wp:docPr id="9" name="Picture 9" descr="Macintosh HD:Users:Aven:Documents:!Avens Work:!Project Drawdown:Utility-scale_Solar:Technical Report Review:Final Report:Figures:EROI_Raugei_2012.png"/>
            <wp:cNvGraphicFramePr/>
            <a:graphic xmlns:a="http://schemas.openxmlformats.org/drawingml/2006/main">
              <a:graphicData uri="http://schemas.openxmlformats.org/drawingml/2006/picture">
                <pic:pic xmlns:pic="http://schemas.openxmlformats.org/drawingml/2006/picture">
                  <pic:nvPicPr>
                    <pic:cNvPr id="9" name="Picture 9" descr="Macintosh HD:Users:Aven:Documents:!Avens Work:!Project Drawdown:Utility-scale_Solar:Technical Report Review:Final Report:Figures:EROI_Raugei_2012.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2277" cy="2630170"/>
                    </a:xfrm>
                    <a:prstGeom prst="rect">
                      <a:avLst/>
                    </a:prstGeom>
                    <a:noFill/>
                    <a:ln>
                      <a:noFill/>
                    </a:ln>
                  </pic:spPr>
                </pic:pic>
              </a:graphicData>
            </a:graphic>
          </wp:inline>
        </w:drawing>
      </w:r>
    </w:p>
    <w:p w14:paraId="45D2BA5E" w14:textId="7BC4948B" w:rsidR="00085C9A" w:rsidRDefault="009A024A" w:rsidP="004A672D">
      <w:pPr>
        <w:pStyle w:val="Caption"/>
        <w:jc w:val="center"/>
      </w:pPr>
      <w:bookmarkStart w:id="21" w:name="_Toc460758397"/>
      <w:bookmarkStart w:id="22" w:name="_Toc332390255"/>
      <w:bookmarkStart w:id="23" w:name="_Toc23606359"/>
      <w:r>
        <w:t>Figure 1.</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r w:rsidR="00085C9A">
        <w:t xml:space="preserve"> EROI (%) of PV electricity compared </w:t>
      </w:r>
      <w:r w:rsidR="00085C9A" w:rsidRPr="004A672D">
        <w:t>to  oil- and coal-fired thermal</w:t>
      </w:r>
      <w:r w:rsidR="00085C9A">
        <w:t xml:space="preserve"> electricity (</w:t>
      </w:r>
      <w:r w:rsidR="00FD4AFC">
        <w:t xml:space="preserve">Adapted from </w:t>
      </w:r>
      <w:proofErr w:type="spellStart"/>
      <w:r w:rsidR="00085C9A">
        <w:t>Raugei</w:t>
      </w:r>
      <w:proofErr w:type="spellEnd"/>
      <w:r w:rsidR="00085C9A">
        <w:t xml:space="preserve"> et al., 2012)</w:t>
      </w:r>
      <w:bookmarkEnd w:id="21"/>
      <w:bookmarkEnd w:id="22"/>
      <w:bookmarkEnd w:id="23"/>
    </w:p>
    <w:p w14:paraId="0989E4CD" w14:textId="6DA95843" w:rsidR="00F025BB" w:rsidRPr="00F025BB" w:rsidRDefault="00154402" w:rsidP="00F025BB">
      <w:pPr>
        <w:rPr>
          <w:rFonts w:cs="Times New Roman"/>
        </w:rPr>
      </w:pPr>
      <w:r w:rsidRPr="00F025BB">
        <w:rPr>
          <w:rFonts w:eastAsia="Times New Roman" w:cs="Times New Roman"/>
          <w:color w:val="000000"/>
        </w:rPr>
        <w:t xml:space="preserve">An important metric for measuring the cost of energy from a particular project over its lifetime is the Levelized Cost of Electricity (LCOE) generated by the project on a per-unit basis. For this, the net present value (NPV) of various capital and operating costs is calculated to arrive at a consistent basis for comparing costs. The LCOE becomes a useful tool for comparing energy costs produced from different sources. In the case of solar PV, </w:t>
      </w:r>
      <w:r w:rsidRPr="00F025BB">
        <w:rPr>
          <w:rFonts w:cs="Times New Roman"/>
        </w:rPr>
        <w:t>it becomes even more important because though the first costs for PV are high, there is hardly any operating cost as the “fuel” comes free of cost. As a result of this, the LCOE becomes quite favorable as compared to fossil-based projects that have to grapple with ever</w:t>
      </w:r>
      <w:r w:rsidR="00BD15EF">
        <w:rPr>
          <w:rFonts w:cs="Times New Roman"/>
        </w:rPr>
        <w:t>-</w:t>
      </w:r>
      <w:r w:rsidRPr="00F025BB">
        <w:rPr>
          <w:rFonts w:cs="Times New Roman"/>
        </w:rPr>
        <w:t xml:space="preserve">increasing fuel prices (and pollution) throughout their lifetimes. Hence, though investment in PV projects may seem high initially, they become much cheaper over their lifetimes. The returns become even more favorable once the environment and carbon abatement costs are built into the equation. For this purpose, project advisors work </w:t>
      </w:r>
      <w:r w:rsidRPr="00F025BB">
        <w:rPr>
          <w:rFonts w:cs="Times New Roman"/>
        </w:rPr>
        <w:lastRenderedPageBreak/>
        <w:t>out these also when considering investments in such projects (Lazard, 2018). The volume of data generated around LCOE of SPV projects is growing as these become a favored source for producing “green” energy.</w:t>
      </w:r>
    </w:p>
    <w:p w14:paraId="5F5F7A8E" w14:textId="24591BBD" w:rsidR="001B58F5" w:rsidRPr="00F025BB" w:rsidRDefault="00CB603A" w:rsidP="00F025BB">
      <w:pPr>
        <w:rPr>
          <w:rFonts w:eastAsia="Times New Roman" w:cs="Times New Roman"/>
          <w:color w:val="000000"/>
        </w:rPr>
      </w:pPr>
      <w:r w:rsidRPr="00F025BB">
        <w:rPr>
          <w:rFonts w:cs="Times New Roman"/>
        </w:rPr>
        <w:t xml:space="preserve">Though there remains some debate in the literature about these aspects of solar PV, the trends suggest that EROI for PV will continue to increase while EPBT and lifecycle emissions will decrease as cell and production efficiencies improve. Most importantly, PV and other renewable technologies are </w:t>
      </w:r>
      <w:r w:rsidR="001E0FF2" w:rsidRPr="00F025BB">
        <w:rPr>
          <w:rFonts w:cs="Times New Roman"/>
        </w:rPr>
        <w:t xml:space="preserve">already competitive in some locations of the world </w:t>
      </w:r>
      <w:r w:rsidRPr="00F025BB">
        <w:rPr>
          <w:rFonts w:cs="Times New Roman"/>
        </w:rPr>
        <w:t>with conventional electricity-generating sources on many different levels, and though</w:t>
      </w:r>
      <w:r w:rsidRPr="00061636">
        <w:rPr>
          <w:rFonts w:eastAsia="Times New Roman" w:cs="Times New Roman"/>
          <w:color w:val="000000"/>
        </w:rPr>
        <w:t xml:space="preserve"> the intermittency challenges will certainly require innovative solutions, PV is quickly becoming one of the most economically sound and environmentally appropriate technologies for the coming energy transition.</w:t>
      </w:r>
      <w:r w:rsidR="00695682" w:rsidRPr="00061636">
        <w:rPr>
          <w:rFonts w:eastAsia="Times New Roman" w:cs="Times New Roman"/>
          <w:color w:val="000000"/>
        </w:rPr>
        <w:t xml:space="preserve"> </w:t>
      </w:r>
      <w:bookmarkStart w:id="24" w:name="_Hlk533610923"/>
      <w:r w:rsidR="00695682" w:rsidRPr="00061636">
        <w:rPr>
          <w:rFonts w:eastAsia="Times New Roman" w:cs="Times New Roman"/>
          <w:color w:val="000000"/>
        </w:rPr>
        <w:t xml:space="preserve">Table 1.1. presents </w:t>
      </w:r>
      <w:r w:rsidR="00695682" w:rsidRPr="00061636">
        <w:rPr>
          <w:rFonts w:cs="Times New Roman"/>
          <w:color w:val="000000" w:themeColor="text1"/>
        </w:rPr>
        <w:t>a comparison of</w:t>
      </w:r>
      <w:r w:rsidR="000B3EE3" w:rsidRPr="00061636">
        <w:rPr>
          <w:rFonts w:cs="Times New Roman"/>
          <w:color w:val="000000" w:themeColor="text1"/>
        </w:rPr>
        <w:t xml:space="preserve"> selected</w:t>
      </w:r>
      <w:r w:rsidR="00695682" w:rsidRPr="00061636">
        <w:rPr>
          <w:rFonts w:cs="Times New Roman"/>
          <w:color w:val="000000" w:themeColor="text1"/>
        </w:rPr>
        <w:t xml:space="preserve"> pros and cons of the solution with others in the same sector </w:t>
      </w:r>
      <w:r w:rsidR="00FF223F">
        <w:rPr>
          <w:rFonts w:cs="Times New Roman"/>
          <w:color w:val="000000" w:themeColor="text1"/>
        </w:rPr>
        <w:t>or</w:t>
      </w:r>
      <w:r w:rsidR="00695682" w:rsidRPr="00061636">
        <w:rPr>
          <w:rFonts w:cs="Times New Roman"/>
          <w:color w:val="000000" w:themeColor="text1"/>
        </w:rPr>
        <w:t xml:space="preserve"> with the same energy source. </w:t>
      </w:r>
      <w:bookmarkStart w:id="25" w:name="_Toc524993438"/>
    </w:p>
    <w:bookmarkEnd w:id="24"/>
    <w:p w14:paraId="0E6878D3" w14:textId="77777777" w:rsidR="005D49A8" w:rsidRPr="00061636" w:rsidRDefault="005D49A8" w:rsidP="00EB247F">
      <w:pPr>
        <w:autoSpaceDE w:val="0"/>
        <w:spacing w:after="0"/>
        <w:rPr>
          <w:rFonts w:eastAsia="Times New Roman"/>
          <w:color w:val="000000"/>
        </w:rPr>
      </w:pPr>
    </w:p>
    <w:p w14:paraId="6D762236" w14:textId="4F62DE0C" w:rsidR="00CF2B5E" w:rsidRPr="004A672D" w:rsidRDefault="00695682" w:rsidP="004A672D">
      <w:pPr>
        <w:pStyle w:val="Caption"/>
        <w:jc w:val="center"/>
      </w:pPr>
      <w:bookmarkStart w:id="26" w:name="_Toc534461006"/>
      <w:bookmarkStart w:id="27" w:name="_Hlk533611024"/>
      <w:r w:rsidRPr="00061636">
        <w:t xml:space="preserve">Table </w:t>
      </w:r>
      <w:fldSimple w:instr=" STYLEREF 1 \s ">
        <w:r w:rsidRPr="00061636">
          <w:t>1</w:t>
        </w:r>
      </w:fldSimple>
      <w:r w:rsidRPr="00061636">
        <w:t>.</w:t>
      </w:r>
      <w:fldSimple w:instr=" SEQ Table \* ARABIC \s 1 ">
        <w:r w:rsidRPr="00061636">
          <w:t>1</w:t>
        </w:r>
      </w:fldSimple>
      <w:r w:rsidRPr="00061636">
        <w:t xml:space="preserve"> </w:t>
      </w:r>
      <w:bookmarkEnd w:id="25"/>
      <w:bookmarkEnd w:id="26"/>
      <w:r w:rsidR="00537FD9" w:rsidRPr="00F05D73">
        <w:t>Solar energy solutions  versus conventional electricity generation technologies</w:t>
      </w:r>
    </w:p>
    <w:tbl>
      <w:tblPr>
        <w:tblStyle w:val="TableGrid"/>
        <w:tblW w:w="9350" w:type="dxa"/>
        <w:jc w:val="center"/>
        <w:tblLook w:val="04A0" w:firstRow="1" w:lastRow="0" w:firstColumn="1" w:lastColumn="0" w:noHBand="0" w:noVBand="1"/>
      </w:tblPr>
      <w:tblGrid>
        <w:gridCol w:w="2814"/>
        <w:gridCol w:w="1831"/>
        <w:gridCol w:w="1414"/>
        <w:gridCol w:w="936"/>
        <w:gridCol w:w="905"/>
        <w:gridCol w:w="1450"/>
      </w:tblGrid>
      <w:tr w:rsidR="00537FD9" w:rsidRPr="004A672D" w14:paraId="65F6EB45" w14:textId="77777777" w:rsidTr="00537FD9">
        <w:trPr>
          <w:trHeight w:val="557"/>
          <w:jc w:val="center"/>
        </w:trPr>
        <w:tc>
          <w:tcPr>
            <w:tcW w:w="1162" w:type="dxa"/>
            <w:shd w:val="clear" w:color="auto" w:fill="4F81BD" w:themeFill="accent1"/>
            <w:vAlign w:val="center"/>
          </w:tcPr>
          <w:p w14:paraId="407B664D" w14:textId="77777777" w:rsidR="00537FD9" w:rsidRPr="00FD4AFC" w:rsidRDefault="00537FD9" w:rsidP="00537FD9">
            <w:pPr>
              <w:spacing w:after="180" w:line="240" w:lineRule="auto"/>
              <w:jc w:val="center"/>
              <w:rPr>
                <w:rFonts w:eastAsia="Helvetica,Times New Roman" w:cstheme="minorHAnsi"/>
                <w:b/>
                <w:color w:val="FFFFFF" w:themeColor="background1"/>
                <w:sz w:val="20"/>
                <w:szCs w:val="20"/>
              </w:rPr>
            </w:pPr>
            <w:bookmarkStart w:id="28" w:name="_Hlk535133958"/>
          </w:p>
          <w:p w14:paraId="59107495" w14:textId="77777777" w:rsidR="00537FD9" w:rsidRPr="00FD4AFC" w:rsidRDefault="00537FD9" w:rsidP="00537FD9">
            <w:pPr>
              <w:spacing w:after="180" w:line="240" w:lineRule="auto"/>
              <w:jc w:val="center"/>
              <w:rPr>
                <w:rFonts w:eastAsia="Helvetica,Times New Roman" w:cstheme="minorHAnsi"/>
                <w:b/>
                <w:color w:val="FFFFFF" w:themeColor="background1"/>
                <w:sz w:val="20"/>
                <w:szCs w:val="20"/>
              </w:rPr>
            </w:pPr>
            <w:r w:rsidRPr="00FD4AFC">
              <w:rPr>
                <w:rFonts w:eastAsia="Helvetica,Times New Roman" w:cstheme="minorHAnsi"/>
                <w:b/>
                <w:color w:val="FFFFFF" w:themeColor="background1"/>
                <w:sz w:val="20"/>
                <w:szCs w:val="20"/>
              </w:rPr>
              <w:t>Parameter</w:t>
            </w:r>
          </w:p>
        </w:tc>
        <w:tc>
          <w:tcPr>
            <w:tcW w:w="1971" w:type="dxa"/>
            <w:shd w:val="clear" w:color="auto" w:fill="4F81BD" w:themeFill="accent1"/>
            <w:vAlign w:val="center"/>
          </w:tcPr>
          <w:p w14:paraId="67556572" w14:textId="77777777" w:rsidR="00537FD9" w:rsidRPr="00FD4AFC" w:rsidRDefault="00537FD9" w:rsidP="00537FD9">
            <w:pPr>
              <w:spacing w:after="180" w:line="240" w:lineRule="auto"/>
              <w:jc w:val="center"/>
              <w:rPr>
                <w:rFonts w:eastAsia="Helvetica,Times New Roman" w:cstheme="minorHAnsi"/>
                <w:b/>
                <w:color w:val="FFFFFF" w:themeColor="background1"/>
                <w:sz w:val="20"/>
                <w:szCs w:val="20"/>
              </w:rPr>
            </w:pPr>
            <w:r w:rsidRPr="00FD4AFC">
              <w:rPr>
                <w:rFonts w:eastAsia="Helvetica,Times New Roman" w:cstheme="minorHAnsi"/>
                <w:b/>
                <w:color w:val="FFFFFF" w:themeColor="background1"/>
                <w:sz w:val="20"/>
                <w:szCs w:val="20"/>
              </w:rPr>
              <w:t>Conventional Electricity Generation Technologies</w:t>
            </w:r>
          </w:p>
        </w:tc>
        <w:tc>
          <w:tcPr>
            <w:tcW w:w="1253" w:type="dxa"/>
            <w:shd w:val="clear" w:color="auto" w:fill="4F81BD" w:themeFill="accent1"/>
            <w:vAlign w:val="center"/>
          </w:tcPr>
          <w:p w14:paraId="5221C724" w14:textId="77777777" w:rsidR="00537FD9" w:rsidRPr="00FD4AFC" w:rsidRDefault="00537FD9" w:rsidP="00537FD9">
            <w:pPr>
              <w:spacing w:after="180" w:line="240" w:lineRule="auto"/>
              <w:ind w:right="31"/>
              <w:jc w:val="center"/>
              <w:rPr>
                <w:rFonts w:eastAsia="Helvetica,Times New Roman" w:cstheme="minorHAnsi"/>
                <w:b/>
                <w:color w:val="FFFFFF" w:themeColor="background1"/>
                <w:sz w:val="20"/>
                <w:szCs w:val="20"/>
              </w:rPr>
            </w:pPr>
            <w:r w:rsidRPr="00FD4AFC">
              <w:rPr>
                <w:rFonts w:eastAsia="Helvetica,Times New Roman" w:cstheme="minorHAnsi"/>
                <w:b/>
                <w:color w:val="FFFFFF" w:themeColor="background1"/>
                <w:sz w:val="20"/>
                <w:szCs w:val="20"/>
              </w:rPr>
              <w:t>Concentrated Solar Power</w:t>
            </w:r>
          </w:p>
        </w:tc>
        <w:tc>
          <w:tcPr>
            <w:tcW w:w="877" w:type="dxa"/>
            <w:shd w:val="clear" w:color="auto" w:fill="4F81BD" w:themeFill="accent1"/>
            <w:vAlign w:val="center"/>
          </w:tcPr>
          <w:p w14:paraId="74E18C29" w14:textId="77777777" w:rsidR="00537FD9" w:rsidRPr="00FD4AFC" w:rsidRDefault="00537FD9" w:rsidP="00537FD9">
            <w:pPr>
              <w:spacing w:after="180" w:line="240" w:lineRule="auto"/>
              <w:ind w:right="31"/>
              <w:jc w:val="center"/>
              <w:rPr>
                <w:rFonts w:eastAsia="Helvetica,Times New Roman" w:cstheme="minorHAnsi"/>
                <w:b/>
                <w:color w:val="FFFFFF" w:themeColor="background1"/>
                <w:sz w:val="20"/>
                <w:szCs w:val="20"/>
              </w:rPr>
            </w:pPr>
            <w:r w:rsidRPr="00FD4AFC">
              <w:rPr>
                <w:rFonts w:eastAsia="Helvetica,Times New Roman" w:cstheme="minorHAnsi"/>
                <w:b/>
                <w:color w:val="FFFFFF" w:themeColor="background1"/>
                <w:sz w:val="20"/>
                <w:szCs w:val="20"/>
              </w:rPr>
              <w:t>Solar PV Utility- Scale Systems</w:t>
            </w:r>
          </w:p>
        </w:tc>
        <w:tc>
          <w:tcPr>
            <w:tcW w:w="813" w:type="dxa"/>
            <w:shd w:val="clear" w:color="auto" w:fill="4F81BD" w:themeFill="accent1"/>
            <w:vAlign w:val="center"/>
          </w:tcPr>
          <w:p w14:paraId="0BCB0A2B" w14:textId="77777777" w:rsidR="00537FD9" w:rsidRPr="00FD4AFC" w:rsidRDefault="00537FD9" w:rsidP="00537FD9">
            <w:pPr>
              <w:spacing w:after="180" w:line="240" w:lineRule="auto"/>
              <w:jc w:val="center"/>
              <w:rPr>
                <w:rFonts w:eastAsia="Helvetica,Times New Roman" w:cstheme="minorHAnsi"/>
                <w:b/>
                <w:color w:val="FFFFFF" w:themeColor="background1"/>
                <w:sz w:val="20"/>
                <w:szCs w:val="20"/>
              </w:rPr>
            </w:pPr>
            <w:r w:rsidRPr="00FD4AFC">
              <w:rPr>
                <w:rFonts w:eastAsia="Helvetica,Times New Roman" w:cstheme="minorHAnsi"/>
                <w:b/>
                <w:color w:val="FFFFFF" w:themeColor="background1"/>
                <w:sz w:val="20"/>
                <w:szCs w:val="20"/>
              </w:rPr>
              <w:t>Solar PV Rooftop Systems</w:t>
            </w:r>
          </w:p>
        </w:tc>
        <w:tc>
          <w:tcPr>
            <w:tcW w:w="1284" w:type="dxa"/>
            <w:shd w:val="clear" w:color="auto" w:fill="4F81BD" w:themeFill="accent1"/>
            <w:vAlign w:val="center"/>
          </w:tcPr>
          <w:p w14:paraId="0751BE1C" w14:textId="77777777" w:rsidR="00537FD9" w:rsidRPr="00FD4AFC" w:rsidRDefault="00537FD9" w:rsidP="00537FD9">
            <w:pPr>
              <w:spacing w:after="180" w:line="240" w:lineRule="auto"/>
              <w:jc w:val="center"/>
              <w:rPr>
                <w:rFonts w:eastAsia="Helvetica,Times New Roman" w:cstheme="minorHAnsi"/>
                <w:b/>
                <w:color w:val="FFFFFF" w:themeColor="background1"/>
                <w:sz w:val="20"/>
                <w:szCs w:val="20"/>
              </w:rPr>
            </w:pPr>
            <w:r w:rsidRPr="00FD4AFC">
              <w:rPr>
                <w:rFonts w:eastAsia="Helvetica,Times New Roman" w:cstheme="minorHAnsi"/>
                <w:b/>
                <w:color w:val="FFFFFF" w:themeColor="background1"/>
                <w:sz w:val="20"/>
                <w:szCs w:val="20"/>
              </w:rPr>
              <w:t>Concentrating Solar PV Systems</w:t>
            </w:r>
          </w:p>
        </w:tc>
      </w:tr>
      <w:tr w:rsidR="00537FD9" w:rsidRPr="004A672D" w14:paraId="5B9E3B5A" w14:textId="77777777" w:rsidTr="00537FD9">
        <w:trPr>
          <w:trHeight w:val="590"/>
          <w:jc w:val="center"/>
        </w:trPr>
        <w:tc>
          <w:tcPr>
            <w:tcW w:w="3152" w:type="dxa"/>
            <w:vAlign w:val="center"/>
          </w:tcPr>
          <w:p w14:paraId="4CACB19F" w14:textId="77777777" w:rsidR="00537FD9" w:rsidRPr="004A672D" w:rsidRDefault="00537FD9" w:rsidP="00537FD9">
            <w:pPr>
              <w:jc w:val="center"/>
              <w:rPr>
                <w:rFonts w:cs="Times New Roman"/>
                <w:i/>
                <w:sz w:val="18"/>
                <w:szCs w:val="18"/>
              </w:rPr>
            </w:pPr>
            <w:r w:rsidRPr="004A672D">
              <w:rPr>
                <w:rFonts w:cs="Times New Roman"/>
                <w:i/>
                <w:sz w:val="18"/>
                <w:szCs w:val="18"/>
              </w:rPr>
              <w:t>Greenhouse Gas Emissions</w:t>
            </w:r>
          </w:p>
        </w:tc>
        <w:tc>
          <w:tcPr>
            <w:tcW w:w="1971" w:type="dxa"/>
            <w:vAlign w:val="center"/>
          </w:tcPr>
          <w:p w14:paraId="18270EC2" w14:textId="77777777" w:rsidR="00537FD9" w:rsidRPr="004A672D" w:rsidRDefault="00537FD9" w:rsidP="00537FD9">
            <w:pPr>
              <w:jc w:val="center"/>
              <w:rPr>
                <w:rFonts w:cs="Times New Roman"/>
                <w:sz w:val="18"/>
                <w:szCs w:val="18"/>
              </w:rPr>
            </w:pPr>
            <w:r w:rsidRPr="004A672D">
              <w:rPr>
                <w:rFonts w:cs="Times New Roman"/>
                <w:sz w:val="18"/>
                <w:szCs w:val="18"/>
              </w:rPr>
              <w:t>Extremely High</w:t>
            </w:r>
          </w:p>
        </w:tc>
        <w:tc>
          <w:tcPr>
            <w:tcW w:w="1253" w:type="dxa"/>
            <w:vAlign w:val="center"/>
          </w:tcPr>
          <w:p w14:paraId="2D6DF4D4" w14:textId="77777777" w:rsidR="00537FD9" w:rsidRPr="004A672D" w:rsidRDefault="00537FD9" w:rsidP="00537FD9">
            <w:pPr>
              <w:jc w:val="center"/>
              <w:rPr>
                <w:rFonts w:cs="Times New Roman"/>
                <w:color w:val="000000" w:themeColor="text1"/>
                <w:sz w:val="18"/>
                <w:szCs w:val="18"/>
              </w:rPr>
            </w:pPr>
            <w:r w:rsidRPr="004A672D">
              <w:rPr>
                <w:rFonts w:cs="Times New Roman"/>
                <w:sz w:val="18"/>
                <w:szCs w:val="18"/>
              </w:rPr>
              <w:t>Very Low</w:t>
            </w:r>
          </w:p>
        </w:tc>
        <w:tc>
          <w:tcPr>
            <w:tcW w:w="877" w:type="dxa"/>
            <w:vAlign w:val="center"/>
          </w:tcPr>
          <w:p w14:paraId="6E564660" w14:textId="77777777" w:rsidR="00537FD9" w:rsidRPr="004A672D" w:rsidRDefault="00537FD9" w:rsidP="00537FD9">
            <w:pPr>
              <w:jc w:val="center"/>
              <w:rPr>
                <w:rFonts w:cs="Times New Roman"/>
                <w:color w:val="000000" w:themeColor="text1"/>
                <w:sz w:val="18"/>
                <w:szCs w:val="18"/>
              </w:rPr>
            </w:pPr>
            <w:r w:rsidRPr="004A672D">
              <w:rPr>
                <w:rFonts w:cs="Times New Roman"/>
                <w:color w:val="000000" w:themeColor="text1"/>
                <w:sz w:val="18"/>
                <w:szCs w:val="18"/>
              </w:rPr>
              <w:t>Almost Zero</w:t>
            </w:r>
          </w:p>
        </w:tc>
        <w:tc>
          <w:tcPr>
            <w:tcW w:w="813" w:type="dxa"/>
            <w:vAlign w:val="center"/>
          </w:tcPr>
          <w:p w14:paraId="7ED6B726" w14:textId="77777777" w:rsidR="00537FD9" w:rsidRPr="004A672D" w:rsidRDefault="00537FD9" w:rsidP="00537FD9">
            <w:pPr>
              <w:jc w:val="center"/>
              <w:rPr>
                <w:rFonts w:cs="Times New Roman"/>
                <w:sz w:val="18"/>
                <w:szCs w:val="18"/>
              </w:rPr>
            </w:pPr>
            <w:r w:rsidRPr="004A672D">
              <w:rPr>
                <w:rFonts w:cs="Times New Roman"/>
                <w:sz w:val="18"/>
                <w:szCs w:val="18"/>
              </w:rPr>
              <w:t>Almost Zero</w:t>
            </w:r>
          </w:p>
        </w:tc>
        <w:tc>
          <w:tcPr>
            <w:tcW w:w="1284" w:type="dxa"/>
            <w:vAlign w:val="center"/>
          </w:tcPr>
          <w:p w14:paraId="0E3D2AC3" w14:textId="77777777" w:rsidR="00537FD9" w:rsidRPr="004A672D" w:rsidRDefault="00537FD9" w:rsidP="00537FD9">
            <w:pPr>
              <w:jc w:val="center"/>
              <w:rPr>
                <w:rFonts w:cs="Times New Roman"/>
                <w:sz w:val="18"/>
                <w:szCs w:val="18"/>
              </w:rPr>
            </w:pPr>
            <w:r w:rsidRPr="004A672D">
              <w:rPr>
                <w:rFonts w:cs="Times New Roman"/>
                <w:sz w:val="18"/>
                <w:szCs w:val="18"/>
              </w:rPr>
              <w:t>Almost Zero</w:t>
            </w:r>
          </w:p>
        </w:tc>
      </w:tr>
      <w:tr w:rsidR="00537FD9" w:rsidRPr="004A672D" w14:paraId="42A2EB90" w14:textId="77777777" w:rsidTr="00537FD9">
        <w:trPr>
          <w:jc w:val="center"/>
        </w:trPr>
        <w:tc>
          <w:tcPr>
            <w:tcW w:w="3152" w:type="dxa"/>
            <w:vAlign w:val="center"/>
          </w:tcPr>
          <w:p w14:paraId="6057D498" w14:textId="77777777" w:rsidR="00537FD9" w:rsidRPr="004A672D" w:rsidRDefault="00537FD9" w:rsidP="00537FD9">
            <w:pPr>
              <w:jc w:val="center"/>
              <w:rPr>
                <w:rFonts w:cs="Times New Roman"/>
                <w:i/>
                <w:sz w:val="18"/>
                <w:szCs w:val="18"/>
              </w:rPr>
            </w:pPr>
            <w:r w:rsidRPr="004A672D">
              <w:rPr>
                <w:rFonts w:cs="Times New Roman"/>
                <w:i/>
                <w:sz w:val="18"/>
                <w:szCs w:val="18"/>
              </w:rPr>
              <w:t>Land Requirement</w:t>
            </w:r>
          </w:p>
        </w:tc>
        <w:tc>
          <w:tcPr>
            <w:tcW w:w="1971" w:type="dxa"/>
            <w:vAlign w:val="center"/>
          </w:tcPr>
          <w:p w14:paraId="2483B073" w14:textId="77777777" w:rsidR="00537FD9" w:rsidRPr="004A672D" w:rsidRDefault="00537FD9" w:rsidP="00537FD9">
            <w:pPr>
              <w:jc w:val="center"/>
              <w:rPr>
                <w:rFonts w:cs="Times New Roman"/>
                <w:sz w:val="18"/>
                <w:szCs w:val="18"/>
              </w:rPr>
            </w:pPr>
            <w:r w:rsidRPr="004A672D">
              <w:rPr>
                <w:rFonts w:cs="Times New Roman"/>
                <w:sz w:val="18"/>
                <w:szCs w:val="18"/>
              </w:rPr>
              <w:t>Medium</w:t>
            </w:r>
          </w:p>
        </w:tc>
        <w:tc>
          <w:tcPr>
            <w:tcW w:w="1253" w:type="dxa"/>
            <w:vAlign w:val="center"/>
          </w:tcPr>
          <w:p w14:paraId="6B14EE76" w14:textId="77777777" w:rsidR="00537FD9" w:rsidRPr="004A672D" w:rsidRDefault="00537FD9" w:rsidP="00537FD9">
            <w:pPr>
              <w:jc w:val="center"/>
              <w:rPr>
                <w:rFonts w:cs="Times New Roman"/>
                <w:sz w:val="18"/>
                <w:szCs w:val="18"/>
              </w:rPr>
            </w:pPr>
            <w:r w:rsidRPr="004A672D">
              <w:rPr>
                <w:rFonts w:cs="Times New Roman"/>
                <w:sz w:val="18"/>
                <w:szCs w:val="18"/>
              </w:rPr>
              <w:t>Medium</w:t>
            </w:r>
          </w:p>
        </w:tc>
        <w:tc>
          <w:tcPr>
            <w:tcW w:w="877" w:type="dxa"/>
            <w:vAlign w:val="center"/>
          </w:tcPr>
          <w:p w14:paraId="1D0D1809" w14:textId="77777777" w:rsidR="00537FD9" w:rsidRPr="004A672D" w:rsidRDefault="00537FD9" w:rsidP="00537FD9">
            <w:pPr>
              <w:jc w:val="center"/>
              <w:rPr>
                <w:rFonts w:cs="Times New Roman"/>
                <w:sz w:val="18"/>
                <w:szCs w:val="18"/>
              </w:rPr>
            </w:pPr>
            <w:r w:rsidRPr="004A672D">
              <w:rPr>
                <w:rFonts w:cs="Times New Roman"/>
                <w:sz w:val="18"/>
                <w:szCs w:val="18"/>
              </w:rPr>
              <w:t>High</w:t>
            </w:r>
          </w:p>
        </w:tc>
        <w:tc>
          <w:tcPr>
            <w:tcW w:w="813" w:type="dxa"/>
            <w:vAlign w:val="center"/>
          </w:tcPr>
          <w:p w14:paraId="1A5FCBCB" w14:textId="77777777" w:rsidR="00537FD9" w:rsidRPr="004A672D" w:rsidRDefault="00537FD9" w:rsidP="00537FD9">
            <w:pPr>
              <w:jc w:val="center"/>
              <w:rPr>
                <w:rFonts w:cs="Times New Roman"/>
                <w:sz w:val="18"/>
                <w:szCs w:val="18"/>
              </w:rPr>
            </w:pPr>
            <w:r w:rsidRPr="004A672D">
              <w:rPr>
                <w:rFonts w:cs="Times New Roman"/>
                <w:sz w:val="18"/>
                <w:szCs w:val="18"/>
              </w:rPr>
              <w:t>Almost Zero</w:t>
            </w:r>
          </w:p>
        </w:tc>
        <w:tc>
          <w:tcPr>
            <w:tcW w:w="1284" w:type="dxa"/>
            <w:vAlign w:val="center"/>
          </w:tcPr>
          <w:p w14:paraId="6819D8E6" w14:textId="77777777" w:rsidR="00537FD9" w:rsidRPr="004A672D" w:rsidRDefault="00537FD9" w:rsidP="00537FD9">
            <w:pPr>
              <w:jc w:val="center"/>
              <w:rPr>
                <w:rFonts w:cs="Times New Roman"/>
                <w:sz w:val="18"/>
                <w:szCs w:val="18"/>
              </w:rPr>
            </w:pPr>
            <w:r w:rsidRPr="004A672D">
              <w:rPr>
                <w:rFonts w:cs="Times New Roman"/>
                <w:sz w:val="18"/>
                <w:szCs w:val="18"/>
              </w:rPr>
              <w:t>Medium</w:t>
            </w:r>
          </w:p>
        </w:tc>
      </w:tr>
      <w:tr w:rsidR="00537FD9" w:rsidRPr="004A672D" w14:paraId="19107417" w14:textId="77777777" w:rsidTr="00537FD9">
        <w:trPr>
          <w:jc w:val="center"/>
        </w:trPr>
        <w:tc>
          <w:tcPr>
            <w:tcW w:w="3152" w:type="dxa"/>
            <w:vAlign w:val="center"/>
          </w:tcPr>
          <w:p w14:paraId="7F33BE63" w14:textId="77777777" w:rsidR="00537FD9" w:rsidRPr="004A672D" w:rsidRDefault="00537FD9" w:rsidP="00537FD9">
            <w:pPr>
              <w:jc w:val="center"/>
              <w:rPr>
                <w:rFonts w:cs="Times New Roman"/>
                <w:i/>
                <w:sz w:val="18"/>
                <w:szCs w:val="18"/>
              </w:rPr>
            </w:pPr>
            <w:r w:rsidRPr="004A672D">
              <w:rPr>
                <w:rFonts w:cs="Times New Roman"/>
                <w:i/>
                <w:sz w:val="18"/>
                <w:szCs w:val="18"/>
              </w:rPr>
              <w:t>Air Pollution</w:t>
            </w:r>
          </w:p>
        </w:tc>
        <w:tc>
          <w:tcPr>
            <w:tcW w:w="1971" w:type="dxa"/>
            <w:vAlign w:val="center"/>
          </w:tcPr>
          <w:p w14:paraId="7F1BDC50" w14:textId="77777777" w:rsidR="00537FD9" w:rsidRPr="004A672D" w:rsidRDefault="00537FD9" w:rsidP="00537FD9">
            <w:pPr>
              <w:jc w:val="center"/>
              <w:rPr>
                <w:rFonts w:cs="Times New Roman"/>
                <w:sz w:val="18"/>
                <w:szCs w:val="18"/>
              </w:rPr>
            </w:pPr>
            <w:r w:rsidRPr="004A672D">
              <w:rPr>
                <w:rFonts w:cs="Times New Roman"/>
                <w:sz w:val="18"/>
                <w:szCs w:val="18"/>
              </w:rPr>
              <w:t>Extremely High</w:t>
            </w:r>
          </w:p>
        </w:tc>
        <w:tc>
          <w:tcPr>
            <w:tcW w:w="1253" w:type="dxa"/>
            <w:vAlign w:val="center"/>
          </w:tcPr>
          <w:p w14:paraId="6ADFEF1B" w14:textId="77777777" w:rsidR="00537FD9" w:rsidRPr="004A672D" w:rsidRDefault="00537FD9" w:rsidP="00537FD9">
            <w:pPr>
              <w:jc w:val="center"/>
              <w:rPr>
                <w:rFonts w:cs="Times New Roman"/>
                <w:sz w:val="18"/>
                <w:szCs w:val="18"/>
              </w:rPr>
            </w:pPr>
            <w:r w:rsidRPr="004A672D">
              <w:rPr>
                <w:rFonts w:cs="Times New Roman"/>
                <w:sz w:val="18"/>
                <w:szCs w:val="18"/>
              </w:rPr>
              <w:t>Low</w:t>
            </w:r>
          </w:p>
        </w:tc>
        <w:tc>
          <w:tcPr>
            <w:tcW w:w="877" w:type="dxa"/>
            <w:vAlign w:val="center"/>
          </w:tcPr>
          <w:p w14:paraId="2BE4DD5D" w14:textId="77777777" w:rsidR="00537FD9" w:rsidRPr="004A672D" w:rsidRDefault="00537FD9" w:rsidP="00537FD9">
            <w:pPr>
              <w:jc w:val="center"/>
              <w:rPr>
                <w:rFonts w:cs="Times New Roman"/>
                <w:sz w:val="18"/>
                <w:szCs w:val="18"/>
              </w:rPr>
            </w:pPr>
            <w:r w:rsidRPr="004A672D">
              <w:rPr>
                <w:rFonts w:cs="Times New Roman"/>
                <w:sz w:val="18"/>
                <w:szCs w:val="18"/>
              </w:rPr>
              <w:t>Almost Zero</w:t>
            </w:r>
          </w:p>
        </w:tc>
        <w:tc>
          <w:tcPr>
            <w:tcW w:w="813" w:type="dxa"/>
            <w:vAlign w:val="center"/>
          </w:tcPr>
          <w:p w14:paraId="060D0AB0" w14:textId="77777777" w:rsidR="00537FD9" w:rsidRPr="004A672D" w:rsidRDefault="00537FD9" w:rsidP="00537FD9">
            <w:pPr>
              <w:jc w:val="center"/>
              <w:rPr>
                <w:rFonts w:cs="Times New Roman"/>
                <w:sz w:val="18"/>
                <w:szCs w:val="18"/>
              </w:rPr>
            </w:pPr>
            <w:r w:rsidRPr="004A672D">
              <w:rPr>
                <w:rFonts w:cs="Times New Roman"/>
                <w:sz w:val="18"/>
                <w:szCs w:val="18"/>
              </w:rPr>
              <w:t>Almost Zero</w:t>
            </w:r>
          </w:p>
        </w:tc>
        <w:tc>
          <w:tcPr>
            <w:tcW w:w="1284" w:type="dxa"/>
            <w:vAlign w:val="center"/>
          </w:tcPr>
          <w:p w14:paraId="3D5FA382" w14:textId="77777777" w:rsidR="00537FD9" w:rsidRPr="004A672D" w:rsidRDefault="00537FD9" w:rsidP="00537FD9">
            <w:pPr>
              <w:jc w:val="center"/>
              <w:rPr>
                <w:rFonts w:cs="Times New Roman"/>
                <w:sz w:val="18"/>
                <w:szCs w:val="18"/>
              </w:rPr>
            </w:pPr>
            <w:r w:rsidRPr="004A672D">
              <w:rPr>
                <w:rFonts w:cs="Times New Roman"/>
                <w:sz w:val="18"/>
                <w:szCs w:val="18"/>
              </w:rPr>
              <w:t>Almost Zero</w:t>
            </w:r>
          </w:p>
        </w:tc>
      </w:tr>
      <w:tr w:rsidR="00537FD9" w:rsidRPr="004A672D" w14:paraId="716CC268" w14:textId="77777777" w:rsidTr="00537FD9">
        <w:trPr>
          <w:jc w:val="center"/>
        </w:trPr>
        <w:tc>
          <w:tcPr>
            <w:tcW w:w="3152" w:type="dxa"/>
            <w:vAlign w:val="center"/>
          </w:tcPr>
          <w:p w14:paraId="2742633C" w14:textId="77777777" w:rsidR="00537FD9" w:rsidRPr="00664333" w:rsidRDefault="00537FD9" w:rsidP="00537FD9">
            <w:pPr>
              <w:jc w:val="center"/>
              <w:rPr>
                <w:i/>
                <w:sz w:val="18"/>
              </w:rPr>
            </w:pPr>
            <w:r w:rsidRPr="00664333">
              <w:rPr>
                <w:i/>
                <w:sz w:val="18"/>
              </w:rPr>
              <w:t xml:space="preserve">Electricity Generation </w:t>
            </w:r>
            <w:r w:rsidRPr="004A672D">
              <w:rPr>
                <w:rFonts w:cs="Times New Roman"/>
                <w:i/>
                <w:sz w:val="18"/>
                <w:szCs w:val="18"/>
              </w:rPr>
              <w:t>Flexibility</w:t>
            </w:r>
          </w:p>
        </w:tc>
        <w:tc>
          <w:tcPr>
            <w:tcW w:w="1971" w:type="dxa"/>
            <w:vAlign w:val="center"/>
          </w:tcPr>
          <w:p w14:paraId="38E5B636" w14:textId="77777777" w:rsidR="00537FD9" w:rsidRPr="004A672D" w:rsidRDefault="00537FD9" w:rsidP="00537FD9">
            <w:pPr>
              <w:jc w:val="center"/>
              <w:rPr>
                <w:rFonts w:cs="Times New Roman"/>
                <w:sz w:val="18"/>
                <w:szCs w:val="18"/>
              </w:rPr>
            </w:pPr>
            <w:r w:rsidRPr="004A672D">
              <w:rPr>
                <w:rFonts w:cs="Times New Roman"/>
                <w:sz w:val="18"/>
                <w:szCs w:val="18"/>
              </w:rPr>
              <w:t>Very High</w:t>
            </w:r>
          </w:p>
        </w:tc>
        <w:tc>
          <w:tcPr>
            <w:tcW w:w="1253" w:type="dxa"/>
            <w:vAlign w:val="center"/>
          </w:tcPr>
          <w:p w14:paraId="5F8BFF0C" w14:textId="77777777" w:rsidR="00537FD9" w:rsidRPr="00664333" w:rsidRDefault="00537FD9" w:rsidP="00537FD9">
            <w:pPr>
              <w:jc w:val="center"/>
              <w:rPr>
                <w:sz w:val="18"/>
              </w:rPr>
            </w:pPr>
            <w:r w:rsidRPr="00664333">
              <w:rPr>
                <w:sz w:val="18"/>
              </w:rPr>
              <w:t>Medium</w:t>
            </w:r>
          </w:p>
        </w:tc>
        <w:tc>
          <w:tcPr>
            <w:tcW w:w="877" w:type="dxa"/>
            <w:vAlign w:val="center"/>
          </w:tcPr>
          <w:p w14:paraId="18C44980" w14:textId="77777777" w:rsidR="00537FD9" w:rsidRPr="00664333" w:rsidRDefault="00537FD9" w:rsidP="00537FD9">
            <w:pPr>
              <w:jc w:val="center"/>
              <w:rPr>
                <w:sz w:val="18"/>
              </w:rPr>
            </w:pPr>
            <w:r w:rsidRPr="004A672D">
              <w:rPr>
                <w:rFonts w:cs="Times New Roman"/>
                <w:sz w:val="18"/>
                <w:szCs w:val="18"/>
              </w:rPr>
              <w:t>Low</w:t>
            </w:r>
          </w:p>
        </w:tc>
        <w:tc>
          <w:tcPr>
            <w:tcW w:w="813" w:type="dxa"/>
            <w:vAlign w:val="center"/>
          </w:tcPr>
          <w:p w14:paraId="3D447AAF" w14:textId="77777777" w:rsidR="00537FD9" w:rsidRPr="00664333" w:rsidRDefault="00537FD9" w:rsidP="00537FD9">
            <w:pPr>
              <w:jc w:val="center"/>
              <w:rPr>
                <w:sz w:val="18"/>
              </w:rPr>
            </w:pPr>
            <w:r w:rsidRPr="004A672D">
              <w:rPr>
                <w:rFonts w:cs="Times New Roman"/>
                <w:sz w:val="18"/>
                <w:szCs w:val="18"/>
              </w:rPr>
              <w:t>Low</w:t>
            </w:r>
          </w:p>
        </w:tc>
        <w:tc>
          <w:tcPr>
            <w:tcW w:w="1284" w:type="dxa"/>
            <w:vAlign w:val="center"/>
          </w:tcPr>
          <w:p w14:paraId="0723547C" w14:textId="77777777" w:rsidR="00537FD9" w:rsidRPr="004A672D" w:rsidRDefault="00537FD9" w:rsidP="00537FD9">
            <w:pPr>
              <w:jc w:val="center"/>
              <w:rPr>
                <w:rFonts w:cs="Times New Roman"/>
                <w:sz w:val="18"/>
                <w:szCs w:val="18"/>
              </w:rPr>
            </w:pPr>
            <w:r w:rsidRPr="004A672D">
              <w:rPr>
                <w:rFonts w:cs="Times New Roman"/>
                <w:sz w:val="18"/>
                <w:szCs w:val="18"/>
              </w:rPr>
              <w:t>Low</w:t>
            </w:r>
          </w:p>
        </w:tc>
      </w:tr>
      <w:tr w:rsidR="00537FD9" w:rsidRPr="004A672D" w14:paraId="2DBD380E" w14:textId="77777777" w:rsidTr="00537FD9">
        <w:trPr>
          <w:jc w:val="center"/>
        </w:trPr>
        <w:tc>
          <w:tcPr>
            <w:tcW w:w="3152" w:type="dxa"/>
            <w:vAlign w:val="center"/>
          </w:tcPr>
          <w:p w14:paraId="746AF3CF" w14:textId="77777777" w:rsidR="00537FD9" w:rsidRPr="00664333" w:rsidRDefault="00537FD9" w:rsidP="00537FD9">
            <w:pPr>
              <w:jc w:val="center"/>
              <w:rPr>
                <w:i/>
                <w:sz w:val="18"/>
              </w:rPr>
            </w:pPr>
            <w:r w:rsidRPr="004A672D">
              <w:rPr>
                <w:rFonts w:cs="Times New Roman"/>
                <w:i/>
                <w:sz w:val="18"/>
                <w:szCs w:val="18"/>
              </w:rPr>
              <w:t>Resource Extractive Drawbacks</w:t>
            </w:r>
          </w:p>
        </w:tc>
        <w:tc>
          <w:tcPr>
            <w:tcW w:w="1971" w:type="dxa"/>
            <w:vAlign w:val="center"/>
          </w:tcPr>
          <w:p w14:paraId="461838EC" w14:textId="77777777" w:rsidR="00537FD9" w:rsidRPr="00664333" w:rsidRDefault="00537FD9" w:rsidP="00537FD9">
            <w:pPr>
              <w:jc w:val="center"/>
              <w:rPr>
                <w:sz w:val="18"/>
              </w:rPr>
            </w:pPr>
            <w:r w:rsidRPr="004A672D">
              <w:rPr>
                <w:rFonts w:cs="Times New Roman"/>
                <w:sz w:val="18"/>
                <w:szCs w:val="18"/>
              </w:rPr>
              <w:t xml:space="preserve">Extremely </w:t>
            </w:r>
            <w:r w:rsidRPr="00664333">
              <w:rPr>
                <w:sz w:val="18"/>
              </w:rPr>
              <w:t>High</w:t>
            </w:r>
          </w:p>
        </w:tc>
        <w:tc>
          <w:tcPr>
            <w:tcW w:w="1253" w:type="dxa"/>
            <w:vAlign w:val="center"/>
          </w:tcPr>
          <w:p w14:paraId="2A4C7ECB" w14:textId="77777777" w:rsidR="00537FD9" w:rsidRPr="00664333" w:rsidRDefault="00537FD9" w:rsidP="00537FD9">
            <w:pPr>
              <w:jc w:val="center"/>
              <w:rPr>
                <w:sz w:val="18"/>
              </w:rPr>
            </w:pPr>
            <w:r w:rsidRPr="00664333">
              <w:rPr>
                <w:sz w:val="18"/>
              </w:rPr>
              <w:t>Low</w:t>
            </w:r>
          </w:p>
        </w:tc>
        <w:tc>
          <w:tcPr>
            <w:tcW w:w="877" w:type="dxa"/>
            <w:vAlign w:val="center"/>
          </w:tcPr>
          <w:p w14:paraId="53A8E90B" w14:textId="77777777" w:rsidR="00537FD9" w:rsidRPr="00664333" w:rsidRDefault="00537FD9" w:rsidP="00537FD9">
            <w:pPr>
              <w:jc w:val="center"/>
              <w:rPr>
                <w:sz w:val="18"/>
              </w:rPr>
            </w:pPr>
            <w:r w:rsidRPr="004A672D">
              <w:rPr>
                <w:rFonts w:cs="Times New Roman"/>
                <w:sz w:val="18"/>
                <w:szCs w:val="18"/>
              </w:rPr>
              <w:t xml:space="preserve">Very </w:t>
            </w:r>
            <w:r w:rsidRPr="00664333">
              <w:rPr>
                <w:sz w:val="18"/>
              </w:rPr>
              <w:t>Low</w:t>
            </w:r>
          </w:p>
        </w:tc>
        <w:tc>
          <w:tcPr>
            <w:tcW w:w="813" w:type="dxa"/>
            <w:vAlign w:val="center"/>
          </w:tcPr>
          <w:p w14:paraId="120126C9" w14:textId="77777777" w:rsidR="00537FD9" w:rsidRPr="004A672D" w:rsidRDefault="00537FD9" w:rsidP="00537FD9">
            <w:pPr>
              <w:jc w:val="center"/>
              <w:rPr>
                <w:rFonts w:cs="Times New Roman"/>
                <w:sz w:val="18"/>
                <w:szCs w:val="18"/>
              </w:rPr>
            </w:pPr>
            <w:r w:rsidRPr="004A672D">
              <w:rPr>
                <w:rFonts w:cs="Times New Roman"/>
                <w:sz w:val="18"/>
                <w:szCs w:val="18"/>
              </w:rPr>
              <w:t>Very Low</w:t>
            </w:r>
          </w:p>
        </w:tc>
        <w:tc>
          <w:tcPr>
            <w:tcW w:w="1284" w:type="dxa"/>
            <w:vAlign w:val="center"/>
          </w:tcPr>
          <w:p w14:paraId="5139B40D" w14:textId="77777777" w:rsidR="00537FD9" w:rsidRPr="004A672D" w:rsidRDefault="00537FD9" w:rsidP="00537FD9">
            <w:pPr>
              <w:jc w:val="center"/>
              <w:rPr>
                <w:rFonts w:cs="Times New Roman"/>
                <w:sz w:val="18"/>
                <w:szCs w:val="18"/>
              </w:rPr>
            </w:pPr>
            <w:r w:rsidRPr="004A672D">
              <w:rPr>
                <w:rFonts w:cs="Times New Roman"/>
                <w:sz w:val="18"/>
                <w:szCs w:val="18"/>
              </w:rPr>
              <w:t>Very Low</w:t>
            </w:r>
          </w:p>
        </w:tc>
      </w:tr>
      <w:tr w:rsidR="00537FD9" w:rsidRPr="004A672D" w14:paraId="2691259B" w14:textId="77777777" w:rsidTr="00537FD9">
        <w:trPr>
          <w:jc w:val="center"/>
        </w:trPr>
        <w:tc>
          <w:tcPr>
            <w:tcW w:w="3152" w:type="dxa"/>
            <w:vAlign w:val="center"/>
          </w:tcPr>
          <w:p w14:paraId="4F1C490D" w14:textId="77777777" w:rsidR="00537FD9" w:rsidRPr="004A672D" w:rsidRDefault="00537FD9" w:rsidP="00537FD9">
            <w:pPr>
              <w:jc w:val="center"/>
              <w:rPr>
                <w:rFonts w:cs="Times New Roman"/>
                <w:i/>
                <w:sz w:val="18"/>
                <w:szCs w:val="18"/>
              </w:rPr>
            </w:pPr>
            <w:r w:rsidRPr="004A672D">
              <w:rPr>
                <w:rFonts w:cs="Times New Roman"/>
                <w:i/>
                <w:sz w:val="18"/>
                <w:szCs w:val="18"/>
              </w:rPr>
              <w:t>End of life Disposal Drawbacks</w:t>
            </w:r>
          </w:p>
        </w:tc>
        <w:tc>
          <w:tcPr>
            <w:tcW w:w="1971" w:type="dxa"/>
            <w:vAlign w:val="center"/>
          </w:tcPr>
          <w:p w14:paraId="0B2B5B02" w14:textId="77777777" w:rsidR="00537FD9" w:rsidRPr="004A672D" w:rsidRDefault="00537FD9" w:rsidP="00537FD9">
            <w:pPr>
              <w:jc w:val="center"/>
              <w:rPr>
                <w:rFonts w:cs="Times New Roman"/>
                <w:sz w:val="18"/>
                <w:szCs w:val="18"/>
              </w:rPr>
            </w:pPr>
            <w:r w:rsidRPr="004A672D">
              <w:rPr>
                <w:rFonts w:cs="Times New Roman"/>
                <w:sz w:val="18"/>
                <w:szCs w:val="18"/>
              </w:rPr>
              <w:t>Very High</w:t>
            </w:r>
          </w:p>
        </w:tc>
        <w:tc>
          <w:tcPr>
            <w:tcW w:w="1253" w:type="dxa"/>
            <w:vAlign w:val="center"/>
          </w:tcPr>
          <w:p w14:paraId="194F02B1" w14:textId="77777777" w:rsidR="00537FD9" w:rsidRPr="004A672D" w:rsidRDefault="00537FD9" w:rsidP="00537FD9">
            <w:pPr>
              <w:jc w:val="center"/>
              <w:rPr>
                <w:rFonts w:cs="Times New Roman"/>
                <w:sz w:val="18"/>
                <w:szCs w:val="18"/>
              </w:rPr>
            </w:pPr>
            <w:r w:rsidRPr="004A672D">
              <w:rPr>
                <w:rFonts w:cs="Times New Roman"/>
                <w:sz w:val="18"/>
                <w:szCs w:val="18"/>
              </w:rPr>
              <w:t>High</w:t>
            </w:r>
          </w:p>
        </w:tc>
        <w:tc>
          <w:tcPr>
            <w:tcW w:w="877" w:type="dxa"/>
            <w:vAlign w:val="center"/>
          </w:tcPr>
          <w:p w14:paraId="0727052A" w14:textId="77777777" w:rsidR="00537FD9" w:rsidRPr="004A672D" w:rsidRDefault="00537FD9" w:rsidP="00537FD9">
            <w:pPr>
              <w:jc w:val="center"/>
              <w:rPr>
                <w:rFonts w:cs="Times New Roman"/>
                <w:sz w:val="18"/>
                <w:szCs w:val="18"/>
              </w:rPr>
            </w:pPr>
            <w:r w:rsidRPr="004A672D">
              <w:rPr>
                <w:rFonts w:cs="Times New Roman"/>
                <w:sz w:val="18"/>
                <w:szCs w:val="18"/>
              </w:rPr>
              <w:t>Medium</w:t>
            </w:r>
          </w:p>
        </w:tc>
        <w:tc>
          <w:tcPr>
            <w:tcW w:w="813" w:type="dxa"/>
            <w:vAlign w:val="center"/>
          </w:tcPr>
          <w:p w14:paraId="7EFDCCF5" w14:textId="77777777" w:rsidR="00537FD9" w:rsidRPr="004A672D" w:rsidRDefault="00537FD9" w:rsidP="00537FD9">
            <w:pPr>
              <w:jc w:val="center"/>
              <w:rPr>
                <w:rFonts w:cs="Times New Roman"/>
                <w:sz w:val="18"/>
                <w:szCs w:val="18"/>
              </w:rPr>
            </w:pPr>
            <w:r w:rsidRPr="004A672D">
              <w:rPr>
                <w:rFonts w:cs="Times New Roman"/>
                <w:sz w:val="18"/>
                <w:szCs w:val="18"/>
              </w:rPr>
              <w:t>Medium</w:t>
            </w:r>
          </w:p>
        </w:tc>
        <w:tc>
          <w:tcPr>
            <w:tcW w:w="1284" w:type="dxa"/>
            <w:vAlign w:val="center"/>
          </w:tcPr>
          <w:p w14:paraId="69ACD5C0" w14:textId="77777777" w:rsidR="00537FD9" w:rsidRPr="004A672D" w:rsidRDefault="00537FD9" w:rsidP="00537FD9">
            <w:pPr>
              <w:jc w:val="center"/>
              <w:rPr>
                <w:rFonts w:cs="Times New Roman"/>
                <w:sz w:val="18"/>
                <w:szCs w:val="18"/>
              </w:rPr>
            </w:pPr>
            <w:r w:rsidRPr="004A672D">
              <w:rPr>
                <w:rFonts w:cs="Times New Roman"/>
                <w:sz w:val="18"/>
                <w:szCs w:val="18"/>
              </w:rPr>
              <w:t>Medium</w:t>
            </w:r>
          </w:p>
        </w:tc>
      </w:tr>
      <w:tr w:rsidR="00537FD9" w:rsidRPr="004A672D" w14:paraId="15C382CF" w14:textId="77777777" w:rsidTr="00537FD9">
        <w:trPr>
          <w:jc w:val="center"/>
        </w:trPr>
        <w:tc>
          <w:tcPr>
            <w:tcW w:w="3152" w:type="dxa"/>
            <w:vAlign w:val="center"/>
          </w:tcPr>
          <w:p w14:paraId="295C72A4" w14:textId="77777777" w:rsidR="00537FD9" w:rsidRPr="00664333" w:rsidRDefault="00537FD9" w:rsidP="00537FD9">
            <w:pPr>
              <w:jc w:val="center"/>
              <w:rPr>
                <w:i/>
                <w:sz w:val="18"/>
              </w:rPr>
            </w:pPr>
            <w:r w:rsidRPr="004A672D">
              <w:rPr>
                <w:i/>
                <w:sz w:val="18"/>
                <w:szCs w:val="18"/>
              </w:rPr>
              <w:t>Water Consumption</w:t>
            </w:r>
          </w:p>
        </w:tc>
        <w:tc>
          <w:tcPr>
            <w:tcW w:w="1971" w:type="dxa"/>
            <w:vAlign w:val="center"/>
          </w:tcPr>
          <w:p w14:paraId="5AA6D46B" w14:textId="77777777" w:rsidR="00537FD9" w:rsidRPr="004A672D" w:rsidRDefault="00537FD9" w:rsidP="00537FD9">
            <w:pPr>
              <w:jc w:val="center"/>
              <w:rPr>
                <w:sz w:val="18"/>
                <w:szCs w:val="18"/>
              </w:rPr>
            </w:pPr>
            <w:r w:rsidRPr="004A672D">
              <w:rPr>
                <w:sz w:val="18"/>
                <w:szCs w:val="18"/>
              </w:rPr>
              <w:t>Very High</w:t>
            </w:r>
          </w:p>
        </w:tc>
        <w:tc>
          <w:tcPr>
            <w:tcW w:w="1253" w:type="dxa"/>
            <w:vAlign w:val="center"/>
          </w:tcPr>
          <w:p w14:paraId="4D2FFAB7" w14:textId="77777777" w:rsidR="00537FD9" w:rsidRPr="004A672D" w:rsidRDefault="00537FD9" w:rsidP="00537FD9">
            <w:pPr>
              <w:jc w:val="center"/>
              <w:rPr>
                <w:sz w:val="18"/>
                <w:szCs w:val="18"/>
              </w:rPr>
            </w:pPr>
            <w:r>
              <w:rPr>
                <w:sz w:val="18"/>
                <w:szCs w:val="18"/>
              </w:rPr>
              <w:t>High</w:t>
            </w:r>
          </w:p>
        </w:tc>
        <w:tc>
          <w:tcPr>
            <w:tcW w:w="877" w:type="dxa"/>
            <w:vAlign w:val="center"/>
          </w:tcPr>
          <w:p w14:paraId="44B22342" w14:textId="77777777" w:rsidR="00537FD9" w:rsidRPr="00664333" w:rsidRDefault="00537FD9" w:rsidP="00537FD9">
            <w:pPr>
              <w:jc w:val="center"/>
              <w:rPr>
                <w:sz w:val="18"/>
              </w:rPr>
            </w:pPr>
            <w:r w:rsidRPr="004A672D">
              <w:rPr>
                <w:sz w:val="18"/>
                <w:szCs w:val="18"/>
              </w:rPr>
              <w:t xml:space="preserve">Very </w:t>
            </w:r>
            <w:r w:rsidRPr="00664333">
              <w:rPr>
                <w:sz w:val="18"/>
              </w:rPr>
              <w:t>Low</w:t>
            </w:r>
          </w:p>
        </w:tc>
        <w:tc>
          <w:tcPr>
            <w:tcW w:w="813" w:type="dxa"/>
            <w:vAlign w:val="center"/>
          </w:tcPr>
          <w:p w14:paraId="00FF8095" w14:textId="77777777" w:rsidR="00537FD9" w:rsidRPr="00664333" w:rsidRDefault="00537FD9" w:rsidP="00537FD9">
            <w:pPr>
              <w:jc w:val="center"/>
              <w:rPr>
                <w:sz w:val="18"/>
              </w:rPr>
            </w:pPr>
            <w:r w:rsidRPr="004A672D">
              <w:rPr>
                <w:sz w:val="18"/>
                <w:szCs w:val="18"/>
              </w:rPr>
              <w:t xml:space="preserve">Very </w:t>
            </w:r>
            <w:r w:rsidRPr="00664333">
              <w:rPr>
                <w:sz w:val="18"/>
              </w:rPr>
              <w:t>Low</w:t>
            </w:r>
          </w:p>
        </w:tc>
        <w:tc>
          <w:tcPr>
            <w:tcW w:w="1284" w:type="dxa"/>
            <w:vAlign w:val="center"/>
          </w:tcPr>
          <w:p w14:paraId="64F4934B" w14:textId="77777777" w:rsidR="00537FD9" w:rsidRPr="00664333" w:rsidRDefault="00537FD9" w:rsidP="00537FD9">
            <w:pPr>
              <w:jc w:val="center"/>
              <w:rPr>
                <w:sz w:val="18"/>
              </w:rPr>
            </w:pPr>
            <w:r w:rsidRPr="004A672D">
              <w:rPr>
                <w:sz w:val="18"/>
                <w:szCs w:val="18"/>
              </w:rPr>
              <w:t xml:space="preserve">Very </w:t>
            </w:r>
            <w:r w:rsidRPr="00664333">
              <w:rPr>
                <w:sz w:val="18"/>
              </w:rPr>
              <w:t>Low</w:t>
            </w:r>
          </w:p>
        </w:tc>
      </w:tr>
      <w:tr w:rsidR="00537FD9" w:rsidRPr="004A672D" w14:paraId="1024B500" w14:textId="77777777" w:rsidTr="00537FD9">
        <w:trPr>
          <w:jc w:val="center"/>
        </w:trPr>
        <w:tc>
          <w:tcPr>
            <w:tcW w:w="3152" w:type="dxa"/>
            <w:vAlign w:val="center"/>
          </w:tcPr>
          <w:p w14:paraId="087E06FC" w14:textId="77777777" w:rsidR="00537FD9" w:rsidRPr="004A672D" w:rsidRDefault="00537FD9" w:rsidP="00537FD9">
            <w:pPr>
              <w:jc w:val="center"/>
              <w:rPr>
                <w:i/>
                <w:sz w:val="18"/>
                <w:szCs w:val="18"/>
              </w:rPr>
            </w:pPr>
            <w:r w:rsidRPr="004A672D">
              <w:rPr>
                <w:i/>
                <w:sz w:val="18"/>
                <w:szCs w:val="18"/>
              </w:rPr>
              <w:t>Gestation Period</w:t>
            </w:r>
            <w:r>
              <w:rPr>
                <w:rStyle w:val="FootnoteReference"/>
                <w:i/>
                <w:sz w:val="18"/>
                <w:szCs w:val="18"/>
              </w:rPr>
              <w:footnoteReference w:id="2"/>
            </w:r>
          </w:p>
        </w:tc>
        <w:tc>
          <w:tcPr>
            <w:tcW w:w="1971" w:type="dxa"/>
            <w:vAlign w:val="center"/>
          </w:tcPr>
          <w:p w14:paraId="65DEA578" w14:textId="77777777" w:rsidR="00537FD9" w:rsidRPr="004A672D" w:rsidRDefault="00537FD9" w:rsidP="00537FD9">
            <w:pPr>
              <w:jc w:val="center"/>
              <w:rPr>
                <w:sz w:val="18"/>
                <w:szCs w:val="18"/>
              </w:rPr>
            </w:pPr>
            <w:r w:rsidRPr="004A672D">
              <w:rPr>
                <w:sz w:val="18"/>
                <w:szCs w:val="18"/>
              </w:rPr>
              <w:t>Very High</w:t>
            </w:r>
          </w:p>
        </w:tc>
        <w:tc>
          <w:tcPr>
            <w:tcW w:w="1253" w:type="dxa"/>
            <w:vAlign w:val="center"/>
          </w:tcPr>
          <w:p w14:paraId="297EE814" w14:textId="77777777" w:rsidR="00537FD9" w:rsidRPr="004A672D" w:rsidRDefault="00537FD9" w:rsidP="00537FD9">
            <w:pPr>
              <w:jc w:val="center"/>
              <w:rPr>
                <w:sz w:val="18"/>
                <w:szCs w:val="18"/>
              </w:rPr>
            </w:pPr>
            <w:r w:rsidRPr="004A672D">
              <w:rPr>
                <w:sz w:val="18"/>
                <w:szCs w:val="18"/>
              </w:rPr>
              <w:t>Medium</w:t>
            </w:r>
          </w:p>
        </w:tc>
        <w:tc>
          <w:tcPr>
            <w:tcW w:w="877" w:type="dxa"/>
            <w:vAlign w:val="center"/>
          </w:tcPr>
          <w:p w14:paraId="049A07EF" w14:textId="77777777" w:rsidR="00537FD9" w:rsidRPr="004A672D" w:rsidRDefault="00537FD9" w:rsidP="00537FD9">
            <w:pPr>
              <w:jc w:val="center"/>
              <w:rPr>
                <w:sz w:val="18"/>
                <w:szCs w:val="18"/>
              </w:rPr>
            </w:pPr>
            <w:r w:rsidRPr="004A672D">
              <w:rPr>
                <w:sz w:val="18"/>
                <w:szCs w:val="18"/>
              </w:rPr>
              <w:t>Low</w:t>
            </w:r>
          </w:p>
        </w:tc>
        <w:tc>
          <w:tcPr>
            <w:tcW w:w="813" w:type="dxa"/>
            <w:vAlign w:val="center"/>
          </w:tcPr>
          <w:p w14:paraId="242F05F0" w14:textId="77777777" w:rsidR="00537FD9" w:rsidRPr="004A672D" w:rsidRDefault="00537FD9" w:rsidP="00537FD9">
            <w:pPr>
              <w:jc w:val="center"/>
              <w:rPr>
                <w:sz w:val="18"/>
                <w:szCs w:val="18"/>
              </w:rPr>
            </w:pPr>
            <w:r w:rsidRPr="004A672D">
              <w:rPr>
                <w:sz w:val="18"/>
                <w:szCs w:val="18"/>
              </w:rPr>
              <w:t>Low</w:t>
            </w:r>
          </w:p>
        </w:tc>
        <w:tc>
          <w:tcPr>
            <w:tcW w:w="1284" w:type="dxa"/>
            <w:vAlign w:val="center"/>
          </w:tcPr>
          <w:p w14:paraId="3B037ED0" w14:textId="77777777" w:rsidR="00537FD9" w:rsidRPr="004A672D" w:rsidRDefault="00537FD9" w:rsidP="00537FD9">
            <w:pPr>
              <w:jc w:val="center"/>
              <w:rPr>
                <w:sz w:val="18"/>
                <w:szCs w:val="18"/>
              </w:rPr>
            </w:pPr>
            <w:r w:rsidRPr="004A672D">
              <w:rPr>
                <w:sz w:val="18"/>
                <w:szCs w:val="18"/>
              </w:rPr>
              <w:t>Low</w:t>
            </w:r>
          </w:p>
        </w:tc>
      </w:tr>
      <w:tr w:rsidR="00537FD9" w:rsidRPr="004A672D" w14:paraId="1C2C5C96" w14:textId="77777777" w:rsidTr="00537FD9">
        <w:trPr>
          <w:jc w:val="center"/>
        </w:trPr>
        <w:tc>
          <w:tcPr>
            <w:tcW w:w="3152" w:type="dxa"/>
            <w:vAlign w:val="center"/>
          </w:tcPr>
          <w:p w14:paraId="6B4086C2" w14:textId="77777777" w:rsidR="00537FD9" w:rsidRPr="004A672D" w:rsidRDefault="00537FD9" w:rsidP="00537FD9">
            <w:pPr>
              <w:jc w:val="center"/>
              <w:rPr>
                <w:i/>
                <w:sz w:val="18"/>
                <w:szCs w:val="18"/>
              </w:rPr>
            </w:pPr>
            <w:r w:rsidRPr="004A672D">
              <w:rPr>
                <w:i/>
                <w:sz w:val="18"/>
                <w:szCs w:val="18"/>
              </w:rPr>
              <w:t>Modular Scalability</w:t>
            </w:r>
            <w:r>
              <w:rPr>
                <w:rStyle w:val="FootnoteReference"/>
                <w:i/>
                <w:sz w:val="18"/>
                <w:szCs w:val="18"/>
              </w:rPr>
              <w:footnoteReference w:id="3"/>
            </w:r>
          </w:p>
        </w:tc>
        <w:tc>
          <w:tcPr>
            <w:tcW w:w="1971" w:type="dxa"/>
            <w:vAlign w:val="center"/>
          </w:tcPr>
          <w:p w14:paraId="257E9E70" w14:textId="77777777" w:rsidR="00537FD9" w:rsidRPr="004A672D" w:rsidRDefault="00537FD9" w:rsidP="00537FD9">
            <w:pPr>
              <w:jc w:val="center"/>
              <w:rPr>
                <w:sz w:val="18"/>
                <w:szCs w:val="18"/>
              </w:rPr>
            </w:pPr>
            <w:r w:rsidRPr="004A672D">
              <w:rPr>
                <w:sz w:val="18"/>
                <w:szCs w:val="18"/>
              </w:rPr>
              <w:t>Low</w:t>
            </w:r>
          </w:p>
        </w:tc>
        <w:tc>
          <w:tcPr>
            <w:tcW w:w="1253" w:type="dxa"/>
            <w:vAlign w:val="center"/>
          </w:tcPr>
          <w:p w14:paraId="05910023" w14:textId="77777777" w:rsidR="00537FD9" w:rsidRPr="004A672D" w:rsidRDefault="00537FD9" w:rsidP="00537FD9">
            <w:pPr>
              <w:rPr>
                <w:sz w:val="18"/>
                <w:szCs w:val="18"/>
              </w:rPr>
            </w:pPr>
            <w:r>
              <w:rPr>
                <w:sz w:val="18"/>
                <w:szCs w:val="18"/>
              </w:rPr>
              <w:t xml:space="preserve">       </w:t>
            </w:r>
            <w:r w:rsidRPr="004A672D">
              <w:rPr>
                <w:sz w:val="18"/>
                <w:szCs w:val="18"/>
              </w:rPr>
              <w:t>Medium</w:t>
            </w:r>
          </w:p>
        </w:tc>
        <w:tc>
          <w:tcPr>
            <w:tcW w:w="877" w:type="dxa"/>
            <w:vAlign w:val="center"/>
          </w:tcPr>
          <w:p w14:paraId="26BF0334" w14:textId="77777777" w:rsidR="00537FD9" w:rsidRPr="004A672D" w:rsidRDefault="00537FD9" w:rsidP="00537FD9">
            <w:pPr>
              <w:jc w:val="center"/>
              <w:rPr>
                <w:sz w:val="18"/>
                <w:szCs w:val="18"/>
              </w:rPr>
            </w:pPr>
            <w:r w:rsidRPr="004A672D">
              <w:rPr>
                <w:sz w:val="18"/>
                <w:szCs w:val="18"/>
              </w:rPr>
              <w:t>Very High</w:t>
            </w:r>
          </w:p>
        </w:tc>
        <w:tc>
          <w:tcPr>
            <w:tcW w:w="813" w:type="dxa"/>
            <w:vAlign w:val="center"/>
          </w:tcPr>
          <w:p w14:paraId="08EA961F" w14:textId="77777777" w:rsidR="00537FD9" w:rsidRPr="004A672D" w:rsidRDefault="00537FD9" w:rsidP="00537FD9">
            <w:pPr>
              <w:jc w:val="center"/>
              <w:rPr>
                <w:sz w:val="18"/>
                <w:szCs w:val="18"/>
              </w:rPr>
            </w:pPr>
            <w:r w:rsidRPr="004A672D">
              <w:rPr>
                <w:sz w:val="18"/>
                <w:szCs w:val="18"/>
              </w:rPr>
              <w:t>Very High</w:t>
            </w:r>
          </w:p>
        </w:tc>
        <w:tc>
          <w:tcPr>
            <w:tcW w:w="1284" w:type="dxa"/>
            <w:vAlign w:val="center"/>
          </w:tcPr>
          <w:p w14:paraId="2A8DC787" w14:textId="77777777" w:rsidR="00537FD9" w:rsidRPr="004A672D" w:rsidRDefault="00537FD9" w:rsidP="00537FD9">
            <w:pPr>
              <w:jc w:val="center"/>
              <w:rPr>
                <w:sz w:val="18"/>
                <w:szCs w:val="18"/>
              </w:rPr>
            </w:pPr>
            <w:r w:rsidRPr="004A672D">
              <w:rPr>
                <w:sz w:val="18"/>
                <w:szCs w:val="18"/>
              </w:rPr>
              <w:t>High</w:t>
            </w:r>
          </w:p>
        </w:tc>
      </w:tr>
      <w:tr w:rsidR="00537FD9" w:rsidRPr="004A672D" w14:paraId="1E1CC792" w14:textId="77777777" w:rsidTr="00537FD9">
        <w:trPr>
          <w:trHeight w:val="117"/>
          <w:jc w:val="center"/>
        </w:trPr>
        <w:tc>
          <w:tcPr>
            <w:tcW w:w="3152" w:type="dxa"/>
            <w:vAlign w:val="center"/>
          </w:tcPr>
          <w:p w14:paraId="6CE8B876" w14:textId="77777777" w:rsidR="00537FD9" w:rsidRPr="004A672D" w:rsidRDefault="00537FD9" w:rsidP="00537FD9">
            <w:pPr>
              <w:jc w:val="center"/>
              <w:rPr>
                <w:i/>
                <w:sz w:val="18"/>
                <w:szCs w:val="18"/>
              </w:rPr>
            </w:pPr>
            <w:r w:rsidRPr="004A672D">
              <w:rPr>
                <w:i/>
                <w:sz w:val="18"/>
                <w:szCs w:val="18"/>
              </w:rPr>
              <w:lastRenderedPageBreak/>
              <w:t>Environment/Health Benefits</w:t>
            </w:r>
          </w:p>
        </w:tc>
        <w:tc>
          <w:tcPr>
            <w:tcW w:w="1971" w:type="dxa"/>
            <w:vAlign w:val="center"/>
          </w:tcPr>
          <w:p w14:paraId="36F97C21" w14:textId="77777777" w:rsidR="00537FD9" w:rsidRPr="004A672D" w:rsidRDefault="00537FD9" w:rsidP="00537FD9">
            <w:pPr>
              <w:jc w:val="center"/>
              <w:rPr>
                <w:sz w:val="18"/>
                <w:szCs w:val="18"/>
              </w:rPr>
            </w:pPr>
            <w:r w:rsidRPr="004A672D">
              <w:rPr>
                <w:sz w:val="18"/>
                <w:szCs w:val="18"/>
              </w:rPr>
              <w:t>Very Low</w:t>
            </w:r>
          </w:p>
        </w:tc>
        <w:tc>
          <w:tcPr>
            <w:tcW w:w="1253" w:type="dxa"/>
            <w:vAlign w:val="center"/>
          </w:tcPr>
          <w:p w14:paraId="1C1BE22C" w14:textId="77777777" w:rsidR="00537FD9" w:rsidRPr="004A672D" w:rsidRDefault="00537FD9" w:rsidP="00537FD9">
            <w:pPr>
              <w:rPr>
                <w:sz w:val="18"/>
                <w:szCs w:val="18"/>
              </w:rPr>
            </w:pPr>
            <w:r>
              <w:rPr>
                <w:sz w:val="18"/>
                <w:szCs w:val="18"/>
              </w:rPr>
              <w:t xml:space="preserve">        </w:t>
            </w:r>
            <w:r w:rsidRPr="004A672D">
              <w:rPr>
                <w:sz w:val="18"/>
                <w:szCs w:val="18"/>
              </w:rPr>
              <w:t>High</w:t>
            </w:r>
          </w:p>
        </w:tc>
        <w:tc>
          <w:tcPr>
            <w:tcW w:w="877" w:type="dxa"/>
            <w:vAlign w:val="center"/>
          </w:tcPr>
          <w:p w14:paraId="74C05FD6" w14:textId="77777777" w:rsidR="00537FD9" w:rsidRPr="004A672D" w:rsidRDefault="00537FD9" w:rsidP="00537FD9">
            <w:pPr>
              <w:jc w:val="center"/>
              <w:rPr>
                <w:sz w:val="18"/>
                <w:szCs w:val="18"/>
              </w:rPr>
            </w:pPr>
            <w:r w:rsidRPr="004A672D">
              <w:rPr>
                <w:sz w:val="18"/>
                <w:szCs w:val="18"/>
              </w:rPr>
              <w:t>Very High</w:t>
            </w:r>
          </w:p>
        </w:tc>
        <w:tc>
          <w:tcPr>
            <w:tcW w:w="813" w:type="dxa"/>
            <w:vAlign w:val="center"/>
          </w:tcPr>
          <w:p w14:paraId="13299B3E" w14:textId="77777777" w:rsidR="00537FD9" w:rsidRPr="004A672D" w:rsidRDefault="00537FD9" w:rsidP="00537FD9">
            <w:pPr>
              <w:jc w:val="center"/>
              <w:rPr>
                <w:sz w:val="18"/>
                <w:szCs w:val="18"/>
              </w:rPr>
            </w:pPr>
            <w:r w:rsidRPr="004A672D">
              <w:rPr>
                <w:sz w:val="18"/>
                <w:szCs w:val="18"/>
              </w:rPr>
              <w:t>Very High</w:t>
            </w:r>
          </w:p>
        </w:tc>
        <w:tc>
          <w:tcPr>
            <w:tcW w:w="1284" w:type="dxa"/>
            <w:vAlign w:val="center"/>
          </w:tcPr>
          <w:p w14:paraId="3E354ECC" w14:textId="77777777" w:rsidR="00537FD9" w:rsidRPr="004A672D" w:rsidRDefault="00537FD9" w:rsidP="00537FD9">
            <w:pPr>
              <w:jc w:val="center"/>
              <w:rPr>
                <w:sz w:val="18"/>
                <w:szCs w:val="18"/>
              </w:rPr>
            </w:pPr>
            <w:r w:rsidRPr="004A672D">
              <w:rPr>
                <w:sz w:val="18"/>
                <w:szCs w:val="18"/>
              </w:rPr>
              <w:t>Very High</w:t>
            </w:r>
          </w:p>
        </w:tc>
      </w:tr>
      <w:tr w:rsidR="00537FD9" w:rsidRPr="001B13F6" w14:paraId="178A0CC7" w14:textId="77777777" w:rsidTr="00537FD9">
        <w:trPr>
          <w:jc w:val="center"/>
        </w:trPr>
        <w:tc>
          <w:tcPr>
            <w:tcW w:w="3152" w:type="dxa"/>
            <w:vAlign w:val="center"/>
          </w:tcPr>
          <w:p w14:paraId="5120EF40" w14:textId="77777777" w:rsidR="00537FD9" w:rsidRPr="00664333" w:rsidRDefault="00537FD9" w:rsidP="00537FD9">
            <w:pPr>
              <w:jc w:val="center"/>
              <w:rPr>
                <w:i/>
                <w:sz w:val="18"/>
              </w:rPr>
            </w:pPr>
            <w:r w:rsidRPr="004A672D">
              <w:rPr>
                <w:i/>
                <w:sz w:val="18"/>
                <w:szCs w:val="18"/>
              </w:rPr>
              <w:t>Operation and Maintenance Costs</w:t>
            </w:r>
          </w:p>
        </w:tc>
        <w:tc>
          <w:tcPr>
            <w:tcW w:w="1210" w:type="dxa"/>
            <w:vAlign w:val="center"/>
          </w:tcPr>
          <w:p w14:paraId="77874177" w14:textId="77777777" w:rsidR="00537FD9" w:rsidRPr="00664333" w:rsidRDefault="00537FD9" w:rsidP="00537FD9">
            <w:pPr>
              <w:jc w:val="center"/>
              <w:rPr>
                <w:sz w:val="18"/>
              </w:rPr>
            </w:pPr>
            <w:r w:rsidRPr="004A672D">
              <w:rPr>
                <w:sz w:val="18"/>
                <w:szCs w:val="18"/>
              </w:rPr>
              <w:t xml:space="preserve">High to Very </w:t>
            </w:r>
            <w:r w:rsidRPr="00664333">
              <w:rPr>
                <w:sz w:val="18"/>
              </w:rPr>
              <w:t>High</w:t>
            </w:r>
          </w:p>
        </w:tc>
        <w:tc>
          <w:tcPr>
            <w:tcW w:w="1253" w:type="dxa"/>
            <w:vAlign w:val="center"/>
          </w:tcPr>
          <w:p w14:paraId="1AE75C8E" w14:textId="77777777" w:rsidR="00537FD9" w:rsidRPr="00664333" w:rsidRDefault="00537FD9" w:rsidP="00537FD9">
            <w:pPr>
              <w:jc w:val="center"/>
              <w:rPr>
                <w:sz w:val="18"/>
              </w:rPr>
            </w:pPr>
            <w:r w:rsidRPr="00664333">
              <w:rPr>
                <w:sz w:val="18"/>
              </w:rPr>
              <w:t>Medium</w:t>
            </w:r>
          </w:p>
        </w:tc>
        <w:tc>
          <w:tcPr>
            <w:tcW w:w="877" w:type="dxa"/>
            <w:vAlign w:val="center"/>
          </w:tcPr>
          <w:p w14:paraId="38D683D6" w14:textId="77777777" w:rsidR="00537FD9" w:rsidRPr="004A672D" w:rsidRDefault="00537FD9" w:rsidP="00537FD9">
            <w:pPr>
              <w:jc w:val="center"/>
              <w:rPr>
                <w:sz w:val="18"/>
                <w:szCs w:val="18"/>
              </w:rPr>
            </w:pPr>
            <w:r w:rsidRPr="004A672D">
              <w:rPr>
                <w:sz w:val="18"/>
                <w:szCs w:val="18"/>
              </w:rPr>
              <w:t>Very Low</w:t>
            </w:r>
          </w:p>
        </w:tc>
        <w:tc>
          <w:tcPr>
            <w:tcW w:w="813" w:type="dxa"/>
            <w:vAlign w:val="center"/>
          </w:tcPr>
          <w:p w14:paraId="188C70D3" w14:textId="77777777" w:rsidR="00537FD9" w:rsidRPr="004A672D" w:rsidRDefault="00537FD9" w:rsidP="00537FD9">
            <w:pPr>
              <w:jc w:val="center"/>
              <w:rPr>
                <w:sz w:val="18"/>
                <w:szCs w:val="18"/>
              </w:rPr>
            </w:pPr>
            <w:r w:rsidRPr="004A672D">
              <w:rPr>
                <w:sz w:val="18"/>
                <w:szCs w:val="18"/>
              </w:rPr>
              <w:t>Very Low</w:t>
            </w:r>
          </w:p>
        </w:tc>
        <w:tc>
          <w:tcPr>
            <w:tcW w:w="1284" w:type="dxa"/>
            <w:vAlign w:val="center"/>
          </w:tcPr>
          <w:p w14:paraId="5ED11E73" w14:textId="77777777" w:rsidR="00537FD9" w:rsidRPr="004A672D" w:rsidRDefault="00537FD9" w:rsidP="00537FD9">
            <w:pPr>
              <w:jc w:val="center"/>
              <w:rPr>
                <w:sz w:val="18"/>
                <w:szCs w:val="18"/>
              </w:rPr>
            </w:pPr>
            <w:r w:rsidRPr="004A672D">
              <w:rPr>
                <w:sz w:val="18"/>
                <w:szCs w:val="18"/>
              </w:rPr>
              <w:t>Very Low</w:t>
            </w:r>
          </w:p>
        </w:tc>
      </w:tr>
      <w:bookmarkEnd w:id="28"/>
    </w:tbl>
    <w:p w14:paraId="5AFA5B25" w14:textId="77777777" w:rsidR="00F074D0" w:rsidRDefault="00F074D0" w:rsidP="00F074D0"/>
    <w:bookmarkEnd w:id="27"/>
    <w:p w14:paraId="58D827DE" w14:textId="73571849" w:rsidR="00F52595" w:rsidRPr="00061636" w:rsidRDefault="00F52595" w:rsidP="00EB247F">
      <w:pPr>
        <w:autoSpaceDE w:val="0"/>
        <w:spacing w:after="0"/>
        <w:rPr>
          <w:rFonts w:asciiTheme="majorHAnsi" w:eastAsiaTheme="majorEastAsia" w:hAnsiTheme="majorHAnsi" w:cstheme="majorBidi"/>
          <w:b/>
          <w:bCs/>
          <w:smallCaps/>
          <w:color w:val="000000" w:themeColor="text1"/>
          <w:sz w:val="36"/>
          <w:szCs w:val="36"/>
        </w:rPr>
        <w:sectPr w:rsidR="00F52595" w:rsidRPr="00061636">
          <w:footerReference w:type="even" r:id="rId16"/>
          <w:footerReference w:type="default" r:id="rId17"/>
          <w:pgSz w:w="12240" w:h="15840"/>
          <w:pgMar w:top="1440" w:right="1440" w:bottom="1440" w:left="1440" w:header="720" w:footer="720" w:gutter="0"/>
          <w:cols w:space="720"/>
        </w:sectPr>
      </w:pPr>
    </w:p>
    <w:p w14:paraId="756DEC01" w14:textId="2A9B7491" w:rsidR="00966563" w:rsidRPr="00061636" w:rsidRDefault="551A77D0" w:rsidP="004A2866">
      <w:pPr>
        <w:pStyle w:val="Heading1"/>
      </w:pPr>
      <w:bookmarkStart w:id="29" w:name="_Toc10331908"/>
      <w:r w:rsidRPr="00061636">
        <w:lastRenderedPageBreak/>
        <w:t>Methodology</w:t>
      </w:r>
      <w:bookmarkEnd w:id="29"/>
    </w:p>
    <w:p w14:paraId="567926D6" w14:textId="3CFDCBD2" w:rsidR="00BD136D" w:rsidRPr="00061636" w:rsidRDefault="551A77D0" w:rsidP="002A6808">
      <w:pPr>
        <w:pStyle w:val="Heading2"/>
        <w:numPr>
          <w:ilvl w:val="1"/>
          <w:numId w:val="9"/>
        </w:numPr>
      </w:pPr>
      <w:bookmarkStart w:id="30" w:name="_Toc10331909"/>
      <w:r w:rsidRPr="00061636">
        <w:t>I</w:t>
      </w:r>
      <w:r w:rsidR="00E069AC" w:rsidRPr="00061636">
        <w:t>ntroduction</w:t>
      </w:r>
      <w:bookmarkEnd w:id="30"/>
    </w:p>
    <w:p w14:paraId="7837546F" w14:textId="642212B1" w:rsidR="00202788" w:rsidRPr="00061636" w:rsidRDefault="00202788" w:rsidP="00EB247F">
      <w:pPr>
        <w:rPr>
          <w:rFonts w:cs="Times New Roman"/>
        </w:rPr>
      </w:pPr>
      <w:r w:rsidRPr="00061636">
        <w:rPr>
          <w:rFonts w:cs="Times New Roman"/>
        </w:rPr>
        <w:t>Project Drawdown’s models are developed in Microsoft Excel using standard templates that allow easier integration since integration is critical to the bottom-up approach used. The template used for this solution was the Reduction and Replacement Solutions (RRS</w:t>
      </w:r>
      <w:r w:rsidR="00E43DF0">
        <w:rPr>
          <w:rFonts w:cs="Times New Roman"/>
        </w:rPr>
        <w:t xml:space="preserve">) </w:t>
      </w:r>
      <w:r w:rsidRPr="00061636">
        <w:rPr>
          <w:rFonts w:cs="Times New Roman"/>
        </w:rPr>
        <w:t>which accounts for re</w:t>
      </w:r>
      <w:r w:rsidR="000C3F49" w:rsidRPr="00061636">
        <w:rPr>
          <w:rFonts w:cs="Times New Roman"/>
        </w:rPr>
        <w:t>placement of conventional</w:t>
      </w:r>
      <w:r w:rsidRPr="00061636">
        <w:rPr>
          <w:rFonts w:cs="Times New Roman"/>
        </w:rPr>
        <w:t xml:space="preserve"> </w:t>
      </w:r>
      <w:r w:rsidR="000C3F49" w:rsidRPr="00061636">
        <w:rPr>
          <w:rFonts w:cs="Times New Roman"/>
        </w:rPr>
        <w:t>electricity generation technologies (i.e. coal, oil, natural gas)</w:t>
      </w:r>
      <w:r w:rsidRPr="00061636">
        <w:rPr>
          <w:rFonts w:cs="Times New Roman"/>
        </w:rPr>
        <w:t xml:space="preserve"> </w:t>
      </w:r>
      <w:r w:rsidR="000C3F49" w:rsidRPr="00061636">
        <w:rPr>
          <w:rFonts w:cs="Times New Roman"/>
        </w:rPr>
        <w:t>and related emissions</w:t>
      </w:r>
      <w:r w:rsidRPr="00061636">
        <w:rPr>
          <w:rFonts w:cs="Times New Roman"/>
        </w:rPr>
        <w:t xml:space="preserve"> for a</w:t>
      </w:r>
      <w:r w:rsidR="000C3F49" w:rsidRPr="00061636">
        <w:rPr>
          <w:rFonts w:cs="Times New Roman"/>
        </w:rPr>
        <w:t>n</w:t>
      </w:r>
      <w:r w:rsidRPr="00061636">
        <w:rPr>
          <w:rFonts w:cs="Times New Roman"/>
        </w:rPr>
        <w:t xml:space="preserve"> </w:t>
      </w:r>
      <w:r w:rsidR="000C3F49" w:rsidRPr="00061636">
        <w:rPr>
          <w:rFonts w:cs="Times New Roman"/>
        </w:rPr>
        <w:t xml:space="preserve">alternative </w:t>
      </w:r>
      <w:r w:rsidRPr="00061636">
        <w:rPr>
          <w:rFonts w:cs="Times New Roman"/>
        </w:rPr>
        <w:t>solution</w:t>
      </w:r>
      <w:r w:rsidR="005B7A11" w:rsidRPr="00061636">
        <w:rPr>
          <w:rFonts w:cs="Times New Roman"/>
        </w:rPr>
        <w:t xml:space="preserve"> (</w:t>
      </w:r>
      <w:r w:rsidR="00AE749D" w:rsidRPr="00061636">
        <w:rPr>
          <w:rFonts w:cs="Times New Roman"/>
        </w:rPr>
        <w:t>see the</w:t>
      </w:r>
      <w:r w:rsidR="00395868" w:rsidRPr="00061636">
        <w:rPr>
          <w:rFonts w:cs="Times New Roman"/>
        </w:rPr>
        <w:t xml:space="preserve"> </w:t>
      </w:r>
      <w:r w:rsidR="00AE749D" w:rsidRPr="00061636">
        <w:rPr>
          <w:rFonts w:cs="Times New Roman"/>
        </w:rPr>
        <w:t>Drawdown RRS Model Framework and Guide for more details</w:t>
      </w:r>
      <w:r w:rsidR="005B7A11" w:rsidRPr="00061636">
        <w:rPr>
          <w:rFonts w:cs="Times New Roman"/>
        </w:rPr>
        <w:t>)</w:t>
      </w:r>
      <w:r w:rsidR="000C3F49" w:rsidRPr="00061636">
        <w:rPr>
          <w:rFonts w:cs="Times New Roman"/>
        </w:rPr>
        <w:t>.</w:t>
      </w:r>
      <w:r w:rsidRPr="00061636">
        <w:rPr>
          <w:rFonts w:cs="Times New Roman"/>
        </w:rPr>
        <w:t xml:space="preserve"> These technologies are assumed to compete in markets to supply the final functional demand which is exogenous to the model but may be shared across several solution models. The adoption and markets are therefore defined in terms of functional units</w:t>
      </w:r>
      <w:r w:rsidR="000C3F49" w:rsidRPr="00061636">
        <w:rPr>
          <w:rFonts w:cs="Times New Roman"/>
        </w:rPr>
        <w:t xml:space="preserve"> (</w:t>
      </w:r>
      <w:proofErr w:type="spellStart"/>
      <w:r w:rsidR="000C3F49" w:rsidRPr="00061636">
        <w:rPr>
          <w:rFonts w:cs="Times New Roman"/>
        </w:rPr>
        <w:t>TWh</w:t>
      </w:r>
      <w:proofErr w:type="spellEnd"/>
      <w:r w:rsidR="000C3F49" w:rsidRPr="00061636">
        <w:rPr>
          <w:rFonts w:cs="Times New Roman"/>
        </w:rPr>
        <w:t>)</w:t>
      </w:r>
      <w:r w:rsidRPr="00061636">
        <w:rPr>
          <w:rFonts w:cs="Times New Roman"/>
        </w:rPr>
        <w:t>, and for investment costing, adoptions are also converted to implementation units</w:t>
      </w:r>
      <w:r w:rsidR="000C3F49" w:rsidRPr="00061636">
        <w:rPr>
          <w:rFonts w:cs="Times New Roman"/>
        </w:rPr>
        <w:t xml:space="preserve"> (TW)</w:t>
      </w:r>
      <w:r w:rsidRPr="00061636">
        <w:rPr>
          <w:rFonts w:cs="Times New Roman"/>
        </w:rPr>
        <w:t xml:space="preserve">. The adoption of both conventional </w:t>
      </w:r>
      <w:r w:rsidR="009B53F2">
        <w:rPr>
          <w:rFonts w:cs="Times New Roman"/>
        </w:rPr>
        <w:t xml:space="preserve">technologies </w:t>
      </w:r>
      <w:r w:rsidRPr="00061636">
        <w:rPr>
          <w:rFonts w:cs="Times New Roman"/>
        </w:rPr>
        <w:t xml:space="preserve">and </w:t>
      </w:r>
      <w:r w:rsidR="009B53F2">
        <w:rPr>
          <w:rFonts w:cs="Times New Roman"/>
        </w:rPr>
        <w:t xml:space="preserve">the present </w:t>
      </w:r>
      <w:r w:rsidRPr="00061636">
        <w:rPr>
          <w:rFonts w:cs="Times New Roman"/>
        </w:rPr>
        <w:t>solution were projected for each of several scenarios from 2015 to 2050 and the comparison of these scenarios (for the 2020-2050 segment</w:t>
      </w:r>
      <w:r w:rsidR="000C3F49" w:rsidRPr="00061636">
        <w:rPr>
          <w:rFonts w:cs="Times New Roman"/>
        </w:rPr>
        <w:t>) is what constitutes</w:t>
      </w:r>
      <w:r w:rsidRPr="00061636">
        <w:rPr>
          <w:rFonts w:cs="Times New Roman"/>
        </w:rPr>
        <w:t xml:space="preserve"> the results.</w:t>
      </w:r>
    </w:p>
    <w:p w14:paraId="43503CBF" w14:textId="08CE0EFF" w:rsidR="00202788" w:rsidRPr="00061636" w:rsidRDefault="00202788" w:rsidP="00EB247F">
      <w:pPr>
        <w:rPr>
          <w:rFonts w:cs="Times New Roman"/>
        </w:rPr>
      </w:pPr>
      <w:r w:rsidRPr="00061636">
        <w:rPr>
          <w:rFonts w:cs="Times New Roman"/>
        </w:rPr>
        <w:t xml:space="preserve">For this solution, </w:t>
      </w:r>
      <w:r w:rsidRPr="00061636">
        <w:rPr>
          <w:rFonts w:cs="Times New Roman"/>
          <w:bCs/>
        </w:rPr>
        <w:t xml:space="preserve">the approach was to analyze </w:t>
      </w:r>
      <w:r w:rsidR="000C3F49" w:rsidRPr="00061636">
        <w:rPr>
          <w:rFonts w:cs="Times New Roman"/>
          <w:bCs/>
        </w:rPr>
        <w:t xml:space="preserve">the impacts of increased </w:t>
      </w:r>
      <w:r w:rsidRPr="00061636">
        <w:rPr>
          <w:rFonts w:cs="Times New Roman"/>
          <w:bCs/>
        </w:rPr>
        <w:t xml:space="preserve">adoption of </w:t>
      </w:r>
      <w:r w:rsidR="000C3F49" w:rsidRPr="00061636">
        <w:rPr>
          <w:rFonts w:cs="Times New Roman"/>
        </w:rPr>
        <w:t xml:space="preserve">utility-scale solar PV systems. To capture the appropriate level of agency, the solar PV market was split between </w:t>
      </w:r>
      <w:r w:rsidR="000C3F49" w:rsidRPr="00061636">
        <w:rPr>
          <w:rFonts w:cs="Times New Roman"/>
          <w:i/>
          <w:iCs/>
        </w:rPr>
        <w:t>rooftop solar</w:t>
      </w:r>
      <w:r w:rsidR="000C3F49" w:rsidRPr="00061636">
        <w:rPr>
          <w:rFonts w:cs="Times New Roman"/>
        </w:rPr>
        <w:t xml:space="preserve"> (representing households and building owners) and utility-scale solar (i.e. </w:t>
      </w:r>
      <w:r w:rsidR="000C3F49" w:rsidRPr="00061636">
        <w:rPr>
          <w:rFonts w:cs="Times New Roman"/>
          <w:i/>
          <w:iCs/>
        </w:rPr>
        <w:t>solar farms</w:t>
      </w:r>
      <w:r w:rsidR="000C3F49" w:rsidRPr="00061636">
        <w:rPr>
          <w:rFonts w:cs="Times New Roman"/>
        </w:rPr>
        <w:t>), being the latest the focus of this technical report.</w:t>
      </w:r>
    </w:p>
    <w:p w14:paraId="3F01DEC2" w14:textId="1ADD3975" w:rsidR="002D4B9E" w:rsidRPr="00061636" w:rsidRDefault="00683100" w:rsidP="00EB247F">
      <w:pPr>
        <w:rPr>
          <w:rFonts w:cs="Times New Roman"/>
        </w:rPr>
      </w:pPr>
      <w:r w:rsidRPr="00061636">
        <w:rPr>
          <w:rFonts w:cs="Times New Roman"/>
        </w:rPr>
        <w:t>The</w:t>
      </w:r>
      <w:r w:rsidR="002D4B9E" w:rsidRPr="00061636">
        <w:rPr>
          <w:rFonts w:cs="Times New Roman"/>
        </w:rPr>
        <w:t xml:space="preserve"> model used for this analysis constructs both </w:t>
      </w:r>
      <w:r w:rsidRPr="00061636">
        <w:rPr>
          <w:rFonts w:cs="Times New Roman"/>
        </w:rPr>
        <w:t xml:space="preserve">alternative </w:t>
      </w:r>
      <w:r w:rsidR="00582B86" w:rsidRPr="00061636">
        <w:rPr>
          <w:rFonts w:cs="Times New Roman"/>
        </w:rPr>
        <w:t>ambitious adoption</w:t>
      </w:r>
      <w:r w:rsidRPr="00061636">
        <w:rPr>
          <w:rFonts w:cs="Times New Roman"/>
        </w:rPr>
        <w:t xml:space="preserve"> pathways </w:t>
      </w:r>
      <w:r w:rsidR="00AE749D" w:rsidRPr="00061636">
        <w:rPr>
          <w:rFonts w:cs="Times New Roman"/>
        </w:rPr>
        <w:t>(PD</w:t>
      </w:r>
      <w:r w:rsidR="00A2204D" w:rsidRPr="00061636">
        <w:rPr>
          <w:rFonts w:cs="Times New Roman"/>
        </w:rPr>
        <w:t xml:space="preserve"> scenarios)</w:t>
      </w:r>
      <w:r w:rsidR="002D4B9E" w:rsidRPr="00061636">
        <w:rPr>
          <w:rFonts w:cs="Times New Roman"/>
        </w:rPr>
        <w:t xml:space="preserve"> and a Reference scenario (REF</w:t>
      </w:r>
      <w:r w:rsidR="009B53F2">
        <w:rPr>
          <w:rFonts w:cs="Times New Roman"/>
        </w:rPr>
        <w:t>)</w:t>
      </w:r>
      <w:r w:rsidR="002D4B9E" w:rsidRPr="00061636">
        <w:rPr>
          <w:rFonts w:cs="Times New Roman"/>
        </w:rPr>
        <w:t xml:space="preserve"> for utility-scale solar PV. </w:t>
      </w:r>
      <w:r w:rsidRPr="00061636">
        <w:rPr>
          <w:rFonts w:cs="Times New Roman"/>
        </w:rPr>
        <w:t>Following project Drawdown methodological assumption</w:t>
      </w:r>
      <w:r w:rsidR="009B53F2">
        <w:rPr>
          <w:rFonts w:cs="Times New Roman"/>
        </w:rPr>
        <w:t>s</w:t>
      </w:r>
      <w:r w:rsidR="00395868" w:rsidRPr="00061636">
        <w:rPr>
          <w:rFonts w:cs="Times New Roman"/>
        </w:rPr>
        <w:t xml:space="preserve"> (</w:t>
      </w:r>
      <w:r w:rsidR="00AE749D" w:rsidRPr="00061636">
        <w:rPr>
          <w:rFonts w:cs="Times New Roman"/>
        </w:rPr>
        <w:t xml:space="preserve">further description available on the Drawdown RRS Model Framework and Guide), </w:t>
      </w:r>
      <w:r w:rsidR="009B53F2">
        <w:rPr>
          <w:rFonts w:cs="Times New Roman"/>
        </w:rPr>
        <w:t xml:space="preserve">and </w:t>
      </w:r>
      <w:r w:rsidRPr="00061636">
        <w:rPr>
          <w:rFonts w:cs="Times New Roman"/>
        </w:rPr>
        <w:t>in order to grasp the total impact of an increased adoption of the solution during the assessed time frame; the REF scenario assumes future adoption of utility-scale solar PV remains fixed at the current base-year (</w:t>
      </w:r>
      <w:r w:rsidRPr="00FD4AFC">
        <w:rPr>
          <w:rFonts w:cs="Times New Roman"/>
          <w:i/>
        </w:rPr>
        <w:t>i.e.</w:t>
      </w:r>
      <w:r w:rsidRPr="00061636">
        <w:rPr>
          <w:rFonts w:cs="Times New Roman"/>
        </w:rPr>
        <w:t xml:space="preserve"> 2014) percentage of T</w:t>
      </w:r>
      <w:r w:rsidR="00A2204D" w:rsidRPr="00061636">
        <w:rPr>
          <w:rFonts w:cs="Times New Roman"/>
        </w:rPr>
        <w:t>otal Addressable Market (T</w:t>
      </w:r>
      <w:r w:rsidRPr="00061636">
        <w:rPr>
          <w:rFonts w:cs="Times New Roman"/>
        </w:rPr>
        <w:t>AM</w:t>
      </w:r>
      <w:r w:rsidR="00A2204D" w:rsidRPr="00061636">
        <w:rPr>
          <w:rFonts w:cs="Times New Roman"/>
        </w:rPr>
        <w:t>)</w:t>
      </w:r>
      <w:r w:rsidRPr="00061636">
        <w:rPr>
          <w:rFonts w:cs="Times New Roman"/>
        </w:rPr>
        <w:t xml:space="preserve">, estimated at 0.5 percent (113 terawatt-hours) of </w:t>
      </w:r>
      <w:r w:rsidR="000875B5" w:rsidRPr="00061636">
        <w:rPr>
          <w:rFonts w:cs="Times New Roman"/>
        </w:rPr>
        <w:t xml:space="preserve">electricity </w:t>
      </w:r>
      <w:r w:rsidRPr="00061636">
        <w:rPr>
          <w:rFonts w:cs="Times New Roman"/>
        </w:rPr>
        <w:t xml:space="preserve">generation </w:t>
      </w:r>
      <w:sdt>
        <w:sdtPr>
          <w:rPr>
            <w:rFonts w:cs="Times New Roman"/>
          </w:rPr>
          <w:id w:val="-641427742"/>
          <w:citation/>
        </w:sdtPr>
        <w:sdtContent>
          <w:r w:rsidR="00501249">
            <w:rPr>
              <w:rFonts w:cs="Times New Roman"/>
            </w:rPr>
            <w:fldChar w:fldCharType="begin"/>
          </w:r>
          <w:r w:rsidR="00814CEC">
            <w:rPr>
              <w:rFonts w:cs="Times New Roman"/>
            </w:rPr>
            <w:instrText xml:space="preserve">CITATION IRE8b \l 1033 </w:instrText>
          </w:r>
          <w:r w:rsidR="00501249">
            <w:rPr>
              <w:rFonts w:cs="Times New Roman"/>
            </w:rPr>
            <w:fldChar w:fldCharType="separate"/>
          </w:r>
          <w:r w:rsidR="00814CEC" w:rsidRPr="00814CEC">
            <w:rPr>
              <w:rFonts w:cs="Times New Roman"/>
              <w:noProof/>
            </w:rPr>
            <w:t>(IRENA, 2018)</w:t>
          </w:r>
          <w:r w:rsidR="00501249">
            <w:rPr>
              <w:rFonts w:cs="Times New Roman"/>
            </w:rPr>
            <w:fldChar w:fldCharType="end"/>
          </w:r>
        </w:sdtContent>
      </w:sdt>
      <w:r w:rsidRPr="00061636">
        <w:rPr>
          <w:rFonts w:cs="Times New Roman"/>
        </w:rPr>
        <w:t xml:space="preserve">. </w:t>
      </w:r>
      <w:r w:rsidR="00992B8D" w:rsidRPr="00061636">
        <w:rPr>
          <w:rFonts w:cs="Times New Roman"/>
        </w:rPr>
        <w:t xml:space="preserve">The TAM for </w:t>
      </w:r>
      <w:r w:rsidR="00992B8D" w:rsidRPr="00061636">
        <w:rPr>
          <w:rFonts w:cs="Times New Roman"/>
          <w:iCs/>
        </w:rPr>
        <w:t xml:space="preserve">this </w:t>
      </w:r>
      <w:r w:rsidR="00582B86" w:rsidRPr="00061636">
        <w:rPr>
          <w:rFonts w:cs="Times New Roman"/>
          <w:iCs/>
        </w:rPr>
        <w:t>solution</w:t>
      </w:r>
      <w:r w:rsidR="00582B86" w:rsidRPr="00061636">
        <w:rPr>
          <w:rFonts w:cs="Times New Roman"/>
          <w:i/>
          <w:iCs/>
        </w:rPr>
        <w:t xml:space="preserve"> </w:t>
      </w:r>
      <w:r w:rsidR="00582B86" w:rsidRPr="00061636">
        <w:rPr>
          <w:rFonts w:cs="Times New Roman"/>
        </w:rPr>
        <w:t>is</w:t>
      </w:r>
      <w:r w:rsidR="00992B8D" w:rsidRPr="00061636">
        <w:rPr>
          <w:rFonts w:cs="Times New Roman"/>
        </w:rPr>
        <w:t xml:space="preserve"> based on the common project Drawdown projected global electricity generation in terawatt-hours till 2050</w:t>
      </w:r>
      <w:r w:rsidR="00AE749D" w:rsidRPr="00061636">
        <w:rPr>
          <w:rFonts w:cs="Times New Roman"/>
        </w:rPr>
        <w:t xml:space="preserve"> (Section 2.3</w:t>
      </w:r>
      <w:r w:rsidR="00992B8D" w:rsidRPr="00061636">
        <w:rPr>
          <w:rFonts w:cs="Times New Roman"/>
        </w:rPr>
        <w:t>.).</w:t>
      </w:r>
    </w:p>
    <w:p w14:paraId="44E67117" w14:textId="16986F05" w:rsidR="00395868" w:rsidRPr="00061636" w:rsidRDefault="00395868" w:rsidP="00EB247F">
      <w:pPr>
        <w:rPr>
          <w:rFonts w:cs="Times New Roman"/>
        </w:rPr>
      </w:pPr>
      <w:r w:rsidRPr="00061636">
        <w:rPr>
          <w:rFonts w:cs="Times New Roman"/>
        </w:rPr>
        <w:t>The developed alternative PDS scenarios, draw on existing adoption scenarios for utility-scale solar PV to model several alternative adoptions. The RRS model contains both financial and climate analyses in order to model the global and regional impacts of adoption in the PDS scenarios compared to the REF scenario. What the model thus prognosticates is the total financial costs and benefits of adoption case</w:t>
      </w:r>
      <w:r w:rsidR="00D2050B" w:rsidRPr="00061636">
        <w:rPr>
          <w:rFonts w:cs="Times New Roman"/>
        </w:rPr>
        <w:t>s</w:t>
      </w:r>
      <w:r w:rsidRPr="00061636">
        <w:rPr>
          <w:rFonts w:cs="Times New Roman"/>
        </w:rPr>
        <w:t xml:space="preserve"> for utility-</w:t>
      </w:r>
      <w:r w:rsidRPr="00061636">
        <w:rPr>
          <w:rFonts w:cs="Times New Roman"/>
        </w:rPr>
        <w:lastRenderedPageBreak/>
        <w:t xml:space="preserve">scale solar PV, as well as the contribution this adoption can make to annual and cumulative emissions reduction. </w:t>
      </w:r>
    </w:p>
    <w:p w14:paraId="298F46AB" w14:textId="21172A05" w:rsidR="00F52595" w:rsidRPr="00061636" w:rsidRDefault="00E069AC" w:rsidP="002A6808">
      <w:pPr>
        <w:pStyle w:val="Heading2"/>
        <w:numPr>
          <w:ilvl w:val="1"/>
          <w:numId w:val="8"/>
        </w:numPr>
      </w:pPr>
      <w:bookmarkStart w:id="31" w:name="_Toc10331910"/>
      <w:r w:rsidRPr="00061636">
        <w:t>Data Sources</w:t>
      </w:r>
      <w:bookmarkEnd w:id="31"/>
    </w:p>
    <w:p w14:paraId="7E1F86C7" w14:textId="6D9A0170" w:rsidR="00933FD7" w:rsidRPr="00061636" w:rsidRDefault="00F66D25" w:rsidP="00EB247F">
      <w:pPr>
        <w:rPr>
          <w:rFonts w:cs="Times New Roman"/>
        </w:rPr>
      </w:pPr>
      <w:r w:rsidRPr="00061636">
        <w:rPr>
          <w:rFonts w:cs="Times New Roman"/>
        </w:rPr>
        <w:t>This section presents key data sources utilized in the mode</w:t>
      </w:r>
      <w:r w:rsidR="00D2050B" w:rsidRPr="00061636">
        <w:rPr>
          <w:rFonts w:cs="Times New Roman"/>
        </w:rPr>
        <w:t xml:space="preserve"> to evaluate t</w:t>
      </w:r>
      <w:r w:rsidR="00F4258D" w:rsidRPr="00061636">
        <w:rPr>
          <w:rFonts w:cs="Times New Roman"/>
        </w:rPr>
        <w:t>he adoption of solar PV utility-</w:t>
      </w:r>
      <w:r w:rsidR="00D2050B" w:rsidRPr="00061636">
        <w:rPr>
          <w:rFonts w:cs="Times New Roman"/>
        </w:rPr>
        <w:t>scale</w:t>
      </w:r>
      <w:r w:rsidRPr="00061636">
        <w:rPr>
          <w:rFonts w:cs="Times New Roman"/>
        </w:rPr>
        <w:t>.</w:t>
      </w:r>
      <w:r w:rsidR="002D5C14" w:rsidRPr="00061636">
        <w:rPr>
          <w:rFonts w:cs="Times New Roman"/>
        </w:rPr>
        <w:t xml:space="preserve"> </w:t>
      </w:r>
      <w:r w:rsidR="00933FD7" w:rsidRPr="00061636">
        <w:rPr>
          <w:rFonts w:cs="Times New Roman"/>
        </w:rPr>
        <w:t>Data inputs for the model come from a variety of sources, primarily from peer-reviewed publications and from in</w:t>
      </w:r>
      <w:r w:rsidR="00DA44EB" w:rsidRPr="00061636">
        <w:rPr>
          <w:rFonts w:cs="Times New Roman"/>
        </w:rPr>
        <w:t xml:space="preserve">stitutional reports. For all variable inputs, </w:t>
      </w:r>
      <w:r w:rsidR="00933FD7" w:rsidRPr="00061636">
        <w:rPr>
          <w:rFonts w:cs="Times New Roman"/>
        </w:rPr>
        <w:t>a variable meta-analysis of existing literature</w:t>
      </w:r>
      <w:r w:rsidR="00796AFA" w:rsidRPr="00061636">
        <w:rPr>
          <w:rFonts w:cs="Times New Roman"/>
        </w:rPr>
        <w:t xml:space="preserve"> was conducted</w:t>
      </w:r>
      <w:r w:rsidR="00933FD7" w:rsidRPr="00061636">
        <w:rPr>
          <w:rFonts w:cs="Times New Roman"/>
        </w:rPr>
        <w:t xml:space="preserve"> to create low, high, and mean estimates. For each </w:t>
      </w:r>
      <w:r w:rsidRPr="00061636">
        <w:rPr>
          <w:rFonts w:cs="Times New Roman"/>
        </w:rPr>
        <w:t xml:space="preserve">solution variable, </w:t>
      </w:r>
      <w:r w:rsidR="00933FD7" w:rsidRPr="00061636">
        <w:rPr>
          <w:rFonts w:cs="Times New Roman"/>
        </w:rPr>
        <w:t xml:space="preserve">a sensitivity analysis of, on average, </w:t>
      </w:r>
      <w:r w:rsidR="00983F13">
        <w:rPr>
          <w:rFonts w:cs="Times New Roman"/>
        </w:rPr>
        <w:t>thirty</w:t>
      </w:r>
      <w:r w:rsidR="0035135F" w:rsidRPr="00061636">
        <w:rPr>
          <w:rFonts w:cs="Times New Roman"/>
        </w:rPr>
        <w:t xml:space="preserve"> </w:t>
      </w:r>
      <w:r w:rsidR="00933FD7" w:rsidRPr="00061636">
        <w:rPr>
          <w:rFonts w:cs="Times New Roman"/>
        </w:rPr>
        <w:t>data points reported in the literature</w:t>
      </w:r>
      <w:r w:rsidR="008E322D" w:rsidRPr="00061636">
        <w:rPr>
          <w:rFonts w:cs="Times New Roman"/>
        </w:rPr>
        <w:t xml:space="preserve"> was conducted.</w:t>
      </w:r>
      <w:r w:rsidRPr="00061636">
        <w:rPr>
          <w:rFonts w:cs="Times New Roman"/>
        </w:rPr>
        <w:t xml:space="preserve"> </w:t>
      </w:r>
      <w:r w:rsidR="008E322D" w:rsidRPr="00061636">
        <w:rPr>
          <w:rFonts w:cs="Times New Roman"/>
        </w:rPr>
        <w:t>I</w:t>
      </w:r>
      <w:r w:rsidRPr="00061636">
        <w:rPr>
          <w:rFonts w:cs="Times New Roman"/>
        </w:rPr>
        <w:t xml:space="preserve">n some </w:t>
      </w:r>
      <w:r w:rsidR="000A10E5" w:rsidRPr="00061636">
        <w:rPr>
          <w:rFonts w:cs="Times New Roman"/>
        </w:rPr>
        <w:t>cases,</w:t>
      </w:r>
      <w:r w:rsidRPr="00061636">
        <w:rPr>
          <w:rFonts w:cs="Times New Roman"/>
        </w:rPr>
        <w:t xml:space="preserve"> as many as</w:t>
      </w:r>
      <w:r w:rsidR="00363E99">
        <w:rPr>
          <w:rFonts w:cs="Times New Roman"/>
        </w:rPr>
        <w:t xml:space="preserve"> </w:t>
      </w:r>
      <w:r w:rsidR="000A10E5">
        <w:rPr>
          <w:rFonts w:cs="Times New Roman"/>
        </w:rPr>
        <w:t>sixty-eight</w:t>
      </w:r>
      <w:r w:rsidR="000A10E5" w:rsidRPr="00061636">
        <w:rPr>
          <w:rFonts w:cs="Times New Roman"/>
        </w:rPr>
        <w:t xml:space="preserve"> data</w:t>
      </w:r>
      <w:r w:rsidR="008E322D" w:rsidRPr="00061636">
        <w:rPr>
          <w:rFonts w:cs="Times New Roman"/>
        </w:rPr>
        <w:t xml:space="preserve"> points were </w:t>
      </w:r>
      <w:r w:rsidR="00582B86" w:rsidRPr="00061636">
        <w:rPr>
          <w:rFonts w:cs="Times New Roman"/>
        </w:rPr>
        <w:t>considered.</w:t>
      </w:r>
      <w:r w:rsidR="00933FD7" w:rsidRPr="00061636">
        <w:rPr>
          <w:rFonts w:cs="Times New Roman"/>
        </w:rPr>
        <w:t xml:space="preserve"> </w:t>
      </w:r>
      <w:r w:rsidR="00DA44EB" w:rsidRPr="00061636">
        <w:rPr>
          <w:rFonts w:cs="Times New Roman"/>
        </w:rPr>
        <w:t>This allow</w:t>
      </w:r>
      <w:r w:rsidR="008E322D" w:rsidRPr="00061636">
        <w:rPr>
          <w:rFonts w:cs="Times New Roman"/>
        </w:rPr>
        <w:t>ed a</w:t>
      </w:r>
      <w:r w:rsidR="00933FD7" w:rsidRPr="00061636">
        <w:rPr>
          <w:rFonts w:cs="Times New Roman"/>
        </w:rPr>
        <w:t xml:space="preserve"> rob</w:t>
      </w:r>
      <w:r w:rsidR="00DA44EB" w:rsidRPr="00061636">
        <w:rPr>
          <w:rFonts w:cs="Times New Roman"/>
        </w:rPr>
        <w:t>ust and reliable</w:t>
      </w:r>
      <w:r w:rsidR="008E322D" w:rsidRPr="00061636">
        <w:rPr>
          <w:rFonts w:cs="Times New Roman"/>
        </w:rPr>
        <w:t xml:space="preserve"> analysis of</w:t>
      </w:r>
      <w:r w:rsidR="00DA44EB" w:rsidRPr="00061636">
        <w:rPr>
          <w:rFonts w:cs="Times New Roman"/>
        </w:rPr>
        <w:t xml:space="preserve"> </w:t>
      </w:r>
      <w:r w:rsidR="00933FD7" w:rsidRPr="00061636">
        <w:rPr>
          <w:rFonts w:cs="Times New Roman"/>
        </w:rPr>
        <w:t>financial</w:t>
      </w:r>
      <w:r w:rsidRPr="00061636">
        <w:rPr>
          <w:rFonts w:cs="Times New Roman"/>
        </w:rPr>
        <w:t>, technological</w:t>
      </w:r>
      <w:r w:rsidR="00933FD7" w:rsidRPr="00061636">
        <w:rPr>
          <w:rFonts w:cs="Times New Roman"/>
        </w:rPr>
        <w:t xml:space="preserve"> and climate </w:t>
      </w:r>
      <w:r w:rsidR="008E322D" w:rsidRPr="00061636">
        <w:rPr>
          <w:rFonts w:cs="Times New Roman"/>
        </w:rPr>
        <w:t>paramet</w:t>
      </w:r>
      <w:r w:rsidR="0035135F" w:rsidRPr="00061636">
        <w:rPr>
          <w:rFonts w:cs="Times New Roman"/>
        </w:rPr>
        <w:t>e</w:t>
      </w:r>
      <w:r w:rsidR="008E322D" w:rsidRPr="00061636">
        <w:rPr>
          <w:rFonts w:cs="Times New Roman"/>
        </w:rPr>
        <w:t>rs. These</w:t>
      </w:r>
      <w:r w:rsidR="00933FD7" w:rsidRPr="00061636">
        <w:rPr>
          <w:rFonts w:cs="Times New Roman"/>
        </w:rPr>
        <w:t xml:space="preserve"> represent both </w:t>
      </w:r>
      <w:r w:rsidR="000A10E5" w:rsidRPr="00061636">
        <w:rPr>
          <w:rFonts w:cs="Times New Roman"/>
        </w:rPr>
        <w:t>optimistic as</w:t>
      </w:r>
      <w:r w:rsidR="008E322D" w:rsidRPr="00061636">
        <w:rPr>
          <w:rFonts w:cs="Times New Roman"/>
        </w:rPr>
        <w:t xml:space="preserve"> well as</w:t>
      </w:r>
      <w:r w:rsidR="00933FD7" w:rsidRPr="00061636">
        <w:rPr>
          <w:rFonts w:cs="Times New Roman"/>
        </w:rPr>
        <w:t xml:space="preserve"> conservative estimates for the future costs and benefits of adopting this solution.</w:t>
      </w:r>
    </w:p>
    <w:p w14:paraId="26E54CE9" w14:textId="4C8B567F" w:rsidR="005A6986" w:rsidRPr="00061636" w:rsidRDefault="005A6986" w:rsidP="00EB247F">
      <w:pPr>
        <w:rPr>
          <w:rFonts w:cs="Times New Roman"/>
        </w:rPr>
      </w:pPr>
      <w:r w:rsidRPr="00061636">
        <w:rPr>
          <w:rFonts w:cs="Times New Roman"/>
        </w:rPr>
        <w:t>Recent capital cost estimates from several data sources, presenting data for all of the reg</w:t>
      </w:r>
      <w:r w:rsidR="00F66D25" w:rsidRPr="00061636">
        <w:rPr>
          <w:rFonts w:cs="Times New Roman"/>
        </w:rPr>
        <w:t>ions contained in this analysis</w:t>
      </w:r>
      <w:r w:rsidRPr="00061636">
        <w:rPr>
          <w:rFonts w:cs="Times New Roman"/>
        </w:rPr>
        <w:t xml:space="preserve"> were </w:t>
      </w:r>
      <w:r w:rsidR="00F66D25" w:rsidRPr="00061636">
        <w:rPr>
          <w:rFonts w:cs="Times New Roman"/>
        </w:rPr>
        <w:t>examined</w:t>
      </w:r>
      <w:r w:rsidRPr="00061636">
        <w:rPr>
          <w:rFonts w:cs="Times New Roman"/>
        </w:rPr>
        <w:t xml:space="preserve"> to determine the average capital cost of utility-scale PV installations</w:t>
      </w:r>
      <w:r w:rsidR="002D1D5F">
        <w:rPr>
          <w:rFonts w:cs="Times New Roman"/>
          <w:noProof/>
        </w:rPr>
        <w:t xml:space="preserve"> </w:t>
      </w:r>
      <w:r w:rsidR="002D1D5F" w:rsidRPr="00501249">
        <w:rPr>
          <w:rFonts w:cs="Times New Roman"/>
          <w:noProof/>
        </w:rPr>
        <w:t>(IEA, 2018</w:t>
      </w:r>
      <w:r w:rsidR="002D1D5F">
        <w:rPr>
          <w:rFonts w:cs="Times New Roman"/>
          <w:noProof/>
        </w:rPr>
        <w:t xml:space="preserve">; </w:t>
      </w:r>
      <w:r w:rsidR="002D1D5F" w:rsidRPr="00814CEC">
        <w:rPr>
          <w:rFonts w:cs="Times New Roman"/>
          <w:noProof/>
        </w:rPr>
        <w:t>IRENA, 2018a</w:t>
      </w:r>
      <w:r w:rsidR="002D1D5F">
        <w:rPr>
          <w:rFonts w:cs="Times New Roman"/>
          <w:noProof/>
        </w:rPr>
        <w:t xml:space="preserve">; </w:t>
      </w:r>
      <w:r w:rsidR="002D1D5F" w:rsidRPr="00B57B62">
        <w:rPr>
          <w:rFonts w:cs="Times New Roman"/>
          <w:noProof/>
        </w:rPr>
        <w:t>REN21, 2018</w:t>
      </w:r>
      <w:r w:rsidR="002D1D5F">
        <w:rPr>
          <w:rFonts w:cs="Times New Roman"/>
          <w:noProof/>
        </w:rPr>
        <w:t xml:space="preserve">; </w:t>
      </w:r>
      <w:r w:rsidR="002D1D5F" w:rsidRPr="003B432B">
        <w:rPr>
          <w:rFonts w:cs="Times New Roman"/>
          <w:noProof/>
        </w:rPr>
        <w:t>Lazard, 2018)</w:t>
      </w:r>
      <w:r w:rsidRPr="00061636">
        <w:rPr>
          <w:rFonts w:cs="Times New Roman"/>
        </w:rPr>
        <w:t xml:space="preserve">. </w:t>
      </w:r>
      <w:r w:rsidR="00DA44EB" w:rsidRPr="00061636">
        <w:rPr>
          <w:rFonts w:cs="Times New Roman"/>
        </w:rPr>
        <w:t>It is</w:t>
      </w:r>
      <w:r w:rsidRPr="00061636">
        <w:rPr>
          <w:rFonts w:cs="Times New Roman"/>
        </w:rPr>
        <w:t xml:space="preserve"> acknowledge</w:t>
      </w:r>
      <w:r w:rsidR="00DA44EB" w:rsidRPr="00061636">
        <w:rPr>
          <w:rFonts w:cs="Times New Roman"/>
        </w:rPr>
        <w:t>d</w:t>
      </w:r>
      <w:r w:rsidRPr="00061636">
        <w:rPr>
          <w:rFonts w:cs="Times New Roman"/>
        </w:rPr>
        <w:t xml:space="preserve"> that capital costs </w:t>
      </w:r>
      <w:r w:rsidR="00F4258D" w:rsidRPr="00061636">
        <w:rPr>
          <w:rFonts w:cs="Times New Roman"/>
        </w:rPr>
        <w:t>for solar PV utility-</w:t>
      </w:r>
      <w:r w:rsidR="00DA44EB" w:rsidRPr="00061636">
        <w:rPr>
          <w:rFonts w:cs="Times New Roman"/>
        </w:rPr>
        <w:t xml:space="preserve">scale systems </w:t>
      </w:r>
      <w:r w:rsidRPr="00061636">
        <w:rPr>
          <w:rFonts w:cs="Times New Roman"/>
        </w:rPr>
        <w:t xml:space="preserve">can vary significantly by region, but exhaustive regional data were not available to calculate an average cost weighted by installation size. Available estimates </w:t>
      </w:r>
      <w:r w:rsidR="00FC7A20">
        <w:rPr>
          <w:rFonts w:cs="Times New Roman"/>
        </w:rPr>
        <w:t>are</w:t>
      </w:r>
      <w:r w:rsidRPr="00061636">
        <w:rPr>
          <w:rFonts w:cs="Times New Roman"/>
        </w:rPr>
        <w:t xml:space="preserve"> </w:t>
      </w:r>
      <w:r w:rsidR="00FC7A20" w:rsidRPr="00061636">
        <w:rPr>
          <w:rFonts w:cs="Times New Roman"/>
        </w:rPr>
        <w:t>focused</w:t>
      </w:r>
      <w:r w:rsidRPr="00061636">
        <w:rPr>
          <w:rFonts w:cs="Times New Roman"/>
        </w:rPr>
        <w:t xml:space="preserve"> in OECD countries, reflecting the preponderance of present-day utility-scale PV instal</w:t>
      </w:r>
      <w:r w:rsidR="00DC1888" w:rsidRPr="00061636">
        <w:rPr>
          <w:rFonts w:cs="Times New Roman"/>
        </w:rPr>
        <w:t>lations in the developed world.</w:t>
      </w:r>
    </w:p>
    <w:p w14:paraId="15AB7547" w14:textId="55D6BC5D" w:rsidR="005A6986" w:rsidRPr="00061636" w:rsidRDefault="005A6986" w:rsidP="00EB247F">
      <w:pPr>
        <w:rPr>
          <w:rFonts w:cs="Times New Roman"/>
        </w:rPr>
      </w:pPr>
      <w:r w:rsidRPr="00061636">
        <w:rPr>
          <w:rFonts w:cs="Times New Roman"/>
        </w:rPr>
        <w:t>Cost estimates for fixed operation and maintenance (O</w:t>
      </w:r>
      <w:r w:rsidR="00BD15EF">
        <w:rPr>
          <w:rFonts w:cs="Times New Roman"/>
        </w:rPr>
        <w:t>&amp;</w:t>
      </w:r>
      <w:r w:rsidRPr="00061636">
        <w:rPr>
          <w:rFonts w:cs="Times New Roman"/>
        </w:rPr>
        <w:t>M) of utility</w:t>
      </w:r>
      <w:r w:rsidR="00DA44EB" w:rsidRPr="00061636">
        <w:rPr>
          <w:rFonts w:cs="Times New Roman"/>
        </w:rPr>
        <w:t xml:space="preserve">-scale PV were collected from </w:t>
      </w:r>
      <w:r w:rsidR="002D1D5F">
        <w:rPr>
          <w:rFonts w:cs="Times New Roman"/>
        </w:rPr>
        <w:t>different sources i.e.</w:t>
      </w:r>
      <w:r w:rsidR="00DA44EB" w:rsidRPr="00061636">
        <w:rPr>
          <w:rFonts w:cs="Times New Roman"/>
        </w:rPr>
        <w:t xml:space="preserve"> </w:t>
      </w:r>
      <w:r w:rsidR="002D1D5F" w:rsidRPr="00877D67">
        <w:rPr>
          <w:rFonts w:cs="Times New Roman"/>
          <w:noProof/>
        </w:rPr>
        <w:t>(Bolinger, 2015</w:t>
      </w:r>
      <w:r w:rsidR="00767F96" w:rsidRPr="00061636">
        <w:rPr>
          <w:rFonts w:cs="Times New Roman"/>
        </w:rPr>
        <w:t xml:space="preserve">; </w:t>
      </w:r>
      <w:r w:rsidR="002D1D5F" w:rsidRPr="00AC388C">
        <w:rPr>
          <w:rFonts w:cs="Times New Roman"/>
          <w:noProof/>
        </w:rPr>
        <w:t>EIA, 2015</w:t>
      </w:r>
      <w:r w:rsidR="00767F96" w:rsidRPr="00061636">
        <w:rPr>
          <w:rFonts w:cs="Times New Roman"/>
        </w:rPr>
        <w:t>;</w:t>
      </w:r>
      <w:r w:rsidR="002D1D5F">
        <w:rPr>
          <w:rFonts w:cs="Times New Roman"/>
          <w:noProof/>
        </w:rPr>
        <w:t xml:space="preserve"> </w:t>
      </w:r>
      <w:r w:rsidR="002D1D5F" w:rsidRPr="00B57B62">
        <w:rPr>
          <w:rFonts w:cs="Times New Roman"/>
          <w:noProof/>
        </w:rPr>
        <w:t>IEA, 2018</w:t>
      </w:r>
      <w:r w:rsidR="00767F96" w:rsidRPr="00061636">
        <w:rPr>
          <w:rFonts w:cs="Times New Roman"/>
        </w:rPr>
        <w:t xml:space="preserve"> ; </w:t>
      </w:r>
      <w:r w:rsidR="002D1D5F" w:rsidRPr="00B57B62">
        <w:rPr>
          <w:rFonts w:cs="Times New Roman"/>
          <w:noProof/>
        </w:rPr>
        <w:t>NREL, 2017</w:t>
      </w:r>
      <w:r w:rsidR="00767F96" w:rsidRPr="00061636">
        <w:rPr>
          <w:rFonts w:cs="Times New Roman"/>
        </w:rPr>
        <w:t>;</w:t>
      </w:r>
      <w:r w:rsidR="002D1D5F">
        <w:rPr>
          <w:rFonts w:cs="Times New Roman"/>
          <w:noProof/>
        </w:rPr>
        <w:t xml:space="preserve"> </w:t>
      </w:r>
      <w:r w:rsidR="002D1D5F" w:rsidRPr="003B432B">
        <w:rPr>
          <w:rFonts w:cs="Times New Roman"/>
          <w:noProof/>
        </w:rPr>
        <w:t>Lazard, 2018)</w:t>
      </w:r>
      <w:r w:rsidRPr="00061636">
        <w:rPr>
          <w:rFonts w:cs="Times New Roman"/>
        </w:rPr>
        <w:t xml:space="preserve">, and these estimates were used to calculate total operating costs of utility-scale PV adoption, which, combined with capital costs for installation, represent the total financial costs of adopting utility-scale PV in the </w:t>
      </w:r>
      <w:r w:rsidR="00DA44EB" w:rsidRPr="00061636">
        <w:rPr>
          <w:rFonts w:cs="Times New Roman"/>
        </w:rPr>
        <w:t>PDS</w:t>
      </w:r>
      <w:r w:rsidRPr="00061636">
        <w:rPr>
          <w:rFonts w:cs="Times New Roman"/>
        </w:rPr>
        <w:t xml:space="preserve"> scenario. Fixed operation and maintenance costs for both renewable and conventional generation technologies can include expenses such as day-to-day preventative and corrective maintenance, labor costs, asset and site management, and maintaining health and safety, among others </w:t>
      </w:r>
      <w:sdt>
        <w:sdtPr>
          <w:rPr>
            <w:rFonts w:cs="Times New Roman"/>
          </w:rPr>
          <w:id w:val="688177687"/>
          <w:citation/>
        </w:sdtPr>
        <w:sdtContent>
          <w:r w:rsidR="00E66C6A">
            <w:rPr>
              <w:rFonts w:cs="Times New Roman"/>
            </w:rPr>
            <w:fldChar w:fldCharType="begin"/>
          </w:r>
          <w:r w:rsidR="00E66C6A">
            <w:rPr>
              <w:rFonts w:cs="Times New Roman"/>
            </w:rPr>
            <w:instrText xml:space="preserve"> CITATION LoC14 \l 1033 </w:instrText>
          </w:r>
          <w:r w:rsidR="00E66C6A">
            <w:rPr>
              <w:rFonts w:cs="Times New Roman"/>
            </w:rPr>
            <w:fldChar w:fldCharType="separate"/>
          </w:r>
          <w:r w:rsidR="00AC388C" w:rsidRPr="00AC388C">
            <w:rPr>
              <w:rFonts w:cs="Times New Roman"/>
              <w:noProof/>
            </w:rPr>
            <w:t>(Lo, 2014)</w:t>
          </w:r>
          <w:r w:rsidR="00E66C6A">
            <w:rPr>
              <w:rFonts w:cs="Times New Roman"/>
            </w:rPr>
            <w:fldChar w:fldCharType="end"/>
          </w:r>
        </w:sdtContent>
      </w:sdt>
      <w:r w:rsidR="000A10E5">
        <w:rPr>
          <w:rFonts w:cs="Times New Roman"/>
        </w:rPr>
        <w:t xml:space="preserve">. </w:t>
      </w:r>
      <w:r w:rsidR="006B267A" w:rsidRPr="00061636">
        <w:rPr>
          <w:rFonts w:cs="Times New Roman"/>
        </w:rPr>
        <w:t>Average fuel price</w:t>
      </w:r>
      <w:r w:rsidR="00936B09" w:rsidRPr="00061636">
        <w:rPr>
          <w:rFonts w:cs="Times New Roman"/>
        </w:rPr>
        <w:t xml:space="preserve"> was calculated considering average prices for both coal, oil and natural gas from 2005-</w:t>
      </w:r>
      <w:r w:rsidR="007546C9" w:rsidRPr="00061636">
        <w:rPr>
          <w:rFonts w:cs="Times New Roman"/>
        </w:rPr>
        <w:t>2014 usi</w:t>
      </w:r>
      <w:r w:rsidR="00936B09" w:rsidRPr="00061636">
        <w:rPr>
          <w:rFonts w:cs="Times New Roman"/>
        </w:rPr>
        <w:t xml:space="preserve">ng </w:t>
      </w:r>
      <w:bookmarkStart w:id="32" w:name="Dec_11"/>
      <w:bookmarkEnd w:id="32"/>
      <w:r w:rsidR="00936B09" w:rsidRPr="00061636">
        <w:rPr>
          <w:rFonts w:cs="Times New Roman"/>
        </w:rPr>
        <w:t>IEA</w:t>
      </w:r>
      <w:r w:rsidR="00395868" w:rsidRPr="00061636">
        <w:rPr>
          <w:rFonts w:cs="Times New Roman"/>
        </w:rPr>
        <w:t xml:space="preserve"> data</w:t>
      </w:r>
      <w:r w:rsidR="00AE749D" w:rsidRPr="00061636">
        <w:rPr>
          <w:rFonts w:cs="Times New Roman"/>
        </w:rPr>
        <w:t xml:space="preserve"> </w:t>
      </w:r>
      <w:sdt>
        <w:sdtPr>
          <w:rPr>
            <w:rFonts w:cs="Times New Roman"/>
          </w:rPr>
          <w:id w:val="-1743242928"/>
          <w:citation/>
        </w:sdtPr>
        <w:sdtContent>
          <w:r w:rsidR="00EC15F9">
            <w:rPr>
              <w:rFonts w:cs="Times New Roman"/>
            </w:rPr>
            <w:fldChar w:fldCharType="begin"/>
          </w:r>
          <w:r w:rsidR="00EE221B">
            <w:rPr>
              <w:rFonts w:cs="Times New Roman"/>
            </w:rPr>
            <w:instrText xml:space="preserve">CITATION IEA6a \l 1033 </w:instrText>
          </w:r>
          <w:r w:rsidR="00EC15F9">
            <w:rPr>
              <w:rFonts w:cs="Times New Roman"/>
            </w:rPr>
            <w:fldChar w:fldCharType="separate"/>
          </w:r>
          <w:r w:rsidR="00EE221B" w:rsidRPr="00EE221B">
            <w:rPr>
              <w:rFonts w:cs="Times New Roman"/>
              <w:noProof/>
            </w:rPr>
            <w:t>(IEA, 2016a)</w:t>
          </w:r>
          <w:r w:rsidR="00EC15F9">
            <w:rPr>
              <w:rFonts w:cs="Times New Roman"/>
            </w:rPr>
            <w:fldChar w:fldCharType="end"/>
          </w:r>
        </w:sdtContent>
      </w:sdt>
      <w:r w:rsidR="000A10E5">
        <w:rPr>
          <w:rFonts w:cs="Times New Roman"/>
        </w:rPr>
        <w:t>.</w:t>
      </w:r>
    </w:p>
    <w:p w14:paraId="51473506" w14:textId="7ED894F0" w:rsidR="005A6986" w:rsidRPr="00061636" w:rsidRDefault="005A6986" w:rsidP="00EB247F">
      <w:pPr>
        <w:rPr>
          <w:rFonts w:cs="Times New Roman"/>
        </w:rPr>
      </w:pPr>
      <w:r w:rsidRPr="00061636">
        <w:rPr>
          <w:rFonts w:cs="Times New Roman"/>
        </w:rPr>
        <w:t xml:space="preserve">In order to compare capital and OM costs of utility-scale PV installation in the </w:t>
      </w:r>
      <w:r w:rsidR="00767F96" w:rsidRPr="00061636">
        <w:rPr>
          <w:rFonts w:cs="Times New Roman"/>
        </w:rPr>
        <w:t>PDS</w:t>
      </w:r>
      <w:r w:rsidRPr="00061636">
        <w:rPr>
          <w:rFonts w:cs="Times New Roman"/>
        </w:rPr>
        <w:t xml:space="preserve"> scenario</w:t>
      </w:r>
      <w:r w:rsidR="00767F96" w:rsidRPr="00061636">
        <w:rPr>
          <w:rFonts w:cs="Times New Roman"/>
        </w:rPr>
        <w:t>s</w:t>
      </w:r>
      <w:r w:rsidRPr="00061636">
        <w:rPr>
          <w:rFonts w:cs="Times New Roman"/>
        </w:rPr>
        <w:t xml:space="preserve"> </w:t>
      </w:r>
      <w:r w:rsidR="00782149" w:rsidRPr="00061636">
        <w:rPr>
          <w:rFonts w:cs="Times New Roman"/>
        </w:rPr>
        <w:t xml:space="preserve"> with</w:t>
      </w:r>
      <w:r w:rsidRPr="00061636">
        <w:rPr>
          <w:rFonts w:cs="Times New Roman"/>
        </w:rPr>
        <w:t xml:space="preserve"> that of conventional generation technologies, cost data</w:t>
      </w:r>
      <w:r w:rsidR="00782149" w:rsidRPr="00061636">
        <w:rPr>
          <w:rFonts w:cs="Times New Roman"/>
        </w:rPr>
        <w:t xml:space="preserve"> was obtained</w:t>
      </w:r>
      <w:r w:rsidRPr="00061636">
        <w:rPr>
          <w:rFonts w:cs="Times New Roman"/>
        </w:rPr>
        <w:t xml:space="preserve"> for fossil fuel-based electricity generating sources from the IPCC</w:t>
      </w:r>
      <w:r w:rsidR="00BD15EF">
        <w:rPr>
          <w:rFonts w:cs="Times New Roman"/>
        </w:rPr>
        <w:t xml:space="preserve"> </w:t>
      </w:r>
      <w:r w:rsidRPr="00061636">
        <w:rPr>
          <w:rFonts w:cs="Times New Roman"/>
        </w:rPr>
        <w:t>5</w:t>
      </w:r>
      <w:r w:rsidRPr="00061636">
        <w:rPr>
          <w:rFonts w:cs="Times New Roman"/>
          <w:vertAlign w:val="superscript"/>
        </w:rPr>
        <w:t>th</w:t>
      </w:r>
      <w:r w:rsidRPr="00061636">
        <w:rPr>
          <w:rFonts w:cs="Times New Roman"/>
        </w:rPr>
        <w:t xml:space="preserve"> Assessment Report </w:t>
      </w:r>
      <w:sdt>
        <w:sdtPr>
          <w:rPr>
            <w:rFonts w:cs="Times New Roman"/>
          </w:rPr>
          <w:id w:val="853074935"/>
          <w:citation/>
        </w:sdtPr>
        <w:sdtContent>
          <w:r w:rsidR="00B03920">
            <w:rPr>
              <w:rFonts w:cs="Times New Roman"/>
            </w:rPr>
            <w:fldChar w:fldCharType="begin"/>
          </w:r>
          <w:r w:rsidR="00B03920">
            <w:rPr>
              <w:rFonts w:cs="Times New Roman"/>
            </w:rPr>
            <w:instrText xml:space="preserve"> CITATION IPC14 \l 1033 </w:instrText>
          </w:r>
          <w:r w:rsidR="00B03920">
            <w:rPr>
              <w:rFonts w:cs="Times New Roman"/>
            </w:rPr>
            <w:fldChar w:fldCharType="separate"/>
          </w:r>
          <w:r w:rsidR="00AC388C" w:rsidRPr="00AC388C">
            <w:rPr>
              <w:rFonts w:cs="Times New Roman"/>
              <w:noProof/>
            </w:rPr>
            <w:t>(IPCC, 2014)</w:t>
          </w:r>
          <w:r w:rsidR="00B03920">
            <w:rPr>
              <w:rFonts w:cs="Times New Roman"/>
            </w:rPr>
            <w:fldChar w:fldCharType="end"/>
          </w:r>
        </w:sdtContent>
      </w:sdt>
      <w:r w:rsidR="00767F96" w:rsidRPr="00061636">
        <w:rPr>
          <w:rFonts w:cs="Times New Roman"/>
        </w:rPr>
        <w:t xml:space="preserve"> which conducted its own sensitivity analysis of a number of sources from the literature, and other sources such as </w:t>
      </w:r>
      <w:r w:rsidR="00B57B62">
        <w:rPr>
          <w:rFonts w:cs="Times New Roman"/>
        </w:rPr>
        <w:t xml:space="preserve">Lazard </w:t>
      </w:r>
      <w:sdt>
        <w:sdtPr>
          <w:rPr>
            <w:rFonts w:cs="Times New Roman"/>
          </w:rPr>
          <w:id w:val="-1028095035"/>
          <w:citation/>
        </w:sdtPr>
        <w:sdtContent>
          <w:r w:rsidR="00B57B62">
            <w:rPr>
              <w:rFonts w:cs="Times New Roman"/>
            </w:rPr>
            <w:fldChar w:fldCharType="begin"/>
          </w:r>
          <w:r w:rsidR="003B432B">
            <w:rPr>
              <w:rFonts w:cs="Times New Roman"/>
            </w:rPr>
            <w:instrText xml:space="preserve">CITATION Laz16 \l 1033 </w:instrText>
          </w:r>
          <w:r w:rsidR="00B57B62">
            <w:rPr>
              <w:rFonts w:cs="Times New Roman"/>
            </w:rPr>
            <w:fldChar w:fldCharType="separate"/>
          </w:r>
          <w:r w:rsidR="003B432B" w:rsidRPr="003B432B">
            <w:rPr>
              <w:rFonts w:cs="Times New Roman"/>
              <w:noProof/>
            </w:rPr>
            <w:t>(Lazard, 2016)</w:t>
          </w:r>
          <w:r w:rsidR="00B57B62">
            <w:rPr>
              <w:rFonts w:cs="Times New Roman"/>
            </w:rPr>
            <w:fldChar w:fldCharType="end"/>
          </w:r>
        </w:sdtContent>
      </w:sdt>
      <w:r w:rsidR="00767F96" w:rsidRPr="00061636">
        <w:rPr>
          <w:rFonts w:cs="Times New Roman"/>
        </w:rPr>
        <w:t>.</w:t>
      </w:r>
      <w:r w:rsidRPr="00061636">
        <w:rPr>
          <w:rFonts w:cs="Times New Roman"/>
        </w:rPr>
        <w:t xml:space="preserve"> </w:t>
      </w:r>
      <w:r w:rsidR="00767F96" w:rsidRPr="00061636">
        <w:rPr>
          <w:rFonts w:cs="Times New Roman"/>
        </w:rPr>
        <w:t xml:space="preserve">In all </w:t>
      </w:r>
      <w:r w:rsidRPr="00061636">
        <w:rPr>
          <w:rFonts w:cs="Times New Roman"/>
        </w:rPr>
        <w:t>variables for conventi</w:t>
      </w:r>
      <w:r w:rsidR="00767F96" w:rsidRPr="00061636">
        <w:rPr>
          <w:rFonts w:cs="Times New Roman"/>
        </w:rPr>
        <w:t>onal electricity generation sources, data for</w:t>
      </w:r>
      <w:r w:rsidRPr="00061636">
        <w:rPr>
          <w:rFonts w:cs="Times New Roman"/>
        </w:rPr>
        <w:t xml:space="preserve"> coal</w:t>
      </w:r>
      <w:r w:rsidR="00767F96" w:rsidRPr="00061636">
        <w:rPr>
          <w:rFonts w:cs="Times New Roman"/>
        </w:rPr>
        <w:t>, oil</w:t>
      </w:r>
      <w:r w:rsidRPr="00061636">
        <w:rPr>
          <w:rFonts w:cs="Times New Roman"/>
        </w:rPr>
        <w:t xml:space="preserve"> and natural gas (primarily pulverized coal </w:t>
      </w:r>
      <w:r w:rsidRPr="00061636">
        <w:rPr>
          <w:rFonts w:cs="Times New Roman"/>
        </w:rPr>
        <w:lastRenderedPageBreak/>
        <w:t xml:space="preserve">and combined cycle gas turbine technologies) </w:t>
      </w:r>
      <w:r w:rsidR="006B267A" w:rsidRPr="00061636">
        <w:rPr>
          <w:rFonts w:cs="Times New Roman"/>
        </w:rPr>
        <w:t xml:space="preserve">were included and </w:t>
      </w:r>
      <w:r w:rsidRPr="00061636">
        <w:rPr>
          <w:rFonts w:cs="Times New Roman"/>
        </w:rPr>
        <w:t>a</w:t>
      </w:r>
      <w:r w:rsidR="006B267A" w:rsidRPr="00061636">
        <w:rPr>
          <w:rFonts w:cs="Times New Roman"/>
        </w:rPr>
        <w:t xml:space="preserve"> weighted average. </w:t>
      </w:r>
      <w:r w:rsidRPr="00061636">
        <w:rPr>
          <w:rFonts w:cs="Times New Roman"/>
        </w:rPr>
        <w:t xml:space="preserve">The weights are based on the percentage, for each </w:t>
      </w:r>
      <w:r w:rsidR="006B267A" w:rsidRPr="00061636">
        <w:rPr>
          <w:rFonts w:cs="Times New Roman"/>
        </w:rPr>
        <w:t>fuel on the</w:t>
      </w:r>
      <w:r w:rsidRPr="00061636">
        <w:rPr>
          <w:rFonts w:cs="Times New Roman"/>
        </w:rPr>
        <w:t xml:space="preserve"> total global </w:t>
      </w:r>
      <w:r w:rsidR="006B267A" w:rsidRPr="00061636">
        <w:rPr>
          <w:rFonts w:cs="Times New Roman"/>
        </w:rPr>
        <w:t xml:space="preserve">electricity </w:t>
      </w:r>
      <w:r w:rsidRPr="00061636">
        <w:rPr>
          <w:rFonts w:cs="Times New Roman"/>
        </w:rPr>
        <w:t xml:space="preserve">generation </w:t>
      </w:r>
      <w:r w:rsidR="006B267A" w:rsidRPr="00061636">
        <w:rPr>
          <w:rFonts w:cs="Times New Roman"/>
        </w:rPr>
        <w:t xml:space="preserve">for 2014 </w:t>
      </w:r>
      <w:sdt>
        <w:sdtPr>
          <w:rPr>
            <w:rFonts w:cs="Times New Roman"/>
          </w:rPr>
          <w:id w:val="507483957"/>
          <w:citation/>
        </w:sdtPr>
        <w:sdtContent>
          <w:r w:rsidR="00B03920">
            <w:rPr>
              <w:rFonts w:cs="Times New Roman"/>
            </w:rPr>
            <w:fldChar w:fldCharType="begin"/>
          </w:r>
          <w:r w:rsidR="00B03920">
            <w:rPr>
              <w:rFonts w:cs="Times New Roman"/>
            </w:rPr>
            <w:instrText xml:space="preserve"> CITATION Wor15 \l 1033 </w:instrText>
          </w:r>
          <w:r w:rsidR="00B03920">
            <w:rPr>
              <w:rFonts w:cs="Times New Roman"/>
            </w:rPr>
            <w:fldChar w:fldCharType="separate"/>
          </w:r>
          <w:r w:rsidR="00AC388C" w:rsidRPr="00AC388C">
            <w:rPr>
              <w:rFonts w:cs="Times New Roman"/>
              <w:noProof/>
            </w:rPr>
            <w:t>(World Bank, 2015)</w:t>
          </w:r>
          <w:r w:rsidR="00B03920">
            <w:rPr>
              <w:rFonts w:cs="Times New Roman"/>
            </w:rPr>
            <w:fldChar w:fldCharType="end"/>
          </w:r>
        </w:sdtContent>
      </w:sdt>
      <w:r w:rsidR="006B267A" w:rsidRPr="00061636">
        <w:rPr>
          <w:rFonts w:cs="Times New Roman"/>
        </w:rPr>
        <w:t>.</w:t>
      </w:r>
    </w:p>
    <w:p w14:paraId="6B7E417B" w14:textId="14111731" w:rsidR="005A6986" w:rsidRPr="00061636" w:rsidRDefault="005A6986" w:rsidP="00EB247F">
      <w:pPr>
        <w:rPr>
          <w:rFonts w:cs="Times New Roman"/>
        </w:rPr>
      </w:pPr>
      <w:r w:rsidRPr="00061636">
        <w:rPr>
          <w:rFonts w:cs="Times New Roman"/>
        </w:rPr>
        <w:t xml:space="preserve">In order to calculate the total </w:t>
      </w:r>
      <w:r w:rsidR="00936B09" w:rsidRPr="00061636">
        <w:rPr>
          <w:rFonts w:cs="Times New Roman"/>
        </w:rPr>
        <w:t>impacts and</w:t>
      </w:r>
      <w:r w:rsidRPr="00061636">
        <w:rPr>
          <w:rFonts w:cs="Times New Roman"/>
        </w:rPr>
        <w:t xml:space="preserve"> benefits of </w:t>
      </w:r>
      <w:r w:rsidR="006B267A" w:rsidRPr="00061636">
        <w:rPr>
          <w:rFonts w:cs="Times New Roman"/>
        </w:rPr>
        <w:t xml:space="preserve">increased solution </w:t>
      </w:r>
      <w:r w:rsidRPr="00061636">
        <w:rPr>
          <w:rFonts w:cs="Times New Roman"/>
        </w:rPr>
        <w:t>adoption</w:t>
      </w:r>
      <w:r w:rsidR="006B267A" w:rsidRPr="00061636">
        <w:rPr>
          <w:rFonts w:cs="Times New Roman"/>
        </w:rPr>
        <w:t xml:space="preserve"> (</w:t>
      </w:r>
      <w:r w:rsidR="00782149" w:rsidRPr="00061636">
        <w:rPr>
          <w:rFonts w:cs="Times New Roman"/>
        </w:rPr>
        <w:t xml:space="preserve">for </w:t>
      </w:r>
      <w:r w:rsidR="000A10E5" w:rsidRPr="00061636">
        <w:rPr>
          <w:rFonts w:cs="Times New Roman"/>
        </w:rPr>
        <w:t>the PDS</w:t>
      </w:r>
      <w:r w:rsidR="006B267A" w:rsidRPr="00061636">
        <w:rPr>
          <w:rFonts w:cs="Times New Roman"/>
        </w:rPr>
        <w:t xml:space="preserve"> scenarios)</w:t>
      </w:r>
      <w:r w:rsidRPr="00061636">
        <w:rPr>
          <w:rFonts w:cs="Times New Roman"/>
        </w:rPr>
        <w:t xml:space="preserve">, </w:t>
      </w:r>
      <w:r w:rsidR="006B267A" w:rsidRPr="00061636">
        <w:rPr>
          <w:rFonts w:cs="Times New Roman"/>
        </w:rPr>
        <w:t xml:space="preserve">technical </w:t>
      </w:r>
      <w:r w:rsidRPr="00061636">
        <w:rPr>
          <w:rFonts w:cs="Times New Roman"/>
        </w:rPr>
        <w:t xml:space="preserve">data </w:t>
      </w:r>
      <w:r w:rsidR="006B267A" w:rsidRPr="00061636">
        <w:rPr>
          <w:rFonts w:cs="Times New Roman"/>
        </w:rPr>
        <w:t>was also integrated</w:t>
      </w:r>
      <w:r w:rsidRPr="00061636">
        <w:rPr>
          <w:rFonts w:cs="Times New Roman"/>
        </w:rPr>
        <w:t xml:space="preserve">, including average annual use, </w:t>
      </w:r>
      <w:r w:rsidR="00936B09" w:rsidRPr="00061636">
        <w:rPr>
          <w:rFonts w:cs="Times New Roman"/>
        </w:rPr>
        <w:t xml:space="preserve">plants lifetime, </w:t>
      </w:r>
      <w:r w:rsidRPr="00061636">
        <w:rPr>
          <w:rFonts w:cs="Times New Roman"/>
        </w:rPr>
        <w:t xml:space="preserve">and average </w:t>
      </w:r>
      <w:r w:rsidR="00936B09" w:rsidRPr="00061636">
        <w:rPr>
          <w:rFonts w:cs="Times New Roman"/>
        </w:rPr>
        <w:t>efficiencies</w:t>
      </w:r>
      <w:r w:rsidRPr="00061636">
        <w:rPr>
          <w:rFonts w:cs="Times New Roman"/>
        </w:rPr>
        <w:t xml:space="preserve">. All three of these are key to determining the variable OM costs and the total fuel costs for conventional generation sources, as these costs are determined by the average number of hours the power plant is generating electricity, as well as the average price of fuel inputs and the average efficiency rate. </w:t>
      </w:r>
      <w:r w:rsidR="00936B09" w:rsidRPr="00061636">
        <w:rPr>
          <w:rFonts w:cs="Times New Roman"/>
        </w:rPr>
        <w:t>Average plants efficiency is calculated from several global sources</w:t>
      </w:r>
      <w:sdt>
        <w:sdtPr>
          <w:rPr>
            <w:rFonts w:cs="Times New Roman"/>
          </w:rPr>
          <w:id w:val="130295914"/>
          <w:citation/>
        </w:sdtPr>
        <w:sdtContent>
          <w:r w:rsidR="00B57B62">
            <w:rPr>
              <w:rFonts w:cs="Times New Roman"/>
            </w:rPr>
            <w:fldChar w:fldCharType="begin"/>
          </w:r>
          <w:r w:rsidR="00B57B62">
            <w:rPr>
              <w:rFonts w:cs="Times New Roman"/>
            </w:rPr>
            <w:instrText xml:space="preserve"> CITATION IPC14 \l 1033 </w:instrText>
          </w:r>
          <w:r w:rsidR="00B57B62">
            <w:rPr>
              <w:rFonts w:cs="Times New Roman"/>
            </w:rPr>
            <w:fldChar w:fldCharType="separate"/>
          </w:r>
          <w:r w:rsidR="00B57B62">
            <w:rPr>
              <w:rFonts w:cs="Times New Roman"/>
              <w:noProof/>
            </w:rPr>
            <w:t xml:space="preserve"> </w:t>
          </w:r>
          <w:r w:rsidR="00B57B62" w:rsidRPr="00B57B62">
            <w:rPr>
              <w:rFonts w:cs="Times New Roman"/>
              <w:noProof/>
            </w:rPr>
            <w:t>(IPCC, 2014)</w:t>
          </w:r>
          <w:r w:rsidR="00B57B62">
            <w:rPr>
              <w:rFonts w:cs="Times New Roman"/>
            </w:rPr>
            <w:fldChar w:fldCharType="end"/>
          </w:r>
        </w:sdtContent>
      </w:sdt>
      <w:r w:rsidR="00BD15EF">
        <w:rPr>
          <w:rFonts w:cs="Times New Roman"/>
        </w:rPr>
        <w:t>,</w:t>
      </w:r>
      <w:r w:rsidR="00936B09" w:rsidRPr="00061636">
        <w:rPr>
          <w:rFonts w:cs="Times New Roman"/>
        </w:rPr>
        <w:t xml:space="preserve"> as well as from the </w:t>
      </w:r>
      <w:sdt>
        <w:sdtPr>
          <w:rPr>
            <w:rFonts w:cs="Times New Roman"/>
          </w:rPr>
          <w:id w:val="-1697303416"/>
          <w:citation/>
        </w:sdtPr>
        <w:sdtContent>
          <w:r w:rsidR="00333F06">
            <w:rPr>
              <w:rFonts w:cs="Times New Roman"/>
            </w:rPr>
            <w:fldChar w:fldCharType="begin"/>
          </w:r>
          <w:r w:rsidR="00333F06">
            <w:rPr>
              <w:rFonts w:cs="Times New Roman"/>
            </w:rPr>
            <w:instrText xml:space="preserve"> CITATION EIA16 \l 1033 </w:instrText>
          </w:r>
          <w:r w:rsidR="00333F06">
            <w:rPr>
              <w:rFonts w:cs="Times New Roman"/>
            </w:rPr>
            <w:fldChar w:fldCharType="separate"/>
          </w:r>
          <w:r w:rsidR="00AC388C" w:rsidRPr="00AC388C">
            <w:rPr>
              <w:rFonts w:cs="Times New Roman"/>
              <w:noProof/>
            </w:rPr>
            <w:t>(EIA, 2015)</w:t>
          </w:r>
          <w:r w:rsidR="00333F06">
            <w:rPr>
              <w:rFonts w:cs="Times New Roman"/>
            </w:rPr>
            <w:fldChar w:fldCharType="end"/>
          </w:r>
        </w:sdtContent>
      </w:sdt>
      <w:r w:rsidR="00936B09" w:rsidRPr="00061636">
        <w:rPr>
          <w:rFonts w:cs="Times New Roman"/>
        </w:rPr>
        <w:t>.</w:t>
      </w:r>
    </w:p>
    <w:p w14:paraId="38C72F56" w14:textId="2E30108E" w:rsidR="005A6986" w:rsidRPr="00061636" w:rsidRDefault="005A6986" w:rsidP="00EB247F">
      <w:pPr>
        <w:rPr>
          <w:rFonts w:cs="Times New Roman"/>
        </w:rPr>
      </w:pPr>
      <w:r w:rsidRPr="00061636">
        <w:rPr>
          <w:rFonts w:cs="Times New Roman"/>
        </w:rPr>
        <w:t xml:space="preserve">Though the average annual use of conventional generating technologies is much higher than that of utility-scale PV, due to the fact that PV can only generate electricity when the sun is shining, the range of capacity factors for different conventional generating sources can still vary based on </w:t>
      </w:r>
      <w:r w:rsidR="00BD15EF">
        <w:rPr>
          <w:rFonts w:cs="Times New Roman"/>
        </w:rPr>
        <w:t xml:space="preserve">the </w:t>
      </w:r>
      <w:r w:rsidRPr="00061636">
        <w:rPr>
          <w:rFonts w:cs="Times New Roman"/>
        </w:rPr>
        <w:t>type of technology and location. For</w:t>
      </w:r>
      <w:r w:rsidR="00DE33AF" w:rsidRPr="00061636">
        <w:rPr>
          <w:rFonts w:cs="Times New Roman"/>
        </w:rPr>
        <w:t xml:space="preserve"> this reason,</w:t>
      </w:r>
      <w:r w:rsidRPr="00061636">
        <w:rPr>
          <w:rFonts w:cs="Times New Roman"/>
        </w:rPr>
        <w:t xml:space="preserve"> data</w:t>
      </w:r>
      <w:r w:rsidR="00DE33AF" w:rsidRPr="00061636">
        <w:rPr>
          <w:rFonts w:cs="Times New Roman"/>
        </w:rPr>
        <w:t xml:space="preserve"> was collected</w:t>
      </w:r>
      <w:r w:rsidRPr="00061636">
        <w:rPr>
          <w:rFonts w:cs="Times New Roman"/>
        </w:rPr>
        <w:t xml:space="preserve"> from a range of different sources</w:t>
      </w:r>
      <w:r w:rsidR="002D1D5F">
        <w:rPr>
          <w:rFonts w:cs="Times New Roman"/>
        </w:rPr>
        <w:t xml:space="preserve"> like</w:t>
      </w:r>
      <w:r w:rsidR="00507927">
        <w:rPr>
          <w:rFonts w:cs="Times New Roman"/>
        </w:rPr>
        <w:t xml:space="preserve"> </w:t>
      </w:r>
      <w:r w:rsidR="002D1D5F" w:rsidRPr="00DB312B">
        <w:rPr>
          <w:rFonts w:cs="Times New Roman"/>
          <w:noProof/>
        </w:rPr>
        <w:t>(EIA</w:t>
      </w:r>
      <w:r w:rsidR="002D1D5F">
        <w:rPr>
          <w:rFonts w:cs="Times New Roman"/>
          <w:noProof/>
        </w:rPr>
        <w:t>-</w:t>
      </w:r>
      <w:r w:rsidR="002D1D5F" w:rsidRPr="00DB312B">
        <w:rPr>
          <w:rFonts w:cs="Times New Roman"/>
          <w:noProof/>
        </w:rPr>
        <w:t>US, 2016</w:t>
      </w:r>
      <w:r w:rsidR="002D1D5F">
        <w:rPr>
          <w:rFonts w:cs="Times New Roman"/>
          <w:noProof/>
        </w:rPr>
        <w:t>;</w:t>
      </w:r>
      <w:r w:rsidR="002D1D5F" w:rsidRPr="00EE221B">
        <w:rPr>
          <w:rFonts w:cs="Times New Roman"/>
          <w:noProof/>
        </w:rPr>
        <w:t>IEA, 2016b</w:t>
      </w:r>
      <w:r w:rsidR="002D1D5F">
        <w:rPr>
          <w:rFonts w:cs="Times New Roman"/>
          <w:noProof/>
        </w:rPr>
        <w:t xml:space="preserve">; </w:t>
      </w:r>
      <w:r w:rsidR="002D1D5F" w:rsidRPr="003B432B">
        <w:rPr>
          <w:rFonts w:cs="Times New Roman"/>
          <w:noProof/>
        </w:rPr>
        <w:t>Lazard, 2016)</w:t>
      </w:r>
      <w:r w:rsidRPr="00061636">
        <w:rPr>
          <w:rFonts w:cs="Times New Roman"/>
        </w:rPr>
        <w:t xml:space="preserve"> that represent most of the regions contained in </w:t>
      </w:r>
      <w:r w:rsidR="00DE33AF" w:rsidRPr="00061636">
        <w:rPr>
          <w:rFonts w:cs="Times New Roman"/>
        </w:rPr>
        <w:t xml:space="preserve">this analysis. </w:t>
      </w:r>
      <w:r w:rsidRPr="00061636">
        <w:rPr>
          <w:rFonts w:cs="Times New Roman"/>
        </w:rPr>
        <w:t>Capacity factor data for utility-scale solar PV, on the other hand, is include</w:t>
      </w:r>
      <w:r w:rsidR="00DE33AF" w:rsidRPr="00061636">
        <w:rPr>
          <w:rFonts w:cs="Times New Roman"/>
        </w:rPr>
        <w:t>d for all regions, which enable</w:t>
      </w:r>
      <w:r w:rsidR="00350A34">
        <w:rPr>
          <w:rFonts w:cs="Times New Roman"/>
        </w:rPr>
        <w:t>d</w:t>
      </w:r>
      <w:r w:rsidRPr="00061636">
        <w:rPr>
          <w:rFonts w:cs="Times New Roman"/>
        </w:rPr>
        <w:t xml:space="preserve"> calculat</w:t>
      </w:r>
      <w:r w:rsidR="00350A34">
        <w:rPr>
          <w:rFonts w:cs="Times New Roman"/>
        </w:rPr>
        <w:t>ion of</w:t>
      </w:r>
      <w:r w:rsidRPr="00061636">
        <w:rPr>
          <w:rFonts w:cs="Times New Roman"/>
        </w:rPr>
        <w:t xml:space="preserve"> the average annual use of utility-scale PV installations across a wide range of regions with differing solar irradiance values.</w:t>
      </w:r>
    </w:p>
    <w:p w14:paraId="65A70889" w14:textId="3FF9FAA6" w:rsidR="002D5C14" w:rsidRPr="00061636" w:rsidRDefault="002D5C14" w:rsidP="007A09F4">
      <w:pPr>
        <w:rPr>
          <w:rFonts w:cstheme="majorBidi"/>
        </w:rPr>
      </w:pPr>
      <w:r w:rsidRPr="00061636">
        <w:t xml:space="preserve">The model’s analysis of the climate impacts of adoption are primarily derived from the direct emissions factor associated with the replacement of conventional generating technologies with utility-scale PV. This methodology is explained in greater detail </w:t>
      </w:r>
      <w:r w:rsidR="00936B09" w:rsidRPr="00061636">
        <w:t>in</w:t>
      </w:r>
      <w:r w:rsidR="004B4939" w:rsidRPr="00061636">
        <w:t xml:space="preserve"> Drawdown RRS model framework and guidelines. </w:t>
      </w:r>
      <w:r w:rsidRPr="00061636">
        <w:t xml:space="preserve">In order to account for indirect emissions from </w:t>
      </w:r>
      <w:r w:rsidR="007546C9" w:rsidRPr="00061636">
        <w:t>conventional</w:t>
      </w:r>
      <w:r w:rsidR="00592C39" w:rsidRPr="00061636">
        <w:t xml:space="preserve"> </w:t>
      </w:r>
      <w:r w:rsidR="007546C9" w:rsidRPr="00061636">
        <w:t>technologies</w:t>
      </w:r>
      <w:r w:rsidR="00592C39" w:rsidRPr="00061636">
        <w:t xml:space="preserve"> and </w:t>
      </w:r>
      <w:r w:rsidRPr="00061636">
        <w:t>utility-scale PV—primarily those lifecycle emissions associated with manufacturing, transporting, installing and other non-generation activities—a range of peer-reviewed lifecycle analysis (LCA</w:t>
      </w:r>
      <w:r w:rsidR="00BD15EF">
        <w:t xml:space="preserve">) </w:t>
      </w:r>
      <w:r w:rsidRPr="00061636">
        <w:t>studies</w:t>
      </w:r>
      <w:r w:rsidR="00BE593C" w:rsidRPr="00061636">
        <w:t xml:space="preserve"> were examined</w:t>
      </w:r>
      <w:r w:rsidRPr="00061636">
        <w:t xml:space="preserve"> for the different types of PV technologies available in the market. The analysis draws from those conducted by </w:t>
      </w:r>
      <w:sdt>
        <w:sdtPr>
          <w:id w:val="2064211415"/>
          <w:citation/>
        </w:sdtPr>
        <w:sdtContent>
          <w:r w:rsidR="00506C66">
            <w:fldChar w:fldCharType="begin"/>
          </w:r>
          <w:r w:rsidR="00506C66">
            <w:instrText xml:space="preserve"> CITATION Hsu12 \l 1033 </w:instrText>
          </w:r>
          <w:r w:rsidR="00506C66">
            <w:fldChar w:fldCharType="separate"/>
          </w:r>
          <w:r w:rsidR="00AC388C">
            <w:rPr>
              <w:noProof/>
            </w:rPr>
            <w:t>(Hsu, 2012)</w:t>
          </w:r>
          <w:r w:rsidR="00506C66">
            <w:fldChar w:fldCharType="end"/>
          </w:r>
        </w:sdtContent>
      </w:sdt>
      <w:r w:rsidRPr="00061636">
        <w:t xml:space="preserve">) and </w:t>
      </w:r>
      <w:sdt>
        <w:sdtPr>
          <w:id w:val="1796103810"/>
          <w:citation/>
        </w:sdtPr>
        <w:sdtContent>
          <w:r w:rsidR="00C8781A">
            <w:fldChar w:fldCharType="begin"/>
          </w:r>
          <w:r w:rsidR="00C8781A">
            <w:instrText xml:space="preserve"> CITATION Kim12 \l 1033 </w:instrText>
          </w:r>
          <w:r w:rsidR="00C8781A">
            <w:fldChar w:fldCharType="separate"/>
          </w:r>
          <w:r w:rsidR="00AC388C">
            <w:rPr>
              <w:noProof/>
            </w:rPr>
            <w:t>(Kim, 2012)</w:t>
          </w:r>
          <w:r w:rsidR="00C8781A">
            <w:fldChar w:fldCharType="end"/>
          </w:r>
        </w:sdtContent>
      </w:sdt>
      <w:r w:rsidR="00132640" w:rsidRPr="00061636">
        <w:t xml:space="preserve"> </w:t>
      </w:r>
      <w:r w:rsidRPr="00061636">
        <w:t xml:space="preserve">for c-Si and </w:t>
      </w:r>
      <w:proofErr w:type="spellStart"/>
      <w:r w:rsidR="00EF45CD">
        <w:t>Hertwich</w:t>
      </w:r>
      <w:proofErr w:type="spellEnd"/>
      <w:r w:rsidR="00EF45CD">
        <w:t xml:space="preserve"> for </w:t>
      </w:r>
      <w:r w:rsidRPr="00061636">
        <w:t>thin-film technologies</w:t>
      </w:r>
      <w:r w:rsidR="00E27BD3">
        <w:t xml:space="preserve"> </w:t>
      </w:r>
      <w:sdt>
        <w:sdtPr>
          <w:id w:val="-40670976"/>
          <w:citation/>
        </w:sdtPr>
        <w:sdtContent>
          <w:r w:rsidR="00EF45CD">
            <w:fldChar w:fldCharType="begin"/>
          </w:r>
          <w:r w:rsidR="006861DD">
            <w:instrText xml:space="preserve">CITATION Her15 \l 1033 </w:instrText>
          </w:r>
          <w:r w:rsidR="00EF45CD">
            <w:fldChar w:fldCharType="separate"/>
          </w:r>
          <w:r w:rsidR="006861DD">
            <w:rPr>
              <w:noProof/>
            </w:rPr>
            <w:t>(Hertwich, 2015)</w:t>
          </w:r>
          <w:r w:rsidR="00EF45CD">
            <w:fldChar w:fldCharType="end"/>
          </w:r>
        </w:sdtContent>
      </w:sdt>
      <w:r w:rsidR="007A09F4" w:rsidRPr="00061636">
        <w:t xml:space="preserve"> </w:t>
      </w:r>
      <w:r w:rsidRPr="00061636">
        <w:t xml:space="preserve">respectively. </w:t>
      </w:r>
      <w:proofErr w:type="spellStart"/>
      <w:r w:rsidRPr="00061636">
        <w:t>Hou</w:t>
      </w:r>
      <w:proofErr w:type="spellEnd"/>
      <w:r w:rsidRPr="00061636">
        <w:t xml:space="preserve"> provides LCA data and indirect emissions estimates for China</w:t>
      </w:r>
      <w:sdt>
        <w:sdtPr>
          <w:id w:val="-1264682636"/>
          <w:citation/>
        </w:sdtPr>
        <w:sdtContent>
          <w:r w:rsidR="00EF45CD">
            <w:fldChar w:fldCharType="begin"/>
          </w:r>
          <w:r w:rsidR="00507927">
            <w:instrText xml:space="preserve">CITATION Hou12 \l 1033 </w:instrText>
          </w:r>
          <w:r w:rsidR="00EF45CD">
            <w:fldChar w:fldCharType="separate"/>
          </w:r>
          <w:r w:rsidR="00507927">
            <w:rPr>
              <w:noProof/>
            </w:rPr>
            <w:t xml:space="preserve"> (Hou, 2012)</w:t>
          </w:r>
          <w:r w:rsidR="00EF45CD">
            <w:fldChar w:fldCharType="end"/>
          </w:r>
        </w:sdtContent>
      </w:sdt>
      <w:r w:rsidRPr="00061636">
        <w:t>.</w:t>
      </w:r>
    </w:p>
    <w:p w14:paraId="1FADFAB4" w14:textId="26028E92" w:rsidR="006B01C8" w:rsidRPr="006B01C8" w:rsidRDefault="00E069AC" w:rsidP="006B01C8">
      <w:pPr>
        <w:pStyle w:val="Heading2"/>
        <w:numPr>
          <w:ilvl w:val="1"/>
          <w:numId w:val="8"/>
        </w:numPr>
        <w:rPr>
          <w:rFonts w:ascii="Times New Roman" w:hAnsi="Times New Roman" w:cstheme="minorBidi"/>
        </w:rPr>
      </w:pPr>
      <w:bookmarkStart w:id="33" w:name="_Toc10331911"/>
      <w:r w:rsidRPr="00BA2292">
        <w:rPr>
          <w:rFonts w:ascii="Times New Roman" w:hAnsi="Times New Roman" w:cstheme="minorBidi"/>
        </w:rPr>
        <w:t>Total Addressable Market</w:t>
      </w:r>
      <w:bookmarkStart w:id="34" w:name="_Toc10331912"/>
      <w:bookmarkEnd w:id="33"/>
    </w:p>
    <w:p w14:paraId="18E0801E" w14:textId="77777777" w:rsidR="006B01C8" w:rsidRPr="006205EB" w:rsidRDefault="006B01C8" w:rsidP="006B01C8">
      <w:pPr>
        <w:rPr>
          <w:rFonts w:cs="Times New Roman"/>
        </w:rPr>
      </w:pPr>
      <w:r>
        <w:rPr>
          <w:rFonts w:cs="Times New Roman"/>
        </w:rPr>
        <w:t xml:space="preserve">Solutions assessed in the </w:t>
      </w:r>
      <w:r w:rsidRPr="00E069AC">
        <w:rPr>
          <w:rFonts w:cs="Times New Roman"/>
        </w:rPr>
        <w:t xml:space="preserve">Electricity Generation Sector share a common market </w:t>
      </w:r>
      <w:r w:rsidRPr="00A66C20">
        <w:rPr>
          <w:rFonts w:cs="Times New Roman"/>
        </w:rPr>
        <w:t>for future adoption</w:t>
      </w:r>
      <w:r>
        <w:rPr>
          <w:rFonts w:cs="Times New Roman"/>
        </w:rPr>
        <w:t xml:space="preserve"> defined by the total terawatt-hours (</w:t>
      </w:r>
      <w:proofErr w:type="spellStart"/>
      <w:r>
        <w:rPr>
          <w:rFonts w:cs="Times New Roman"/>
        </w:rPr>
        <w:t>TWh</w:t>
      </w:r>
      <w:proofErr w:type="spellEnd"/>
      <w:r>
        <w:rPr>
          <w:rFonts w:cs="Times New Roman"/>
        </w:rPr>
        <w:t>) of generation demanded from 2015-2060. This shared total addressable market (TAM) is used to bound this sector technologies rollout over time</w:t>
      </w:r>
      <w:r w:rsidRPr="00A66C20">
        <w:rPr>
          <w:rFonts w:cs="Times New Roman"/>
        </w:rPr>
        <w:t xml:space="preserve">. The </w:t>
      </w:r>
      <w:r>
        <w:rPr>
          <w:rFonts w:cs="Times New Roman"/>
        </w:rPr>
        <w:t xml:space="preserve">TAM is determined based on the assessment of </w:t>
      </w:r>
      <w:r w:rsidRPr="00A66C20">
        <w:rPr>
          <w:rFonts w:cs="Times New Roman"/>
        </w:rPr>
        <w:t xml:space="preserve"> </w:t>
      </w:r>
      <w:r>
        <w:rPr>
          <w:rFonts w:cs="Times New Roman"/>
        </w:rPr>
        <w:t>estimations</w:t>
      </w:r>
      <w:r w:rsidRPr="00A66C20">
        <w:rPr>
          <w:rFonts w:cs="Times New Roman"/>
        </w:rPr>
        <w:t xml:space="preserve"> </w:t>
      </w:r>
      <w:r>
        <w:rPr>
          <w:rFonts w:cs="Times New Roman"/>
        </w:rPr>
        <w:t xml:space="preserve">of current and future </w:t>
      </w:r>
      <w:r w:rsidRPr="00A66C20">
        <w:rPr>
          <w:rFonts w:cs="Times New Roman"/>
        </w:rPr>
        <w:t xml:space="preserve">electricity generation </w:t>
      </w:r>
      <w:r w:rsidRPr="006205EB">
        <w:rPr>
          <w:rFonts w:cs="Times New Roman"/>
        </w:rPr>
        <w:t>from a combination of models and scenarios from different sources</w:t>
      </w:r>
      <w:r>
        <w:rPr>
          <w:rFonts w:cs="Times New Roman"/>
        </w:rPr>
        <w:t>,</w:t>
      </w:r>
      <w:r w:rsidRPr="006205EB">
        <w:rPr>
          <w:rFonts w:cs="Times New Roman"/>
        </w:rPr>
        <w:t xml:space="preserve"> </w:t>
      </w:r>
      <w:r>
        <w:rPr>
          <w:rFonts w:cs="Times New Roman"/>
        </w:rPr>
        <w:t xml:space="preserve">including </w:t>
      </w:r>
      <w:r w:rsidRPr="006205EB">
        <w:rPr>
          <w:rFonts w:cs="Times New Roman"/>
        </w:rPr>
        <w:t xml:space="preserve">Greenpeace (2015); International Energy Agency (IEA) - Energy Technology Perspectives (IEA, 2017); IEA World Energy Outlook (WEO) (IEA, 2018); </w:t>
      </w:r>
      <w:proofErr w:type="spellStart"/>
      <w:r w:rsidRPr="006205EB">
        <w:rPr>
          <w:rFonts w:cs="Times New Roman"/>
        </w:rPr>
        <w:t>Equinor</w:t>
      </w:r>
      <w:proofErr w:type="spellEnd"/>
      <w:r w:rsidRPr="006205EB">
        <w:rPr>
          <w:rFonts w:cs="Times New Roman"/>
        </w:rPr>
        <w:t xml:space="preserve"> </w:t>
      </w:r>
      <w:r w:rsidRPr="006205EB">
        <w:rPr>
          <w:rFonts w:cs="Times New Roman"/>
        </w:rPr>
        <w:lastRenderedPageBreak/>
        <w:t xml:space="preserve">(2018); </w:t>
      </w:r>
      <w:proofErr w:type="spellStart"/>
      <w:r w:rsidRPr="006205EB">
        <w:rPr>
          <w:rFonts w:cs="Times New Roman"/>
        </w:rPr>
        <w:t>Ecofys</w:t>
      </w:r>
      <w:proofErr w:type="spellEnd"/>
      <w:r w:rsidRPr="006205EB">
        <w:rPr>
          <w:rFonts w:cs="Times New Roman"/>
        </w:rPr>
        <w:t xml:space="preserve"> (2018); The Institute of Energy Economics Japan (IEEJ) Outlook 2019 (2018) and Ram et al. (2019). See Project Drawdown report - Assessing the Total Addressable Market and Major Assumptions for more details on </w:t>
      </w:r>
      <w:r>
        <w:rPr>
          <w:rFonts w:cs="Times New Roman"/>
        </w:rPr>
        <w:t>the methodology used to develop the electricity TAM</w:t>
      </w:r>
      <w:r w:rsidRPr="006205EB">
        <w:rPr>
          <w:rFonts w:cs="Times New Roman"/>
        </w:rPr>
        <w:t xml:space="preserve">. The updated 2019 </w:t>
      </w:r>
      <w:r>
        <w:rPr>
          <w:rFonts w:cs="Times New Roman"/>
        </w:rPr>
        <w:t>study</w:t>
      </w:r>
      <w:r w:rsidRPr="006205EB">
        <w:rPr>
          <w:rFonts w:cs="Times New Roman"/>
        </w:rPr>
        <w:t xml:space="preserve"> follows the same methodological approach </w:t>
      </w:r>
      <w:r>
        <w:rPr>
          <w:rFonts w:cs="Times New Roman"/>
        </w:rPr>
        <w:t>with the inclusion of</w:t>
      </w:r>
      <w:r w:rsidRPr="006205EB">
        <w:rPr>
          <w:rFonts w:cs="Times New Roman"/>
        </w:rPr>
        <w:t xml:space="preserve"> new</w:t>
      </w:r>
      <w:r>
        <w:rPr>
          <w:rFonts w:cs="Times New Roman"/>
        </w:rPr>
        <w:t>er</w:t>
      </w:r>
      <w:r w:rsidRPr="006205EB">
        <w:rPr>
          <w:rFonts w:cs="Times New Roman"/>
        </w:rPr>
        <w:t xml:space="preserve"> sources.</w:t>
      </w:r>
    </w:p>
    <w:p w14:paraId="779FBF55" w14:textId="77777777" w:rsidR="006B01C8" w:rsidRDefault="006B01C8" w:rsidP="006B01C8">
      <w:pPr>
        <w:rPr>
          <w:rFonts w:cs="Times New Roman"/>
        </w:rPr>
      </w:pPr>
      <w:r>
        <w:rPr>
          <w:rFonts w:cs="Times New Roman"/>
        </w:rPr>
        <w:t>Four</w:t>
      </w:r>
      <w:r w:rsidRPr="006205EB">
        <w:rPr>
          <w:rFonts w:cs="Times New Roman"/>
        </w:rPr>
        <w:t xml:space="preserve"> prognostications of the </w:t>
      </w:r>
      <w:r>
        <w:rPr>
          <w:rFonts w:cs="Times New Roman"/>
        </w:rPr>
        <w:t>TAM</w:t>
      </w:r>
      <w:r w:rsidRPr="006205EB">
        <w:rPr>
          <w:rFonts w:cs="Times New Roman"/>
        </w:rPr>
        <w:t xml:space="preserve"> </w:t>
      </w:r>
      <w:r>
        <w:rPr>
          <w:rFonts w:cs="Times New Roman"/>
        </w:rPr>
        <w:t xml:space="preserve">for this assessment were derived </w:t>
      </w:r>
      <w:r w:rsidRPr="00A66C20">
        <w:rPr>
          <w:rFonts w:cs="Times New Roman"/>
        </w:rPr>
        <w:t>by</w:t>
      </w:r>
      <w:r>
        <w:rPr>
          <w:rFonts w:cs="Times New Roman"/>
        </w:rPr>
        <w:t xml:space="preserve"> using </w:t>
      </w:r>
      <w:r w:rsidRPr="00A66C20">
        <w:rPr>
          <w:rFonts w:cs="Times New Roman"/>
        </w:rPr>
        <w:t xml:space="preserve">comparable scenarios from each </w:t>
      </w:r>
      <w:r>
        <w:rPr>
          <w:rFonts w:cs="Times New Roman"/>
        </w:rPr>
        <w:t xml:space="preserve">of the </w:t>
      </w:r>
      <w:r w:rsidRPr="00A66C20">
        <w:rPr>
          <w:rFonts w:cs="Times New Roman"/>
        </w:rPr>
        <w:t>a</w:t>
      </w:r>
      <w:r>
        <w:rPr>
          <w:rFonts w:cs="Times New Roman"/>
        </w:rPr>
        <w:t xml:space="preserve">bove-mentioned </w:t>
      </w:r>
      <w:r w:rsidRPr="00A66C20">
        <w:rPr>
          <w:rFonts w:cs="Times New Roman"/>
        </w:rPr>
        <w:t>source</w:t>
      </w:r>
      <w:r>
        <w:rPr>
          <w:rFonts w:cs="Times New Roman"/>
        </w:rPr>
        <w:t>s which were categorized</w:t>
      </w:r>
      <w:r w:rsidRPr="00A66C20">
        <w:rPr>
          <w:rFonts w:cs="Times New Roman"/>
        </w:rPr>
        <w:t xml:space="preserve"> </w:t>
      </w:r>
      <w:r>
        <w:rPr>
          <w:rFonts w:cs="Times New Roman"/>
        </w:rPr>
        <w:t>by</w:t>
      </w:r>
      <w:r w:rsidRPr="00A66C20">
        <w:rPr>
          <w:rFonts w:cs="Times New Roman"/>
        </w:rPr>
        <w:t xml:space="preserve"> expect</w:t>
      </w:r>
      <w:r>
        <w:rPr>
          <w:rFonts w:cs="Times New Roman"/>
        </w:rPr>
        <w:t xml:space="preserve">ed </w:t>
      </w:r>
      <w:r w:rsidRPr="00A66C20">
        <w:rPr>
          <w:rFonts w:cs="Times New Roman"/>
        </w:rPr>
        <w:t>climate mitigation</w:t>
      </w:r>
      <w:r>
        <w:rPr>
          <w:rFonts w:cs="Times New Roman"/>
        </w:rPr>
        <w:t xml:space="preserve"> scenarios</w:t>
      </w:r>
      <w:r w:rsidRPr="00A66C20">
        <w:rPr>
          <w:rFonts w:cs="Times New Roman"/>
        </w:rPr>
        <w:t xml:space="preserve"> (</w:t>
      </w:r>
      <w:r>
        <w:rPr>
          <w:rFonts w:cs="Times New Roman"/>
        </w:rPr>
        <w:t xml:space="preserve">i.e. </w:t>
      </w:r>
      <w:r w:rsidRPr="00DA0DA4">
        <w:rPr>
          <w:rFonts w:cs="Times New Roman"/>
        </w:rPr>
        <w:t xml:space="preserve">Ambitious, Conservative, and Baseline) and </w:t>
      </w:r>
      <w:r>
        <w:rPr>
          <w:rFonts w:cs="Times New Roman"/>
        </w:rPr>
        <w:t xml:space="preserve">the scale of </w:t>
      </w:r>
      <w:r w:rsidRPr="00DA0DA4">
        <w:rPr>
          <w:rFonts w:cs="Times New Roman"/>
        </w:rPr>
        <w:t xml:space="preserve">deployment of renewable energy sources (RES) (i.e. 100% RES </w:t>
      </w:r>
      <w:r>
        <w:rPr>
          <w:rFonts w:cs="Times New Roman"/>
        </w:rPr>
        <w:t>scenarios</w:t>
      </w:r>
      <w:r w:rsidRPr="00DA0DA4">
        <w:rPr>
          <w:rFonts w:cs="Times New Roman"/>
        </w:rPr>
        <w:t xml:space="preserve">). The sources used mostly provide results at a decadal level, which were interpolated to provide annual values for Project Drawdown calculations. </w:t>
      </w:r>
    </w:p>
    <w:p w14:paraId="467C282C" w14:textId="77777777" w:rsidR="006B01C8" w:rsidRPr="00DA0DA4" w:rsidRDefault="006B01C8" w:rsidP="006B01C8">
      <w:pPr>
        <w:rPr>
          <w:rFonts w:cs="Times New Roman"/>
        </w:rPr>
      </w:pPr>
      <w:r w:rsidRPr="00DA0DA4">
        <w:rPr>
          <w:rFonts w:cs="Times New Roman"/>
        </w:rPr>
        <w:t xml:space="preserve">The </w:t>
      </w:r>
      <w:r w:rsidRPr="00DA0DA4">
        <w:rPr>
          <w:rFonts w:cs="Times New Roman"/>
          <w:u w:val="single"/>
        </w:rPr>
        <w:t>Ambitious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Scenario</w:t>
      </w:r>
      <w:r w:rsidRPr="00DA0DA4">
        <w:rPr>
          <w:rFonts w:cs="Times New Roman"/>
        </w:rPr>
        <w:t xml:space="preserve"> is </w:t>
      </w:r>
      <w:r>
        <w:rPr>
          <w:rFonts w:cs="Times New Roman"/>
        </w:rPr>
        <w:t>constructed</w:t>
      </w:r>
      <w:r w:rsidRPr="00DA0DA4">
        <w:rPr>
          <w:rFonts w:cs="Times New Roman"/>
        </w:rPr>
        <w:t xml:space="preserve"> from the average of yearly values of </w:t>
      </w:r>
      <w:r>
        <w:rPr>
          <w:rFonts w:cs="Times New Roman"/>
        </w:rPr>
        <w:t>four</w:t>
      </w:r>
      <w:r w:rsidRPr="00DA0DA4">
        <w:rPr>
          <w:rFonts w:cs="Times New Roman"/>
        </w:rPr>
        <w:t xml:space="preserve"> scenarios: </w:t>
      </w:r>
      <w:r>
        <w:rPr>
          <w:rFonts w:cs="Times New Roman"/>
        </w:rPr>
        <w:t xml:space="preserve">the </w:t>
      </w:r>
      <w:r w:rsidRPr="00DA0DA4">
        <w:rPr>
          <w:rFonts w:cs="Times New Roman"/>
        </w:rPr>
        <w:t xml:space="preserve">IEA </w:t>
      </w:r>
      <w:r>
        <w:rPr>
          <w:rFonts w:cs="Times New Roman"/>
        </w:rPr>
        <w:t xml:space="preserve">(2017) </w:t>
      </w:r>
      <w:r w:rsidRPr="00DA0DA4">
        <w:rPr>
          <w:rFonts w:cs="Times New Roman"/>
        </w:rPr>
        <w:t>2D Scenario</w:t>
      </w:r>
      <w:r>
        <w:rPr>
          <w:rFonts w:cs="Times New Roman"/>
        </w:rPr>
        <w:t xml:space="preserve">, </w:t>
      </w:r>
      <w:r w:rsidRPr="00DA0DA4">
        <w:rPr>
          <w:rFonts w:cs="Times New Roman"/>
        </w:rPr>
        <w:t>the IEA</w:t>
      </w:r>
      <w:r>
        <w:rPr>
          <w:rFonts w:cs="Times New Roman"/>
        </w:rPr>
        <w:t xml:space="preserve"> (2017) </w:t>
      </w:r>
      <w:r w:rsidRPr="00DA0DA4">
        <w:rPr>
          <w:rFonts w:cs="Times New Roman"/>
        </w:rPr>
        <w:t xml:space="preserve">B2D scenario, Renewal Scenario from </w:t>
      </w:r>
      <w:proofErr w:type="spellStart"/>
      <w:r w:rsidRPr="00DA0DA4">
        <w:rPr>
          <w:rFonts w:cs="Times New Roman"/>
        </w:rPr>
        <w:t>Equinor</w:t>
      </w:r>
      <w:proofErr w:type="spellEnd"/>
      <w:r w:rsidRPr="00DA0DA4">
        <w:rPr>
          <w:rFonts w:cs="Times New Roman"/>
        </w:rPr>
        <w:t xml:space="preserve"> (2018)</w:t>
      </w:r>
      <w:r>
        <w:rPr>
          <w:rFonts w:cs="Times New Roman"/>
        </w:rPr>
        <w:t>,</w:t>
      </w:r>
      <w:r w:rsidRPr="00DA0DA4">
        <w:rPr>
          <w:rFonts w:cs="Times New Roman"/>
        </w:rPr>
        <w:t xml:space="preserve"> and IEA (2018) WEO SD scenario. The </w:t>
      </w:r>
      <w:r w:rsidRPr="00DA0DA4">
        <w:rPr>
          <w:rFonts w:cs="Times New Roman"/>
          <w:u w:val="single"/>
        </w:rPr>
        <w:t>Conservative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w:t>
      </w:r>
      <w:r>
        <w:rPr>
          <w:rFonts w:cs="Times New Roman"/>
          <w:u w:val="single"/>
        </w:rPr>
        <w:t>Sc</w:t>
      </w:r>
      <w:r w:rsidRPr="00DA0DA4">
        <w:rPr>
          <w:rFonts w:cs="Times New Roman"/>
          <w:u w:val="single"/>
        </w:rPr>
        <w:t>enario</w:t>
      </w:r>
      <w:r w:rsidRPr="00DA0DA4">
        <w:rPr>
          <w:rFonts w:cs="Times New Roman"/>
        </w:rPr>
        <w:t xml:space="preserve"> follows the average yearly values of the IEA (2018) WEO New Policy scenario (NPS); Reform Scenario from </w:t>
      </w:r>
      <w:proofErr w:type="spellStart"/>
      <w:r w:rsidRPr="00DA0DA4">
        <w:rPr>
          <w:rFonts w:cs="Times New Roman"/>
        </w:rPr>
        <w:t>Equinor</w:t>
      </w:r>
      <w:proofErr w:type="spellEnd"/>
      <w:r w:rsidRPr="00DA0DA4">
        <w:rPr>
          <w:rFonts w:cs="Times New Roman"/>
        </w:rPr>
        <w:t xml:space="preserve">. (2018), IEEJ Outlook </w:t>
      </w:r>
      <w:r>
        <w:rPr>
          <w:rFonts w:cs="Times New Roman"/>
        </w:rPr>
        <w:t>(2018</w:t>
      </w:r>
      <w:r w:rsidRPr="00DA0DA4">
        <w:rPr>
          <w:rFonts w:cs="Times New Roman"/>
        </w:rPr>
        <w:t>) Advanced Tech scenario</w:t>
      </w:r>
      <w:r>
        <w:rPr>
          <w:rFonts w:cs="Times New Roman"/>
        </w:rPr>
        <w:t>,</w:t>
      </w:r>
      <w:r w:rsidRPr="00DA0DA4">
        <w:rPr>
          <w:rFonts w:cs="Times New Roman"/>
        </w:rPr>
        <w:t xml:space="preserve"> and IRENA (201</w:t>
      </w:r>
      <w:r>
        <w:rPr>
          <w:rFonts w:cs="Times New Roman"/>
        </w:rPr>
        <w:t>9b</w:t>
      </w:r>
      <w:r w:rsidRPr="00DA0DA4">
        <w:rPr>
          <w:rFonts w:cs="Times New Roman"/>
        </w:rPr>
        <w:t xml:space="preserve">) Roadmap 2050 </w:t>
      </w:r>
      <w:proofErr w:type="spellStart"/>
      <w:r w:rsidRPr="00DA0DA4">
        <w:rPr>
          <w:rFonts w:cs="Times New Roman"/>
        </w:rPr>
        <w:t>REmap</w:t>
      </w:r>
      <w:proofErr w:type="spellEnd"/>
      <w:r w:rsidRPr="00DA0DA4">
        <w:rPr>
          <w:rFonts w:cs="Times New Roman"/>
        </w:rPr>
        <w:t xml:space="preserve"> case.</w:t>
      </w:r>
      <w:r>
        <w:rPr>
          <w:rFonts w:cs="Times New Roman"/>
        </w:rPr>
        <w:t xml:space="preserve"> </w:t>
      </w:r>
      <w:r w:rsidRPr="00DA0DA4">
        <w:rPr>
          <w:rFonts w:cs="Times New Roman"/>
        </w:rPr>
        <w:t xml:space="preserve">The </w:t>
      </w:r>
      <w:r w:rsidRPr="00DA0DA4">
        <w:rPr>
          <w:rFonts w:cs="Times New Roman"/>
          <w:u w:val="single"/>
        </w:rPr>
        <w:t>Baseline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Scenario </w:t>
      </w:r>
      <w:r w:rsidRPr="00DA0DA4">
        <w:rPr>
          <w:rFonts w:cs="Times New Roman"/>
        </w:rPr>
        <w:t xml:space="preserve">is built by the average of the </w:t>
      </w:r>
      <w:proofErr w:type="spellStart"/>
      <w:r w:rsidRPr="00DA0DA4">
        <w:rPr>
          <w:rFonts w:cs="Times New Roman"/>
        </w:rPr>
        <w:t>Equinor</w:t>
      </w:r>
      <w:proofErr w:type="spellEnd"/>
      <w:r w:rsidRPr="00DA0DA4">
        <w:rPr>
          <w:rFonts w:cs="Times New Roman"/>
        </w:rPr>
        <w:t xml:space="preserve"> (2018) Rivalry Scenario, IEEJ</w:t>
      </w:r>
      <w:r>
        <w:rPr>
          <w:rFonts w:cs="Times New Roman"/>
        </w:rPr>
        <w:t xml:space="preserve"> Outlook (2018</w:t>
      </w:r>
      <w:r w:rsidRPr="00DA0DA4">
        <w:rPr>
          <w:rFonts w:cs="Times New Roman"/>
        </w:rPr>
        <w:t xml:space="preserve">) Reference Scenario, IEA (2017) Reference Case and IEA (2018) WEO Current polices Scenario (CPS). </w:t>
      </w:r>
      <w:r>
        <w:rPr>
          <w:rFonts w:cs="Times New Roman"/>
        </w:rPr>
        <w:t xml:space="preserve">These three </w:t>
      </w:r>
      <w:r w:rsidRPr="00DA0DA4">
        <w:rPr>
          <w:rFonts w:cs="Times New Roman"/>
          <w:u w:val="single"/>
        </w:rPr>
        <w:t>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w:t>
      </w:r>
      <w:r>
        <w:rPr>
          <w:rFonts w:cs="Times New Roman"/>
        </w:rPr>
        <w:t>TAM scenarios show an estimated range of electricity generation from 45,286TWh to 49,706TWh by 2050. Baseline TAM is used for PD Plausible scenario assessment.</w:t>
      </w:r>
    </w:p>
    <w:p w14:paraId="33D1F63E" w14:textId="4B242B90" w:rsidR="006B01C8" w:rsidRPr="006B01C8" w:rsidRDefault="006B01C8" w:rsidP="006B01C8">
      <w:pPr>
        <w:rPr>
          <w:rFonts w:cs="Times New Roman"/>
        </w:rPr>
      </w:pPr>
      <w:r>
        <w:rPr>
          <w:rFonts w:cs="Times New Roman"/>
        </w:rPr>
        <w:t>An</w:t>
      </w:r>
      <w:r w:rsidRPr="00DA0DA4">
        <w:rPr>
          <w:rFonts w:cs="Times New Roman"/>
        </w:rPr>
        <w:t xml:space="preserve"> ambitious TAM scenario </w:t>
      </w:r>
      <w:r>
        <w:rPr>
          <w:rFonts w:cs="Times New Roman"/>
        </w:rPr>
        <w:t>for a</w:t>
      </w:r>
      <w:r w:rsidRPr="00DA0DA4">
        <w:rPr>
          <w:rFonts w:cs="Times New Roman"/>
        </w:rPr>
        <w:t xml:space="preserve"> 100% RES by 2050</w:t>
      </w:r>
      <w:r>
        <w:rPr>
          <w:rFonts w:cs="Times New Roman"/>
        </w:rPr>
        <w:t>, which is</w:t>
      </w:r>
      <w:r w:rsidRPr="00DA0DA4">
        <w:rPr>
          <w:rFonts w:cs="Times New Roman"/>
        </w:rPr>
        <w:t xml:space="preserve"> aligned to project Drawdown Optimum and Drawdown scenarios</w:t>
      </w:r>
      <w:r>
        <w:rPr>
          <w:rFonts w:cs="Times New Roman"/>
        </w:rPr>
        <w:t>, utilizes</w:t>
      </w:r>
      <w:r w:rsidRPr="00DA0DA4">
        <w:rPr>
          <w:rFonts w:cs="Times New Roman"/>
        </w:rPr>
        <w:t xml:space="preserve"> the Greenpeace (2015) Advanced [R]evolution Scenario, Ram et al (2019) analysis and </w:t>
      </w:r>
      <w:proofErr w:type="spellStart"/>
      <w:r w:rsidRPr="00DA0DA4">
        <w:rPr>
          <w:rFonts w:cs="Times New Roman"/>
        </w:rPr>
        <w:t>Ecofys</w:t>
      </w:r>
      <w:proofErr w:type="spellEnd"/>
      <w:r w:rsidRPr="00DA0DA4">
        <w:rPr>
          <w:rFonts w:cs="Times New Roman"/>
        </w:rPr>
        <w:t xml:space="preserve"> (2018) 1.5ºC degree scenario were considered. </w:t>
      </w:r>
      <w:r>
        <w:rPr>
          <w:rFonts w:cs="Times New Roman"/>
        </w:rPr>
        <w:t xml:space="preserve">The estimated electricity generation for this TAM reaches 70,942 </w:t>
      </w:r>
      <w:proofErr w:type="spellStart"/>
      <w:r>
        <w:rPr>
          <w:rFonts w:cs="Times New Roman"/>
        </w:rPr>
        <w:t>TWh</w:t>
      </w:r>
      <w:proofErr w:type="spellEnd"/>
      <w:r w:rsidRPr="002831BC">
        <w:rPr>
          <w:rFonts w:cs="Times New Roman"/>
        </w:rPr>
        <w:t xml:space="preserve"> </w:t>
      </w:r>
      <w:r>
        <w:rPr>
          <w:rFonts w:cs="Times New Roman"/>
        </w:rPr>
        <w:t>by 2050.</w:t>
      </w:r>
    </w:p>
    <w:p w14:paraId="4303D5C0" w14:textId="2A7D302D" w:rsidR="00B144E5" w:rsidRPr="00061636" w:rsidRDefault="00E069AC" w:rsidP="002A6808">
      <w:pPr>
        <w:pStyle w:val="Heading2"/>
        <w:numPr>
          <w:ilvl w:val="1"/>
          <w:numId w:val="8"/>
        </w:numPr>
      </w:pPr>
      <w:r w:rsidRPr="00061636">
        <w:t>Adoption Scenarios</w:t>
      </w:r>
      <w:bookmarkEnd w:id="34"/>
    </w:p>
    <w:p w14:paraId="35D31A44" w14:textId="6138772D" w:rsidR="008E6B1D" w:rsidRPr="00334103" w:rsidRDefault="00222DA4" w:rsidP="00EB247F">
      <w:pPr>
        <w:rPr>
          <w:rFonts w:cs="Times New Roman"/>
          <w:bCs/>
        </w:rPr>
      </w:pPr>
      <w:r w:rsidRPr="00061636">
        <w:rPr>
          <w:rFonts w:cs="Times New Roman"/>
        </w:rPr>
        <w:t>E</w:t>
      </w:r>
      <w:r w:rsidR="000875B5" w:rsidRPr="00061636">
        <w:rPr>
          <w:rFonts w:cs="Times New Roman"/>
        </w:rPr>
        <w:t>lectricity generation from utility-scale and rooftop PV</w:t>
      </w:r>
      <w:r w:rsidR="00CF7E08" w:rsidRPr="00061636">
        <w:rPr>
          <w:rFonts w:cs="Times New Roman"/>
        </w:rPr>
        <w:t xml:space="preserve"> (combined)</w:t>
      </w:r>
      <w:r w:rsidR="000875B5" w:rsidRPr="00061636">
        <w:rPr>
          <w:rFonts w:cs="Times New Roman"/>
        </w:rPr>
        <w:t xml:space="preserve"> has increased</w:t>
      </w:r>
      <w:r w:rsidRPr="00061636">
        <w:rPr>
          <w:rFonts w:cs="Times New Roman"/>
        </w:rPr>
        <w:t xml:space="preserve"> very</w:t>
      </w:r>
      <w:r w:rsidR="000875B5" w:rsidRPr="00061636">
        <w:rPr>
          <w:rFonts w:cs="Times New Roman"/>
        </w:rPr>
        <w:t xml:space="preserve"> rapidly in recent </w:t>
      </w:r>
      <w:r w:rsidR="000875B5" w:rsidRPr="00334103">
        <w:rPr>
          <w:rFonts w:cs="Times New Roman"/>
        </w:rPr>
        <w:t xml:space="preserve">years, more than </w:t>
      </w:r>
      <w:r w:rsidR="003435AA" w:rsidRPr="00334103">
        <w:rPr>
          <w:rFonts w:cs="Times New Roman"/>
        </w:rPr>
        <w:t xml:space="preserve">quadrupling </w:t>
      </w:r>
      <w:r w:rsidR="000875B5" w:rsidRPr="00334103">
        <w:rPr>
          <w:rFonts w:cs="Times New Roman"/>
        </w:rPr>
        <w:t>from</w:t>
      </w:r>
      <w:r w:rsidR="00925661" w:rsidRPr="00334103">
        <w:rPr>
          <w:rFonts w:cs="Times New Roman"/>
        </w:rPr>
        <w:t xml:space="preserve"> </w:t>
      </w:r>
      <w:r w:rsidR="00AE6AC3" w:rsidRPr="00334103">
        <w:rPr>
          <w:rFonts w:cs="Times New Roman"/>
        </w:rPr>
        <w:t xml:space="preserve">96 </w:t>
      </w:r>
      <w:proofErr w:type="spellStart"/>
      <w:r w:rsidR="00AE6AC3" w:rsidRPr="00334103">
        <w:rPr>
          <w:rFonts w:cs="Times New Roman"/>
        </w:rPr>
        <w:t>TWh</w:t>
      </w:r>
      <w:proofErr w:type="spellEnd"/>
      <w:r w:rsidR="00AE6AC3" w:rsidRPr="00334103">
        <w:rPr>
          <w:rFonts w:cs="Times New Roman"/>
        </w:rPr>
        <w:t xml:space="preserve"> in</w:t>
      </w:r>
      <w:r w:rsidR="000875B5" w:rsidRPr="00334103">
        <w:rPr>
          <w:rFonts w:cs="Times New Roman"/>
        </w:rPr>
        <w:t xml:space="preserve"> 2012</w:t>
      </w:r>
      <w:r w:rsidR="003435AA" w:rsidRPr="00334103">
        <w:rPr>
          <w:rFonts w:cs="Times New Roman"/>
        </w:rPr>
        <w:t xml:space="preserve"> </w:t>
      </w:r>
      <w:r w:rsidR="00FD4AFC" w:rsidRPr="00334103">
        <w:rPr>
          <w:rFonts w:cs="Times New Roman"/>
        </w:rPr>
        <w:fldChar w:fldCharType="begin"/>
      </w:r>
      <w:r w:rsidR="00FD4AFC" w:rsidRPr="00334103">
        <w:rPr>
          <w:rFonts w:cs="Times New Roman"/>
        </w:rPr>
        <w:instrText xml:space="preserve"> ADDIN ZOTERO_ITEM CSL_CITATION {"citationID":"0J9YJGAB","properties":{"formattedCitation":"(IRENA, n.d.)","plainCitation":"(IRENA, n.d.)","noteIndex":0},"citationItems":[{"id":1907,"uris":["http://zotero.org/users/3385572/items/2I5S6SCV"],"uri":["http://zotero.org/users/3385572/items/2I5S6SCV"],"itemData":{"id":1907,"type":"article-journal","title":"Renewable Energy Statistics 2018","page":"362","source":"Zotero","language":"English","author":[{"family":"IRENA","given":""}]}}],"schema":"https://github.com/citation-style-language/schema/raw/master/csl-citation.json"} </w:instrText>
      </w:r>
      <w:r w:rsidR="00FD4AFC" w:rsidRPr="00334103">
        <w:rPr>
          <w:rFonts w:cs="Times New Roman"/>
        </w:rPr>
        <w:fldChar w:fldCharType="separate"/>
      </w:r>
      <w:r w:rsidR="00FD4AFC" w:rsidRPr="00334103">
        <w:rPr>
          <w:rFonts w:cs="Times New Roman"/>
        </w:rPr>
        <w:t>(IRENA, 2018)</w:t>
      </w:r>
      <w:r w:rsidR="00FD4AFC" w:rsidRPr="00334103">
        <w:rPr>
          <w:rFonts w:cs="Times New Roman"/>
        </w:rPr>
        <w:fldChar w:fldCharType="end"/>
      </w:r>
      <w:r w:rsidR="00FD4AFC" w:rsidRPr="00334103">
        <w:rPr>
          <w:rFonts w:cs="Times New Roman"/>
        </w:rPr>
        <w:t xml:space="preserve"> </w:t>
      </w:r>
      <w:r w:rsidR="003435AA" w:rsidRPr="00334103">
        <w:rPr>
          <w:rFonts w:cs="Times New Roman"/>
        </w:rPr>
        <w:t xml:space="preserve">to </w:t>
      </w:r>
      <w:r w:rsidR="00675566" w:rsidRPr="00334103">
        <w:rPr>
          <w:rFonts w:cs="Times New Roman"/>
        </w:rPr>
        <w:t>531</w:t>
      </w:r>
      <w:r w:rsidR="00AE6AC3" w:rsidRPr="00334103">
        <w:rPr>
          <w:rFonts w:cs="Times New Roman"/>
        </w:rPr>
        <w:t xml:space="preserve"> </w:t>
      </w:r>
      <w:proofErr w:type="spellStart"/>
      <w:r w:rsidR="00AE6AC3" w:rsidRPr="00334103">
        <w:rPr>
          <w:rFonts w:cs="Times New Roman"/>
        </w:rPr>
        <w:t>TWh</w:t>
      </w:r>
      <w:proofErr w:type="spellEnd"/>
      <w:r w:rsidR="00AE6AC3" w:rsidRPr="00334103">
        <w:rPr>
          <w:rFonts w:cs="Times New Roman"/>
        </w:rPr>
        <w:t xml:space="preserve"> in </w:t>
      </w:r>
      <w:r w:rsidR="003435AA" w:rsidRPr="00334103">
        <w:rPr>
          <w:rFonts w:cs="Times New Roman"/>
        </w:rPr>
        <w:t>2017</w:t>
      </w:r>
      <w:sdt>
        <w:sdtPr>
          <w:rPr>
            <w:rFonts w:cs="Times New Roman"/>
          </w:rPr>
          <w:id w:val="1524820967"/>
          <w:citation/>
        </w:sdtPr>
        <w:sdtContent>
          <w:r w:rsidR="00675566" w:rsidRPr="00334103">
            <w:rPr>
              <w:rFonts w:cs="Times New Roman"/>
            </w:rPr>
            <w:fldChar w:fldCharType="begin"/>
          </w:r>
          <w:r w:rsidR="005C19D0" w:rsidRPr="00334103">
            <w:rPr>
              <w:rFonts w:cs="Times New Roman"/>
            </w:rPr>
            <w:instrText xml:space="preserve">CITATION Tre18 \l 1033 </w:instrText>
          </w:r>
          <w:r w:rsidR="00675566" w:rsidRPr="00334103">
            <w:rPr>
              <w:rFonts w:cs="Times New Roman"/>
            </w:rPr>
            <w:fldChar w:fldCharType="separate"/>
          </w:r>
          <w:r w:rsidR="005C19D0" w:rsidRPr="00334103">
            <w:rPr>
              <w:rFonts w:cs="Times New Roman"/>
              <w:noProof/>
            </w:rPr>
            <w:t xml:space="preserve"> (IEA-PVPS, 2018)</w:t>
          </w:r>
          <w:r w:rsidR="00675566" w:rsidRPr="00334103">
            <w:rPr>
              <w:rFonts w:cs="Times New Roman"/>
            </w:rPr>
            <w:fldChar w:fldCharType="end"/>
          </w:r>
        </w:sdtContent>
      </w:sdt>
      <w:r w:rsidR="00FD4AFC" w:rsidRPr="00334103">
        <w:rPr>
          <w:rFonts w:cs="Times New Roman"/>
        </w:rPr>
        <w:t xml:space="preserve">. </w:t>
      </w:r>
      <w:r w:rsidRPr="00334103">
        <w:rPr>
          <w:rFonts w:cs="Times New Roman"/>
        </w:rPr>
        <w:t>I</w:t>
      </w:r>
      <w:r w:rsidR="000875B5" w:rsidRPr="00334103">
        <w:rPr>
          <w:rFonts w:cs="Times New Roman"/>
        </w:rPr>
        <w:t>t</w:t>
      </w:r>
      <w:r w:rsidR="00A90312" w:rsidRPr="00334103">
        <w:rPr>
          <w:rFonts w:cs="Times New Roman"/>
        </w:rPr>
        <w:t>,</w:t>
      </w:r>
      <w:r w:rsidRPr="00334103">
        <w:rPr>
          <w:rFonts w:cs="Times New Roman"/>
        </w:rPr>
        <w:t xml:space="preserve"> therefore</w:t>
      </w:r>
      <w:r w:rsidR="00A90312" w:rsidRPr="00334103">
        <w:rPr>
          <w:rFonts w:cs="Times New Roman"/>
        </w:rPr>
        <w:t>,</w:t>
      </w:r>
      <w:r w:rsidRPr="00334103">
        <w:rPr>
          <w:rFonts w:cs="Times New Roman"/>
        </w:rPr>
        <w:t xml:space="preserve"> becomes</w:t>
      </w:r>
      <w:r w:rsidR="000875B5" w:rsidRPr="00334103">
        <w:rPr>
          <w:rFonts w:cs="Times New Roman"/>
        </w:rPr>
        <w:t xml:space="preserve"> </w:t>
      </w:r>
      <w:r w:rsidR="000A10E5" w:rsidRPr="00334103">
        <w:rPr>
          <w:rFonts w:cs="Times New Roman"/>
        </w:rPr>
        <w:t>a challenge</w:t>
      </w:r>
      <w:r w:rsidR="000875B5" w:rsidRPr="00334103">
        <w:rPr>
          <w:rFonts w:cs="Times New Roman"/>
        </w:rPr>
        <w:t xml:space="preserve"> to project</w:t>
      </w:r>
      <w:r w:rsidRPr="00334103">
        <w:rPr>
          <w:rFonts w:cs="Times New Roman"/>
        </w:rPr>
        <w:t xml:space="preserve"> the rate of</w:t>
      </w:r>
      <w:r w:rsidR="000875B5" w:rsidRPr="00334103">
        <w:rPr>
          <w:rFonts w:cs="Times New Roman"/>
        </w:rPr>
        <w:t xml:space="preserve"> PV adoption </w:t>
      </w:r>
      <w:r w:rsidR="00AE6AC3" w:rsidRPr="00334103">
        <w:rPr>
          <w:rFonts w:cs="Times New Roman"/>
        </w:rPr>
        <w:t xml:space="preserve">with any degree of accuracy </w:t>
      </w:r>
      <w:r w:rsidR="000875B5" w:rsidRPr="00334103">
        <w:rPr>
          <w:rFonts w:cs="Times New Roman"/>
        </w:rPr>
        <w:t xml:space="preserve">over the next 30 years. </w:t>
      </w:r>
      <w:r w:rsidR="000875B5" w:rsidRPr="00334103">
        <w:rPr>
          <w:rFonts w:cs="Times New Roman"/>
          <w:bCs/>
        </w:rPr>
        <w:t xml:space="preserve">Many sources from the literature depict a </w:t>
      </w:r>
      <w:r w:rsidRPr="00334103">
        <w:rPr>
          <w:rFonts w:cs="Times New Roman"/>
          <w:bCs/>
        </w:rPr>
        <w:t xml:space="preserve">yearly </w:t>
      </w:r>
      <w:r w:rsidR="000875B5" w:rsidRPr="00334103">
        <w:rPr>
          <w:rFonts w:cs="Times New Roman"/>
          <w:bCs/>
        </w:rPr>
        <w:t xml:space="preserve">single-digit </w:t>
      </w:r>
      <w:r w:rsidRPr="00334103">
        <w:rPr>
          <w:rFonts w:cs="Times New Roman"/>
          <w:bCs/>
        </w:rPr>
        <w:t xml:space="preserve">growth in the </w:t>
      </w:r>
      <w:r w:rsidR="000875B5" w:rsidRPr="00334103">
        <w:rPr>
          <w:rFonts w:cs="Times New Roman"/>
          <w:bCs/>
        </w:rPr>
        <w:t>percentage of total electricity generation from solar PV in 2050</w:t>
      </w:r>
      <w:sdt>
        <w:sdtPr>
          <w:rPr>
            <w:rFonts w:cs="Times New Roman"/>
            <w:bCs/>
          </w:rPr>
          <w:id w:val="-714115389"/>
          <w:citation/>
        </w:sdtPr>
        <w:sdtContent>
          <w:r w:rsidR="006A46F9" w:rsidRPr="00334103">
            <w:rPr>
              <w:rFonts w:cs="Times New Roman"/>
              <w:bCs/>
            </w:rPr>
            <w:fldChar w:fldCharType="begin"/>
          </w:r>
          <w:r w:rsidR="00814CEC" w:rsidRPr="00334103">
            <w:rPr>
              <w:rFonts w:cs="Times New Roman"/>
              <w:bCs/>
            </w:rPr>
            <w:instrText xml:space="preserve">CITATION IRE181 \l 1033 </w:instrText>
          </w:r>
          <w:r w:rsidR="006A46F9" w:rsidRPr="00334103">
            <w:rPr>
              <w:rFonts w:cs="Times New Roman"/>
              <w:bCs/>
            </w:rPr>
            <w:fldChar w:fldCharType="separate"/>
          </w:r>
          <w:r w:rsidR="00814CEC" w:rsidRPr="00334103">
            <w:rPr>
              <w:rFonts w:cs="Times New Roman"/>
              <w:bCs/>
              <w:noProof/>
            </w:rPr>
            <w:t xml:space="preserve"> </w:t>
          </w:r>
          <w:r w:rsidR="00814CEC" w:rsidRPr="00334103">
            <w:rPr>
              <w:rFonts w:cs="Times New Roman"/>
              <w:noProof/>
            </w:rPr>
            <w:t>(IRENA, 2018d)</w:t>
          </w:r>
          <w:r w:rsidR="006A46F9" w:rsidRPr="00334103">
            <w:rPr>
              <w:rFonts w:cs="Times New Roman"/>
              <w:bCs/>
            </w:rPr>
            <w:fldChar w:fldCharType="end"/>
          </w:r>
        </w:sdtContent>
      </w:sdt>
      <w:r w:rsidR="00E27BD3" w:rsidRPr="00334103">
        <w:rPr>
          <w:rFonts w:cs="Times New Roman"/>
          <w:bCs/>
        </w:rPr>
        <w:t xml:space="preserve">. </w:t>
      </w:r>
      <w:r w:rsidR="00AE6AC3" w:rsidRPr="00334103">
        <w:rPr>
          <w:rFonts w:cs="Times New Roman"/>
          <w:bCs/>
        </w:rPr>
        <w:t xml:space="preserve">However, </w:t>
      </w:r>
      <w:r w:rsidR="00E27BD3" w:rsidRPr="00334103">
        <w:rPr>
          <w:rFonts w:cs="Times New Roman"/>
          <w:bCs/>
        </w:rPr>
        <w:t>g</w:t>
      </w:r>
      <w:r w:rsidR="000875B5" w:rsidRPr="00334103">
        <w:rPr>
          <w:rFonts w:cs="Times New Roman"/>
          <w:bCs/>
        </w:rPr>
        <w:t>iven the rapidly growing market for utility-scale PV</w:t>
      </w:r>
      <w:r w:rsidR="00A90312" w:rsidRPr="00334103">
        <w:rPr>
          <w:rFonts w:cs="Times New Roman"/>
          <w:bCs/>
        </w:rPr>
        <w:t>,</w:t>
      </w:r>
      <w:r w:rsidR="007A09F4" w:rsidRPr="00334103">
        <w:rPr>
          <w:rFonts w:cs="Times New Roman"/>
          <w:bCs/>
        </w:rPr>
        <w:t xml:space="preserve"> </w:t>
      </w:r>
      <w:r w:rsidR="000875B5" w:rsidRPr="00334103">
        <w:rPr>
          <w:rFonts w:cs="Times New Roman"/>
          <w:bCs/>
        </w:rPr>
        <w:t xml:space="preserve">these </w:t>
      </w:r>
      <w:r w:rsidR="000A10E5" w:rsidRPr="00334103">
        <w:rPr>
          <w:rFonts w:cs="Times New Roman"/>
          <w:bCs/>
        </w:rPr>
        <w:t>projections seem</w:t>
      </w:r>
      <w:r w:rsidR="000875B5" w:rsidRPr="00334103">
        <w:rPr>
          <w:rFonts w:cs="Times New Roman"/>
          <w:bCs/>
        </w:rPr>
        <w:t xml:space="preserve"> overly conservative, especially in light of </w:t>
      </w:r>
      <w:r w:rsidR="000A10E5" w:rsidRPr="00334103">
        <w:rPr>
          <w:rFonts w:cs="Times New Roman"/>
          <w:bCs/>
        </w:rPr>
        <w:t>the rapid</w:t>
      </w:r>
      <w:r w:rsidR="0014021E" w:rsidRPr="00334103">
        <w:rPr>
          <w:rFonts w:cs="Times New Roman"/>
          <w:bCs/>
        </w:rPr>
        <w:t xml:space="preserve"> </w:t>
      </w:r>
      <w:r w:rsidR="000875B5" w:rsidRPr="00334103">
        <w:rPr>
          <w:rFonts w:cs="Times New Roman"/>
          <w:bCs/>
        </w:rPr>
        <w:t>cost and efficiency gains</w:t>
      </w:r>
      <w:r w:rsidR="0014021E" w:rsidRPr="00334103">
        <w:rPr>
          <w:rFonts w:cs="Times New Roman"/>
          <w:bCs/>
        </w:rPr>
        <w:t xml:space="preserve"> in the field of </w:t>
      </w:r>
      <w:r w:rsidR="000875B5" w:rsidRPr="00334103">
        <w:rPr>
          <w:rFonts w:cs="Times New Roman"/>
          <w:bCs/>
        </w:rPr>
        <w:t xml:space="preserve">PV technology in recent years. It is also indicative of the future potential of solar PV adoption that </w:t>
      </w:r>
      <w:r w:rsidR="0014021E" w:rsidRPr="00334103">
        <w:rPr>
          <w:rFonts w:cs="Times New Roman"/>
          <w:bCs/>
        </w:rPr>
        <w:t xml:space="preserve">some </w:t>
      </w:r>
      <w:r w:rsidR="00752B0A" w:rsidRPr="00334103">
        <w:rPr>
          <w:rFonts w:cs="Times New Roman"/>
          <w:bCs/>
        </w:rPr>
        <w:t>expert</w:t>
      </w:r>
      <w:r w:rsidR="0014021E" w:rsidRPr="00334103">
        <w:rPr>
          <w:rFonts w:cs="Times New Roman"/>
          <w:bCs/>
        </w:rPr>
        <w:t xml:space="preserve"> organi</w:t>
      </w:r>
      <w:r w:rsidR="00CF7E08" w:rsidRPr="00334103">
        <w:rPr>
          <w:rFonts w:cs="Times New Roman"/>
          <w:bCs/>
        </w:rPr>
        <w:t>z</w:t>
      </w:r>
      <w:r w:rsidR="0014021E" w:rsidRPr="00334103">
        <w:rPr>
          <w:rFonts w:cs="Times New Roman"/>
          <w:bCs/>
        </w:rPr>
        <w:t xml:space="preserve">ations like </w:t>
      </w:r>
      <w:r w:rsidR="000875B5" w:rsidRPr="00334103">
        <w:rPr>
          <w:rFonts w:cs="Times New Roman"/>
          <w:bCs/>
        </w:rPr>
        <w:t xml:space="preserve">the </w:t>
      </w:r>
      <w:r w:rsidR="005B0FD1" w:rsidRPr="00334103">
        <w:rPr>
          <w:rFonts w:cs="Times New Roman"/>
          <w:bCs/>
        </w:rPr>
        <w:t>REN21</w:t>
      </w:r>
      <w:r w:rsidR="0014021E" w:rsidRPr="00334103">
        <w:rPr>
          <w:rFonts w:cs="Times New Roman"/>
          <w:bCs/>
        </w:rPr>
        <w:t xml:space="preserve"> and LUT</w:t>
      </w:r>
      <w:r w:rsidR="000875B5" w:rsidRPr="00334103">
        <w:rPr>
          <w:rFonts w:cs="Times New Roman"/>
          <w:bCs/>
        </w:rPr>
        <w:t xml:space="preserve"> ha</w:t>
      </w:r>
      <w:r w:rsidR="0014021E" w:rsidRPr="00334103">
        <w:rPr>
          <w:rFonts w:cs="Times New Roman"/>
          <w:bCs/>
        </w:rPr>
        <w:t>ve</w:t>
      </w:r>
      <w:r w:rsidR="000875B5" w:rsidRPr="00334103">
        <w:rPr>
          <w:rFonts w:cs="Times New Roman"/>
          <w:bCs/>
        </w:rPr>
        <w:t xml:space="preserve"> created </w:t>
      </w:r>
      <w:r w:rsidR="000A10E5" w:rsidRPr="00334103">
        <w:rPr>
          <w:rFonts w:cs="Times New Roman"/>
          <w:bCs/>
        </w:rPr>
        <w:t>scenarios for</w:t>
      </w:r>
      <w:r w:rsidRPr="00334103">
        <w:rPr>
          <w:rFonts w:cs="Times New Roman"/>
          <w:bCs/>
        </w:rPr>
        <w:t xml:space="preserve"> 100%</w:t>
      </w:r>
      <w:r w:rsidR="000875B5" w:rsidRPr="00334103">
        <w:rPr>
          <w:rFonts w:cs="Times New Roman"/>
          <w:bCs/>
        </w:rPr>
        <w:t xml:space="preserve"> </w:t>
      </w:r>
      <w:r w:rsidR="000875B5" w:rsidRPr="00334103">
        <w:rPr>
          <w:rFonts w:cs="Times New Roman"/>
          <w:bCs/>
        </w:rPr>
        <w:lastRenderedPageBreak/>
        <w:t xml:space="preserve">adoption of </w:t>
      </w:r>
      <w:r w:rsidR="005B0FD1" w:rsidRPr="00334103">
        <w:rPr>
          <w:rFonts w:cs="Times New Roman"/>
          <w:bCs/>
        </w:rPr>
        <w:t>renewable energy</w:t>
      </w:r>
      <w:r w:rsidR="0014021E" w:rsidRPr="00334103">
        <w:rPr>
          <w:rFonts w:cs="Times New Roman"/>
          <w:bCs/>
        </w:rPr>
        <w:t xml:space="preserve"> in the field of power</w:t>
      </w:r>
      <w:sdt>
        <w:sdtPr>
          <w:rPr>
            <w:rFonts w:cs="Times New Roman"/>
            <w:bCs/>
          </w:rPr>
          <w:id w:val="1224562597"/>
          <w:citation/>
        </w:sdtPr>
        <w:sdtContent>
          <w:r w:rsidR="006A46F9" w:rsidRPr="00334103">
            <w:rPr>
              <w:rFonts w:cs="Times New Roman"/>
              <w:bCs/>
            </w:rPr>
            <w:fldChar w:fldCharType="begin"/>
          </w:r>
          <w:r w:rsidR="003A1D86" w:rsidRPr="00334103">
            <w:rPr>
              <w:rFonts w:cs="Times New Roman"/>
              <w:bCs/>
            </w:rPr>
            <w:instrText xml:space="preserve">CITATION Ram17 \l 1033 </w:instrText>
          </w:r>
          <w:r w:rsidR="006A46F9" w:rsidRPr="00334103">
            <w:rPr>
              <w:rFonts w:cs="Times New Roman"/>
              <w:bCs/>
            </w:rPr>
            <w:fldChar w:fldCharType="separate"/>
          </w:r>
          <w:r w:rsidR="003A1D86" w:rsidRPr="00334103">
            <w:rPr>
              <w:rFonts w:cs="Times New Roman"/>
              <w:bCs/>
              <w:noProof/>
            </w:rPr>
            <w:t xml:space="preserve"> </w:t>
          </w:r>
          <w:r w:rsidR="003A1D86" w:rsidRPr="00334103">
            <w:rPr>
              <w:rFonts w:cs="Times New Roman"/>
              <w:noProof/>
            </w:rPr>
            <w:t>(Ram, 2017)</w:t>
          </w:r>
          <w:r w:rsidR="006A46F9" w:rsidRPr="00334103">
            <w:rPr>
              <w:rFonts w:cs="Times New Roman"/>
              <w:bCs/>
            </w:rPr>
            <w:fldChar w:fldCharType="end"/>
          </w:r>
        </w:sdtContent>
      </w:sdt>
      <w:r w:rsidR="00442C60" w:rsidRPr="00334103">
        <w:rPr>
          <w:rFonts w:cs="Times New Roman"/>
          <w:bCs/>
        </w:rPr>
        <w:t>. In all these projections, utility scale electricity generation</w:t>
      </w:r>
      <w:r w:rsidR="00752B0A" w:rsidRPr="00334103">
        <w:rPr>
          <w:rFonts w:cs="Times New Roman"/>
          <w:bCs/>
        </w:rPr>
        <w:t xml:space="preserve"> </w:t>
      </w:r>
      <w:r w:rsidR="00442C60" w:rsidRPr="00334103">
        <w:rPr>
          <w:rFonts w:cs="Times New Roman"/>
          <w:bCs/>
        </w:rPr>
        <w:t xml:space="preserve">from SPV is the </w:t>
      </w:r>
      <w:r w:rsidR="00E27BD3" w:rsidRPr="00334103">
        <w:rPr>
          <w:rFonts w:cs="Times New Roman"/>
          <w:bCs/>
        </w:rPr>
        <w:t>center</w:t>
      </w:r>
      <w:r w:rsidR="00442C60" w:rsidRPr="00334103">
        <w:rPr>
          <w:rFonts w:cs="Times New Roman"/>
          <w:bCs/>
        </w:rPr>
        <w:t>piece.</w:t>
      </w:r>
    </w:p>
    <w:p w14:paraId="04C20E8D" w14:textId="1E25BBF9" w:rsidR="000875B5" w:rsidRPr="00061636" w:rsidRDefault="00752B0A" w:rsidP="004B4939">
      <w:pPr>
        <w:autoSpaceDE w:val="0"/>
        <w:autoSpaceDN w:val="0"/>
        <w:adjustRightInd w:val="0"/>
        <w:spacing w:after="0"/>
        <w:rPr>
          <w:rFonts w:cs="Times New Roman"/>
        </w:rPr>
      </w:pPr>
      <w:bookmarkStart w:id="35" w:name="_Hlk525033174"/>
      <w:r w:rsidRPr="00334103">
        <w:rPr>
          <w:rFonts w:cs="Times New Roman"/>
        </w:rPr>
        <w:t>In this project, t</w:t>
      </w:r>
      <w:r w:rsidR="00D2050B" w:rsidRPr="00334103">
        <w:rPr>
          <w:rFonts w:cs="Times New Roman"/>
        </w:rPr>
        <w:t xml:space="preserve">wo different types of adoption </w:t>
      </w:r>
      <w:r w:rsidR="000A10E5" w:rsidRPr="00334103">
        <w:rPr>
          <w:rFonts w:cs="Times New Roman"/>
        </w:rPr>
        <w:t>scenarios have</w:t>
      </w:r>
      <w:r w:rsidRPr="00334103">
        <w:rPr>
          <w:rFonts w:cs="Times New Roman"/>
        </w:rPr>
        <w:t xml:space="preserve"> been</w:t>
      </w:r>
      <w:r w:rsidR="00D2050B" w:rsidRPr="00334103">
        <w:rPr>
          <w:rFonts w:cs="Times New Roman"/>
        </w:rPr>
        <w:t xml:space="preserve"> developed</w:t>
      </w:r>
      <w:r w:rsidR="00826B4A" w:rsidRPr="00334103">
        <w:rPr>
          <w:rFonts w:cs="Times New Roman"/>
        </w:rPr>
        <w:t>;</w:t>
      </w:r>
      <w:r w:rsidR="0054574A" w:rsidRPr="00334103">
        <w:rPr>
          <w:rFonts w:cs="Times New Roman"/>
        </w:rPr>
        <w:t xml:space="preserve"> </w:t>
      </w:r>
      <w:r w:rsidR="00826B4A" w:rsidRPr="00334103">
        <w:rPr>
          <w:rFonts w:cs="Times New Roman"/>
        </w:rPr>
        <w:t>f</w:t>
      </w:r>
      <w:r w:rsidR="0054574A" w:rsidRPr="00334103">
        <w:rPr>
          <w:rFonts w:cs="Times New Roman"/>
        </w:rPr>
        <w:t>irst</w:t>
      </w:r>
      <w:r w:rsidR="00442C60" w:rsidRPr="00334103">
        <w:rPr>
          <w:rFonts w:cs="Times New Roman"/>
        </w:rPr>
        <w:t xml:space="preserve"> </w:t>
      </w:r>
      <w:r w:rsidR="000A10E5" w:rsidRPr="00334103">
        <w:rPr>
          <w:rFonts w:cs="Times New Roman"/>
        </w:rPr>
        <w:t>is a</w:t>
      </w:r>
      <w:r w:rsidR="00D2050B" w:rsidRPr="00334103">
        <w:rPr>
          <w:rFonts w:cs="Times New Roman"/>
        </w:rPr>
        <w:t xml:space="preserve"> Reference (REF) Case</w:t>
      </w:r>
      <w:r w:rsidR="00442C60" w:rsidRPr="00334103">
        <w:rPr>
          <w:rFonts w:cs="Times New Roman"/>
        </w:rPr>
        <w:t xml:space="preserve"> scenario</w:t>
      </w:r>
      <w:r w:rsidR="00D2050B" w:rsidRPr="00334103">
        <w:rPr>
          <w:rFonts w:cs="Times New Roman"/>
        </w:rPr>
        <w:t xml:space="preserve"> which </w:t>
      </w:r>
      <w:r w:rsidR="0054574A" w:rsidRPr="00334103">
        <w:rPr>
          <w:rFonts w:cs="Times New Roman"/>
        </w:rPr>
        <w:t>has been</w:t>
      </w:r>
      <w:r w:rsidRPr="00334103">
        <w:rPr>
          <w:rFonts w:cs="Times New Roman"/>
        </w:rPr>
        <w:t xml:space="preserve"> taken as</w:t>
      </w:r>
      <w:r w:rsidR="00D2050B" w:rsidRPr="00334103">
        <w:rPr>
          <w:rFonts w:cs="Times New Roman"/>
        </w:rPr>
        <w:t xml:space="preserve"> the baseline</w:t>
      </w:r>
      <w:r w:rsidRPr="00334103">
        <w:rPr>
          <w:rFonts w:cs="Times New Roman"/>
        </w:rPr>
        <w:t>: this scenario does not envisage</w:t>
      </w:r>
      <w:r w:rsidR="00D2050B" w:rsidRPr="00334103">
        <w:rPr>
          <w:rFonts w:cs="Times New Roman"/>
        </w:rPr>
        <w:t xml:space="preserve"> </w:t>
      </w:r>
      <w:r w:rsidRPr="00334103">
        <w:rPr>
          <w:rFonts w:cs="Times New Roman"/>
        </w:rPr>
        <w:t xml:space="preserve">any </w:t>
      </w:r>
      <w:r w:rsidR="00442C60" w:rsidRPr="00334103">
        <w:rPr>
          <w:rFonts w:cs="Times New Roman"/>
        </w:rPr>
        <w:t>large scale</w:t>
      </w:r>
      <w:r w:rsidR="00D2050B" w:rsidRPr="00334103">
        <w:rPr>
          <w:rFonts w:cs="Times New Roman"/>
        </w:rPr>
        <w:t xml:space="preserve"> </w:t>
      </w:r>
      <w:r w:rsidR="00442C60" w:rsidRPr="00334103">
        <w:rPr>
          <w:rFonts w:cs="Times New Roman"/>
        </w:rPr>
        <w:t xml:space="preserve">or disruptive </w:t>
      </w:r>
      <w:r w:rsidR="00D2050B" w:rsidRPr="00334103">
        <w:rPr>
          <w:rFonts w:cs="Times New Roman"/>
        </w:rPr>
        <w:t>changes in th</w:t>
      </w:r>
      <w:r w:rsidRPr="00334103">
        <w:rPr>
          <w:rFonts w:cs="Times New Roman"/>
        </w:rPr>
        <w:t>is sector</w:t>
      </w:r>
      <w:r w:rsidR="00781D8A" w:rsidRPr="00334103">
        <w:rPr>
          <w:rFonts w:cs="Times New Roman"/>
        </w:rPr>
        <w:t>.</w:t>
      </w:r>
      <w:r w:rsidR="0054574A" w:rsidRPr="00334103">
        <w:rPr>
          <w:rFonts w:cs="Times New Roman"/>
        </w:rPr>
        <w:t xml:space="preserve"> The second is a set of more ambitious scenarios called the</w:t>
      </w:r>
      <w:r w:rsidR="00D2050B" w:rsidRPr="00334103">
        <w:rPr>
          <w:rFonts w:cs="Times New Roman"/>
        </w:rPr>
        <w:t xml:space="preserve"> Project Drawdown Scenarios (PDS)</w:t>
      </w:r>
      <w:r w:rsidR="0054574A" w:rsidRPr="00334103">
        <w:rPr>
          <w:rFonts w:cs="Times New Roman"/>
        </w:rPr>
        <w:t xml:space="preserve"> each</w:t>
      </w:r>
      <w:r w:rsidR="00D2050B" w:rsidRPr="00334103">
        <w:rPr>
          <w:rFonts w:cs="Times New Roman"/>
        </w:rPr>
        <w:t xml:space="preserve"> with varying levels of adoption of</w:t>
      </w:r>
      <w:r w:rsidR="0098714B" w:rsidRPr="00334103">
        <w:rPr>
          <w:rFonts w:cs="Times New Roman"/>
        </w:rPr>
        <w:t xml:space="preserve"> specific</w:t>
      </w:r>
      <w:r w:rsidR="00D2050B" w:rsidRPr="00334103">
        <w:rPr>
          <w:rFonts w:cs="Times New Roman"/>
        </w:rPr>
        <w:t xml:space="preserve"> </w:t>
      </w:r>
      <w:r w:rsidR="0054574A" w:rsidRPr="00334103">
        <w:rPr>
          <w:rFonts w:cs="Times New Roman"/>
        </w:rPr>
        <w:t>“</w:t>
      </w:r>
      <w:r w:rsidR="00D2050B" w:rsidRPr="00334103">
        <w:rPr>
          <w:rFonts w:cs="Times New Roman"/>
        </w:rPr>
        <w:t>solution</w:t>
      </w:r>
      <w:r w:rsidR="0098714B" w:rsidRPr="00334103">
        <w:rPr>
          <w:rFonts w:cs="Times New Roman"/>
        </w:rPr>
        <w:t>s</w:t>
      </w:r>
      <w:r w:rsidR="0054574A" w:rsidRPr="00334103">
        <w:rPr>
          <w:rFonts w:cs="Times New Roman"/>
        </w:rPr>
        <w:t>”</w:t>
      </w:r>
      <w:r w:rsidR="00D2050B" w:rsidRPr="00334103">
        <w:rPr>
          <w:rFonts w:cs="Times New Roman"/>
        </w:rPr>
        <w:t xml:space="preserve">. </w:t>
      </w:r>
      <w:r w:rsidR="00442C60" w:rsidRPr="00334103">
        <w:rPr>
          <w:rFonts w:cs="Times New Roman"/>
        </w:rPr>
        <w:t xml:space="preserve">Called the Plausible, Drawdown and the Optimum </w:t>
      </w:r>
      <w:r w:rsidR="000A10E5" w:rsidRPr="00334103">
        <w:rPr>
          <w:rFonts w:cs="Times New Roman"/>
        </w:rPr>
        <w:t>Scenarios, they</w:t>
      </w:r>
      <w:r w:rsidR="0098714B" w:rsidRPr="00334103">
        <w:rPr>
          <w:rFonts w:cs="Times New Roman"/>
        </w:rPr>
        <w:t xml:space="preserve"> </w:t>
      </w:r>
      <w:r w:rsidR="00A90312" w:rsidRPr="00334103">
        <w:rPr>
          <w:rFonts w:cs="Times New Roman"/>
        </w:rPr>
        <w:t>r</w:t>
      </w:r>
      <w:r w:rsidR="0098714B" w:rsidRPr="00334103">
        <w:rPr>
          <w:rFonts w:cs="Times New Roman"/>
        </w:rPr>
        <w:t>evolve around the extent and intensity of adoption of the specific solutions in the various fields.</w:t>
      </w:r>
      <w:r w:rsidR="00E27BD3" w:rsidRPr="00334103">
        <w:rPr>
          <w:rFonts w:cs="Times New Roman"/>
        </w:rPr>
        <w:t xml:space="preserve"> </w:t>
      </w:r>
      <w:r w:rsidR="0098714B" w:rsidRPr="00334103">
        <w:rPr>
          <w:rFonts w:cs="Times New Roman"/>
        </w:rPr>
        <w:t>R</w:t>
      </w:r>
      <w:r w:rsidR="00D2050B" w:rsidRPr="00334103">
        <w:rPr>
          <w:rFonts w:cs="Times New Roman"/>
        </w:rPr>
        <w:t>esults</w:t>
      </w:r>
      <w:r w:rsidR="0098714B" w:rsidRPr="00334103">
        <w:rPr>
          <w:rFonts w:cs="Times New Roman"/>
        </w:rPr>
        <w:t xml:space="preserve"> are published</w:t>
      </w:r>
      <w:r w:rsidR="00D2050B" w:rsidRPr="00334103">
        <w:rPr>
          <w:rFonts w:cs="Times New Roman"/>
        </w:rPr>
        <w:t xml:space="preserve"> show</w:t>
      </w:r>
      <w:r w:rsidR="0098714B" w:rsidRPr="00334103">
        <w:rPr>
          <w:rFonts w:cs="Times New Roman"/>
        </w:rPr>
        <w:t>ing</w:t>
      </w:r>
      <w:r w:rsidR="00D2050B" w:rsidRPr="00334103">
        <w:rPr>
          <w:rFonts w:cs="Times New Roman"/>
        </w:rPr>
        <w:t xml:space="preserve"> the</w:t>
      </w:r>
      <w:r w:rsidR="0098714B" w:rsidRPr="00334103">
        <w:rPr>
          <w:rFonts w:cs="Times New Roman"/>
        </w:rPr>
        <w:t xml:space="preserve"> levels and rates of adoption of the solution with reference to the</w:t>
      </w:r>
      <w:r w:rsidR="00D2050B" w:rsidRPr="00334103">
        <w:rPr>
          <w:rFonts w:cs="Times New Roman"/>
        </w:rPr>
        <w:t xml:space="preserve"> baseline</w:t>
      </w:r>
      <w:r w:rsidR="0098714B" w:rsidRPr="00334103">
        <w:rPr>
          <w:rFonts w:cs="Times New Roman"/>
        </w:rPr>
        <w:t xml:space="preserve"> scenario</w:t>
      </w:r>
      <w:r w:rsidR="00D2050B" w:rsidRPr="00334103">
        <w:rPr>
          <w:rFonts w:cs="Times New Roman"/>
        </w:rPr>
        <w:t>.</w:t>
      </w:r>
      <w:bookmarkEnd w:id="35"/>
      <w:r w:rsidR="0098714B" w:rsidRPr="00334103">
        <w:rPr>
          <w:rFonts w:cs="Times New Roman"/>
        </w:rPr>
        <w:t xml:space="preserve"> These are elaborated below</w:t>
      </w:r>
      <w:r w:rsidR="0098714B" w:rsidRPr="00061636">
        <w:rPr>
          <w:rFonts w:cs="Times New Roman"/>
        </w:rPr>
        <w:t>.</w:t>
      </w:r>
    </w:p>
    <w:p w14:paraId="5BB095A5" w14:textId="77777777" w:rsidR="000875B5" w:rsidRPr="00061636" w:rsidRDefault="000875B5" w:rsidP="005D49A8">
      <w:pPr>
        <w:pStyle w:val="Heading3"/>
      </w:pPr>
      <w:bookmarkStart w:id="36" w:name="_Toc10331913"/>
      <w:r w:rsidRPr="00061636">
        <w:t>Reference Case / Current Adoption</w:t>
      </w:r>
      <w:bookmarkEnd w:id="36"/>
    </w:p>
    <w:p w14:paraId="2069C724" w14:textId="2345E6F6" w:rsidR="000875B5" w:rsidRPr="00061636" w:rsidRDefault="008E6B1D" w:rsidP="00EB247F">
      <w:pPr>
        <w:rPr>
          <w:rFonts w:cs="Times New Roman"/>
        </w:rPr>
      </w:pPr>
      <w:r w:rsidRPr="00061636">
        <w:rPr>
          <w:rFonts w:cs="Times New Roman"/>
        </w:rPr>
        <w:t xml:space="preserve">For the </w:t>
      </w:r>
      <w:r w:rsidR="0098714B" w:rsidRPr="00061636">
        <w:rPr>
          <w:rFonts w:cs="Times New Roman"/>
        </w:rPr>
        <w:t xml:space="preserve">purposes of </w:t>
      </w:r>
      <w:r w:rsidRPr="00061636">
        <w:rPr>
          <w:rFonts w:cs="Times New Roman"/>
          <w:bCs/>
        </w:rPr>
        <w:t>Reference</w:t>
      </w:r>
      <w:r w:rsidR="0098714B" w:rsidRPr="00061636">
        <w:rPr>
          <w:rFonts w:cs="Times New Roman"/>
          <w:bCs/>
        </w:rPr>
        <w:t xml:space="preserve"> Case</w:t>
      </w:r>
      <w:r w:rsidRPr="00061636">
        <w:rPr>
          <w:rFonts w:cs="Times New Roman"/>
          <w:bCs/>
        </w:rPr>
        <w:t xml:space="preserve"> (REF), </w:t>
      </w:r>
      <w:r w:rsidRPr="00061636">
        <w:rPr>
          <w:rFonts w:cs="Times New Roman"/>
        </w:rPr>
        <w:t>adoption is fixed at the current adoption</w:t>
      </w:r>
      <w:r w:rsidRPr="00061636">
        <w:rPr>
          <w:rStyle w:val="FootnoteReference"/>
          <w:rFonts w:cs="Times New Roman"/>
        </w:rPr>
        <w:footnoteReference w:id="4"/>
      </w:r>
      <w:r w:rsidRPr="00061636">
        <w:rPr>
          <w:rFonts w:cs="Times New Roman"/>
        </w:rPr>
        <w:t xml:space="preserve"> </w:t>
      </w:r>
      <w:r w:rsidR="0098714B" w:rsidRPr="00061636">
        <w:rPr>
          <w:rFonts w:cs="Times New Roman"/>
        </w:rPr>
        <w:t xml:space="preserve">levels </w:t>
      </w:r>
      <w:r w:rsidRPr="00061636">
        <w:rPr>
          <w:rFonts w:cs="Times New Roman"/>
        </w:rPr>
        <w:t>(in percent</w:t>
      </w:r>
      <w:r w:rsidR="0098714B" w:rsidRPr="00061636">
        <w:rPr>
          <w:rFonts w:cs="Times New Roman"/>
        </w:rPr>
        <w:t>age terms</w:t>
      </w:r>
      <w:r w:rsidRPr="00061636">
        <w:rPr>
          <w:rFonts w:cs="Times New Roman"/>
        </w:rPr>
        <w:t xml:space="preserve">) of the market. </w:t>
      </w:r>
      <w:r w:rsidR="0098714B" w:rsidRPr="00061636">
        <w:rPr>
          <w:rFonts w:cs="Times New Roman"/>
        </w:rPr>
        <w:t xml:space="preserve">For the purposes of </w:t>
      </w:r>
      <w:r w:rsidR="00C944FE" w:rsidRPr="00061636">
        <w:rPr>
          <w:rFonts w:cs="Times New Roman"/>
        </w:rPr>
        <w:t>Utility Scale SPV</w:t>
      </w:r>
      <w:r w:rsidRPr="00061636">
        <w:rPr>
          <w:rFonts w:cs="Times New Roman"/>
        </w:rPr>
        <w:t xml:space="preserve"> the current percent</w:t>
      </w:r>
      <w:r w:rsidR="00F4258D" w:rsidRPr="00061636">
        <w:rPr>
          <w:rFonts w:cs="Times New Roman"/>
        </w:rPr>
        <w:t>age</w:t>
      </w:r>
      <w:r w:rsidRPr="00061636">
        <w:rPr>
          <w:rFonts w:cs="Times New Roman"/>
        </w:rPr>
        <w:t xml:space="preserve"> of total electricity generation (</w:t>
      </w:r>
      <w:proofErr w:type="spellStart"/>
      <w:r w:rsidRPr="00061636">
        <w:rPr>
          <w:rFonts w:cs="Times New Roman"/>
        </w:rPr>
        <w:t>TWh</w:t>
      </w:r>
      <w:proofErr w:type="spellEnd"/>
      <w:r w:rsidRPr="00061636">
        <w:rPr>
          <w:rFonts w:cs="Times New Roman"/>
        </w:rPr>
        <w:t xml:space="preserve">) provided </w:t>
      </w:r>
      <w:r w:rsidR="000A10E5" w:rsidRPr="00061636">
        <w:rPr>
          <w:rFonts w:cs="Times New Roman"/>
        </w:rPr>
        <w:t xml:space="preserve">by </w:t>
      </w:r>
      <w:r w:rsidR="000A10E5" w:rsidRPr="001E05E2">
        <w:rPr>
          <w:rFonts w:cs="Times New Roman"/>
        </w:rPr>
        <w:t>these</w:t>
      </w:r>
      <w:r w:rsidRPr="001E05E2">
        <w:rPr>
          <w:rFonts w:cs="Times New Roman"/>
        </w:rPr>
        <w:t xml:space="preserve"> plants</w:t>
      </w:r>
      <w:r w:rsidR="00C944FE" w:rsidRPr="001E05E2">
        <w:rPr>
          <w:rFonts w:cs="Times New Roman"/>
        </w:rPr>
        <w:t xml:space="preserve"> has been kept </w:t>
      </w:r>
      <w:r w:rsidRPr="001E05E2">
        <w:rPr>
          <w:rFonts w:cs="Times New Roman"/>
        </w:rPr>
        <w:t>constant throughout the study period</w:t>
      </w:r>
      <w:r w:rsidR="00C944FE" w:rsidRPr="001E05E2">
        <w:rPr>
          <w:rFonts w:cs="Times New Roman"/>
        </w:rPr>
        <w:t xml:space="preserve"> up</w:t>
      </w:r>
      <w:r w:rsidR="00E27BD3" w:rsidRPr="001E05E2">
        <w:rPr>
          <w:rFonts w:cs="Times New Roman"/>
        </w:rPr>
        <w:t xml:space="preserve"> </w:t>
      </w:r>
      <w:r w:rsidRPr="001E05E2">
        <w:rPr>
          <w:rFonts w:cs="Times New Roman"/>
        </w:rPr>
        <w:t xml:space="preserve">to 2050. As the market grows, the </w:t>
      </w:r>
      <w:r w:rsidR="00C944FE" w:rsidRPr="001E05E2">
        <w:rPr>
          <w:rFonts w:cs="Times New Roman"/>
        </w:rPr>
        <w:t>installed capacity</w:t>
      </w:r>
      <w:r w:rsidRPr="001E05E2">
        <w:rPr>
          <w:rFonts w:cs="Times New Roman"/>
        </w:rPr>
        <w:t xml:space="preserve"> of solar PV plants </w:t>
      </w:r>
      <w:r w:rsidR="00C944FE" w:rsidRPr="001E05E2">
        <w:rPr>
          <w:rFonts w:cs="Times New Roman"/>
        </w:rPr>
        <w:t>would need to</w:t>
      </w:r>
      <w:r w:rsidRPr="001E05E2">
        <w:rPr>
          <w:rFonts w:cs="Times New Roman"/>
        </w:rPr>
        <w:t xml:space="preserve"> grow equally</w:t>
      </w:r>
      <w:r w:rsidR="00C944FE" w:rsidRPr="001E05E2">
        <w:rPr>
          <w:rFonts w:cs="Times New Roman"/>
        </w:rPr>
        <w:t xml:space="preserve"> in order</w:t>
      </w:r>
      <w:r w:rsidRPr="001E05E2">
        <w:rPr>
          <w:rFonts w:cs="Times New Roman"/>
        </w:rPr>
        <w:t xml:space="preserve"> to maintain the</w:t>
      </w:r>
      <w:r w:rsidR="00C944FE" w:rsidRPr="001E05E2">
        <w:rPr>
          <w:rFonts w:cs="Times New Roman"/>
        </w:rPr>
        <w:t xml:space="preserve"> present</w:t>
      </w:r>
      <w:r w:rsidRPr="001E05E2">
        <w:rPr>
          <w:rFonts w:cs="Times New Roman"/>
        </w:rPr>
        <w:t xml:space="preserve"> percent</w:t>
      </w:r>
      <w:r w:rsidR="00C944FE" w:rsidRPr="001E05E2">
        <w:rPr>
          <w:rFonts w:cs="Times New Roman"/>
        </w:rPr>
        <w:t>age</w:t>
      </w:r>
      <w:r w:rsidRPr="001E05E2">
        <w:rPr>
          <w:rFonts w:cs="Times New Roman"/>
        </w:rPr>
        <w:t xml:space="preserve"> adoption</w:t>
      </w:r>
      <w:r w:rsidR="00C944FE" w:rsidRPr="001E05E2">
        <w:rPr>
          <w:rFonts w:cs="Times New Roman"/>
        </w:rPr>
        <w:t xml:space="preserve"> levels of 201</w:t>
      </w:r>
      <w:r w:rsidR="001E05E2" w:rsidRPr="001E05E2">
        <w:rPr>
          <w:rFonts w:cs="Times New Roman"/>
        </w:rPr>
        <w:t>8</w:t>
      </w:r>
      <w:r w:rsidR="00E27BD3" w:rsidRPr="001E05E2">
        <w:rPr>
          <w:rFonts w:cs="Times New Roman"/>
        </w:rPr>
        <w:t>.</w:t>
      </w:r>
      <w:r w:rsidRPr="001E05E2">
        <w:rPr>
          <w:rFonts w:cs="Times New Roman"/>
        </w:rPr>
        <w:t xml:space="preserve"> It is acknowledged that this, in reality, may not be a “business as usual” </w:t>
      </w:r>
      <w:r w:rsidR="00C944FE" w:rsidRPr="001E05E2">
        <w:rPr>
          <w:rFonts w:cs="Times New Roman"/>
        </w:rPr>
        <w:t xml:space="preserve">trajectory </w:t>
      </w:r>
      <w:r w:rsidRPr="001E05E2">
        <w:rPr>
          <w:rFonts w:cs="Times New Roman"/>
        </w:rPr>
        <w:t>considering</w:t>
      </w:r>
      <w:r w:rsidR="00C944FE" w:rsidRPr="001E05E2">
        <w:rPr>
          <w:rFonts w:cs="Times New Roman"/>
        </w:rPr>
        <w:t xml:space="preserve"> the speedy</w:t>
      </w:r>
      <w:r w:rsidRPr="001E05E2">
        <w:rPr>
          <w:rFonts w:cs="Times New Roman"/>
        </w:rPr>
        <w:t xml:space="preserve"> changes taking</w:t>
      </w:r>
      <w:r w:rsidRPr="00061636">
        <w:rPr>
          <w:rFonts w:cs="Times New Roman"/>
        </w:rPr>
        <w:t xml:space="preserve"> place</w:t>
      </w:r>
      <w:r w:rsidR="00C944FE" w:rsidRPr="00061636">
        <w:rPr>
          <w:rFonts w:cs="Times New Roman"/>
        </w:rPr>
        <w:t xml:space="preserve"> in this sector</w:t>
      </w:r>
      <w:r w:rsidRPr="00061636">
        <w:rPr>
          <w:rFonts w:cs="Times New Roman"/>
        </w:rPr>
        <w:t xml:space="preserve"> worldwide</w:t>
      </w:r>
      <w:r w:rsidR="00C944FE" w:rsidRPr="00061636">
        <w:rPr>
          <w:rFonts w:cs="Times New Roman"/>
        </w:rPr>
        <w:t>;</w:t>
      </w:r>
      <w:r w:rsidRPr="00061636">
        <w:rPr>
          <w:rFonts w:cs="Times New Roman"/>
        </w:rPr>
        <w:t xml:space="preserve"> but it allows </w:t>
      </w:r>
      <w:r w:rsidR="00C944FE" w:rsidRPr="00061636">
        <w:rPr>
          <w:rFonts w:cs="Times New Roman"/>
        </w:rPr>
        <w:t xml:space="preserve">a sort of </w:t>
      </w:r>
      <w:r w:rsidRPr="00061636">
        <w:rPr>
          <w:rFonts w:cs="Times New Roman"/>
        </w:rPr>
        <w:t>measure</w:t>
      </w:r>
      <w:r w:rsidR="00C944FE" w:rsidRPr="00061636">
        <w:rPr>
          <w:rFonts w:cs="Times New Roman"/>
        </w:rPr>
        <w:t xml:space="preserve"> to evaluate</w:t>
      </w:r>
      <w:r w:rsidRPr="00061636">
        <w:rPr>
          <w:rFonts w:cs="Times New Roman"/>
        </w:rPr>
        <w:t xml:space="preserve"> the impact of recent </w:t>
      </w:r>
      <w:r w:rsidR="000A10E5" w:rsidRPr="00061636">
        <w:rPr>
          <w:rFonts w:cs="Times New Roman"/>
        </w:rPr>
        <w:t>and more</w:t>
      </w:r>
      <w:r w:rsidRPr="00061636">
        <w:rPr>
          <w:rFonts w:cs="Times New Roman"/>
        </w:rPr>
        <w:t xml:space="preserve"> aggressive policies</w:t>
      </w:r>
      <w:r w:rsidR="002B53E5" w:rsidRPr="00061636">
        <w:rPr>
          <w:rFonts w:cs="Times New Roman"/>
        </w:rPr>
        <w:t xml:space="preserve"> to </w:t>
      </w:r>
      <w:r w:rsidR="00851CD9">
        <w:rPr>
          <w:rFonts w:cs="Times New Roman"/>
        </w:rPr>
        <w:t>reverse</w:t>
      </w:r>
      <w:r w:rsidR="00E27BD3">
        <w:rPr>
          <w:rFonts w:cs="Times New Roman"/>
        </w:rPr>
        <w:t xml:space="preserve"> global warming.</w:t>
      </w:r>
    </w:p>
    <w:p w14:paraId="2FE0BC9D" w14:textId="10096525" w:rsidR="000875B5" w:rsidRPr="00061636" w:rsidRDefault="00D2050B" w:rsidP="005D49A8">
      <w:pPr>
        <w:pStyle w:val="Heading3"/>
      </w:pPr>
      <w:bookmarkStart w:id="37" w:name="_Toc10331914"/>
      <w:r w:rsidRPr="00061636">
        <w:t>Project Drawdown</w:t>
      </w:r>
      <w:r w:rsidR="000875B5" w:rsidRPr="00061636">
        <w:t xml:space="preserve"> Scenarios</w:t>
      </w:r>
      <w:bookmarkEnd w:id="37"/>
    </w:p>
    <w:p w14:paraId="006DA369" w14:textId="05928C0C" w:rsidR="005A6986" w:rsidRPr="00061636" w:rsidRDefault="000875B5" w:rsidP="004B4939">
      <w:pPr>
        <w:rPr>
          <w:rFonts w:cs="Times New Roman"/>
        </w:rPr>
      </w:pPr>
      <w:r w:rsidRPr="00061636">
        <w:rPr>
          <w:rFonts w:cs="Times New Roman"/>
        </w:rPr>
        <w:t>Three Project Dr</w:t>
      </w:r>
      <w:r w:rsidR="005A6986" w:rsidRPr="00061636">
        <w:rPr>
          <w:rFonts w:cs="Times New Roman"/>
        </w:rPr>
        <w:t xml:space="preserve">awdown </w:t>
      </w:r>
      <w:r w:rsidR="007546C9" w:rsidRPr="00061636">
        <w:rPr>
          <w:rFonts w:cs="Times New Roman"/>
        </w:rPr>
        <w:t>scenarios (</w:t>
      </w:r>
      <w:r w:rsidR="000A10E5" w:rsidRPr="00061636">
        <w:rPr>
          <w:rFonts w:cs="Times New Roman"/>
        </w:rPr>
        <w:t>PDS) have</w:t>
      </w:r>
      <w:r w:rsidR="002B53E5" w:rsidRPr="00061636">
        <w:rPr>
          <w:rFonts w:cs="Times New Roman"/>
        </w:rPr>
        <w:t xml:space="preserve"> been</w:t>
      </w:r>
      <w:r w:rsidR="005A6986" w:rsidRPr="00061636">
        <w:rPr>
          <w:rFonts w:cs="Times New Roman"/>
        </w:rPr>
        <w:t xml:space="preserve"> developed for each solution, to compare the impact of increase</w:t>
      </w:r>
      <w:r w:rsidR="00AC493E" w:rsidRPr="00061636">
        <w:rPr>
          <w:rFonts w:cs="Times New Roman"/>
        </w:rPr>
        <w:t>d</w:t>
      </w:r>
      <w:r w:rsidR="005A6986" w:rsidRPr="00061636">
        <w:rPr>
          <w:rFonts w:cs="Times New Roman"/>
        </w:rPr>
        <w:t xml:space="preserve"> adoption of the solution to a reference case scenario</w:t>
      </w:r>
      <w:r w:rsidR="002B53E5" w:rsidRPr="00061636">
        <w:rPr>
          <w:rFonts w:cs="Times New Roman"/>
        </w:rPr>
        <w:t>. These are</w:t>
      </w:r>
      <w:r w:rsidR="008E6B1D" w:rsidRPr="00061636">
        <w:rPr>
          <w:rFonts w:cs="Times New Roman"/>
        </w:rPr>
        <w:t>:</w:t>
      </w:r>
    </w:p>
    <w:p w14:paraId="7481C662" w14:textId="35ED3F08" w:rsidR="00AC493E" w:rsidRPr="00061636" w:rsidRDefault="00AC493E" w:rsidP="003C3534">
      <w:pPr>
        <w:pStyle w:val="Heading4"/>
      </w:pPr>
      <w:bookmarkStart w:id="38" w:name="_Toc507486009"/>
      <w:r w:rsidRPr="00061636">
        <w:t>Plausible Scenario</w:t>
      </w:r>
      <w:bookmarkEnd w:id="38"/>
    </w:p>
    <w:p w14:paraId="4C2A241B" w14:textId="57A18C12" w:rsidR="003E6741" w:rsidRDefault="003E6741" w:rsidP="003E6741">
      <w:bookmarkStart w:id="39" w:name="_Toc507486010"/>
      <w:r w:rsidRPr="00014DE8">
        <w:t xml:space="preserve">This scenario </w:t>
      </w:r>
      <w:r w:rsidRPr="00AD641D">
        <w:t>represents an incremental and plausible growth of re</w:t>
      </w:r>
      <w:r>
        <w:t>newable energy solutions using medium to</w:t>
      </w:r>
      <w:r w:rsidRPr="00AD641D">
        <w:t xml:space="preserve"> high growth</w:t>
      </w:r>
      <w:r>
        <w:t xml:space="preserve"> trajectories</w:t>
      </w:r>
      <w:r w:rsidRPr="00AD641D">
        <w:t xml:space="preserve"> to 2050</w:t>
      </w:r>
      <w:r>
        <w:t xml:space="preserve"> depending on the current maturity levels of the technology</w:t>
      </w:r>
      <w:r w:rsidRPr="00AD641D">
        <w:t xml:space="preserve">, </w:t>
      </w:r>
      <w:r>
        <w:t xml:space="preserve">and </w:t>
      </w:r>
      <w:r w:rsidRPr="00AD641D">
        <w:t xml:space="preserve">bounded by existing ambitious projections </w:t>
      </w:r>
      <w:r w:rsidRPr="00A142FC">
        <w:t xml:space="preserve">from other global energy systems models. For </w:t>
      </w:r>
      <w:r>
        <w:t>solar PV farms</w:t>
      </w:r>
      <w:r w:rsidRPr="00A142FC">
        <w:t xml:space="preserve">, this scenario is based on the evaluation of yearly averages of </w:t>
      </w:r>
      <w:r>
        <w:t>five</w:t>
      </w:r>
      <w:r w:rsidRPr="00A142FC">
        <w:t xml:space="preserve"> optimistic scenarios: IEA (2017) Energy Technology Perspectives 2DS and B2DS scenarios; IEA (2018) World Energy Outlook SDS;</w:t>
      </w:r>
      <w:r>
        <w:t xml:space="preserve"> IRENA (2018</w:t>
      </w:r>
      <w:r w:rsidR="0088031F">
        <w:t>d</w:t>
      </w:r>
      <w:r>
        <w:t xml:space="preserve">) </w:t>
      </w:r>
      <w:proofErr w:type="spellStart"/>
      <w:r>
        <w:t>REmap</w:t>
      </w:r>
      <w:proofErr w:type="spellEnd"/>
      <w:r>
        <w:t xml:space="preserve"> Case scenario</w:t>
      </w:r>
      <w:r w:rsidRPr="00A142FC">
        <w:t>;</w:t>
      </w:r>
      <w:r>
        <w:t xml:space="preserve"> and Grantham Institute and Carbon Tracker (2017) Strong PV Scenario</w:t>
      </w:r>
      <w:r w:rsidRPr="00A142FC">
        <w:t xml:space="preserve"> using a high growth trajectory.</w:t>
      </w:r>
    </w:p>
    <w:p w14:paraId="0A63923E" w14:textId="232B2FE5" w:rsidR="00AC493E" w:rsidRPr="00061636" w:rsidRDefault="00AC493E" w:rsidP="003C3534">
      <w:pPr>
        <w:pStyle w:val="Heading4"/>
      </w:pPr>
      <w:r w:rsidRPr="00061636">
        <w:lastRenderedPageBreak/>
        <w:t>Drawdown Scenario</w:t>
      </w:r>
      <w:bookmarkEnd w:id="39"/>
    </w:p>
    <w:p w14:paraId="5B058CCF" w14:textId="034D493E" w:rsidR="003E6741" w:rsidRPr="00304335" w:rsidRDefault="003E6741" w:rsidP="003E6741">
      <w:pPr>
        <w:rPr>
          <w:rFonts w:cs="Times New Roman"/>
          <w:highlight w:val="lightGray"/>
        </w:rPr>
      </w:pPr>
      <w:bookmarkStart w:id="40" w:name="_Toc507486011"/>
      <w:r w:rsidRPr="00014DE8">
        <w:rPr>
          <w:rFonts w:cs="Times New Roman"/>
        </w:rPr>
        <w:t xml:space="preserve">This scenario is optimized to reach drawdown by 2050 using more ambitious projections from existing </w:t>
      </w:r>
      <w:r w:rsidRPr="00304335">
        <w:rPr>
          <w:rFonts w:cs="Times New Roman"/>
        </w:rPr>
        <w:t xml:space="preserve">sources. The scenario projects a 100% adoption of </w:t>
      </w:r>
      <w:r>
        <w:rPr>
          <w:rFonts w:cs="Times New Roman"/>
        </w:rPr>
        <w:t xml:space="preserve">non-fossil fuel-based technologies in 2050; mainly RES but also </w:t>
      </w:r>
      <w:r w:rsidRPr="00304335">
        <w:rPr>
          <w:rFonts w:cs="Times New Roman"/>
        </w:rPr>
        <w:t xml:space="preserve">includes several technologies that are considered transitional solutions </w:t>
      </w:r>
      <w:r>
        <w:rPr>
          <w:rFonts w:cs="Times New Roman"/>
        </w:rPr>
        <w:t xml:space="preserve">(as nuclear energy) </w:t>
      </w:r>
      <w:r w:rsidRPr="00304335">
        <w:rPr>
          <w:rFonts w:cs="Times New Roman"/>
        </w:rPr>
        <w:t xml:space="preserve">(See section 6). For </w:t>
      </w:r>
      <w:r>
        <w:rPr>
          <w:rFonts w:cs="Times New Roman"/>
        </w:rPr>
        <w:t>solar PV farms</w:t>
      </w:r>
      <w:r w:rsidRPr="00304335">
        <w:rPr>
          <w:rFonts w:cs="Times New Roman"/>
        </w:rPr>
        <w:t xml:space="preserve">, this scenario is </w:t>
      </w:r>
      <w:r>
        <w:rPr>
          <w:rFonts w:cs="Times New Roman"/>
        </w:rPr>
        <w:t>based o</w:t>
      </w:r>
      <w:r w:rsidRPr="00304335">
        <w:rPr>
          <w:rFonts w:cs="Times New Roman"/>
        </w:rPr>
        <w:t xml:space="preserve">n the yearly average values of three 100% RES scenarios of electricity generation by 2050, being Greenpeace (2015) Advanced Energy [R]evolution Scenario; Ram et al. (2019) scenario and </w:t>
      </w:r>
      <w:proofErr w:type="spellStart"/>
      <w:r w:rsidRPr="00304335">
        <w:rPr>
          <w:rFonts w:cs="Times New Roman"/>
        </w:rPr>
        <w:t>Ecofys</w:t>
      </w:r>
      <w:proofErr w:type="spellEnd"/>
      <w:r w:rsidRPr="00304335">
        <w:rPr>
          <w:rFonts w:cs="Times New Roman"/>
        </w:rPr>
        <w:t xml:space="preserve"> (2018) 1.5ºC scenario. These scenarios represent very ambitious pathway towards a fully decarbonized energy system in 2050</w:t>
      </w:r>
      <w:r>
        <w:rPr>
          <w:rFonts w:cs="Times New Roman"/>
        </w:rPr>
        <w:t>.</w:t>
      </w:r>
    </w:p>
    <w:p w14:paraId="7A77F5DD" w14:textId="3CDBE5A4" w:rsidR="00AC493E" w:rsidRPr="00061636" w:rsidRDefault="00AC493E" w:rsidP="003E6741">
      <w:pPr>
        <w:pStyle w:val="Heading4"/>
      </w:pPr>
      <w:r w:rsidRPr="00061636">
        <w:t>Optimum Scenario</w:t>
      </w:r>
      <w:bookmarkEnd w:id="40"/>
    </w:p>
    <w:p w14:paraId="660EEC23" w14:textId="2C242FDF" w:rsidR="00F11E39" w:rsidRPr="00F11E39" w:rsidRDefault="003E6741" w:rsidP="00EB247F">
      <w:pPr>
        <w:rPr>
          <w:rFonts w:cs="Times New Roman"/>
        </w:rPr>
      </w:pPr>
      <w:r w:rsidRPr="00280BF9">
        <w:t xml:space="preserve">This scenario represents the most optimistic case, in which clean, renewable energy solutions such as wind, solar, and other renewable energy sources capture 100% of electricity generation by 2050, with both fossil fuels and transitional solutions fully phasing out by 2050. Like the </w:t>
      </w:r>
      <w:r w:rsidRPr="00280BF9">
        <w:rPr>
          <w:i/>
          <w:iCs/>
        </w:rPr>
        <w:t xml:space="preserve">Drawdown </w:t>
      </w:r>
      <w:r w:rsidRPr="00280BF9">
        <w:t xml:space="preserve">Scenario, this scenario for </w:t>
      </w:r>
      <w:r>
        <w:t>solar PV farms</w:t>
      </w:r>
      <w:r w:rsidRPr="00280BF9">
        <w:t xml:space="preserve"> is based on </w:t>
      </w:r>
      <w:r w:rsidRPr="00280BF9">
        <w:rPr>
          <w:rFonts w:cs="Times New Roman"/>
        </w:rPr>
        <w:t xml:space="preserve">the yearly average values of three 100% RES scenarios of electricity generation by 2050, being Greenpeace (2015) Advanced Energy [R]evolution Scenario; Ram et al. (2019) scenario and </w:t>
      </w:r>
      <w:proofErr w:type="spellStart"/>
      <w:r w:rsidRPr="00280BF9">
        <w:rPr>
          <w:rFonts w:cs="Times New Roman"/>
        </w:rPr>
        <w:t>Ecofys</w:t>
      </w:r>
      <w:proofErr w:type="spellEnd"/>
      <w:r w:rsidRPr="00280BF9">
        <w:rPr>
          <w:rFonts w:cs="Times New Roman"/>
        </w:rPr>
        <w:t xml:space="preserve"> (2018) 1.5ºC scenario.</w:t>
      </w:r>
    </w:p>
    <w:p w14:paraId="4C24E6F4" w14:textId="7904B6AD" w:rsidR="00FB3AB3" w:rsidRPr="00061636" w:rsidRDefault="00E069AC" w:rsidP="002A6808">
      <w:pPr>
        <w:pStyle w:val="Heading2"/>
        <w:numPr>
          <w:ilvl w:val="1"/>
          <w:numId w:val="8"/>
        </w:numPr>
      </w:pPr>
      <w:bookmarkStart w:id="41" w:name="_Toc10331915"/>
      <w:r w:rsidRPr="00061636">
        <w:t>Inputs</w:t>
      </w:r>
      <w:bookmarkEnd w:id="41"/>
    </w:p>
    <w:p w14:paraId="3EBCEF57" w14:textId="78F71A19" w:rsidR="00FB3AB3" w:rsidRPr="00061636" w:rsidRDefault="00E069AC" w:rsidP="005D49A8">
      <w:pPr>
        <w:pStyle w:val="Heading3"/>
      </w:pPr>
      <w:bookmarkStart w:id="42" w:name="_Toc10331916"/>
      <w:r w:rsidRPr="00061636">
        <w:t>Climate Inputs</w:t>
      </w:r>
      <w:bookmarkEnd w:id="42"/>
    </w:p>
    <w:p w14:paraId="722886CD" w14:textId="3A581470" w:rsidR="00FB3AB3" w:rsidRPr="00061636" w:rsidRDefault="00FB3AB3" w:rsidP="00EB247F">
      <w:pPr>
        <w:rPr>
          <w:rFonts w:cs="Times New Roman"/>
        </w:rPr>
      </w:pPr>
      <w:r w:rsidRPr="00061636">
        <w:rPr>
          <w:rFonts w:cs="Times New Roman"/>
        </w:rPr>
        <w:t>In order to calc</w:t>
      </w:r>
      <w:r w:rsidR="00AC493E" w:rsidRPr="00061636">
        <w:rPr>
          <w:rFonts w:cs="Times New Roman"/>
        </w:rPr>
        <w:t>ulate the climate impacts of the project Drawdown</w:t>
      </w:r>
      <w:r w:rsidRPr="00061636">
        <w:rPr>
          <w:rFonts w:cs="Times New Roman"/>
        </w:rPr>
        <w:t xml:space="preserve"> scenario</w:t>
      </w:r>
      <w:r w:rsidR="008E6B1D" w:rsidRPr="00061636">
        <w:rPr>
          <w:rFonts w:cs="Times New Roman"/>
        </w:rPr>
        <w:t>s</w:t>
      </w:r>
      <w:r w:rsidRPr="00061636">
        <w:rPr>
          <w:rFonts w:cs="Times New Roman"/>
        </w:rPr>
        <w:t>, in terms of maximum annual emissions reduction, total emissions re</w:t>
      </w:r>
      <w:r w:rsidR="00AC493E" w:rsidRPr="00061636">
        <w:rPr>
          <w:rFonts w:cs="Times New Roman"/>
        </w:rPr>
        <w:t xml:space="preserve">duction, and PPM </w:t>
      </w:r>
      <w:r w:rsidR="000A10E5" w:rsidRPr="00061636">
        <w:rPr>
          <w:rFonts w:cs="Times New Roman"/>
        </w:rPr>
        <w:t>equivalent, the</w:t>
      </w:r>
      <w:r w:rsidRPr="00061636">
        <w:rPr>
          <w:rFonts w:cs="Times New Roman"/>
        </w:rPr>
        <w:t xml:space="preserve"> utility-scale </w:t>
      </w:r>
      <w:r w:rsidR="00AC493E" w:rsidRPr="00061636">
        <w:rPr>
          <w:rFonts w:cs="Times New Roman"/>
        </w:rPr>
        <w:t xml:space="preserve">solar </w:t>
      </w:r>
      <w:r w:rsidRPr="00061636">
        <w:rPr>
          <w:rFonts w:cs="Times New Roman"/>
        </w:rPr>
        <w:t>PV generation</w:t>
      </w:r>
      <w:r w:rsidR="00034109" w:rsidRPr="00061636">
        <w:rPr>
          <w:rFonts w:cs="Times New Roman"/>
        </w:rPr>
        <w:t xml:space="preserve"> was estimated</w:t>
      </w:r>
      <w:r w:rsidRPr="00061636">
        <w:rPr>
          <w:rFonts w:cs="Times New Roman"/>
        </w:rPr>
        <w:t xml:space="preserve"> globally and regionally from 2020-2050</w:t>
      </w:r>
      <w:r w:rsidR="00034109" w:rsidRPr="00061636">
        <w:rPr>
          <w:rFonts w:cs="Times New Roman"/>
        </w:rPr>
        <w:t>. Thereafter,</w:t>
      </w:r>
      <w:r w:rsidRPr="00061636">
        <w:rPr>
          <w:rFonts w:cs="Times New Roman"/>
        </w:rPr>
        <w:t xml:space="preserve"> the emissions reductions due to the replacement of conventional electricity generation sources with </w:t>
      </w:r>
      <w:r w:rsidR="008E6B1D" w:rsidRPr="00061636">
        <w:rPr>
          <w:rFonts w:cs="Times New Roman"/>
        </w:rPr>
        <w:t xml:space="preserve">the </w:t>
      </w:r>
      <w:r w:rsidR="00034109" w:rsidRPr="00061636">
        <w:rPr>
          <w:rFonts w:cs="Times New Roman"/>
        </w:rPr>
        <w:t xml:space="preserve">SPV </w:t>
      </w:r>
      <w:r w:rsidR="008E6B1D" w:rsidRPr="00061636">
        <w:rPr>
          <w:rFonts w:cs="Times New Roman"/>
        </w:rPr>
        <w:t>solution</w:t>
      </w:r>
      <w:r w:rsidR="00034109" w:rsidRPr="00061636">
        <w:rPr>
          <w:rFonts w:cs="Times New Roman"/>
        </w:rPr>
        <w:t xml:space="preserve"> were calculated</w:t>
      </w:r>
      <w:r w:rsidR="008E6B1D" w:rsidRPr="00061636">
        <w:rPr>
          <w:rFonts w:cs="Times New Roman"/>
        </w:rPr>
        <w:t>. The detailed methodology of these calculations is available at</w:t>
      </w:r>
      <w:r w:rsidR="00AC493E" w:rsidRPr="00061636">
        <w:rPr>
          <w:rFonts w:cs="Times New Roman"/>
        </w:rPr>
        <w:t xml:space="preserve"> the </w:t>
      </w:r>
      <w:r w:rsidR="004B4939" w:rsidRPr="00061636">
        <w:rPr>
          <w:rFonts w:cs="Times New Roman"/>
        </w:rPr>
        <w:t xml:space="preserve">Project Drawdown </w:t>
      </w:r>
      <w:r w:rsidR="00AC493E" w:rsidRPr="00061636">
        <w:rPr>
          <w:rFonts w:cs="Times New Roman"/>
        </w:rPr>
        <w:t xml:space="preserve">Integration </w:t>
      </w:r>
      <w:r w:rsidR="004B4939" w:rsidRPr="00061636">
        <w:rPr>
          <w:rFonts w:cs="Times New Roman"/>
        </w:rPr>
        <w:t xml:space="preserve">Methodology </w:t>
      </w:r>
      <w:r w:rsidR="00AC493E" w:rsidRPr="00061636">
        <w:rPr>
          <w:rFonts w:cs="Times New Roman"/>
        </w:rPr>
        <w:t>report.</w:t>
      </w:r>
      <w:r w:rsidR="008E6B1D" w:rsidRPr="00061636">
        <w:rPr>
          <w:rFonts w:cs="Times New Roman"/>
        </w:rPr>
        <w:t xml:space="preserve"> </w:t>
      </w:r>
    </w:p>
    <w:p w14:paraId="052514BB" w14:textId="43F7DD5B" w:rsidR="00826B4A" w:rsidRPr="001B516F" w:rsidRDefault="00216B08" w:rsidP="001B516F">
      <w:pPr>
        <w:rPr>
          <w:rFonts w:cs="Times New Roman"/>
        </w:rPr>
      </w:pPr>
      <w:r w:rsidRPr="00061636">
        <w:rPr>
          <w:rFonts w:cs="Times New Roman"/>
          <w:bCs/>
        </w:rPr>
        <w:t>While being a renewable energy</w:t>
      </w:r>
      <w:r w:rsidR="00951B63" w:rsidRPr="00061636">
        <w:rPr>
          <w:rFonts w:cs="Times New Roman"/>
          <w:bCs/>
        </w:rPr>
        <w:t xml:space="preserve"> technology, solar PV farms do not have </w:t>
      </w:r>
      <w:r w:rsidR="00034109" w:rsidRPr="00061636">
        <w:rPr>
          <w:rFonts w:cs="Times New Roman"/>
          <w:bCs/>
        </w:rPr>
        <w:t xml:space="preserve">the </w:t>
      </w:r>
      <w:r w:rsidR="00FB3AB3" w:rsidRPr="00061636">
        <w:rPr>
          <w:rFonts w:cs="Times New Roman"/>
          <w:bCs/>
        </w:rPr>
        <w:t xml:space="preserve">direct </w:t>
      </w:r>
      <w:r w:rsidR="000A10E5" w:rsidRPr="00061636">
        <w:rPr>
          <w:rFonts w:cs="Times New Roman"/>
          <w:bCs/>
        </w:rPr>
        <w:t>emissions attributable</w:t>
      </w:r>
      <w:r w:rsidR="00951B63" w:rsidRPr="00061636">
        <w:rPr>
          <w:rFonts w:cs="Times New Roman"/>
          <w:bCs/>
        </w:rPr>
        <w:t xml:space="preserve"> to combustion of</w:t>
      </w:r>
      <w:r w:rsidR="00034109" w:rsidRPr="00061636">
        <w:rPr>
          <w:rFonts w:cs="Times New Roman"/>
          <w:bCs/>
        </w:rPr>
        <w:t xml:space="preserve"> fossil</w:t>
      </w:r>
      <w:r w:rsidR="00951B63" w:rsidRPr="00061636">
        <w:rPr>
          <w:rFonts w:cs="Times New Roman"/>
          <w:bCs/>
        </w:rPr>
        <w:t xml:space="preserve"> fuels</w:t>
      </w:r>
      <w:r w:rsidR="00FB3AB3" w:rsidRPr="00061636">
        <w:rPr>
          <w:rFonts w:cs="Times New Roman"/>
          <w:bCs/>
        </w:rPr>
        <w:t>.</w:t>
      </w:r>
      <w:r w:rsidRPr="00061636">
        <w:rPr>
          <w:rFonts w:cs="Times New Roman"/>
          <w:bCs/>
        </w:rPr>
        <w:t xml:space="preserve"> </w:t>
      </w:r>
      <w:r w:rsidR="000A10E5" w:rsidRPr="00061636">
        <w:rPr>
          <w:rFonts w:cs="Times New Roman"/>
          <w:bCs/>
        </w:rPr>
        <w:t>However, the</w:t>
      </w:r>
      <w:r w:rsidR="00034109" w:rsidRPr="00061636">
        <w:rPr>
          <w:rFonts w:cs="Times New Roman"/>
          <w:bCs/>
        </w:rPr>
        <w:t xml:space="preserve"> </w:t>
      </w:r>
      <w:r w:rsidR="00951B63" w:rsidRPr="00061636">
        <w:rPr>
          <w:rFonts w:cs="Times New Roman"/>
          <w:bCs/>
        </w:rPr>
        <w:t>Project Drawdown modeling</w:t>
      </w:r>
      <w:r w:rsidR="00034109" w:rsidRPr="00061636">
        <w:rPr>
          <w:rFonts w:cs="Times New Roman"/>
          <w:bCs/>
        </w:rPr>
        <w:t xml:space="preserve"> </w:t>
      </w:r>
      <w:r w:rsidR="007A09F4" w:rsidRPr="00061636">
        <w:rPr>
          <w:rFonts w:cs="Times New Roman"/>
          <w:bCs/>
        </w:rPr>
        <w:t>exercise</w:t>
      </w:r>
      <w:r w:rsidR="00951B63" w:rsidRPr="00061636">
        <w:rPr>
          <w:rFonts w:cs="Times New Roman"/>
          <w:bCs/>
        </w:rPr>
        <w:t xml:space="preserve"> considers the </w:t>
      </w:r>
      <w:r w:rsidR="00034109" w:rsidRPr="00061636">
        <w:rPr>
          <w:rFonts w:cs="Times New Roman"/>
          <w:bCs/>
        </w:rPr>
        <w:t xml:space="preserve">life cycle </w:t>
      </w:r>
      <w:r w:rsidR="00951B63" w:rsidRPr="00061636">
        <w:rPr>
          <w:rFonts w:cs="Times New Roman"/>
          <w:bCs/>
        </w:rPr>
        <w:t>analysis of indirect emissions</w:t>
      </w:r>
      <w:r w:rsidRPr="00061636">
        <w:rPr>
          <w:rFonts w:cs="Times New Roman"/>
          <w:bCs/>
        </w:rPr>
        <w:t xml:space="preserve"> related to the</w:t>
      </w:r>
      <w:r w:rsidR="00951B63" w:rsidRPr="00061636">
        <w:rPr>
          <w:rFonts w:cs="Times New Roman"/>
          <w:bCs/>
        </w:rPr>
        <w:t xml:space="preserve"> </w:t>
      </w:r>
      <w:r w:rsidR="00FB3AB3" w:rsidRPr="00061636">
        <w:rPr>
          <w:rFonts w:cs="Times New Roman"/>
          <w:bCs/>
        </w:rPr>
        <w:t>different</w:t>
      </w:r>
      <w:r w:rsidR="00034109" w:rsidRPr="00061636">
        <w:rPr>
          <w:rFonts w:cs="Times New Roman"/>
          <w:bCs/>
        </w:rPr>
        <w:t xml:space="preserve"> processes and</w:t>
      </w:r>
      <w:r w:rsidR="00FB3AB3" w:rsidRPr="00061636">
        <w:rPr>
          <w:rFonts w:cs="Times New Roman"/>
          <w:bCs/>
        </w:rPr>
        <w:t xml:space="preserve"> factors that</w:t>
      </w:r>
      <w:r w:rsidR="00034109" w:rsidRPr="00061636">
        <w:rPr>
          <w:rFonts w:cs="Times New Roman"/>
          <w:bCs/>
        </w:rPr>
        <w:t xml:space="preserve"> indirectly</w:t>
      </w:r>
      <w:r w:rsidR="00FB3AB3" w:rsidRPr="00061636">
        <w:rPr>
          <w:rFonts w:cs="Times New Roman"/>
          <w:bCs/>
        </w:rPr>
        <w:t xml:space="preserve"> contribute</w:t>
      </w:r>
      <w:r w:rsidR="00034109" w:rsidRPr="00061636">
        <w:rPr>
          <w:rFonts w:cs="Times New Roman"/>
          <w:bCs/>
        </w:rPr>
        <w:t xml:space="preserve"> GHG emissions from a</w:t>
      </w:r>
      <w:r w:rsidR="00FB3AB3" w:rsidRPr="00061636">
        <w:rPr>
          <w:rFonts w:cs="Times New Roman"/>
          <w:bCs/>
        </w:rPr>
        <w:t xml:space="preserve"> utility-scale PV</w:t>
      </w:r>
      <w:r w:rsidR="00034109" w:rsidRPr="00061636">
        <w:rPr>
          <w:rFonts w:cs="Times New Roman"/>
          <w:bCs/>
        </w:rPr>
        <w:t xml:space="preserve"> project</w:t>
      </w:r>
      <w:r w:rsidR="00FB3AB3" w:rsidRPr="00061636">
        <w:rPr>
          <w:rFonts w:cs="Times New Roman"/>
          <w:bCs/>
        </w:rPr>
        <w:t>. In modeling</w:t>
      </w:r>
      <w:r w:rsidR="00604713" w:rsidRPr="00061636">
        <w:rPr>
          <w:rFonts w:cs="Times New Roman"/>
          <w:bCs/>
        </w:rPr>
        <w:t xml:space="preserve"> for the</w:t>
      </w:r>
      <w:r w:rsidR="00FB3AB3" w:rsidRPr="00061636">
        <w:rPr>
          <w:rFonts w:cs="Times New Roman"/>
          <w:bCs/>
        </w:rPr>
        <w:t xml:space="preserve"> lifecycle emissions of utility-scale PV adoption in </w:t>
      </w:r>
      <w:r w:rsidRPr="00061636">
        <w:rPr>
          <w:rFonts w:cs="Times New Roman"/>
          <w:bCs/>
        </w:rPr>
        <w:t>the</w:t>
      </w:r>
      <w:r w:rsidR="00FB3AB3" w:rsidRPr="00061636">
        <w:rPr>
          <w:rFonts w:cs="Times New Roman"/>
          <w:bCs/>
        </w:rPr>
        <w:t xml:space="preserve"> </w:t>
      </w:r>
      <w:r w:rsidR="000A10E5" w:rsidRPr="00061636">
        <w:rPr>
          <w:rFonts w:cs="Times New Roman"/>
          <w:bCs/>
        </w:rPr>
        <w:t>scenarios, a</w:t>
      </w:r>
      <w:r w:rsidR="00FB3AB3" w:rsidRPr="00061636">
        <w:rPr>
          <w:rFonts w:cs="Times New Roman"/>
          <w:bCs/>
        </w:rPr>
        <w:t xml:space="preserve"> fixed value</w:t>
      </w:r>
      <w:r w:rsidR="00034109" w:rsidRPr="00061636">
        <w:rPr>
          <w:rFonts w:cs="Times New Roman"/>
          <w:bCs/>
        </w:rPr>
        <w:t xml:space="preserve"> of </w:t>
      </w:r>
      <w:r w:rsidR="00FB3AB3" w:rsidRPr="00061636">
        <w:rPr>
          <w:rFonts w:cs="Times New Roman"/>
        </w:rPr>
        <w:t>t</w:t>
      </w:r>
      <w:r w:rsidR="00604713" w:rsidRPr="00061636">
        <w:rPr>
          <w:rFonts w:cs="Times New Roman"/>
        </w:rPr>
        <w:t>ons</w:t>
      </w:r>
      <w:r w:rsidR="00FB3AB3" w:rsidRPr="00061636">
        <w:rPr>
          <w:rFonts w:cs="Times New Roman"/>
        </w:rPr>
        <w:t xml:space="preserve"> CO</w:t>
      </w:r>
      <w:r w:rsidR="00FB3AB3" w:rsidRPr="00061636">
        <w:rPr>
          <w:rFonts w:cs="Times New Roman"/>
          <w:vertAlign w:val="subscript"/>
        </w:rPr>
        <w:t>2</w:t>
      </w:r>
      <w:r w:rsidR="00FB3AB3" w:rsidRPr="00061636">
        <w:rPr>
          <w:rFonts w:cs="Times New Roman"/>
        </w:rPr>
        <w:t xml:space="preserve">-eq per </w:t>
      </w:r>
      <w:proofErr w:type="spellStart"/>
      <w:r w:rsidR="00FB3AB3" w:rsidRPr="00061636">
        <w:rPr>
          <w:rFonts w:cs="Times New Roman"/>
        </w:rPr>
        <w:t>TWh</w:t>
      </w:r>
      <w:proofErr w:type="spellEnd"/>
      <w:r w:rsidR="00604713" w:rsidRPr="00061636">
        <w:rPr>
          <w:rFonts w:cs="Times New Roman"/>
        </w:rPr>
        <w:t xml:space="preserve"> was </w:t>
      </w:r>
      <w:r w:rsidR="000A10E5" w:rsidRPr="00061636">
        <w:rPr>
          <w:rFonts w:cs="Times New Roman"/>
        </w:rPr>
        <w:t>used factoring</w:t>
      </w:r>
      <w:r w:rsidR="00604713" w:rsidRPr="00061636">
        <w:rPr>
          <w:rFonts w:cs="Times New Roman"/>
        </w:rPr>
        <w:t xml:space="preserve"> in </w:t>
      </w:r>
      <w:r w:rsidR="0045676A" w:rsidRPr="00061636">
        <w:rPr>
          <w:rFonts w:cs="Times New Roman"/>
        </w:rPr>
        <w:t xml:space="preserve">information from several PV technologies </w:t>
      </w:r>
      <w:r w:rsidR="00FB3AB3" w:rsidRPr="00061636">
        <w:rPr>
          <w:rFonts w:cs="Times New Roman"/>
        </w:rPr>
        <w:t>rather than</w:t>
      </w:r>
      <w:r w:rsidR="00604713" w:rsidRPr="00061636">
        <w:rPr>
          <w:rFonts w:cs="Times New Roman"/>
        </w:rPr>
        <w:t xml:space="preserve"> using</w:t>
      </w:r>
      <w:r w:rsidR="00FB3AB3" w:rsidRPr="00061636">
        <w:rPr>
          <w:rFonts w:cs="Times New Roman"/>
        </w:rPr>
        <w:t xml:space="preserve"> a</w:t>
      </w:r>
      <w:r w:rsidR="00604713" w:rsidRPr="00061636">
        <w:rPr>
          <w:rFonts w:cs="Times New Roman"/>
        </w:rPr>
        <w:t xml:space="preserve"> weighted average from different types of PV technologies. This was more due to the lack of technology-wise data on indirect emissions. In fact, since this is a </w:t>
      </w:r>
      <w:r w:rsidR="000A10E5" w:rsidRPr="00061636">
        <w:rPr>
          <w:rFonts w:cs="Times New Roman"/>
        </w:rPr>
        <w:t>fast-developing</w:t>
      </w:r>
      <w:r w:rsidR="00604713" w:rsidRPr="00061636">
        <w:rPr>
          <w:rFonts w:cs="Times New Roman"/>
        </w:rPr>
        <w:t xml:space="preserve"> field, future research should be conducted to assess the amounts of indirect emissions from </w:t>
      </w:r>
      <w:r w:rsidR="00604713" w:rsidRPr="00061636">
        <w:rPr>
          <w:rFonts w:cs="Times New Roman"/>
        </w:rPr>
        <w:lastRenderedPageBreak/>
        <w:t xml:space="preserve">different types of technologies and also to look at emissions of GHG other than </w:t>
      </w:r>
      <w:r w:rsidR="000A10E5" w:rsidRPr="00061636">
        <w:rPr>
          <w:rFonts w:cs="Times New Roman"/>
        </w:rPr>
        <w:t>CO</w:t>
      </w:r>
      <w:r w:rsidR="000A10E5" w:rsidRPr="00061636">
        <w:rPr>
          <w:rFonts w:cs="Times New Roman"/>
          <w:vertAlign w:val="subscript"/>
        </w:rPr>
        <w:t xml:space="preserve">2 </w:t>
      </w:r>
      <w:r w:rsidR="000A10E5" w:rsidRPr="00061636">
        <w:rPr>
          <w:rFonts w:cs="Times New Roman"/>
        </w:rPr>
        <w:t>from</w:t>
      </w:r>
      <w:r w:rsidR="000036E8" w:rsidRPr="00061636">
        <w:rPr>
          <w:rFonts w:cs="Times New Roman"/>
        </w:rPr>
        <w:t xml:space="preserve"> the processes involving new materials being deployed for production of SPV modules.</w:t>
      </w:r>
      <w:r w:rsidR="00FB3AB3" w:rsidRPr="00061636">
        <w:rPr>
          <w:rFonts w:cs="Times New Roman"/>
        </w:rPr>
        <w:t xml:space="preserve"> </w:t>
      </w:r>
      <w:r w:rsidR="000036E8" w:rsidRPr="00061636">
        <w:rPr>
          <w:rFonts w:cs="Times New Roman"/>
        </w:rPr>
        <w:t>At present</w:t>
      </w:r>
      <w:r w:rsidR="00BD15EF">
        <w:rPr>
          <w:rFonts w:cs="Times New Roman"/>
        </w:rPr>
        <w:t>,</w:t>
      </w:r>
      <w:r w:rsidR="000036E8" w:rsidRPr="00061636">
        <w:rPr>
          <w:rFonts w:cs="Times New Roman"/>
        </w:rPr>
        <w:t xml:space="preserve"> SPV is being projected as the “Cind</w:t>
      </w:r>
      <w:r w:rsidR="00851CD9">
        <w:rPr>
          <w:rFonts w:cs="Times New Roman"/>
        </w:rPr>
        <w:t>e</w:t>
      </w:r>
      <w:r w:rsidR="000036E8" w:rsidRPr="00061636">
        <w:rPr>
          <w:rFonts w:cs="Times New Roman"/>
        </w:rPr>
        <w:t xml:space="preserve">rella Option” to </w:t>
      </w:r>
      <w:r w:rsidR="00851CD9">
        <w:rPr>
          <w:rFonts w:cs="Times New Roman"/>
        </w:rPr>
        <w:t>reverse global warming</w:t>
      </w:r>
      <w:r w:rsidR="000036E8" w:rsidRPr="00061636">
        <w:rPr>
          <w:rFonts w:cs="Times New Roman"/>
        </w:rPr>
        <w:t xml:space="preserve"> but more research would be necessary to </w:t>
      </w:r>
      <w:r w:rsidR="00DD5D1D" w:rsidRPr="00061636">
        <w:rPr>
          <w:rFonts w:cs="Times New Roman"/>
        </w:rPr>
        <w:t>validate this</w:t>
      </w:r>
      <w:r w:rsidR="000036E8" w:rsidRPr="00061636">
        <w:rPr>
          <w:rFonts w:cs="Times New Roman"/>
        </w:rPr>
        <w:t xml:space="preserve">. </w:t>
      </w:r>
    </w:p>
    <w:p w14:paraId="67ED68E5" w14:textId="14F48F2B" w:rsidR="0021082B" w:rsidRPr="00061636" w:rsidRDefault="004F5425" w:rsidP="00EB247F">
      <w:pPr>
        <w:pStyle w:val="Caption"/>
        <w:jc w:val="center"/>
        <w:rPr>
          <w:b/>
          <w:bCs/>
          <w:color w:val="000000" w:themeColor="text1"/>
          <w:sz w:val="20"/>
          <w:szCs w:val="20"/>
          <w:lang w:eastAsia="zh-CN"/>
        </w:rPr>
      </w:pPr>
      <w:bookmarkStart w:id="43" w:name="_Toc534461007"/>
      <w:r w:rsidRPr="00061636">
        <w:t xml:space="preserve">Table </w:t>
      </w:r>
      <w:fldSimple w:instr=" STYLEREF 1 \s ">
        <w:r w:rsidR="00492F5E" w:rsidRPr="00061636">
          <w:t>2</w:t>
        </w:r>
      </w:fldSimple>
      <w:r w:rsidR="00492F5E" w:rsidRPr="00061636">
        <w:t>.</w:t>
      </w:r>
      <w:fldSimple w:instr=" SEQ Table \* ARABIC \s 1 ">
        <w:r w:rsidR="00492F5E" w:rsidRPr="00061636">
          <w:t>1</w:t>
        </w:r>
      </w:fldSimple>
      <w:r w:rsidRPr="00061636">
        <w:t xml:space="preserve"> Climate Inputs</w:t>
      </w:r>
      <w:bookmarkEnd w:id="43"/>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061636" w14:paraId="077EA588" w14:textId="77777777" w:rsidTr="00826B4A">
        <w:trPr>
          <w:trHeight w:val="1174"/>
        </w:trPr>
        <w:tc>
          <w:tcPr>
            <w:tcW w:w="2076" w:type="dxa"/>
            <w:shd w:val="clear" w:color="auto" w:fill="4F81BD" w:themeFill="accent1"/>
            <w:vAlign w:val="center"/>
          </w:tcPr>
          <w:p w14:paraId="19DDFB6D" w14:textId="77777777" w:rsidR="003922A1" w:rsidRPr="00061636" w:rsidRDefault="003922A1" w:rsidP="00851CD9">
            <w:pPr>
              <w:spacing w:after="180"/>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Pr="00061636" w:rsidRDefault="003922A1" w:rsidP="003922A1">
            <w:pPr>
              <w:spacing w:after="180"/>
              <w:jc w:val="center"/>
              <w:rPr>
                <w:b/>
                <w:bCs/>
                <w:color w:val="FFFFFF" w:themeColor="background1"/>
                <w:sz w:val="20"/>
                <w:szCs w:val="20"/>
              </w:rPr>
            </w:pPr>
            <w:r w:rsidRPr="00061636">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061636" w:rsidRDefault="003922A1" w:rsidP="003922A1">
            <w:pPr>
              <w:spacing w:after="180"/>
              <w:jc w:val="center"/>
              <w:rPr>
                <w:b/>
                <w:bCs/>
                <w:color w:val="FFFFFF" w:themeColor="background1"/>
                <w:sz w:val="20"/>
                <w:szCs w:val="20"/>
              </w:rPr>
            </w:pPr>
            <w:r w:rsidRPr="00061636">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061636" w:rsidRDefault="003922A1" w:rsidP="003922A1">
            <w:pPr>
              <w:spacing w:after="180"/>
              <w:jc w:val="center"/>
              <w:rPr>
                <w:b/>
                <w:bCs/>
                <w:color w:val="FFFFFF" w:themeColor="background1"/>
                <w:sz w:val="20"/>
                <w:szCs w:val="20"/>
              </w:rPr>
            </w:pPr>
            <w:r w:rsidRPr="00061636">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061636" w:rsidRDefault="003922A1" w:rsidP="003922A1">
            <w:pPr>
              <w:spacing w:after="180"/>
              <w:jc w:val="center"/>
              <w:rPr>
                <w:b/>
                <w:bCs/>
                <w:color w:val="FFFFFF" w:themeColor="background1"/>
                <w:sz w:val="20"/>
                <w:szCs w:val="20"/>
              </w:rPr>
            </w:pPr>
            <w:r w:rsidRPr="00061636">
              <w:rPr>
                <w:b/>
                <w:bCs/>
                <w:color w:val="FFFFFF" w:themeColor="background1"/>
                <w:sz w:val="20"/>
                <w:szCs w:val="20"/>
              </w:rPr>
              <w:t>Data Points (#)</w:t>
            </w:r>
          </w:p>
        </w:tc>
        <w:tc>
          <w:tcPr>
            <w:tcW w:w="1528" w:type="dxa"/>
            <w:shd w:val="clear" w:color="auto" w:fill="4F81BD" w:themeFill="accent1"/>
            <w:vAlign w:val="center"/>
          </w:tcPr>
          <w:p w14:paraId="20C382D3" w14:textId="577A2C8A" w:rsidR="003922A1" w:rsidRPr="00061636" w:rsidRDefault="003922A1" w:rsidP="003922A1">
            <w:pPr>
              <w:spacing w:after="180"/>
              <w:jc w:val="center"/>
              <w:rPr>
                <w:b/>
                <w:bCs/>
                <w:color w:val="FFFFFF" w:themeColor="background1"/>
                <w:sz w:val="20"/>
                <w:szCs w:val="20"/>
              </w:rPr>
            </w:pPr>
            <w:r w:rsidRPr="00061636">
              <w:rPr>
                <w:b/>
                <w:bCs/>
                <w:color w:val="FFFFFF" w:themeColor="background1"/>
                <w:sz w:val="20"/>
                <w:szCs w:val="20"/>
              </w:rPr>
              <w:t>Sources (#)</w:t>
            </w:r>
          </w:p>
        </w:tc>
      </w:tr>
      <w:tr w:rsidR="003922A1" w:rsidRPr="00061636" w14:paraId="2A24A00A" w14:textId="77777777" w:rsidTr="003922A1">
        <w:trPr>
          <w:trHeight w:val="508"/>
        </w:trPr>
        <w:tc>
          <w:tcPr>
            <w:tcW w:w="2076" w:type="dxa"/>
            <w:vAlign w:val="center"/>
          </w:tcPr>
          <w:p w14:paraId="4F2A39BC" w14:textId="646F0E62" w:rsidR="003922A1" w:rsidRPr="00061636" w:rsidRDefault="003922A1" w:rsidP="003922A1">
            <w:pPr>
              <w:spacing w:after="180"/>
              <w:jc w:val="center"/>
              <w:rPr>
                <w:rFonts w:eastAsia="Helvetica,Times New Roman" w:cstheme="minorHAnsi"/>
                <w:color w:val="000000" w:themeColor="text1"/>
                <w:sz w:val="20"/>
                <w:szCs w:val="20"/>
              </w:rPr>
            </w:pPr>
            <w:r w:rsidRPr="00061636">
              <w:rPr>
                <w:color w:val="000000" w:themeColor="text1"/>
                <w:sz w:val="20"/>
                <w:szCs w:val="20"/>
              </w:rPr>
              <w:t>Indirect CO</w:t>
            </w:r>
            <w:r w:rsidRPr="00061636">
              <w:rPr>
                <w:color w:val="000000" w:themeColor="text1"/>
                <w:sz w:val="20"/>
                <w:szCs w:val="20"/>
                <w:vertAlign w:val="subscript"/>
              </w:rPr>
              <w:t xml:space="preserve">2 </w:t>
            </w:r>
            <w:r w:rsidRPr="00061636">
              <w:rPr>
                <w:color w:val="000000" w:themeColor="text1"/>
                <w:sz w:val="20"/>
                <w:szCs w:val="20"/>
              </w:rPr>
              <w:t>Emissions (Solution)</w:t>
            </w:r>
          </w:p>
        </w:tc>
        <w:tc>
          <w:tcPr>
            <w:tcW w:w="1427" w:type="dxa"/>
            <w:shd w:val="clear" w:color="auto" w:fill="auto"/>
            <w:vAlign w:val="center"/>
          </w:tcPr>
          <w:p w14:paraId="48D37B75" w14:textId="531532EB" w:rsidR="003922A1" w:rsidRPr="00896F44" w:rsidRDefault="003922A1" w:rsidP="003922A1">
            <w:pPr>
              <w:spacing w:after="180"/>
              <w:jc w:val="center"/>
              <w:rPr>
                <w:rFonts w:eastAsia="Helvetica,Times New Roman" w:cstheme="minorHAnsi"/>
                <w:i/>
                <w:sz w:val="20"/>
                <w:szCs w:val="20"/>
              </w:rPr>
            </w:pPr>
            <w:r w:rsidRPr="00896F44">
              <w:rPr>
                <w:i/>
                <w:sz w:val="20"/>
                <w:szCs w:val="20"/>
              </w:rPr>
              <w:t>t CO</w:t>
            </w:r>
            <w:r w:rsidRPr="00896F44">
              <w:rPr>
                <w:i/>
                <w:sz w:val="20"/>
                <w:szCs w:val="20"/>
                <w:vertAlign w:val="subscript"/>
              </w:rPr>
              <w:t>2</w:t>
            </w:r>
            <w:r w:rsidRPr="00896F44">
              <w:rPr>
                <w:i/>
                <w:sz w:val="20"/>
                <w:szCs w:val="20"/>
              </w:rPr>
              <w:t>-eq/</w:t>
            </w:r>
            <w:proofErr w:type="spellStart"/>
            <w:r w:rsidRPr="00896F44">
              <w:rPr>
                <w:i/>
                <w:sz w:val="20"/>
                <w:szCs w:val="20"/>
              </w:rPr>
              <w:t>TWh</w:t>
            </w:r>
            <w:proofErr w:type="spellEnd"/>
          </w:p>
        </w:tc>
        <w:tc>
          <w:tcPr>
            <w:tcW w:w="1486" w:type="dxa"/>
            <w:vAlign w:val="center"/>
          </w:tcPr>
          <w:p w14:paraId="21F5B106" w14:textId="300D1E1F" w:rsidR="00CA4607" w:rsidRPr="00896F44" w:rsidRDefault="00896F44" w:rsidP="00851CD9">
            <w:pPr>
              <w:spacing w:after="180"/>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18</w:t>
            </w:r>
            <w:r w:rsidR="00AA41C1" w:rsidRPr="00896F44">
              <w:rPr>
                <w:rFonts w:eastAsia="Helvetica,Times New Roman" w:cstheme="minorHAnsi"/>
                <w:color w:val="000000" w:themeColor="text1"/>
                <w:sz w:val="20"/>
                <w:szCs w:val="20"/>
              </w:rPr>
              <w:t>,</w:t>
            </w:r>
            <w:r w:rsidRPr="00896F44">
              <w:rPr>
                <w:rFonts w:eastAsia="Helvetica,Times New Roman" w:cstheme="minorHAnsi"/>
                <w:color w:val="000000" w:themeColor="text1"/>
                <w:sz w:val="20"/>
                <w:szCs w:val="20"/>
              </w:rPr>
              <w:t>961</w:t>
            </w:r>
            <w:r w:rsidR="00851CD9" w:rsidRPr="00896F44">
              <w:rPr>
                <w:rFonts w:eastAsia="Helvetica,Times New Roman" w:cstheme="minorHAnsi"/>
                <w:color w:val="000000" w:themeColor="text1"/>
                <w:sz w:val="20"/>
                <w:szCs w:val="20"/>
              </w:rPr>
              <w:t>–</w:t>
            </w:r>
            <w:r w:rsidRPr="00896F44">
              <w:rPr>
                <w:rFonts w:eastAsia="Helvetica,Times New Roman" w:cstheme="minorHAnsi"/>
                <w:color w:val="000000" w:themeColor="text1"/>
                <w:sz w:val="20"/>
                <w:szCs w:val="20"/>
              </w:rPr>
              <w:t>74,865</w:t>
            </w:r>
          </w:p>
        </w:tc>
        <w:tc>
          <w:tcPr>
            <w:tcW w:w="1467" w:type="dxa"/>
            <w:vAlign w:val="center"/>
          </w:tcPr>
          <w:p w14:paraId="11E87B1E" w14:textId="19D15F3C" w:rsidR="00CA4607" w:rsidRPr="00896F44" w:rsidRDefault="00851CD9" w:rsidP="00851CD9">
            <w:pPr>
              <w:spacing w:after="180"/>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4</w:t>
            </w:r>
            <w:r w:rsidR="00896F44" w:rsidRPr="00896F44">
              <w:rPr>
                <w:rFonts w:eastAsia="Helvetica,Times New Roman" w:cstheme="minorHAnsi"/>
                <w:color w:val="000000" w:themeColor="text1"/>
                <w:sz w:val="20"/>
                <w:szCs w:val="20"/>
              </w:rPr>
              <w:t>6</w:t>
            </w:r>
            <w:r w:rsidRPr="00896F44">
              <w:rPr>
                <w:rFonts w:eastAsia="Helvetica,Times New Roman" w:cstheme="minorHAnsi"/>
                <w:color w:val="000000" w:themeColor="text1"/>
                <w:sz w:val="20"/>
                <w:szCs w:val="20"/>
              </w:rPr>
              <w:t>,</w:t>
            </w:r>
            <w:r w:rsidR="00896F44" w:rsidRPr="00896F44">
              <w:rPr>
                <w:rFonts w:eastAsia="Helvetica,Times New Roman" w:cstheme="minorHAnsi"/>
                <w:color w:val="000000" w:themeColor="text1"/>
                <w:sz w:val="20"/>
                <w:szCs w:val="20"/>
              </w:rPr>
              <w:t>913</w:t>
            </w:r>
          </w:p>
        </w:tc>
        <w:tc>
          <w:tcPr>
            <w:tcW w:w="1366" w:type="dxa"/>
            <w:vAlign w:val="center"/>
          </w:tcPr>
          <w:p w14:paraId="1EC7EFEA" w14:textId="38DAC548" w:rsidR="008B1975" w:rsidRPr="00896F44" w:rsidRDefault="00896F44" w:rsidP="00851CD9">
            <w:pPr>
              <w:spacing w:after="180"/>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43</w:t>
            </w:r>
          </w:p>
        </w:tc>
        <w:tc>
          <w:tcPr>
            <w:tcW w:w="1528" w:type="dxa"/>
            <w:vAlign w:val="center"/>
          </w:tcPr>
          <w:p w14:paraId="774B9874" w14:textId="5205AFD6" w:rsidR="00372FBD" w:rsidRPr="00896F44" w:rsidRDefault="00372FBD" w:rsidP="00851CD9">
            <w:pPr>
              <w:spacing w:after="180"/>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27</w:t>
            </w:r>
          </w:p>
        </w:tc>
      </w:tr>
    </w:tbl>
    <w:p w14:paraId="035BBD8F" w14:textId="6014E04E" w:rsidR="00A04734" w:rsidRDefault="00A04734" w:rsidP="00A04734">
      <w:pPr>
        <w:rPr>
          <w:sz w:val="20"/>
        </w:rPr>
      </w:pPr>
      <w:r w:rsidRPr="00061636">
        <w:rPr>
          <w:sz w:val="20"/>
        </w:rPr>
        <w:t>Note: Project Drawdown data set range is defined by the low and high boundaries which are respectively 1 standard deviation below and above the mean of the collected data points</w:t>
      </w:r>
      <w:r w:rsidRPr="00061636">
        <w:rPr>
          <w:rStyle w:val="FootnoteReference"/>
          <w:sz w:val="20"/>
        </w:rPr>
        <w:footnoteReference w:id="5"/>
      </w:r>
      <w:r w:rsidRPr="00061636">
        <w:rPr>
          <w:sz w:val="20"/>
        </w:rPr>
        <w:t>.</w:t>
      </w:r>
    </w:p>
    <w:p w14:paraId="1BEE0574" w14:textId="77777777" w:rsidR="00A90312" w:rsidRPr="00061636" w:rsidRDefault="00A90312" w:rsidP="00A04734">
      <w:pPr>
        <w:rPr>
          <w:sz w:val="20"/>
        </w:rPr>
      </w:pPr>
    </w:p>
    <w:p w14:paraId="24C491B8" w14:textId="3A77925F" w:rsidR="00F52595" w:rsidRPr="00061636" w:rsidRDefault="00E069AC" w:rsidP="005D49A8">
      <w:pPr>
        <w:pStyle w:val="Heading3"/>
      </w:pPr>
      <w:bookmarkStart w:id="44" w:name="_Toc10331917"/>
      <w:r w:rsidRPr="00061636">
        <w:t>Financial Inputs</w:t>
      </w:r>
      <w:bookmarkEnd w:id="44"/>
    </w:p>
    <w:p w14:paraId="127B738F" w14:textId="59E07966" w:rsidR="00DA06FE" w:rsidRPr="00061636" w:rsidRDefault="00DA06FE" w:rsidP="00EB247F">
      <w:r w:rsidRPr="00061636">
        <w:t>RRS</w:t>
      </w:r>
      <w:r w:rsidR="00E2663F" w:rsidRPr="00061636">
        <w:t xml:space="preserve"> model constructs</w:t>
      </w:r>
      <w:r w:rsidR="00E439FB" w:rsidRPr="00061636">
        <w:t xml:space="preserve"> PDS adoption scenario</w:t>
      </w:r>
      <w:r w:rsidR="00E2663F" w:rsidRPr="00061636">
        <w:t>s</w:t>
      </w:r>
      <w:r w:rsidR="00E439FB" w:rsidRPr="00061636">
        <w:t xml:space="preserve"> for utility-scale PV generation globally and regionally for each year until 2050. </w:t>
      </w:r>
      <w:r w:rsidR="00E2663F" w:rsidRPr="00061636">
        <w:t xml:space="preserve">It </w:t>
      </w:r>
      <w:r w:rsidR="008B1975" w:rsidRPr="00061636">
        <w:t>ha</w:t>
      </w:r>
      <w:r w:rsidR="00E2663F" w:rsidRPr="00061636">
        <w:t xml:space="preserve">s </w:t>
      </w:r>
      <w:r w:rsidR="00E439FB" w:rsidRPr="00061636">
        <w:t>model</w:t>
      </w:r>
      <w:r w:rsidR="00E2663F" w:rsidRPr="00061636">
        <w:t>led</w:t>
      </w:r>
      <w:r w:rsidR="00E439FB" w:rsidRPr="00061636">
        <w:t xml:space="preserve"> both the capital costs and the fixed and variable OM costs associated with </w:t>
      </w:r>
      <w:r w:rsidRPr="00061636">
        <w:t xml:space="preserve">the </w:t>
      </w:r>
      <w:r w:rsidR="00E2663F" w:rsidRPr="00061636">
        <w:t xml:space="preserve">alternative </w:t>
      </w:r>
      <w:r w:rsidR="00E439FB" w:rsidRPr="00061636">
        <w:t xml:space="preserve">scenarios compared to those of the REF scenario. </w:t>
      </w:r>
      <w:r w:rsidR="00F4258D" w:rsidRPr="00061636">
        <w:t>A d</w:t>
      </w:r>
      <w:r w:rsidRPr="00061636">
        <w:t>etailed description of the methodology used is available in</w:t>
      </w:r>
      <w:r w:rsidR="00E2663F" w:rsidRPr="00061636">
        <w:t xml:space="preserve"> the </w:t>
      </w:r>
      <w:r w:rsidR="00D25FC7" w:rsidRPr="00061636">
        <w:t>Drawdown RRS Model Framework and Guide.</w:t>
      </w:r>
    </w:p>
    <w:p w14:paraId="7E521159" w14:textId="45F400E8" w:rsidR="00DA06FE" w:rsidRPr="00061636" w:rsidRDefault="00DA06FE" w:rsidP="00EB247F">
      <w:pPr>
        <w:rPr>
          <w:rFonts w:cs="Times New Roman"/>
          <w:bCs/>
        </w:rPr>
      </w:pPr>
      <w:r w:rsidRPr="00061636">
        <w:rPr>
          <w:bCs/>
        </w:rPr>
        <w:t>The financial calculations exa</w:t>
      </w:r>
      <w:r w:rsidR="002054FC" w:rsidRPr="00061636">
        <w:rPr>
          <w:bCs/>
        </w:rPr>
        <w:t>mine the first cost in US$ per k</w:t>
      </w:r>
      <w:r w:rsidRPr="00061636">
        <w:rPr>
          <w:bCs/>
        </w:rPr>
        <w:t xml:space="preserve">W and the operating cost in US$ </w:t>
      </w:r>
      <w:r w:rsidR="002054FC" w:rsidRPr="00061636">
        <w:rPr>
          <w:bCs/>
        </w:rPr>
        <w:t>per kW (fixed costs) and US$ per kWh (variable costs)</w:t>
      </w:r>
      <w:r w:rsidRPr="00061636">
        <w:rPr>
          <w:bCs/>
        </w:rPr>
        <w:t>. For this, many inputs estimating annual</w:t>
      </w:r>
      <w:r w:rsidR="002054FC" w:rsidRPr="00061636">
        <w:rPr>
          <w:bCs/>
        </w:rPr>
        <w:t xml:space="preserve"> output and lifetime output per solar PV electricity generation</w:t>
      </w:r>
      <w:r w:rsidRPr="00061636">
        <w:rPr>
          <w:bCs/>
        </w:rPr>
        <w:t>, along with first costs (</w:t>
      </w:r>
      <w:r w:rsidR="002054FC" w:rsidRPr="00061636">
        <w:rPr>
          <w:bCs/>
        </w:rPr>
        <w:t>per</w:t>
      </w:r>
      <w:r w:rsidRPr="00061636">
        <w:rPr>
          <w:bCs/>
        </w:rPr>
        <w:t xml:space="preserve"> functional unit), were </w:t>
      </w:r>
      <w:r w:rsidR="00725354" w:rsidRPr="00061636">
        <w:rPr>
          <w:bCs/>
        </w:rPr>
        <w:t>generated</w:t>
      </w:r>
      <w:r w:rsidR="002054FC" w:rsidRPr="00061636">
        <w:rPr>
          <w:bCs/>
        </w:rPr>
        <w:t xml:space="preserve">. </w:t>
      </w:r>
      <w:r w:rsidRPr="00061636">
        <w:rPr>
          <w:bCs/>
        </w:rPr>
        <w:t xml:space="preserve">A lifetime capacity </w:t>
      </w:r>
      <w:r w:rsidR="000A10E5" w:rsidRPr="00061636">
        <w:rPr>
          <w:bCs/>
        </w:rPr>
        <w:t>of 50,923</w:t>
      </w:r>
      <w:r w:rsidR="00725354" w:rsidRPr="00061636">
        <w:rPr>
          <w:bCs/>
        </w:rPr>
        <w:t xml:space="preserve"> </w:t>
      </w:r>
      <w:r w:rsidR="002054FC" w:rsidRPr="00061636">
        <w:rPr>
          <w:bCs/>
        </w:rPr>
        <w:t xml:space="preserve">hours </w:t>
      </w:r>
      <w:r w:rsidRPr="00061636">
        <w:rPr>
          <w:bCs/>
        </w:rPr>
        <w:t xml:space="preserve">was calculated depending on the average </w:t>
      </w:r>
      <w:r w:rsidR="002054FC" w:rsidRPr="00061636">
        <w:rPr>
          <w:bCs/>
        </w:rPr>
        <w:t>powerplant annual use</w:t>
      </w:r>
      <w:r w:rsidRPr="00061636">
        <w:rPr>
          <w:bCs/>
        </w:rPr>
        <w:t xml:space="preserve">. </w:t>
      </w:r>
    </w:p>
    <w:p w14:paraId="58DEBB70" w14:textId="674E0A29" w:rsidR="00E439FB" w:rsidRPr="00061636" w:rsidRDefault="00E439FB" w:rsidP="00EB247F">
      <w:pPr>
        <w:rPr>
          <w:rFonts w:cs="Times New Roman"/>
          <w:bCs/>
        </w:rPr>
      </w:pPr>
      <w:r w:rsidRPr="00061636">
        <w:rPr>
          <w:rFonts w:cs="Times New Roman"/>
          <w:bCs/>
        </w:rPr>
        <w:t xml:space="preserve">There are two types of capital costs for a utility-scale PV system: </w:t>
      </w:r>
      <w:r w:rsidR="00AA41C1" w:rsidRPr="00061636">
        <w:rPr>
          <w:rFonts w:cs="Times New Roman"/>
          <w:bCs/>
        </w:rPr>
        <w:t xml:space="preserve">the </w:t>
      </w:r>
      <w:r w:rsidRPr="00061636">
        <w:rPr>
          <w:rFonts w:cs="Times New Roman"/>
          <w:bCs/>
        </w:rPr>
        <w:t>module</w:t>
      </w:r>
      <w:r w:rsidR="00AA41C1" w:rsidRPr="00061636">
        <w:rPr>
          <w:rFonts w:cs="Times New Roman"/>
          <w:bCs/>
        </w:rPr>
        <w:t xml:space="preserve"> cost</w:t>
      </w:r>
      <w:r w:rsidRPr="00061636">
        <w:rPr>
          <w:rFonts w:cs="Times New Roman"/>
          <w:bCs/>
        </w:rPr>
        <w:t xml:space="preserve"> and</w:t>
      </w:r>
      <w:r w:rsidR="00AA41C1" w:rsidRPr="00061636">
        <w:rPr>
          <w:rFonts w:cs="Times New Roman"/>
          <w:bCs/>
        </w:rPr>
        <w:t xml:space="preserve"> the</w:t>
      </w:r>
      <w:r w:rsidRPr="00061636">
        <w:rPr>
          <w:rFonts w:cs="Times New Roman"/>
          <w:bCs/>
        </w:rPr>
        <w:t xml:space="preserve"> balance-of-system (BOS</w:t>
      </w:r>
      <w:r w:rsidR="00A90312">
        <w:rPr>
          <w:rFonts w:cs="Times New Roman"/>
          <w:bCs/>
        </w:rPr>
        <w:t xml:space="preserve">) </w:t>
      </w:r>
      <w:r w:rsidR="00733DE9" w:rsidRPr="00061636">
        <w:rPr>
          <w:rFonts w:cs="Times New Roman"/>
          <w:bCs/>
        </w:rPr>
        <w:t>cost</w:t>
      </w:r>
      <w:r w:rsidRPr="00061636">
        <w:rPr>
          <w:rFonts w:cs="Times New Roman"/>
          <w:bCs/>
        </w:rPr>
        <w:t xml:space="preserve">. </w:t>
      </w:r>
      <w:r w:rsidR="00733DE9" w:rsidRPr="00061636">
        <w:rPr>
          <w:rFonts w:cs="Times New Roman"/>
          <w:bCs/>
        </w:rPr>
        <w:t xml:space="preserve">The </w:t>
      </w:r>
      <w:r w:rsidRPr="00061636">
        <w:rPr>
          <w:rFonts w:cs="Times New Roman"/>
          <w:bCs/>
        </w:rPr>
        <w:t>BOS costs include hard costs like electrical equipment and mounting hardware or tracking systems, as well as soft costs like labor and permi</w:t>
      </w:r>
      <w:r w:rsidR="00733DE9" w:rsidRPr="00061636">
        <w:rPr>
          <w:rFonts w:cs="Times New Roman"/>
          <w:bCs/>
        </w:rPr>
        <w:t>ssions</w:t>
      </w:r>
      <w:r w:rsidRPr="00061636">
        <w:rPr>
          <w:rFonts w:cs="Times New Roman"/>
          <w:bCs/>
        </w:rPr>
        <w:t xml:space="preserve"> </w:t>
      </w:r>
      <w:r w:rsidRPr="00061636">
        <w:rPr>
          <w:rFonts w:cs="Times New Roman"/>
          <w:bCs/>
        </w:rPr>
        <w:fldChar w:fldCharType="begin"/>
      </w:r>
      <w:r w:rsidR="00880FC0" w:rsidRPr="00061636">
        <w:rPr>
          <w:rFonts w:cs="Times New Roman"/>
          <w:bCs/>
        </w:rPr>
        <w:instrText xml:space="preserve"> ADDIN ZOTERO_ITEM CSL_CITATION {"citationID":"169bq63ijl","properties":{"formattedCitation":"(Energy and Environmental Economics, Inc., 2014)","plainCitation":"(Energy and Environmental Economics, Inc., 2014)","noteIndex":0},"citationItems":[{"id":"FmtG4bTJ/4GuBeN5H","uris":["http://zotero.org/groups/277937/items/DZCJXSQN"],"uri":["http://zotero.org/groups/277937/items/DZCJXSQN"],"itemData":{"id":4005,"type":"report","title":"Capital Cost Review of Power Generation Technologies","author":[{"family":"Energy and Environmental Economics, Inc.","given":""}],"issued":{"date-parts":[["2014"]]}}}],"schema":"https://github.com/citation-style-language/schema/raw/master/csl-citation.json"} </w:instrText>
      </w:r>
      <w:r w:rsidRPr="00061636">
        <w:rPr>
          <w:rFonts w:cs="Times New Roman"/>
          <w:bCs/>
        </w:rPr>
        <w:fldChar w:fldCharType="separate"/>
      </w:r>
      <w:r w:rsidR="00880FC0" w:rsidRPr="00061636">
        <w:rPr>
          <w:rFonts w:cs="Times New Roman"/>
        </w:rPr>
        <w:t>(Energy and Environmental Economics, Inc., 2014)</w:t>
      </w:r>
      <w:r w:rsidRPr="00061636">
        <w:rPr>
          <w:rFonts w:cs="Times New Roman"/>
          <w:bCs/>
        </w:rPr>
        <w:fldChar w:fldCharType="end"/>
      </w:r>
      <w:r w:rsidRPr="00061636">
        <w:rPr>
          <w:rFonts w:cs="Times New Roman"/>
          <w:bCs/>
        </w:rPr>
        <w:t>. Costs for both modules and BOS are expected to decrease over time as the PV industry matures, following the standard equation for learning rates:</w:t>
      </w:r>
    </w:p>
    <w:p w14:paraId="73C99054" w14:textId="638EA814" w:rsidR="00E439FB" w:rsidRPr="00061636" w:rsidRDefault="005F0E84" w:rsidP="00EB247F">
      <w:pPr>
        <w:spacing w:after="0"/>
        <w:rPr>
          <w:bCs/>
        </w:rPr>
      </w:pPr>
      <m:oMathPara>
        <m:oMath>
          <m:sSub>
            <m:sSubPr>
              <m:ctrlPr>
                <w:rPr>
                  <w:rFonts w:ascii="Cambria Math" w:hAnsi="Cambria Math"/>
                  <w:bCs/>
                  <w:i/>
                </w:rPr>
              </m:ctrlPr>
            </m:sSubPr>
            <m:e>
              <m:r>
                <w:rPr>
                  <w:rFonts w:ascii="Cambria Math" w:hAnsi="Cambria Math"/>
                </w:rPr>
                <m:t>Cost</m:t>
              </m:r>
            </m:e>
            <m:sub>
              <m:r>
                <w:rPr>
                  <w:rFonts w:ascii="Cambria Math" w:hAnsi="Cambria Math"/>
                </w:rPr>
                <m:t>2050</m:t>
              </m:r>
            </m:sub>
          </m:sSub>
          <m:r>
            <w:rPr>
              <w:rFonts w:ascii="Cambria Math" w:hAnsi="Cambria Math"/>
            </w:rPr>
            <m:t>=</m:t>
          </m:r>
          <m:sSub>
            <m:sSubPr>
              <m:ctrlPr>
                <w:rPr>
                  <w:rFonts w:ascii="Cambria Math" w:hAnsi="Cambria Math"/>
                  <w:bCs/>
                  <w:i/>
                </w:rPr>
              </m:ctrlPr>
            </m:sSubPr>
            <m:e>
              <m:r>
                <w:rPr>
                  <w:rFonts w:ascii="Cambria Math" w:hAnsi="Cambria Math"/>
                </w:rPr>
                <m:t>Cost</m:t>
              </m:r>
            </m:e>
            <m:sub>
              <m:r>
                <w:rPr>
                  <w:rFonts w:ascii="Cambria Math" w:hAnsi="Cambria Math"/>
                </w:rPr>
                <m:t>2014</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Units</m:t>
                          </m:r>
                        </m:e>
                        <m:sub>
                          <m:r>
                            <w:rPr>
                              <w:rFonts w:ascii="Cambria Math" w:hAnsi="Cambria Math"/>
                            </w:rPr>
                            <m:t>2050</m:t>
                          </m:r>
                        </m:sub>
                      </m:sSub>
                    </m:num>
                    <m:den>
                      <m:sSub>
                        <m:sSubPr>
                          <m:ctrlPr>
                            <w:rPr>
                              <w:rFonts w:ascii="Cambria Math" w:hAnsi="Cambria Math"/>
                              <w:bCs/>
                              <w:i/>
                            </w:rPr>
                          </m:ctrlPr>
                        </m:sSubPr>
                        <m:e>
                          <m:r>
                            <w:rPr>
                              <w:rFonts w:ascii="Cambria Math" w:hAnsi="Cambria Math"/>
                            </w:rPr>
                            <m:t>Units</m:t>
                          </m:r>
                        </m:e>
                        <m:sub>
                          <m:r>
                            <w:rPr>
                              <w:rFonts w:ascii="Cambria Math" w:hAnsi="Cambria Math"/>
                            </w:rPr>
                            <m:t>2014</m:t>
                          </m:r>
                        </m:sub>
                      </m:sSub>
                    </m:den>
                  </m:f>
                </m:e>
              </m:d>
            </m:e>
            <m:sup>
              <m:f>
                <m:fPr>
                  <m:type m:val="skw"/>
                  <m:ctrlPr>
                    <w:rPr>
                      <w:rFonts w:ascii="Cambria Math" w:hAnsi="Cambria Math"/>
                      <w:bCs/>
                      <w:i/>
                    </w:rPr>
                  </m:ctrlPr>
                </m:fPr>
                <m:num>
                  <m:r>
                    <m:rPr>
                      <m:sty m:val="p"/>
                    </m:rPr>
                    <w:rPr>
                      <w:rFonts w:ascii="Cambria Math" w:hAnsi="Cambria Math"/>
                    </w:rPr>
                    <m:t>log⁡</m:t>
                  </m:r>
                  <m:r>
                    <w:rPr>
                      <w:rFonts w:ascii="Cambria Math" w:hAnsi="Cambria Math"/>
                    </w:rPr>
                    <m:t>R</m:t>
                  </m:r>
                </m:num>
                <m:den>
                  <m:r>
                    <m:rPr>
                      <m:sty m:val="p"/>
                    </m:rPr>
                    <w:rPr>
                      <w:rFonts w:ascii="Cambria Math" w:hAnsi="Cambria Math"/>
                    </w:rPr>
                    <m:t>log⁡</m:t>
                  </m:r>
                  <m:r>
                    <w:rPr>
                      <w:rFonts w:ascii="Cambria Math" w:hAnsi="Cambria Math"/>
                    </w:rPr>
                    <m:t>2</m:t>
                  </m:r>
                </m:den>
              </m:f>
            </m:sup>
          </m:sSup>
        </m:oMath>
      </m:oMathPara>
    </w:p>
    <w:p w14:paraId="16B2D2CA" w14:textId="77777777" w:rsidR="00E439FB" w:rsidRPr="00061636" w:rsidRDefault="00E439FB" w:rsidP="00EB247F">
      <w:pPr>
        <w:spacing w:after="0"/>
        <w:rPr>
          <w:bCs/>
        </w:rPr>
      </w:pPr>
    </w:p>
    <w:p w14:paraId="654D54FD" w14:textId="77777777" w:rsidR="00E439FB" w:rsidRPr="00061636" w:rsidRDefault="00E439FB" w:rsidP="00EB247F">
      <w:pPr>
        <w:spacing w:after="0"/>
        <w:rPr>
          <w:bCs/>
        </w:rPr>
      </w:pPr>
      <w:r w:rsidRPr="00061636">
        <w:rPr>
          <w:bCs/>
        </w:rPr>
        <w:t>where:</w:t>
      </w:r>
    </w:p>
    <w:p w14:paraId="62C2644C" w14:textId="77777777" w:rsidR="00E439FB" w:rsidRPr="00061636" w:rsidRDefault="00E439FB" w:rsidP="002A6808">
      <w:pPr>
        <w:pStyle w:val="ListParagraph"/>
        <w:numPr>
          <w:ilvl w:val="0"/>
          <w:numId w:val="5"/>
        </w:numPr>
        <w:spacing w:after="0"/>
        <w:rPr>
          <w:bCs/>
        </w:rPr>
      </w:pPr>
      <m:oMath>
        <m:r>
          <w:rPr>
            <w:rFonts w:ascii="Cambria Math" w:hAnsi="Cambria Math"/>
          </w:rPr>
          <m:t>Cost</m:t>
        </m:r>
      </m:oMath>
      <w:r w:rsidRPr="00061636">
        <w:rPr>
          <w:bCs/>
        </w:rPr>
        <w:t xml:space="preserve"> is the capital cost per kW in the stated year.</w:t>
      </w:r>
    </w:p>
    <w:p w14:paraId="568E9126" w14:textId="77777777" w:rsidR="00E439FB" w:rsidRPr="00061636" w:rsidRDefault="00E439FB" w:rsidP="002A6808">
      <w:pPr>
        <w:pStyle w:val="ListParagraph"/>
        <w:numPr>
          <w:ilvl w:val="0"/>
          <w:numId w:val="5"/>
        </w:numPr>
        <w:spacing w:after="0"/>
        <w:rPr>
          <w:bCs/>
        </w:rPr>
      </w:pPr>
      <m:oMath>
        <m:r>
          <w:rPr>
            <w:rFonts w:ascii="Cambria Math" w:hAnsi="Cambria Math"/>
          </w:rPr>
          <m:t>Units</m:t>
        </m:r>
      </m:oMath>
      <w:r w:rsidRPr="00061636">
        <w:rPr>
          <w:bCs/>
        </w:rPr>
        <w:t xml:space="preserve"> is the cumulative production of the technology to date in the stated year.</w:t>
      </w:r>
    </w:p>
    <w:p w14:paraId="36633AF8" w14:textId="77777777" w:rsidR="00E439FB" w:rsidRPr="00061636" w:rsidRDefault="00E439FB" w:rsidP="002A6808">
      <w:pPr>
        <w:pStyle w:val="ListParagraph"/>
        <w:numPr>
          <w:ilvl w:val="0"/>
          <w:numId w:val="5"/>
        </w:numPr>
        <w:spacing w:after="0"/>
        <w:rPr>
          <w:bCs/>
        </w:rPr>
      </w:pPr>
      <w:r w:rsidRPr="00061636">
        <w:rPr>
          <w:bCs/>
        </w:rPr>
        <w:t>R is the learning rate, which is 1 - efficiency rate.</w:t>
      </w:r>
    </w:p>
    <w:p w14:paraId="18AE1CF0" w14:textId="77777777" w:rsidR="00E439FB" w:rsidRPr="00061636" w:rsidRDefault="00E439FB" w:rsidP="00EB247F">
      <w:pPr>
        <w:spacing w:after="0"/>
        <w:rPr>
          <w:bCs/>
        </w:rPr>
      </w:pPr>
    </w:p>
    <w:p w14:paraId="6EDCE933" w14:textId="25B345A4" w:rsidR="00E439FB" w:rsidRPr="00061636" w:rsidRDefault="000875B5" w:rsidP="00EB247F">
      <w:pPr>
        <w:rPr>
          <w:rFonts w:cs="Times New Roman"/>
          <w:bCs/>
        </w:rPr>
      </w:pPr>
      <w:r w:rsidRPr="00061636">
        <w:rPr>
          <w:rFonts w:cs="Times New Roman"/>
          <w:bCs/>
        </w:rPr>
        <w:t>T</w:t>
      </w:r>
      <w:r w:rsidR="00E439FB" w:rsidRPr="00061636">
        <w:rPr>
          <w:rFonts w:cs="Times New Roman"/>
          <w:bCs/>
        </w:rPr>
        <w:t>he learning rate</w:t>
      </w:r>
      <w:r w:rsidR="00733DE9" w:rsidRPr="00061636">
        <w:rPr>
          <w:rFonts w:cs="Times New Roman"/>
          <w:bCs/>
        </w:rPr>
        <w:t>s</w:t>
      </w:r>
      <w:r w:rsidR="00E439FB" w:rsidRPr="00061636">
        <w:rPr>
          <w:rFonts w:cs="Times New Roman"/>
          <w:bCs/>
        </w:rPr>
        <w:t xml:space="preserve"> for modules and BOS var</w:t>
      </w:r>
      <w:r w:rsidR="00733DE9" w:rsidRPr="00061636">
        <w:rPr>
          <w:rFonts w:cs="Times New Roman"/>
          <w:bCs/>
        </w:rPr>
        <w:t>y</w:t>
      </w:r>
      <w:r w:rsidR="00E439FB" w:rsidRPr="00061636">
        <w:rPr>
          <w:rFonts w:cs="Times New Roman"/>
          <w:bCs/>
        </w:rPr>
        <w:t xml:space="preserve"> based on</w:t>
      </w:r>
      <w:r w:rsidR="00733DE9" w:rsidRPr="00061636">
        <w:rPr>
          <w:rFonts w:cs="Times New Roman"/>
          <w:bCs/>
        </w:rPr>
        <w:t xml:space="preserve"> the </w:t>
      </w:r>
      <w:r w:rsidR="00E439FB" w:rsidRPr="00061636">
        <w:rPr>
          <w:rFonts w:cs="Times New Roman"/>
          <w:bCs/>
        </w:rPr>
        <w:t xml:space="preserve">technology and </w:t>
      </w:r>
      <w:r w:rsidR="00733DE9" w:rsidRPr="00061636">
        <w:rPr>
          <w:rFonts w:cs="Times New Roman"/>
          <w:bCs/>
        </w:rPr>
        <w:t>are</w:t>
      </w:r>
      <w:r w:rsidR="00E439FB" w:rsidRPr="00061636">
        <w:rPr>
          <w:rFonts w:cs="Times New Roman"/>
          <w:bCs/>
        </w:rPr>
        <w:t xml:space="preserve"> necessarily different</w:t>
      </w:r>
      <w:r w:rsidR="00733DE9" w:rsidRPr="00061636">
        <w:rPr>
          <w:rFonts w:cs="Times New Roman"/>
          <w:bCs/>
        </w:rPr>
        <w:t xml:space="preserve"> for </w:t>
      </w:r>
      <w:r w:rsidR="000A10E5" w:rsidRPr="00061636">
        <w:rPr>
          <w:rFonts w:cs="Times New Roman"/>
          <w:bCs/>
        </w:rPr>
        <w:t>both</w:t>
      </w:r>
      <w:r w:rsidR="000A10E5">
        <w:rPr>
          <w:rFonts w:cs="Times New Roman"/>
          <w:bCs/>
        </w:rPr>
        <w:t>,</w:t>
      </w:r>
      <w:r w:rsidR="000A10E5" w:rsidRPr="00061636">
        <w:rPr>
          <w:rFonts w:cs="Times New Roman"/>
          <w:bCs/>
        </w:rPr>
        <w:t xml:space="preserve"> hence</w:t>
      </w:r>
      <w:r w:rsidR="00733DE9" w:rsidRPr="00061636">
        <w:rPr>
          <w:rFonts w:cs="Times New Roman"/>
          <w:bCs/>
        </w:rPr>
        <w:t xml:space="preserve"> these have been</w:t>
      </w:r>
      <w:r w:rsidR="00F4258D" w:rsidRPr="00061636">
        <w:rPr>
          <w:rFonts w:cs="Times New Roman"/>
          <w:bCs/>
        </w:rPr>
        <w:t xml:space="preserve"> </w:t>
      </w:r>
      <w:r w:rsidR="00E439FB" w:rsidRPr="00061636">
        <w:rPr>
          <w:rFonts w:cs="Times New Roman"/>
          <w:bCs/>
        </w:rPr>
        <w:t xml:space="preserve">modeled separately. </w:t>
      </w:r>
      <w:r w:rsidR="00733DE9" w:rsidRPr="00061636">
        <w:rPr>
          <w:rFonts w:cs="Times New Roman"/>
          <w:bCs/>
        </w:rPr>
        <w:t>S</w:t>
      </w:r>
      <w:r w:rsidR="00E439FB" w:rsidRPr="00061636">
        <w:rPr>
          <w:rFonts w:cs="Times New Roman"/>
          <w:bCs/>
        </w:rPr>
        <w:t>everal sources</w:t>
      </w:r>
      <w:r w:rsidR="00733DE9" w:rsidRPr="00061636">
        <w:rPr>
          <w:rFonts w:cs="Times New Roman"/>
          <w:bCs/>
        </w:rPr>
        <w:t xml:space="preserve"> were studied</w:t>
      </w:r>
      <w:r w:rsidR="00E439FB" w:rsidRPr="00061636">
        <w:rPr>
          <w:rFonts w:cs="Times New Roman"/>
          <w:bCs/>
        </w:rPr>
        <w:t xml:space="preserve"> </w:t>
      </w:r>
      <w:r w:rsidR="00FD463C" w:rsidRPr="00061636">
        <w:rPr>
          <w:rFonts w:cs="Times New Roman"/>
          <w:bCs/>
        </w:rPr>
        <w:fldChar w:fldCharType="begin"/>
      </w:r>
      <w:r w:rsidR="00FD463C" w:rsidRPr="00061636">
        <w:rPr>
          <w:rFonts w:cs="Times New Roman"/>
          <w:bCs/>
        </w:rPr>
        <w:instrText xml:space="preserve"> ADDIN ZOTERO_ITEM CSL_CITATION {"citationID":"QL450xWA","properties":{"formattedCitation":"(ITRPV, 2018; Munsell, 2018)","plainCitation":"(ITRPV, 2018; Munsell, 2018)","noteIndex":0},"citationItems":[{"id":2185,"uris":["http://zotero.org/users/3385572/items/PKGGJKWJ"],"uri":["http://zotero.org/users/3385572/items/PKGGJKWJ"],"itemData":{"id":2185,"type":"article","title":"International technology raodmap for Photovoltaic ITRPV), 2018","abstract":"This ninth edition of the ITRPV was jointly prepared by 55 leading international poly--Si producers, wafer suppliers, c-Si solar-cell manufacturers, module manufacturere, PV equipment suppliers and production material providers, as well as PV research institutes and consultants. The publication covers the entire c-Si value chain from crystallisation, wafering, and cell manufacturing to module manufacturing and PV systems. Significant parametres set out in earlier aditions are reviewed along with several new ones, and discussions about emerging trends in the PV industry are reported.","URL":"https://pv.vdma.org/documents/105945/26776337/ITRPV%20Ninth%20Edition%202018%20including%20maturity%20report%2020180904_1536055215523.pdf/a907157c-a241-eec0-310d-fd76f1685b2a","shortTitle":"ITRPV 2018","language":"English","author":[{"family":"ITRPV","given":""}],"issued":{"date-parts":[["2018"]]},"accessed":{"date-parts":[["2018",11,19]]}}},{"id":2338,"uris":["http://zotero.org/users/3385572/items/55EV5BFT"],"uri":["http://zotero.org/users/3385572/items/55EV5BFT"],"itemData":{"id":2338,"type":"webpage","title":"10 Trends That Will Shape the Global Solar Market in 2018","abstract":"2018 will be the first triple-digit year for the global solar market, but it will also have some bumps.","URL":"https://www.greentechmedia.com/articles/read/solar-trends-2018-gtm-research","author":[{"family":"Munsell","given":"Mike"}],"issued":{"date-parts":[["2018",1,31]]},"accessed":{"date-parts":[["2018",12,9]]}}}],"schema":"https://github.com/citation-style-language/schema/raw/master/csl-citation.json"} </w:instrText>
      </w:r>
      <w:r w:rsidR="00FD463C" w:rsidRPr="00061636">
        <w:rPr>
          <w:rFonts w:cs="Times New Roman"/>
          <w:bCs/>
        </w:rPr>
        <w:fldChar w:fldCharType="separate"/>
      </w:r>
      <w:r w:rsidR="00FD463C" w:rsidRPr="00061636">
        <w:rPr>
          <w:rFonts w:cs="Times New Roman"/>
        </w:rPr>
        <w:t>(</w:t>
      </w:r>
      <w:r w:rsidR="00D1081A">
        <w:rPr>
          <w:rFonts w:cs="Times New Roman"/>
        </w:rPr>
        <w:t xml:space="preserve">e.g. </w:t>
      </w:r>
      <w:r w:rsidR="00FD463C" w:rsidRPr="00061636">
        <w:rPr>
          <w:rFonts w:cs="Times New Roman"/>
        </w:rPr>
        <w:t>ITRPV, 2018; Munsell, 2018</w:t>
      </w:r>
      <w:r w:rsidR="00851CD9">
        <w:rPr>
          <w:rFonts w:cs="Times New Roman"/>
        </w:rPr>
        <w:t>;</w:t>
      </w:r>
      <w:r w:rsidR="00FD463C" w:rsidRPr="00061636">
        <w:rPr>
          <w:rFonts w:cs="Times New Roman"/>
          <w:bCs/>
        </w:rPr>
        <w:fldChar w:fldCharType="end"/>
      </w:r>
      <w:r w:rsidR="00851CD9">
        <w:rPr>
          <w:rFonts w:cs="Times New Roman"/>
          <w:bCs/>
        </w:rPr>
        <w:t xml:space="preserve"> </w:t>
      </w:r>
      <w:proofErr w:type="spellStart"/>
      <w:r w:rsidR="00E439FB" w:rsidRPr="00061636">
        <w:rPr>
          <w:rFonts w:cs="Times New Roman"/>
          <w:bCs/>
        </w:rPr>
        <w:t>Bolinger</w:t>
      </w:r>
      <w:proofErr w:type="spellEnd"/>
      <w:r w:rsidR="00E439FB" w:rsidRPr="00061636">
        <w:rPr>
          <w:rFonts w:cs="Times New Roman"/>
          <w:bCs/>
        </w:rPr>
        <w:t xml:space="preserve"> and </w:t>
      </w:r>
      <w:proofErr w:type="spellStart"/>
      <w:r w:rsidR="00E439FB" w:rsidRPr="00061636">
        <w:rPr>
          <w:rFonts w:cs="Times New Roman"/>
          <w:bCs/>
        </w:rPr>
        <w:t>Seel</w:t>
      </w:r>
      <w:proofErr w:type="spellEnd"/>
      <w:r w:rsidR="00E439FB" w:rsidRPr="00061636">
        <w:rPr>
          <w:rFonts w:cs="Times New Roman"/>
          <w:bCs/>
        </w:rPr>
        <w:t>, 2015) to calculate the percentage share of total PV system cos</w:t>
      </w:r>
      <w:r w:rsidR="00290D71" w:rsidRPr="00061636">
        <w:rPr>
          <w:rFonts w:cs="Times New Roman"/>
          <w:bCs/>
        </w:rPr>
        <w:t>ts</w:t>
      </w:r>
      <w:r w:rsidR="00733DE9" w:rsidRPr="00061636">
        <w:rPr>
          <w:rFonts w:cs="Times New Roman"/>
          <w:bCs/>
        </w:rPr>
        <w:t xml:space="preserve"> attributable to</w:t>
      </w:r>
      <w:r w:rsidR="00290D71" w:rsidRPr="00061636">
        <w:rPr>
          <w:rFonts w:cs="Times New Roman"/>
          <w:bCs/>
        </w:rPr>
        <w:t xml:space="preserve"> the PV module </w:t>
      </w:r>
      <w:r w:rsidR="00733DE9" w:rsidRPr="00061636">
        <w:rPr>
          <w:rFonts w:cs="Times New Roman"/>
          <w:bCs/>
        </w:rPr>
        <w:t>as well as the</w:t>
      </w:r>
      <w:r w:rsidR="00290D71" w:rsidRPr="00061636">
        <w:rPr>
          <w:rFonts w:cs="Times New Roman"/>
          <w:bCs/>
        </w:rPr>
        <w:t xml:space="preserve"> BOS.</w:t>
      </w:r>
      <w:r w:rsidR="00E439FB" w:rsidRPr="00061636">
        <w:rPr>
          <w:rFonts w:cs="Times New Roman"/>
          <w:bCs/>
        </w:rPr>
        <w:t xml:space="preserve"> </w:t>
      </w:r>
      <w:r w:rsidR="005B6463" w:rsidRPr="00061636">
        <w:rPr>
          <w:rFonts w:cs="Times New Roman"/>
          <w:bCs/>
        </w:rPr>
        <w:t>T</w:t>
      </w:r>
      <w:r w:rsidR="00AC60DD">
        <w:rPr>
          <w:rFonts w:cs="Times New Roman"/>
          <w:bCs/>
        </w:rPr>
        <w:t>he</w:t>
      </w:r>
      <w:r w:rsidR="00E439FB" w:rsidRPr="00061636">
        <w:rPr>
          <w:rFonts w:cs="Times New Roman"/>
          <w:bCs/>
        </w:rPr>
        <w:t xml:space="preserve"> cost</w:t>
      </w:r>
      <w:r w:rsidR="005B6463" w:rsidRPr="00061636">
        <w:rPr>
          <w:rFonts w:cs="Times New Roman"/>
          <w:bCs/>
        </w:rPr>
        <w:t xml:space="preserve"> </w:t>
      </w:r>
      <w:r w:rsidR="00E439FB" w:rsidRPr="00061636">
        <w:rPr>
          <w:rFonts w:cs="Times New Roman"/>
          <w:bCs/>
        </w:rPr>
        <w:t>per kW</w:t>
      </w:r>
      <w:r w:rsidR="005B6463" w:rsidRPr="00061636">
        <w:rPr>
          <w:rFonts w:cs="Times New Roman"/>
          <w:bCs/>
        </w:rPr>
        <w:t xml:space="preserve"> which</w:t>
      </w:r>
      <w:r w:rsidR="00E439FB" w:rsidRPr="00061636">
        <w:rPr>
          <w:rFonts w:cs="Times New Roman"/>
          <w:bCs/>
        </w:rPr>
        <w:t xml:space="preserve"> a module </w:t>
      </w:r>
      <w:r w:rsidR="005B6463" w:rsidRPr="00061636">
        <w:rPr>
          <w:rFonts w:cs="Times New Roman"/>
          <w:bCs/>
        </w:rPr>
        <w:t>having</w:t>
      </w:r>
      <w:r w:rsidR="00E439FB" w:rsidRPr="00061636">
        <w:rPr>
          <w:rFonts w:cs="Times New Roman"/>
          <w:bCs/>
        </w:rPr>
        <w:t xml:space="preserve"> an average efficiency</w:t>
      </w:r>
      <w:r w:rsidR="005B6463" w:rsidRPr="00061636">
        <w:rPr>
          <w:rFonts w:cs="Times New Roman"/>
          <w:bCs/>
        </w:rPr>
        <w:t xml:space="preserve"> would have in 2050 was then</w:t>
      </w:r>
      <w:r w:rsidR="00E439FB" w:rsidRPr="00061636">
        <w:rPr>
          <w:rFonts w:cs="Times New Roman"/>
          <w:bCs/>
        </w:rPr>
        <w:t xml:space="preserve"> obtained from a meta-analysis of several different sources </w:t>
      </w:r>
      <w:r w:rsidR="00E439FB" w:rsidRPr="00061636">
        <w:rPr>
          <w:rFonts w:cs="Times New Roman"/>
          <w:bCs/>
        </w:rPr>
        <w:fldChar w:fldCharType="begin"/>
      </w:r>
      <w:r w:rsidR="00FD463C" w:rsidRPr="00061636">
        <w:rPr>
          <w:rFonts w:cs="Times New Roman"/>
          <w:bCs/>
        </w:rPr>
        <w:instrText xml:space="preserve"> ADDIN ZOTERO_ITEM CSL_CITATION {"citationID":"F66MlQIg","properties":{"formattedCitation":"(Energy and Environmental Economics, Inc., 2014, p. 38)","plainCitation":"(Energy and Environmental Economics, Inc., 2014, p. 38)","noteIndex":0},"citationItems":[{"id":"eyscL8gK/zTx5f1Jd","uris":["http://zotero.org/groups/277937/items/DZCJXSQN"],"uri":["http://zotero.org/groups/277937/items/DZCJXSQN"],"itemData":{"id":4005,"type":"report","title":"Capital Cost Review of Power Generation Technologies","author":[{"family":"Energy and Environmental Economics, Inc.","given":""}],"issued":{"date-parts":[["2014"]]}},"locator":"38"}],"schema":"https://github.com/citation-style-language/schema/raw/master/csl-citation.json"} </w:instrText>
      </w:r>
      <w:r w:rsidR="00E439FB" w:rsidRPr="00061636">
        <w:rPr>
          <w:rFonts w:cs="Times New Roman"/>
          <w:bCs/>
        </w:rPr>
        <w:fldChar w:fldCharType="separate"/>
      </w:r>
      <w:r w:rsidR="00880FC0" w:rsidRPr="00061636">
        <w:rPr>
          <w:rFonts w:cs="Times New Roman"/>
        </w:rPr>
        <w:t>(Energy and Environmental Economics, Inc., 2014, p. 38)</w:t>
      </w:r>
      <w:r w:rsidR="00E439FB" w:rsidRPr="00061636">
        <w:rPr>
          <w:rFonts w:cs="Times New Roman"/>
          <w:bCs/>
        </w:rPr>
        <w:fldChar w:fldCharType="end"/>
      </w:r>
      <w:r w:rsidR="00E439FB" w:rsidRPr="00061636">
        <w:rPr>
          <w:rFonts w:cs="Times New Roman"/>
          <w:bCs/>
        </w:rPr>
        <w:t xml:space="preserve"> </w:t>
      </w:r>
      <w:r w:rsidR="005B6463" w:rsidRPr="00061636">
        <w:rPr>
          <w:rFonts w:cs="Times New Roman"/>
          <w:bCs/>
        </w:rPr>
        <w:t>about</w:t>
      </w:r>
      <w:r w:rsidR="00E439FB" w:rsidRPr="00061636">
        <w:rPr>
          <w:rFonts w:cs="Times New Roman"/>
          <w:bCs/>
        </w:rPr>
        <w:t xml:space="preserve"> the projected capacity in the</w:t>
      </w:r>
      <w:r w:rsidR="005B6463" w:rsidRPr="00061636">
        <w:rPr>
          <w:rFonts w:cs="Times New Roman"/>
          <w:bCs/>
        </w:rPr>
        <w:t xml:space="preserve"> Plausible</w:t>
      </w:r>
      <w:r w:rsidR="00E439FB" w:rsidRPr="00061636">
        <w:rPr>
          <w:rFonts w:cs="Times New Roman"/>
          <w:bCs/>
        </w:rPr>
        <w:t xml:space="preserve"> </w:t>
      </w:r>
      <w:r w:rsidR="00290D71" w:rsidRPr="00061636">
        <w:rPr>
          <w:rFonts w:cs="Times New Roman"/>
          <w:bCs/>
        </w:rPr>
        <w:t xml:space="preserve">PDS . This process was </w:t>
      </w:r>
      <w:r w:rsidR="00E439FB" w:rsidRPr="00061636">
        <w:rPr>
          <w:rFonts w:cs="Times New Roman"/>
          <w:bCs/>
        </w:rPr>
        <w:t xml:space="preserve">repeated </w:t>
      </w:r>
      <w:r w:rsidR="005B6463" w:rsidRPr="00061636">
        <w:rPr>
          <w:rFonts w:cs="Times New Roman"/>
          <w:bCs/>
        </w:rPr>
        <w:t xml:space="preserve">for the BOS </w:t>
      </w:r>
      <w:r w:rsidR="00E439FB" w:rsidRPr="00061636">
        <w:rPr>
          <w:rFonts w:cs="Times New Roman"/>
          <w:bCs/>
        </w:rPr>
        <w:t xml:space="preserve">using the </w:t>
      </w:r>
      <w:r w:rsidR="00FD463C" w:rsidRPr="00061636">
        <w:rPr>
          <w:rFonts w:cs="Times New Roman"/>
          <w:bCs/>
        </w:rPr>
        <w:t>learning</w:t>
      </w:r>
      <w:r w:rsidR="00E439FB" w:rsidRPr="00061636">
        <w:rPr>
          <w:rFonts w:cs="Times New Roman"/>
          <w:bCs/>
        </w:rPr>
        <w:t xml:space="preserve"> rates for utility-scale PV BOS </w:t>
      </w:r>
      <w:r w:rsidR="00E439FB" w:rsidRPr="00061636">
        <w:rPr>
          <w:rFonts w:cs="Times New Roman"/>
          <w:bCs/>
        </w:rPr>
        <w:fldChar w:fldCharType="begin"/>
      </w:r>
      <w:r w:rsidR="00880FC0" w:rsidRPr="00061636">
        <w:rPr>
          <w:rFonts w:cs="Times New Roman"/>
          <w:bCs/>
        </w:rPr>
        <w:instrText xml:space="preserve"> ADDIN ZOTERO_ITEM CSL_CITATION {"citationID":"1dkaoe5ei2","properties":{"formattedCitation":"(Energy and Environmental Economics, Inc., 2014, p. 38)","plainCitation":"(Energy and Environmental Economics, Inc., 2014, p. 38)","noteIndex":0},"citationItems":[{"id":"FmtG4bTJ/4GuBeN5H","uris":["http://zotero.org/groups/277937/items/DZCJXSQN"],"uri":["http://zotero.org/groups/277937/items/DZCJXSQN"],"itemData":{"id":4005,"type":"report","title":"Capital Cost Review of Power Generation Technologies","author":[{"family":"Energy and Environmental Economics, Inc.","given":""}],"issued":{"date-parts":[["2014"]]}},"locator":"38"}],"schema":"https://github.com/citation-style-language/schema/raw/master/csl-citation.json"} </w:instrText>
      </w:r>
      <w:r w:rsidR="00E439FB" w:rsidRPr="00061636">
        <w:rPr>
          <w:rFonts w:cs="Times New Roman"/>
          <w:bCs/>
        </w:rPr>
        <w:fldChar w:fldCharType="separate"/>
      </w:r>
      <w:r w:rsidR="00880FC0" w:rsidRPr="00061636">
        <w:rPr>
          <w:rFonts w:cs="Times New Roman"/>
        </w:rPr>
        <w:t>(Energy and Environmental Economics, Inc., 2014, p. 38)</w:t>
      </w:r>
      <w:r w:rsidR="00E439FB" w:rsidRPr="00061636">
        <w:rPr>
          <w:rFonts w:cs="Times New Roman"/>
          <w:bCs/>
        </w:rPr>
        <w:fldChar w:fldCharType="end"/>
      </w:r>
      <w:r w:rsidR="00E439FB" w:rsidRPr="00061636">
        <w:rPr>
          <w:rFonts w:cs="Times New Roman"/>
          <w:bCs/>
        </w:rPr>
        <w:t>. By add</w:t>
      </w:r>
      <w:r w:rsidR="00290D71" w:rsidRPr="00061636">
        <w:rPr>
          <w:rFonts w:cs="Times New Roman"/>
          <w:bCs/>
        </w:rPr>
        <w:t xml:space="preserve">ing the module and BOS costs, the </w:t>
      </w:r>
      <w:r w:rsidR="000A10E5" w:rsidRPr="00061636">
        <w:rPr>
          <w:rFonts w:cs="Times New Roman"/>
          <w:bCs/>
        </w:rPr>
        <w:t>results for</w:t>
      </w:r>
      <w:r w:rsidR="00B201F0" w:rsidRPr="00061636">
        <w:rPr>
          <w:rFonts w:cs="Times New Roman"/>
          <w:bCs/>
        </w:rPr>
        <w:t xml:space="preserve"> the</w:t>
      </w:r>
      <w:r w:rsidR="00E439FB" w:rsidRPr="00061636">
        <w:rPr>
          <w:rFonts w:cs="Times New Roman"/>
          <w:bCs/>
        </w:rPr>
        <w:t xml:space="preserve"> total PV system cost per kW</w:t>
      </w:r>
      <w:r w:rsidR="00B201F0" w:rsidRPr="00061636">
        <w:rPr>
          <w:rFonts w:cs="Times New Roman"/>
          <w:bCs/>
        </w:rPr>
        <w:t xml:space="preserve"> was obtained</w:t>
      </w:r>
      <w:r w:rsidR="00E439FB" w:rsidRPr="00061636">
        <w:rPr>
          <w:rFonts w:cs="Times New Roman"/>
          <w:bCs/>
        </w:rPr>
        <w:t>,</w:t>
      </w:r>
      <w:r w:rsidR="00B201F0" w:rsidRPr="00061636">
        <w:rPr>
          <w:rFonts w:cs="Times New Roman"/>
          <w:bCs/>
        </w:rPr>
        <w:t xml:space="preserve"> and this</w:t>
      </w:r>
      <w:r w:rsidR="00A90312">
        <w:rPr>
          <w:rFonts w:cs="Times New Roman"/>
          <w:bCs/>
        </w:rPr>
        <w:t>,</w:t>
      </w:r>
      <w:r w:rsidR="00B201F0" w:rsidRPr="00061636">
        <w:rPr>
          <w:rFonts w:cs="Times New Roman"/>
          <w:bCs/>
        </w:rPr>
        <w:t xml:space="preserve"> in turn</w:t>
      </w:r>
      <w:r w:rsidR="00A90312">
        <w:rPr>
          <w:rFonts w:cs="Times New Roman"/>
          <w:bCs/>
        </w:rPr>
        <w:t>,</w:t>
      </w:r>
      <w:r w:rsidR="00290D71" w:rsidRPr="00061636">
        <w:rPr>
          <w:rFonts w:cs="Times New Roman"/>
          <w:bCs/>
        </w:rPr>
        <w:t xml:space="preserve"> was</w:t>
      </w:r>
      <w:r w:rsidR="00E439FB" w:rsidRPr="00061636">
        <w:rPr>
          <w:rFonts w:cs="Times New Roman"/>
          <w:bCs/>
        </w:rPr>
        <w:t xml:space="preserve"> use</w:t>
      </w:r>
      <w:r w:rsidR="00290D71" w:rsidRPr="00061636">
        <w:rPr>
          <w:rFonts w:cs="Times New Roman"/>
          <w:bCs/>
        </w:rPr>
        <w:t>d</w:t>
      </w:r>
      <w:r w:rsidR="00E439FB" w:rsidRPr="00061636">
        <w:rPr>
          <w:rFonts w:cs="Times New Roman"/>
          <w:bCs/>
        </w:rPr>
        <w:t xml:space="preserve"> to calculate</w:t>
      </w:r>
      <w:r w:rsidR="00B201F0" w:rsidRPr="00061636">
        <w:rPr>
          <w:rFonts w:cs="Times New Roman"/>
          <w:bCs/>
        </w:rPr>
        <w:t xml:space="preserve"> the</w:t>
      </w:r>
      <w:r w:rsidR="00E439FB" w:rsidRPr="00061636">
        <w:rPr>
          <w:rFonts w:cs="Times New Roman"/>
          <w:bCs/>
        </w:rPr>
        <w:t xml:space="preserve"> learning rate for the entire PV system.</w:t>
      </w:r>
    </w:p>
    <w:p w14:paraId="0D0A4F8C" w14:textId="736145E4" w:rsidR="00290D71" w:rsidRPr="00061636" w:rsidRDefault="00290D71" w:rsidP="00EB247F">
      <w:pPr>
        <w:rPr>
          <w:rFonts w:cs="Times New Roman"/>
          <w:bCs/>
        </w:rPr>
      </w:pPr>
      <w:r w:rsidRPr="00061636">
        <w:rPr>
          <w:rFonts w:cs="Times New Roman"/>
          <w:bCs/>
        </w:rPr>
        <w:t>For the solution (</w:t>
      </w:r>
      <w:r w:rsidR="00B201F0" w:rsidRPr="00061636">
        <w:rPr>
          <w:rFonts w:cs="Times New Roman"/>
          <w:bCs/>
        </w:rPr>
        <w:t>i.e. S</w:t>
      </w:r>
      <w:r w:rsidRPr="00061636">
        <w:rPr>
          <w:rFonts w:cs="Times New Roman"/>
          <w:bCs/>
        </w:rPr>
        <w:t xml:space="preserve">olar PV </w:t>
      </w:r>
      <w:r w:rsidR="00F4258D" w:rsidRPr="00061636">
        <w:rPr>
          <w:rFonts w:cs="Times New Roman"/>
          <w:bCs/>
        </w:rPr>
        <w:t>utility-scale</w:t>
      </w:r>
      <w:r w:rsidR="00B201F0" w:rsidRPr="00061636">
        <w:rPr>
          <w:rFonts w:cs="Times New Roman"/>
          <w:bCs/>
        </w:rPr>
        <w:t xml:space="preserve"> systems</w:t>
      </w:r>
      <w:r w:rsidRPr="00061636">
        <w:rPr>
          <w:rFonts w:cs="Times New Roman"/>
          <w:bCs/>
        </w:rPr>
        <w:t xml:space="preserve">), the current mix of </w:t>
      </w:r>
      <w:r w:rsidR="00B201F0" w:rsidRPr="00061636">
        <w:rPr>
          <w:rFonts w:cs="Times New Roman"/>
          <w:bCs/>
        </w:rPr>
        <w:t xml:space="preserve">conventional and </w:t>
      </w:r>
      <w:r w:rsidRPr="00061636">
        <w:rPr>
          <w:rFonts w:cs="Times New Roman"/>
          <w:bCs/>
        </w:rPr>
        <w:t>fossil fuel electricity generation technologies (coal, gas</w:t>
      </w:r>
      <w:r w:rsidR="00F4258D" w:rsidRPr="00061636">
        <w:rPr>
          <w:rFonts w:cs="Times New Roman"/>
          <w:bCs/>
        </w:rPr>
        <w:t>,</w:t>
      </w:r>
      <w:r w:rsidRPr="00061636">
        <w:rPr>
          <w:rFonts w:cs="Times New Roman"/>
          <w:bCs/>
        </w:rPr>
        <w:t xml:space="preserve"> and oil)</w:t>
      </w:r>
      <w:r w:rsidR="00B201F0" w:rsidRPr="00061636">
        <w:rPr>
          <w:rFonts w:cs="Times New Roman"/>
          <w:bCs/>
        </w:rPr>
        <w:t xml:space="preserve"> to be</w:t>
      </w:r>
      <w:r w:rsidRPr="00061636">
        <w:rPr>
          <w:rFonts w:cs="Times New Roman"/>
          <w:bCs/>
        </w:rPr>
        <w:t xml:space="preserve"> replaced</w:t>
      </w:r>
      <w:r w:rsidR="00B201F0" w:rsidRPr="00061636">
        <w:rPr>
          <w:rFonts w:cs="Times New Roman"/>
          <w:bCs/>
        </w:rPr>
        <w:t xml:space="preserve"> by SPV</w:t>
      </w:r>
      <w:r w:rsidRPr="00061636">
        <w:rPr>
          <w:rFonts w:cs="Times New Roman"/>
          <w:bCs/>
        </w:rPr>
        <w:t xml:space="preserve"> were identified. </w:t>
      </w:r>
      <w:r w:rsidR="00B201F0" w:rsidRPr="00061636">
        <w:rPr>
          <w:rFonts w:cs="Times New Roman"/>
          <w:bCs/>
        </w:rPr>
        <w:t>Fixed and operational c</w:t>
      </w:r>
      <w:r w:rsidRPr="00061636">
        <w:rPr>
          <w:rFonts w:cs="Times New Roman"/>
          <w:bCs/>
        </w:rPr>
        <w:t>osts and operation for both</w:t>
      </w:r>
      <w:r w:rsidR="00B201F0" w:rsidRPr="00061636">
        <w:rPr>
          <w:rFonts w:cs="Times New Roman"/>
          <w:bCs/>
        </w:rPr>
        <w:t xml:space="preserve"> these</w:t>
      </w:r>
      <w:r w:rsidRPr="00061636">
        <w:rPr>
          <w:rFonts w:cs="Times New Roman"/>
          <w:bCs/>
        </w:rPr>
        <w:t xml:space="preserve"> generation technologies (solution and conventional) were</w:t>
      </w:r>
      <w:r w:rsidR="00B201F0" w:rsidRPr="00061636">
        <w:rPr>
          <w:rFonts w:cs="Times New Roman"/>
          <w:bCs/>
        </w:rPr>
        <w:t xml:space="preserve"> thereafter</w:t>
      </w:r>
      <w:r w:rsidRPr="00061636">
        <w:rPr>
          <w:rFonts w:cs="Times New Roman"/>
          <w:bCs/>
        </w:rPr>
        <w:t xml:space="preserve"> considered to obtain the differen</w:t>
      </w:r>
      <w:r w:rsidR="00B201F0" w:rsidRPr="00061636">
        <w:rPr>
          <w:rFonts w:cs="Times New Roman"/>
          <w:bCs/>
        </w:rPr>
        <w:t>ce between the two.</w:t>
      </w:r>
    </w:p>
    <w:p w14:paraId="02DF5B45" w14:textId="013C4988" w:rsidR="009A4D96" w:rsidRDefault="00290D71" w:rsidP="007A09F4">
      <w:r w:rsidRPr="00DD28FE">
        <w:rPr>
          <w:rFonts w:cs="Times New Roman"/>
        </w:rPr>
        <w:t xml:space="preserve">To capture the rapid decrease of costs </w:t>
      </w:r>
      <w:r w:rsidR="00B201F0" w:rsidRPr="00DD28FE">
        <w:rPr>
          <w:rFonts w:cs="Times New Roman"/>
        </w:rPr>
        <w:t xml:space="preserve">in the SPV systems </w:t>
      </w:r>
      <w:r w:rsidRPr="00DD28FE">
        <w:rPr>
          <w:rFonts w:cs="Times New Roman"/>
        </w:rPr>
        <w:t xml:space="preserve">seen in recent years, </w:t>
      </w:r>
      <w:r w:rsidR="00B201F0" w:rsidRPr="00DD28FE">
        <w:rPr>
          <w:rFonts w:cs="Times New Roman"/>
        </w:rPr>
        <w:t>a</w:t>
      </w:r>
      <w:r w:rsidRPr="00DD28FE">
        <w:rPr>
          <w:rFonts w:cs="Times New Roman"/>
        </w:rPr>
        <w:t xml:space="preserve"> low boundary of data collected on installation costs </w:t>
      </w:r>
      <w:r w:rsidR="00B201F0" w:rsidRPr="00DD28FE">
        <w:rPr>
          <w:rFonts w:cs="Times New Roman"/>
        </w:rPr>
        <w:t>wa</w:t>
      </w:r>
      <w:r w:rsidRPr="00DD28FE">
        <w:rPr>
          <w:rFonts w:cs="Times New Roman"/>
        </w:rPr>
        <w:t xml:space="preserve">s assumed, </w:t>
      </w:r>
      <w:r w:rsidR="00B201F0" w:rsidRPr="00DD28FE">
        <w:rPr>
          <w:rFonts w:cs="Times New Roman"/>
        </w:rPr>
        <w:t xml:space="preserve">and this </w:t>
      </w:r>
      <w:r w:rsidRPr="00DD28FE">
        <w:rPr>
          <w:rFonts w:cs="Times New Roman"/>
        </w:rPr>
        <w:t>result</w:t>
      </w:r>
      <w:r w:rsidR="00B201F0" w:rsidRPr="00DD28FE">
        <w:rPr>
          <w:rFonts w:cs="Times New Roman"/>
        </w:rPr>
        <w:t>ed</w:t>
      </w:r>
      <w:r w:rsidRPr="00DD28FE">
        <w:rPr>
          <w:rFonts w:cs="Times New Roman"/>
        </w:rPr>
        <w:t xml:space="preserve"> in a</w:t>
      </w:r>
      <w:r w:rsidR="00632104" w:rsidRPr="00DD28FE">
        <w:rPr>
          <w:rFonts w:cs="Times New Roman"/>
        </w:rPr>
        <w:t>n average</w:t>
      </w:r>
      <w:r w:rsidRPr="00DD28FE">
        <w:rPr>
          <w:rFonts w:cs="Times New Roman"/>
        </w:rPr>
        <w:t xml:space="preserve"> total first cost of US</w:t>
      </w:r>
      <w:r w:rsidR="00632104" w:rsidRPr="00DD28FE">
        <w:rPr>
          <w:rFonts w:cs="Times New Roman"/>
          <w:vertAlign w:val="subscript"/>
        </w:rPr>
        <w:t>2014</w:t>
      </w:r>
      <w:r w:rsidRPr="00DD28FE">
        <w:rPr>
          <w:rFonts w:cs="Times New Roman"/>
        </w:rPr>
        <w:t>$</w:t>
      </w:r>
      <w:r w:rsidR="00D1081A">
        <w:rPr>
          <w:rFonts w:cs="Times New Roman"/>
        </w:rPr>
        <w:t>1,734</w:t>
      </w:r>
      <w:r w:rsidRPr="00DD28FE">
        <w:rPr>
          <w:rFonts w:cs="Times New Roman"/>
        </w:rPr>
        <w:t xml:space="preserve"> per kilowatt</w:t>
      </w:r>
      <w:r w:rsidRPr="00DD28FE">
        <w:rPr>
          <w:rStyle w:val="FootnoteReference"/>
          <w:rFonts w:cs="Times New Roman"/>
        </w:rPr>
        <w:footnoteReference w:id="6"/>
      </w:r>
      <w:r w:rsidRPr="00DD28FE">
        <w:rPr>
          <w:rFonts w:cs="Times New Roman"/>
        </w:rPr>
        <w:t>. A</w:t>
      </w:r>
      <w:r w:rsidR="00DD28FE">
        <w:rPr>
          <w:rFonts w:cs="Times New Roman"/>
        </w:rPr>
        <w:t xml:space="preserve"> </w:t>
      </w:r>
      <w:r w:rsidRPr="00DD28FE">
        <w:rPr>
          <w:rFonts w:cs="Times New Roman"/>
        </w:rPr>
        <w:t xml:space="preserve">customized learning rate of </w:t>
      </w:r>
      <w:r w:rsidR="00851CD9" w:rsidRPr="00DD28FE">
        <w:rPr>
          <w:rFonts w:cs="Times New Roman"/>
        </w:rPr>
        <w:t>21.</w:t>
      </w:r>
      <w:r w:rsidR="00D1081A">
        <w:rPr>
          <w:rFonts w:cs="Times New Roman"/>
        </w:rPr>
        <w:t>04</w:t>
      </w:r>
      <w:r w:rsidR="00851CD9" w:rsidRPr="00DD28FE">
        <w:rPr>
          <w:rFonts w:cs="Times New Roman"/>
        </w:rPr>
        <w:t xml:space="preserve">% </w:t>
      </w:r>
      <w:r w:rsidRPr="00DD28FE">
        <w:rPr>
          <w:rFonts w:cs="Times New Roman"/>
        </w:rPr>
        <w:t>percent was developed,</w:t>
      </w:r>
      <w:r w:rsidR="00632104" w:rsidRPr="00DD28FE">
        <w:rPr>
          <w:rFonts w:cs="Times New Roman"/>
        </w:rPr>
        <w:t xml:space="preserve"> considering</w:t>
      </w:r>
      <w:r w:rsidRPr="00DD28FE">
        <w:rPr>
          <w:rFonts w:cs="Times New Roman"/>
        </w:rPr>
        <w:t xml:space="preserve"> independent </w:t>
      </w:r>
      <w:r w:rsidR="000A10E5" w:rsidRPr="00DD28FE">
        <w:rPr>
          <w:rFonts w:cs="Times New Roman"/>
        </w:rPr>
        <w:t>impacts</w:t>
      </w:r>
      <w:r w:rsidR="000A10E5" w:rsidRPr="00DD28FE">
        <w:t xml:space="preserve"> of</w:t>
      </w:r>
      <w:r w:rsidRPr="00DD28FE">
        <w:t xml:space="preserve"> PV modules and balance of system</w:t>
      </w:r>
      <w:r w:rsidR="00632104" w:rsidRPr="00DD28FE">
        <w:t xml:space="preserve"> (BOS) costs on the initial costs</w:t>
      </w:r>
      <w:r w:rsidRPr="00DD28FE">
        <w:t>; this has the effect of reducing the installation cost to US$</w:t>
      </w:r>
      <w:r w:rsidR="00D1081A">
        <w:t>490</w:t>
      </w:r>
      <w:r w:rsidR="00DD28FE" w:rsidRPr="00DD28FE">
        <w:t xml:space="preserve"> </w:t>
      </w:r>
      <w:r w:rsidRPr="00DD28FE">
        <w:t>per kilowatt in 2030 and to US$</w:t>
      </w:r>
      <w:r w:rsidR="00D1081A">
        <w:t>336</w:t>
      </w:r>
      <w:r w:rsidR="00DD28FE" w:rsidRPr="00DD28FE">
        <w:t xml:space="preserve"> </w:t>
      </w:r>
      <w:r w:rsidRPr="00DD28FE">
        <w:t>in 2050</w:t>
      </w:r>
      <w:r w:rsidR="00632104" w:rsidRPr="00DD28FE">
        <w:t xml:space="preserve"> as</w:t>
      </w:r>
      <w:r w:rsidRPr="00DD28FE">
        <w:t xml:space="preserve"> compared to US$</w:t>
      </w:r>
      <w:r w:rsidR="00D1081A">
        <w:t xml:space="preserve">1,786 </w:t>
      </w:r>
      <w:r w:rsidRPr="00DD28FE">
        <w:t>per kilowatt for the conventional technologies (i.e. coal, natural gas, and oil power plants)</w:t>
      </w:r>
      <w:r w:rsidR="00B96AE0" w:rsidRPr="00DD28FE">
        <w:t>. Additionally</w:t>
      </w:r>
      <w:r w:rsidR="00F4258D" w:rsidRPr="00DD28FE">
        <w:t>,</w:t>
      </w:r>
      <w:r w:rsidR="00B96AE0" w:rsidRPr="00DD28FE">
        <w:t xml:space="preserve"> a</w:t>
      </w:r>
      <w:r w:rsidR="00B96AE0" w:rsidRPr="00DD28FE">
        <w:rPr>
          <w:bCs/>
          <w:sz w:val="21"/>
          <w:szCs w:val="21"/>
        </w:rPr>
        <w:t xml:space="preserve"> </w:t>
      </w:r>
      <w:r w:rsidR="00B96AE0" w:rsidRPr="00DD28FE">
        <w:rPr>
          <w:rFonts w:cs="Times New Roman"/>
        </w:rPr>
        <w:t>discount rate</w:t>
      </w:r>
      <w:r w:rsidR="00632104" w:rsidRPr="00DD28FE">
        <w:rPr>
          <w:rFonts w:cs="Times New Roman"/>
        </w:rPr>
        <w:t xml:space="preserve"> of</w:t>
      </w:r>
      <w:r w:rsidR="00B96AE0" w:rsidRPr="00DD28FE">
        <w:rPr>
          <w:rFonts w:cs="Times New Roman"/>
        </w:rPr>
        <w:t xml:space="preserve"> 9.</w:t>
      </w:r>
      <w:r w:rsidR="00D1081A">
        <w:rPr>
          <w:rFonts w:cs="Times New Roman"/>
        </w:rPr>
        <w:t>68</w:t>
      </w:r>
      <w:r w:rsidR="00B96AE0" w:rsidRPr="00DD28FE">
        <w:rPr>
          <w:rFonts w:cs="Times New Roman"/>
        </w:rPr>
        <w:t xml:space="preserve"> percent</w:t>
      </w:r>
      <w:r w:rsidR="00632104" w:rsidRPr="00DD28FE">
        <w:rPr>
          <w:rFonts w:cs="Times New Roman"/>
        </w:rPr>
        <w:t xml:space="preserve"> has been used which is</w:t>
      </w:r>
      <w:r w:rsidR="00B96AE0" w:rsidRPr="00DD28FE">
        <w:rPr>
          <w:rFonts w:cs="Times New Roman"/>
        </w:rPr>
        <w:t xml:space="preserve"> appropriate for utility-scale projects and</w:t>
      </w:r>
      <w:r w:rsidR="00632104" w:rsidRPr="00DD28FE">
        <w:rPr>
          <w:rFonts w:cs="Times New Roman"/>
        </w:rPr>
        <w:t xml:space="preserve"> is</w:t>
      </w:r>
      <w:r w:rsidR="00B96AE0" w:rsidRPr="00851CD9">
        <w:rPr>
          <w:rFonts w:cs="Times New Roman"/>
        </w:rPr>
        <w:t xml:space="preserve"> use</w:t>
      </w:r>
      <w:r w:rsidR="00632104" w:rsidRPr="00851CD9">
        <w:rPr>
          <w:rFonts w:cs="Times New Roman"/>
        </w:rPr>
        <w:t>d</w:t>
      </w:r>
      <w:r w:rsidR="00B96AE0" w:rsidRPr="00851CD9">
        <w:rPr>
          <w:rFonts w:cs="Times New Roman"/>
        </w:rPr>
        <w:t xml:space="preserve"> across all Drawdown electricity generation solutions with this level of agency</w:t>
      </w:r>
      <w:r w:rsidR="00910DE0" w:rsidRPr="00851CD9">
        <w:rPr>
          <w:rFonts w:cs="Times New Roman"/>
        </w:rPr>
        <w:t xml:space="preserve">. Utility-scale solar PV does not </w:t>
      </w:r>
      <w:r w:rsidR="00910DE0" w:rsidRPr="00851CD9">
        <w:rPr>
          <w:rFonts w:cs="Times New Roman"/>
        </w:rPr>
        <w:lastRenderedPageBreak/>
        <w:t>incur any</w:t>
      </w:r>
      <w:r w:rsidR="00910DE0" w:rsidRPr="00061636">
        <w:t xml:space="preserve"> variable operation and maintenance costs, so fixed OM </w:t>
      </w:r>
      <w:r w:rsidR="00E978D4" w:rsidRPr="00061636">
        <w:t>costs</w:t>
      </w:r>
      <w:r w:rsidR="00910DE0" w:rsidRPr="00061636">
        <w:t xml:space="preserve"> are the only costs associated with the solution other than First Cost (Tables </w:t>
      </w:r>
      <w:r w:rsidR="00E978D4" w:rsidRPr="00061636">
        <w:t xml:space="preserve">2.2. and </w:t>
      </w:r>
      <w:r w:rsidR="00910DE0" w:rsidRPr="00061636">
        <w:t>2.3)</w:t>
      </w:r>
      <w:r w:rsidR="000A10E5">
        <w:t>.</w:t>
      </w:r>
    </w:p>
    <w:p w14:paraId="74927FC5" w14:textId="6054BFBB" w:rsidR="00826B4A" w:rsidRPr="004E6D9C" w:rsidRDefault="004E6D9C" w:rsidP="004E6D9C">
      <w:r w:rsidRPr="00943699">
        <w:t>Fuel prices for conventional technologies are derived from IEA (2019) data, averaging 2007-2018 historical registries for oil, coal and natural gas used for electricity generation and calculated through a weighted average by fuel from the current electricity generation mix.</w:t>
      </w:r>
    </w:p>
    <w:p w14:paraId="1521B01D" w14:textId="02C54F39" w:rsidR="00D25FC7" w:rsidRPr="00061636" w:rsidRDefault="00D25FC7" w:rsidP="00D25FC7">
      <w:pPr>
        <w:pStyle w:val="Caption"/>
        <w:jc w:val="center"/>
        <w:rPr>
          <w:rFonts w:asciiTheme="majorHAnsi" w:eastAsiaTheme="majorEastAsia" w:hAnsiTheme="majorHAnsi" w:cstheme="majorBidi"/>
          <w:b/>
          <w:bCs/>
          <w:color w:val="000000" w:themeColor="text1"/>
          <w:sz w:val="23"/>
          <w:szCs w:val="23"/>
          <w:lang w:eastAsia="zh-CN"/>
        </w:rPr>
      </w:pPr>
      <w:bookmarkStart w:id="45" w:name="_Toc534461008"/>
      <w:r w:rsidRPr="00061636">
        <w:t xml:space="preserve">Table </w:t>
      </w:r>
      <w:fldSimple w:instr=" STYLEREF 1 \s ">
        <w:r w:rsidRPr="00061636">
          <w:t>2</w:t>
        </w:r>
      </w:fldSimple>
      <w:r w:rsidRPr="00061636">
        <w:t>.</w:t>
      </w:r>
      <w:fldSimple w:instr=" SEQ Table \* ARABIC \s 1 ">
        <w:r w:rsidRPr="00061636">
          <w:t>2</w:t>
        </w:r>
      </w:fldSimple>
      <w:r w:rsidRPr="00061636">
        <w:t xml:space="preserve"> Financial Inputs </w:t>
      </w:r>
      <w:r w:rsidR="009C0F77" w:rsidRPr="00061636">
        <w:t xml:space="preserve">for </w:t>
      </w:r>
      <w:r w:rsidRPr="00061636">
        <w:t>Con</w:t>
      </w:r>
      <w:r w:rsidR="004E6D9C">
        <w:t>v</w:t>
      </w:r>
      <w:r w:rsidRPr="00061636">
        <w:t>entional Technologies</w:t>
      </w:r>
      <w:bookmarkEnd w:id="45"/>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061636" w14:paraId="5EBC0DC9" w14:textId="77777777" w:rsidTr="00E978D4">
        <w:trPr>
          <w:trHeight w:val="1154"/>
          <w:jc w:val="center"/>
        </w:trPr>
        <w:tc>
          <w:tcPr>
            <w:tcW w:w="1221" w:type="pct"/>
            <w:shd w:val="clear" w:color="auto" w:fill="4F81BD" w:themeFill="accent1"/>
            <w:vAlign w:val="center"/>
          </w:tcPr>
          <w:p w14:paraId="74E672A4" w14:textId="77777777" w:rsidR="00910DE0" w:rsidRPr="00061636" w:rsidRDefault="00910DE0" w:rsidP="009A4D96">
            <w:pPr>
              <w:spacing w:after="180" w:line="240" w:lineRule="auto"/>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47C8F982" w14:textId="77777777" w:rsidR="00910DE0" w:rsidRPr="00061636" w:rsidRDefault="00910DE0" w:rsidP="009A4D96">
            <w:pPr>
              <w:spacing w:after="180" w:line="240" w:lineRule="auto"/>
              <w:jc w:val="center"/>
              <w:rPr>
                <w:b/>
                <w:bCs/>
                <w:sz w:val="20"/>
                <w:szCs w:val="20"/>
              </w:rPr>
            </w:pPr>
            <w:r w:rsidRPr="00061636">
              <w:rPr>
                <w:b/>
                <w:bCs/>
                <w:color w:val="FFFFFF" w:themeColor="background1"/>
                <w:sz w:val="20"/>
                <w:szCs w:val="20"/>
              </w:rPr>
              <w:t>Units</w:t>
            </w:r>
          </w:p>
        </w:tc>
        <w:tc>
          <w:tcPr>
            <w:tcW w:w="861" w:type="pct"/>
            <w:shd w:val="clear" w:color="auto" w:fill="4F81BD" w:themeFill="accent1"/>
            <w:vAlign w:val="center"/>
          </w:tcPr>
          <w:p w14:paraId="0418DADA" w14:textId="42CB0C28" w:rsidR="00910DE0" w:rsidRPr="00061636" w:rsidRDefault="00910DE0" w:rsidP="009A4D96">
            <w:pPr>
              <w:spacing w:after="180" w:line="240" w:lineRule="auto"/>
              <w:jc w:val="center"/>
              <w:rPr>
                <w:b/>
                <w:bCs/>
                <w:color w:val="FFFFFF" w:themeColor="background1"/>
                <w:sz w:val="20"/>
                <w:szCs w:val="20"/>
              </w:rPr>
            </w:pPr>
            <w:r w:rsidRPr="00061636">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061636" w:rsidRDefault="00910DE0" w:rsidP="009A4D96">
            <w:pPr>
              <w:spacing w:after="180" w:line="240" w:lineRule="auto"/>
              <w:jc w:val="center"/>
              <w:rPr>
                <w:b/>
                <w:bCs/>
                <w:color w:val="FFFFFF" w:themeColor="background1"/>
                <w:sz w:val="20"/>
                <w:szCs w:val="20"/>
              </w:rPr>
            </w:pPr>
            <w:r w:rsidRPr="00061636">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061636" w:rsidRDefault="00910DE0" w:rsidP="009A4D96">
            <w:pPr>
              <w:spacing w:after="180" w:line="240" w:lineRule="auto"/>
              <w:jc w:val="center"/>
              <w:rPr>
                <w:b/>
                <w:bCs/>
                <w:color w:val="FFFFFF" w:themeColor="background1"/>
                <w:sz w:val="20"/>
                <w:szCs w:val="20"/>
              </w:rPr>
            </w:pPr>
            <w:r w:rsidRPr="00061636">
              <w:rPr>
                <w:b/>
                <w:bCs/>
                <w:color w:val="FFFFFF" w:themeColor="background1"/>
                <w:sz w:val="20"/>
                <w:szCs w:val="20"/>
              </w:rPr>
              <w:t>Data Points (#)</w:t>
            </w:r>
          </w:p>
        </w:tc>
        <w:tc>
          <w:tcPr>
            <w:tcW w:w="579" w:type="pct"/>
            <w:shd w:val="clear" w:color="auto" w:fill="4F81BD" w:themeFill="accent1"/>
            <w:vAlign w:val="center"/>
          </w:tcPr>
          <w:p w14:paraId="213A903C" w14:textId="77777777" w:rsidR="00910DE0" w:rsidRPr="00061636" w:rsidRDefault="00910DE0" w:rsidP="009A4D96">
            <w:pPr>
              <w:spacing w:after="180" w:line="240" w:lineRule="auto"/>
              <w:jc w:val="center"/>
              <w:rPr>
                <w:b/>
                <w:bCs/>
                <w:color w:val="FFFFFF" w:themeColor="background1"/>
                <w:sz w:val="20"/>
                <w:szCs w:val="20"/>
              </w:rPr>
            </w:pPr>
            <w:r w:rsidRPr="00061636">
              <w:rPr>
                <w:b/>
                <w:bCs/>
                <w:color w:val="FFFFFF" w:themeColor="background1"/>
                <w:sz w:val="20"/>
                <w:szCs w:val="20"/>
              </w:rPr>
              <w:t>Sources (#)</w:t>
            </w:r>
          </w:p>
        </w:tc>
      </w:tr>
      <w:tr w:rsidR="004E6D9C" w:rsidRPr="00061636" w14:paraId="224D399B" w14:textId="77777777" w:rsidTr="00E978D4">
        <w:trPr>
          <w:trHeight w:val="149"/>
          <w:jc w:val="center"/>
        </w:trPr>
        <w:tc>
          <w:tcPr>
            <w:tcW w:w="1221" w:type="pct"/>
            <w:vAlign w:val="center"/>
          </w:tcPr>
          <w:p w14:paraId="400D3B56" w14:textId="0341B6DA" w:rsidR="004E6D9C" w:rsidRPr="00061636" w:rsidRDefault="004E6D9C" w:rsidP="004E6D9C">
            <w:pPr>
              <w:spacing w:after="180" w:line="240" w:lineRule="auto"/>
              <w:jc w:val="center"/>
              <w:rPr>
                <w:color w:val="000000" w:themeColor="text1"/>
                <w:sz w:val="20"/>
                <w:szCs w:val="20"/>
              </w:rPr>
            </w:pPr>
            <w:r w:rsidRPr="00593535">
              <w:rPr>
                <w:color w:val="000000" w:themeColor="text1"/>
                <w:sz w:val="20"/>
                <w:szCs w:val="20"/>
              </w:rPr>
              <w:t>First costs (Conventional)</w:t>
            </w:r>
          </w:p>
        </w:tc>
        <w:tc>
          <w:tcPr>
            <w:tcW w:w="861" w:type="pct"/>
            <w:vAlign w:val="center"/>
          </w:tcPr>
          <w:p w14:paraId="56AA3572" w14:textId="35CE904E" w:rsidR="004E6D9C" w:rsidRPr="00061636" w:rsidRDefault="004E6D9C" w:rsidP="004E6D9C">
            <w:pPr>
              <w:spacing w:after="180" w:line="240" w:lineRule="auto"/>
              <w:jc w:val="center"/>
              <w:rPr>
                <w:rFonts w:eastAsia="Helvetica,Times New Roman" w:cstheme="minorHAnsi"/>
                <w:sz w:val="20"/>
                <w:szCs w:val="20"/>
              </w:rPr>
            </w:pPr>
            <w:r w:rsidRPr="00593535">
              <w:rPr>
                <w:bCs/>
                <w:i/>
                <w:sz w:val="20"/>
                <w:szCs w:val="20"/>
              </w:rPr>
              <w:t>US$2014/kW</w:t>
            </w:r>
          </w:p>
        </w:tc>
        <w:tc>
          <w:tcPr>
            <w:tcW w:w="861" w:type="pct"/>
            <w:vAlign w:val="center"/>
          </w:tcPr>
          <w:p w14:paraId="5AD14322" w14:textId="44EAB9B0" w:rsidR="004E6D9C" w:rsidRPr="00061636" w:rsidRDefault="004E6D9C" w:rsidP="004E6D9C">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470.5</w:t>
            </w:r>
            <w:r w:rsidRPr="00593535">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3,101</w:t>
            </w:r>
          </w:p>
        </w:tc>
        <w:tc>
          <w:tcPr>
            <w:tcW w:w="861" w:type="pct"/>
            <w:vAlign w:val="center"/>
          </w:tcPr>
          <w:p w14:paraId="6782A95B" w14:textId="36B85160" w:rsidR="004E6D9C" w:rsidRPr="00061636" w:rsidRDefault="004E6D9C" w:rsidP="004E6D9C">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1,786</w:t>
            </w:r>
          </w:p>
        </w:tc>
        <w:tc>
          <w:tcPr>
            <w:tcW w:w="617" w:type="pct"/>
            <w:vAlign w:val="center"/>
          </w:tcPr>
          <w:p w14:paraId="1AA7E7F8" w14:textId="753808A7" w:rsidR="004E6D9C" w:rsidRPr="00061636" w:rsidRDefault="004E6D9C" w:rsidP="004E6D9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w:t>
            </w:r>
            <w:r>
              <w:rPr>
                <w:rFonts w:eastAsia="Helvetica,Times New Roman" w:cstheme="minorHAnsi"/>
                <w:color w:val="000000" w:themeColor="text1"/>
                <w:sz w:val="20"/>
                <w:szCs w:val="20"/>
              </w:rPr>
              <w:t>4</w:t>
            </w:r>
          </w:p>
        </w:tc>
        <w:tc>
          <w:tcPr>
            <w:tcW w:w="579" w:type="pct"/>
            <w:vAlign w:val="center"/>
          </w:tcPr>
          <w:p w14:paraId="367ADBC1" w14:textId="7C97A972" w:rsidR="004E6D9C" w:rsidRPr="00061636" w:rsidRDefault="004E6D9C" w:rsidP="004E6D9C">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r w:rsidR="004E6D9C" w:rsidRPr="00061636" w14:paraId="29BBD18C" w14:textId="77777777" w:rsidTr="00E978D4">
        <w:trPr>
          <w:trHeight w:val="583"/>
          <w:jc w:val="center"/>
        </w:trPr>
        <w:tc>
          <w:tcPr>
            <w:tcW w:w="1221" w:type="pct"/>
            <w:vAlign w:val="center"/>
          </w:tcPr>
          <w:p w14:paraId="696E0629" w14:textId="4ACA2D86" w:rsidR="004E6D9C" w:rsidRPr="00061636" w:rsidRDefault="004E6D9C" w:rsidP="004E6D9C">
            <w:pPr>
              <w:spacing w:after="180" w:line="240" w:lineRule="auto"/>
              <w:jc w:val="center"/>
              <w:rPr>
                <w:color w:val="000000" w:themeColor="text1"/>
                <w:sz w:val="20"/>
                <w:szCs w:val="20"/>
              </w:rPr>
            </w:pPr>
            <w:r w:rsidRPr="00593535">
              <w:rPr>
                <w:color w:val="000000" w:themeColor="text1"/>
                <w:sz w:val="20"/>
                <w:szCs w:val="20"/>
              </w:rPr>
              <w:t>Fixed Operation and Maintenance Costs (Conventional)</w:t>
            </w:r>
          </w:p>
        </w:tc>
        <w:tc>
          <w:tcPr>
            <w:tcW w:w="861" w:type="pct"/>
            <w:vAlign w:val="center"/>
          </w:tcPr>
          <w:p w14:paraId="3CEF4190" w14:textId="6841EC69" w:rsidR="004E6D9C" w:rsidRPr="00061636" w:rsidRDefault="004E6D9C" w:rsidP="004E6D9C">
            <w:pPr>
              <w:spacing w:after="180" w:line="240" w:lineRule="auto"/>
              <w:jc w:val="center"/>
              <w:rPr>
                <w:rFonts w:eastAsia="Helvetica,Times New Roman" w:cstheme="minorHAnsi"/>
                <w:sz w:val="20"/>
                <w:szCs w:val="20"/>
              </w:rPr>
            </w:pPr>
            <w:r w:rsidRPr="00593535">
              <w:rPr>
                <w:bCs/>
                <w:i/>
                <w:sz w:val="20"/>
                <w:szCs w:val="20"/>
              </w:rPr>
              <w:t>US$2014/kW</w:t>
            </w:r>
          </w:p>
        </w:tc>
        <w:tc>
          <w:tcPr>
            <w:tcW w:w="861" w:type="pct"/>
            <w:vAlign w:val="center"/>
          </w:tcPr>
          <w:p w14:paraId="41B31604" w14:textId="4EAB16F7" w:rsidR="004E6D9C" w:rsidRPr="00061636" w:rsidRDefault="004E6D9C" w:rsidP="004E6D9C">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r w:rsidRPr="00593535">
              <w:rPr>
                <w:rFonts w:eastAsia="Helvetica,Times New Roman" w:cstheme="minorHAnsi"/>
                <w:color w:val="000000" w:themeColor="text1"/>
                <w:sz w:val="20"/>
                <w:szCs w:val="20"/>
              </w:rPr>
              <w:t>.</w:t>
            </w:r>
            <w:r>
              <w:rPr>
                <w:rFonts w:eastAsia="Helvetica,Times New Roman" w:cstheme="minorHAnsi"/>
                <w:color w:val="000000" w:themeColor="text1"/>
                <w:sz w:val="20"/>
                <w:szCs w:val="20"/>
              </w:rPr>
              <w:t>44</w:t>
            </w:r>
            <w:r w:rsidRPr="00593535">
              <w:rPr>
                <w:rFonts w:eastAsia="Helvetica,Times New Roman" w:cstheme="minorHAnsi"/>
                <w:color w:val="000000" w:themeColor="text1"/>
                <w:sz w:val="20"/>
                <w:szCs w:val="20"/>
              </w:rPr>
              <w:t xml:space="preserve"> – 6</w:t>
            </w:r>
            <w:r>
              <w:rPr>
                <w:rFonts w:eastAsia="Helvetica,Times New Roman" w:cstheme="minorHAnsi"/>
                <w:color w:val="000000" w:themeColor="text1"/>
                <w:sz w:val="20"/>
                <w:szCs w:val="20"/>
              </w:rPr>
              <w:t>5</w:t>
            </w:r>
            <w:r w:rsidRPr="00593535">
              <w:rPr>
                <w:rFonts w:eastAsia="Helvetica,Times New Roman" w:cstheme="minorHAnsi"/>
                <w:color w:val="000000" w:themeColor="text1"/>
                <w:sz w:val="20"/>
                <w:szCs w:val="20"/>
              </w:rPr>
              <w:t>.</w:t>
            </w:r>
            <w:r>
              <w:rPr>
                <w:rFonts w:eastAsia="Helvetica,Times New Roman" w:cstheme="minorHAnsi"/>
                <w:color w:val="000000" w:themeColor="text1"/>
                <w:sz w:val="20"/>
                <w:szCs w:val="20"/>
              </w:rPr>
              <w:t>86</w:t>
            </w:r>
          </w:p>
        </w:tc>
        <w:tc>
          <w:tcPr>
            <w:tcW w:w="861" w:type="pct"/>
            <w:vAlign w:val="center"/>
          </w:tcPr>
          <w:p w14:paraId="259F13A5" w14:textId="6451F729" w:rsidR="004E6D9C" w:rsidRPr="00061636" w:rsidRDefault="004E6D9C" w:rsidP="004E6D9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32.95</w:t>
            </w:r>
          </w:p>
        </w:tc>
        <w:tc>
          <w:tcPr>
            <w:tcW w:w="617" w:type="pct"/>
            <w:vAlign w:val="center"/>
          </w:tcPr>
          <w:p w14:paraId="62C158C3" w14:textId="5730A829" w:rsidR="004E6D9C" w:rsidRPr="00061636" w:rsidRDefault="004E6D9C" w:rsidP="004E6D9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1</w:t>
            </w:r>
            <w:r>
              <w:rPr>
                <w:rFonts w:eastAsia="Helvetica,Times New Roman" w:cstheme="minorHAnsi"/>
                <w:color w:val="000000" w:themeColor="text1"/>
                <w:sz w:val="20"/>
                <w:szCs w:val="20"/>
              </w:rPr>
              <w:t>8</w:t>
            </w:r>
          </w:p>
        </w:tc>
        <w:tc>
          <w:tcPr>
            <w:tcW w:w="579" w:type="pct"/>
            <w:vAlign w:val="center"/>
          </w:tcPr>
          <w:p w14:paraId="2E77170B" w14:textId="7E7A6F62" w:rsidR="004E6D9C" w:rsidRPr="00061636" w:rsidRDefault="004E6D9C" w:rsidP="004E6D9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4</w:t>
            </w:r>
          </w:p>
        </w:tc>
      </w:tr>
      <w:tr w:rsidR="004E6D9C" w:rsidRPr="00061636" w14:paraId="789E9F95" w14:textId="77777777" w:rsidTr="00E978D4">
        <w:trPr>
          <w:trHeight w:val="149"/>
          <w:jc w:val="center"/>
        </w:trPr>
        <w:tc>
          <w:tcPr>
            <w:tcW w:w="1221" w:type="pct"/>
            <w:vAlign w:val="center"/>
          </w:tcPr>
          <w:p w14:paraId="564B7DFA" w14:textId="14B585A0" w:rsidR="004E6D9C" w:rsidRPr="00061636" w:rsidRDefault="004E6D9C" w:rsidP="004E6D9C">
            <w:pPr>
              <w:spacing w:after="180" w:line="240" w:lineRule="auto"/>
              <w:jc w:val="center"/>
              <w:rPr>
                <w:color w:val="000000" w:themeColor="text1"/>
                <w:sz w:val="20"/>
                <w:szCs w:val="20"/>
              </w:rPr>
            </w:pPr>
            <w:r w:rsidRPr="00593535">
              <w:rPr>
                <w:color w:val="000000" w:themeColor="text1"/>
                <w:sz w:val="20"/>
                <w:szCs w:val="20"/>
              </w:rPr>
              <w:t>Variable Operation and Maintenance Costs (Conventional)</w:t>
            </w:r>
          </w:p>
        </w:tc>
        <w:tc>
          <w:tcPr>
            <w:tcW w:w="861" w:type="pct"/>
            <w:vAlign w:val="center"/>
          </w:tcPr>
          <w:p w14:paraId="292CCBF2" w14:textId="6BAFB689" w:rsidR="004E6D9C" w:rsidRPr="00061636" w:rsidRDefault="004E6D9C" w:rsidP="004E6D9C">
            <w:pPr>
              <w:spacing w:after="180" w:line="240" w:lineRule="auto"/>
              <w:jc w:val="center"/>
              <w:rPr>
                <w:rFonts w:eastAsia="Helvetica,Times New Roman" w:cstheme="minorHAnsi"/>
                <w:sz w:val="20"/>
                <w:szCs w:val="20"/>
              </w:rPr>
            </w:pPr>
            <w:r w:rsidRPr="00593535">
              <w:rPr>
                <w:bCs/>
                <w:i/>
                <w:sz w:val="20"/>
                <w:szCs w:val="20"/>
              </w:rPr>
              <w:t>US$2014/kWh</w:t>
            </w:r>
          </w:p>
        </w:tc>
        <w:tc>
          <w:tcPr>
            <w:tcW w:w="861" w:type="pct"/>
            <w:vAlign w:val="center"/>
          </w:tcPr>
          <w:p w14:paraId="3698BA83" w14:textId="7DBE95A8" w:rsidR="004E6D9C" w:rsidRPr="00061636" w:rsidRDefault="004E6D9C" w:rsidP="004E6D9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0.0014 – 0.0079</w:t>
            </w:r>
          </w:p>
        </w:tc>
        <w:tc>
          <w:tcPr>
            <w:tcW w:w="861" w:type="pct"/>
            <w:vAlign w:val="center"/>
          </w:tcPr>
          <w:p w14:paraId="2C205561" w14:textId="3A605B7A" w:rsidR="004E6D9C" w:rsidRPr="00061636" w:rsidRDefault="004E6D9C" w:rsidP="004E6D9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0.00</w:t>
            </w:r>
            <w:r>
              <w:rPr>
                <w:rFonts w:eastAsia="Helvetica,Times New Roman" w:cstheme="minorHAnsi"/>
                <w:color w:val="000000" w:themeColor="text1"/>
                <w:sz w:val="20"/>
                <w:szCs w:val="20"/>
              </w:rPr>
              <w:t>4</w:t>
            </w:r>
            <w:r w:rsidRPr="00593535">
              <w:rPr>
                <w:rFonts w:eastAsia="Helvetica,Times New Roman" w:cstheme="minorHAnsi"/>
                <w:color w:val="000000" w:themeColor="text1"/>
                <w:sz w:val="20"/>
                <w:szCs w:val="20"/>
              </w:rPr>
              <w:t>8</w:t>
            </w:r>
          </w:p>
        </w:tc>
        <w:tc>
          <w:tcPr>
            <w:tcW w:w="617" w:type="pct"/>
            <w:vAlign w:val="center"/>
          </w:tcPr>
          <w:p w14:paraId="6F7826B4" w14:textId="6F6D8449" w:rsidR="004E6D9C" w:rsidRPr="00061636" w:rsidRDefault="004E6D9C" w:rsidP="004E6D9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w:t>
            </w:r>
            <w:r>
              <w:rPr>
                <w:rFonts w:eastAsia="Helvetica,Times New Roman" w:cstheme="minorHAnsi"/>
                <w:color w:val="000000" w:themeColor="text1"/>
                <w:sz w:val="20"/>
                <w:szCs w:val="20"/>
              </w:rPr>
              <w:t>2</w:t>
            </w:r>
          </w:p>
        </w:tc>
        <w:tc>
          <w:tcPr>
            <w:tcW w:w="579" w:type="pct"/>
            <w:vAlign w:val="center"/>
          </w:tcPr>
          <w:p w14:paraId="6F71B7A1" w14:textId="4F1FF61A" w:rsidR="004E6D9C" w:rsidRPr="00061636" w:rsidRDefault="004E6D9C" w:rsidP="004E6D9C">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r>
      <w:tr w:rsidR="004E6D9C" w:rsidRPr="00061636" w14:paraId="4CC8EC27" w14:textId="77777777" w:rsidTr="00E978D4">
        <w:trPr>
          <w:trHeight w:val="149"/>
          <w:jc w:val="center"/>
        </w:trPr>
        <w:tc>
          <w:tcPr>
            <w:tcW w:w="1221" w:type="pct"/>
            <w:vAlign w:val="center"/>
          </w:tcPr>
          <w:p w14:paraId="45834DD9" w14:textId="2E6B74A2" w:rsidR="004E6D9C" w:rsidRPr="00061636" w:rsidRDefault="004E6D9C" w:rsidP="004E6D9C">
            <w:pPr>
              <w:spacing w:after="180" w:line="240" w:lineRule="auto"/>
              <w:jc w:val="center"/>
              <w:rPr>
                <w:color w:val="000000" w:themeColor="text1"/>
                <w:sz w:val="20"/>
                <w:szCs w:val="20"/>
              </w:rPr>
            </w:pPr>
            <w:r w:rsidRPr="00593535">
              <w:rPr>
                <w:color w:val="000000" w:themeColor="text1"/>
                <w:sz w:val="20"/>
                <w:szCs w:val="20"/>
              </w:rPr>
              <w:t>Fuel Price (Conventional)</w:t>
            </w:r>
          </w:p>
        </w:tc>
        <w:tc>
          <w:tcPr>
            <w:tcW w:w="861" w:type="pct"/>
            <w:vAlign w:val="center"/>
          </w:tcPr>
          <w:p w14:paraId="594E5CB1" w14:textId="4C6BF739" w:rsidR="004E6D9C" w:rsidRPr="00061636" w:rsidRDefault="004E6D9C" w:rsidP="004E6D9C">
            <w:pPr>
              <w:spacing w:after="180" w:line="240" w:lineRule="auto"/>
              <w:jc w:val="center"/>
              <w:rPr>
                <w:rFonts w:eastAsia="Helvetica,Times New Roman" w:cstheme="minorHAnsi"/>
                <w:b/>
                <w:sz w:val="20"/>
                <w:szCs w:val="20"/>
              </w:rPr>
            </w:pPr>
            <w:r w:rsidRPr="00593535">
              <w:rPr>
                <w:bCs/>
                <w:i/>
                <w:sz w:val="20"/>
                <w:szCs w:val="20"/>
              </w:rPr>
              <w:t>US$2014/kWh</w:t>
            </w:r>
          </w:p>
        </w:tc>
        <w:tc>
          <w:tcPr>
            <w:tcW w:w="861" w:type="pct"/>
            <w:shd w:val="clear" w:color="auto" w:fill="F2F2F2" w:themeFill="background1" w:themeFillShade="F2"/>
            <w:vAlign w:val="center"/>
          </w:tcPr>
          <w:p w14:paraId="2E46CA7E" w14:textId="77777777" w:rsidR="004E6D9C" w:rsidRPr="00061636" w:rsidRDefault="004E6D9C" w:rsidP="004E6D9C">
            <w:pPr>
              <w:spacing w:after="180" w:line="240" w:lineRule="auto"/>
              <w:jc w:val="center"/>
              <w:rPr>
                <w:rFonts w:eastAsia="Helvetica,Times New Roman" w:cstheme="minorHAnsi"/>
                <w:b/>
                <w:color w:val="000000" w:themeColor="text1"/>
                <w:sz w:val="20"/>
                <w:szCs w:val="20"/>
              </w:rPr>
            </w:pPr>
          </w:p>
        </w:tc>
        <w:tc>
          <w:tcPr>
            <w:tcW w:w="861" w:type="pct"/>
            <w:vAlign w:val="center"/>
          </w:tcPr>
          <w:p w14:paraId="78F04F8B" w14:textId="1FCD794A" w:rsidR="004E6D9C" w:rsidRPr="00061636" w:rsidRDefault="004E6D9C" w:rsidP="004E6D9C">
            <w:pPr>
              <w:spacing w:after="180" w:line="240" w:lineRule="auto"/>
              <w:jc w:val="center"/>
              <w:rPr>
                <w:rFonts w:eastAsia="Helvetica,Times New Roman" w:cstheme="minorHAnsi"/>
                <w:b/>
                <w:color w:val="000000" w:themeColor="text1"/>
                <w:sz w:val="20"/>
                <w:szCs w:val="20"/>
              </w:rPr>
            </w:pPr>
            <w:r w:rsidRPr="00593535">
              <w:rPr>
                <w:rFonts w:eastAsia="Helvetica,Times New Roman" w:cstheme="minorHAnsi"/>
                <w:color w:val="000000" w:themeColor="text1"/>
                <w:sz w:val="20"/>
                <w:szCs w:val="20"/>
              </w:rPr>
              <w:t>0.0</w:t>
            </w:r>
            <w:r>
              <w:rPr>
                <w:rFonts w:eastAsia="Helvetica,Times New Roman" w:cstheme="minorHAnsi"/>
                <w:color w:val="000000" w:themeColor="text1"/>
                <w:sz w:val="20"/>
                <w:szCs w:val="20"/>
              </w:rPr>
              <w:t>492</w:t>
            </w:r>
          </w:p>
        </w:tc>
        <w:tc>
          <w:tcPr>
            <w:tcW w:w="617" w:type="pct"/>
            <w:shd w:val="clear" w:color="auto" w:fill="auto"/>
            <w:vAlign w:val="center"/>
          </w:tcPr>
          <w:p w14:paraId="362873EB" w14:textId="28B2D2FE" w:rsidR="004E6D9C" w:rsidRPr="00061636" w:rsidRDefault="004E6D9C" w:rsidP="004E6D9C">
            <w:pPr>
              <w:spacing w:after="180" w:line="240" w:lineRule="auto"/>
              <w:jc w:val="center"/>
              <w:rPr>
                <w:rFonts w:eastAsia="Helvetica,Times New Roman" w:cstheme="minorHAnsi"/>
                <w:color w:val="000000" w:themeColor="text1"/>
                <w:sz w:val="20"/>
                <w:szCs w:val="20"/>
              </w:rPr>
            </w:pPr>
          </w:p>
        </w:tc>
        <w:tc>
          <w:tcPr>
            <w:tcW w:w="579" w:type="pct"/>
            <w:shd w:val="clear" w:color="auto" w:fill="auto"/>
            <w:vAlign w:val="center"/>
          </w:tcPr>
          <w:p w14:paraId="48F3D1EA" w14:textId="2F281777" w:rsidR="004E6D9C" w:rsidRPr="00061636" w:rsidRDefault="004E6D9C" w:rsidP="004E6D9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1</w:t>
            </w:r>
          </w:p>
        </w:tc>
      </w:tr>
      <w:tr w:rsidR="004E6D9C" w:rsidRPr="00061636" w14:paraId="3AAC1C5A" w14:textId="77777777" w:rsidTr="00E978D4">
        <w:trPr>
          <w:trHeight w:val="149"/>
          <w:jc w:val="center"/>
        </w:trPr>
        <w:tc>
          <w:tcPr>
            <w:tcW w:w="1221" w:type="pct"/>
            <w:vAlign w:val="center"/>
          </w:tcPr>
          <w:p w14:paraId="3A181F58" w14:textId="475FD75B" w:rsidR="004E6D9C" w:rsidRPr="00061636" w:rsidRDefault="004E6D9C" w:rsidP="004E6D9C">
            <w:pPr>
              <w:spacing w:after="180" w:line="240" w:lineRule="auto"/>
              <w:jc w:val="center"/>
              <w:rPr>
                <w:color w:val="000000" w:themeColor="text1"/>
                <w:sz w:val="20"/>
                <w:szCs w:val="20"/>
              </w:rPr>
            </w:pPr>
            <w:r w:rsidRPr="00593535">
              <w:rPr>
                <w:color w:val="000000" w:themeColor="text1"/>
                <w:sz w:val="20"/>
                <w:szCs w:val="20"/>
              </w:rPr>
              <w:t>Learning Rate Factor (Conventional)</w:t>
            </w:r>
          </w:p>
        </w:tc>
        <w:tc>
          <w:tcPr>
            <w:tcW w:w="861" w:type="pct"/>
            <w:vAlign w:val="center"/>
          </w:tcPr>
          <w:p w14:paraId="4A773F2C" w14:textId="161770E7" w:rsidR="004E6D9C" w:rsidRPr="00061636" w:rsidRDefault="004E6D9C" w:rsidP="004E6D9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w:t>
            </w:r>
          </w:p>
        </w:tc>
        <w:tc>
          <w:tcPr>
            <w:tcW w:w="861" w:type="pct"/>
            <w:shd w:val="clear" w:color="auto" w:fill="F2F2F2" w:themeFill="background1" w:themeFillShade="F2"/>
            <w:vAlign w:val="center"/>
          </w:tcPr>
          <w:p w14:paraId="5BBF4A68" w14:textId="77777777" w:rsidR="004E6D9C" w:rsidRPr="00061636" w:rsidRDefault="004E6D9C" w:rsidP="004E6D9C">
            <w:pPr>
              <w:spacing w:after="180" w:line="240" w:lineRule="auto"/>
              <w:jc w:val="center"/>
              <w:rPr>
                <w:rFonts w:eastAsia="Helvetica,Times New Roman" w:cstheme="minorHAnsi"/>
                <w:color w:val="000000" w:themeColor="text1"/>
                <w:sz w:val="20"/>
                <w:szCs w:val="20"/>
              </w:rPr>
            </w:pPr>
          </w:p>
        </w:tc>
        <w:tc>
          <w:tcPr>
            <w:tcW w:w="861" w:type="pct"/>
            <w:vAlign w:val="center"/>
          </w:tcPr>
          <w:p w14:paraId="28DF6EBE" w14:textId="3A602F39" w:rsidR="004E6D9C" w:rsidRPr="00061636" w:rsidRDefault="004E6D9C" w:rsidP="004E6D9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2.00%</w:t>
            </w:r>
          </w:p>
        </w:tc>
        <w:tc>
          <w:tcPr>
            <w:tcW w:w="617" w:type="pct"/>
            <w:shd w:val="clear" w:color="auto" w:fill="F2F2F2" w:themeFill="background1" w:themeFillShade="F2"/>
            <w:vAlign w:val="center"/>
          </w:tcPr>
          <w:p w14:paraId="1EA82F8A" w14:textId="355F2F74" w:rsidR="004E6D9C" w:rsidRPr="00061636" w:rsidRDefault="004E6D9C" w:rsidP="004E6D9C">
            <w:pPr>
              <w:spacing w:after="180" w:line="240" w:lineRule="auto"/>
              <w:jc w:val="center"/>
              <w:rPr>
                <w:rFonts w:eastAsia="Helvetica,Times New Roman" w:cstheme="minorHAnsi"/>
                <w:color w:val="000000" w:themeColor="text1"/>
                <w:sz w:val="20"/>
                <w:szCs w:val="20"/>
              </w:rPr>
            </w:pPr>
          </w:p>
        </w:tc>
        <w:tc>
          <w:tcPr>
            <w:tcW w:w="579" w:type="pct"/>
            <w:shd w:val="clear" w:color="auto" w:fill="F2F2F2" w:themeFill="background1" w:themeFillShade="F2"/>
            <w:vAlign w:val="center"/>
          </w:tcPr>
          <w:p w14:paraId="353483AC" w14:textId="1FAC57D3" w:rsidR="004E6D9C" w:rsidRPr="00061636" w:rsidRDefault="004E6D9C" w:rsidP="004E6D9C">
            <w:pPr>
              <w:spacing w:after="180" w:line="240" w:lineRule="auto"/>
              <w:jc w:val="center"/>
              <w:rPr>
                <w:rFonts w:eastAsia="Helvetica,Times New Roman" w:cstheme="minorHAnsi"/>
                <w:color w:val="000000" w:themeColor="text1"/>
                <w:sz w:val="20"/>
                <w:szCs w:val="20"/>
              </w:rPr>
            </w:pPr>
          </w:p>
        </w:tc>
      </w:tr>
    </w:tbl>
    <w:p w14:paraId="7E13702C" w14:textId="77777777" w:rsidR="00D25FC7" w:rsidRPr="00061636" w:rsidRDefault="00D25FC7" w:rsidP="00EB247F">
      <w:pPr>
        <w:rPr>
          <w:bCs/>
          <w:sz w:val="21"/>
          <w:szCs w:val="21"/>
        </w:rPr>
      </w:pPr>
    </w:p>
    <w:p w14:paraId="2A309D69" w14:textId="694A4D33" w:rsidR="0021082B" w:rsidRPr="00061636" w:rsidRDefault="00274B56" w:rsidP="00EB247F">
      <w:pPr>
        <w:pStyle w:val="Caption"/>
        <w:jc w:val="center"/>
        <w:rPr>
          <w:rFonts w:asciiTheme="majorHAnsi" w:eastAsiaTheme="majorEastAsia" w:hAnsiTheme="majorHAnsi" w:cstheme="majorBidi"/>
          <w:b/>
          <w:bCs/>
          <w:color w:val="000000" w:themeColor="text1"/>
          <w:sz w:val="23"/>
          <w:szCs w:val="23"/>
          <w:lang w:eastAsia="zh-CN"/>
        </w:rPr>
      </w:pPr>
      <w:bookmarkStart w:id="46" w:name="_Toc534461009"/>
      <w:r w:rsidRPr="00061636">
        <w:t xml:space="preserve">Table </w:t>
      </w:r>
      <w:fldSimple w:instr=" STYLEREF 1 \s ">
        <w:r w:rsidR="00492F5E" w:rsidRPr="00061636">
          <w:t>2</w:t>
        </w:r>
      </w:fldSimple>
      <w:r w:rsidR="00492F5E" w:rsidRPr="00061636">
        <w:t>.</w:t>
      </w:r>
      <w:r w:rsidR="00F4258D" w:rsidRPr="00061636">
        <w:rPr>
          <w:noProof/>
        </w:rPr>
        <w:fldChar w:fldCharType="begin"/>
      </w:r>
      <w:r w:rsidR="00F4258D" w:rsidRPr="00061636">
        <w:rPr>
          <w:noProof/>
        </w:rPr>
        <w:instrText xml:space="preserve"> SEQ Table \* ARABIC \s 1 </w:instrText>
      </w:r>
      <w:r w:rsidR="00F4258D" w:rsidRPr="00061636">
        <w:rPr>
          <w:noProof/>
        </w:rPr>
        <w:fldChar w:fldCharType="separate"/>
      </w:r>
      <w:r w:rsidR="00D25FC7" w:rsidRPr="00061636">
        <w:rPr>
          <w:noProof/>
        </w:rPr>
        <w:t>3</w:t>
      </w:r>
      <w:r w:rsidR="00F4258D" w:rsidRPr="00061636">
        <w:rPr>
          <w:noProof/>
        </w:rPr>
        <w:fldChar w:fldCharType="end"/>
      </w:r>
      <w:r w:rsidRPr="00061636">
        <w:t xml:space="preserve"> Financial Inputs</w:t>
      </w:r>
      <w:r w:rsidR="00D25FC7" w:rsidRPr="00061636">
        <w:t xml:space="preserve"> </w:t>
      </w:r>
      <w:r w:rsidR="009C0F77" w:rsidRPr="00061636">
        <w:t xml:space="preserve">for </w:t>
      </w:r>
      <w:r w:rsidR="00D25FC7" w:rsidRPr="00061636">
        <w:t>Solution</w:t>
      </w:r>
      <w:bookmarkEnd w:id="46"/>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910DE0" w:rsidRPr="00061636" w14:paraId="7E18B658" w14:textId="77777777" w:rsidTr="005C77F5">
        <w:trPr>
          <w:trHeight w:val="1163"/>
          <w:jc w:val="center"/>
        </w:trPr>
        <w:tc>
          <w:tcPr>
            <w:tcW w:w="1220" w:type="pct"/>
            <w:shd w:val="clear" w:color="auto" w:fill="4F81BD" w:themeFill="accent1"/>
            <w:vAlign w:val="center"/>
          </w:tcPr>
          <w:p w14:paraId="26137DA0" w14:textId="77777777" w:rsidR="00910DE0" w:rsidRPr="00061636" w:rsidRDefault="00910DE0" w:rsidP="009A4D96">
            <w:pPr>
              <w:spacing w:after="180" w:line="240" w:lineRule="auto"/>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2DBDF8CC" w14:textId="268B6116" w:rsidR="00910DE0" w:rsidRPr="00896F44" w:rsidRDefault="00910DE0" w:rsidP="009A4D96">
            <w:pPr>
              <w:spacing w:after="180" w:line="240" w:lineRule="auto"/>
              <w:jc w:val="center"/>
              <w:rPr>
                <w:b/>
                <w:bCs/>
                <w:sz w:val="20"/>
                <w:szCs w:val="20"/>
              </w:rPr>
            </w:pPr>
            <w:r w:rsidRPr="00896F44">
              <w:rPr>
                <w:b/>
                <w:bCs/>
                <w:color w:val="FFFFFF" w:themeColor="background1"/>
                <w:sz w:val="20"/>
                <w:szCs w:val="20"/>
              </w:rPr>
              <w:t>Units</w:t>
            </w:r>
          </w:p>
        </w:tc>
        <w:tc>
          <w:tcPr>
            <w:tcW w:w="985" w:type="pct"/>
            <w:shd w:val="clear" w:color="auto" w:fill="4F81BD" w:themeFill="accent1"/>
            <w:vAlign w:val="center"/>
          </w:tcPr>
          <w:p w14:paraId="75A978E1" w14:textId="1BF0E92A" w:rsidR="00910DE0" w:rsidRPr="00896F44" w:rsidRDefault="00910DE0" w:rsidP="009A4D96">
            <w:pPr>
              <w:spacing w:after="180" w:line="240" w:lineRule="auto"/>
              <w:jc w:val="center"/>
              <w:rPr>
                <w:b/>
                <w:bCs/>
                <w:color w:val="FFFFFF" w:themeColor="background1"/>
                <w:sz w:val="20"/>
                <w:szCs w:val="20"/>
              </w:rPr>
            </w:pPr>
            <w:r w:rsidRPr="00896F44">
              <w:rPr>
                <w:b/>
                <w:bCs/>
                <w:color w:val="FFFFFF" w:themeColor="background1"/>
                <w:sz w:val="20"/>
                <w:szCs w:val="20"/>
              </w:rPr>
              <w:t>Project Drawdown Data Set Range</w:t>
            </w:r>
          </w:p>
        </w:tc>
        <w:tc>
          <w:tcPr>
            <w:tcW w:w="738" w:type="pct"/>
            <w:shd w:val="clear" w:color="auto" w:fill="4F81BD" w:themeFill="accent1"/>
            <w:vAlign w:val="center"/>
          </w:tcPr>
          <w:p w14:paraId="018F52B8" w14:textId="1833173C" w:rsidR="00910DE0" w:rsidRPr="00896F44" w:rsidRDefault="00910DE0" w:rsidP="009A4D96">
            <w:pPr>
              <w:spacing w:after="180" w:line="240" w:lineRule="auto"/>
              <w:jc w:val="center"/>
              <w:rPr>
                <w:b/>
                <w:bCs/>
                <w:color w:val="FFFFFF" w:themeColor="background1"/>
                <w:sz w:val="20"/>
                <w:szCs w:val="20"/>
              </w:rPr>
            </w:pPr>
            <w:r w:rsidRPr="00896F44">
              <w:rPr>
                <w:b/>
                <w:bCs/>
                <w:color w:val="FFFFFF" w:themeColor="background1"/>
                <w:sz w:val="20"/>
                <w:szCs w:val="20"/>
              </w:rPr>
              <w:t>Model Input</w:t>
            </w:r>
          </w:p>
        </w:tc>
        <w:tc>
          <w:tcPr>
            <w:tcW w:w="617" w:type="pct"/>
            <w:shd w:val="clear" w:color="auto" w:fill="4F81BD" w:themeFill="accent1"/>
            <w:vAlign w:val="center"/>
          </w:tcPr>
          <w:p w14:paraId="7264FD6F" w14:textId="3A2AE4FA" w:rsidR="00910DE0" w:rsidRPr="00896F44" w:rsidRDefault="00910DE0" w:rsidP="009A4D96">
            <w:pPr>
              <w:spacing w:after="180" w:line="240" w:lineRule="auto"/>
              <w:jc w:val="center"/>
              <w:rPr>
                <w:b/>
                <w:bCs/>
                <w:color w:val="FFFFFF" w:themeColor="background1"/>
                <w:sz w:val="20"/>
                <w:szCs w:val="20"/>
              </w:rPr>
            </w:pPr>
            <w:r w:rsidRPr="00896F44">
              <w:rPr>
                <w:b/>
                <w:bCs/>
                <w:color w:val="FFFFFF" w:themeColor="background1"/>
                <w:sz w:val="20"/>
                <w:szCs w:val="20"/>
              </w:rPr>
              <w:t>Data Points (#)</w:t>
            </w:r>
          </w:p>
        </w:tc>
        <w:tc>
          <w:tcPr>
            <w:tcW w:w="578" w:type="pct"/>
            <w:shd w:val="clear" w:color="auto" w:fill="4F81BD" w:themeFill="accent1"/>
            <w:vAlign w:val="center"/>
          </w:tcPr>
          <w:p w14:paraId="275B8C0E" w14:textId="1A9F0AE3" w:rsidR="00910DE0" w:rsidRPr="00896F44" w:rsidRDefault="00910DE0" w:rsidP="009A4D96">
            <w:pPr>
              <w:spacing w:after="180" w:line="240" w:lineRule="auto"/>
              <w:jc w:val="center"/>
              <w:rPr>
                <w:b/>
                <w:bCs/>
                <w:color w:val="FFFFFF" w:themeColor="background1"/>
                <w:sz w:val="20"/>
                <w:szCs w:val="20"/>
              </w:rPr>
            </w:pPr>
            <w:r w:rsidRPr="00896F44">
              <w:rPr>
                <w:b/>
                <w:bCs/>
                <w:color w:val="FFFFFF" w:themeColor="background1"/>
                <w:sz w:val="20"/>
                <w:szCs w:val="20"/>
              </w:rPr>
              <w:t>Sources (#)</w:t>
            </w:r>
          </w:p>
        </w:tc>
      </w:tr>
      <w:tr w:rsidR="00910DE0" w:rsidRPr="00061636" w14:paraId="2A056D67" w14:textId="77777777" w:rsidTr="005C77F5">
        <w:trPr>
          <w:trHeight w:val="392"/>
          <w:jc w:val="center"/>
        </w:trPr>
        <w:tc>
          <w:tcPr>
            <w:tcW w:w="1220" w:type="pct"/>
            <w:vAlign w:val="center"/>
          </w:tcPr>
          <w:p w14:paraId="48F73B69" w14:textId="7DD68B1E" w:rsidR="00910DE0" w:rsidRPr="00061636" w:rsidRDefault="00910DE0" w:rsidP="000A10E5">
            <w:pPr>
              <w:spacing w:after="180" w:line="240" w:lineRule="auto"/>
              <w:jc w:val="center"/>
              <w:rPr>
                <w:color w:val="000000" w:themeColor="text1"/>
                <w:sz w:val="20"/>
                <w:szCs w:val="20"/>
              </w:rPr>
            </w:pPr>
            <w:r w:rsidRPr="00061636">
              <w:rPr>
                <w:color w:val="000000" w:themeColor="text1"/>
                <w:sz w:val="20"/>
                <w:szCs w:val="20"/>
              </w:rPr>
              <w:t>First cost</w:t>
            </w:r>
          </w:p>
        </w:tc>
        <w:tc>
          <w:tcPr>
            <w:tcW w:w="862" w:type="pct"/>
            <w:vAlign w:val="center"/>
          </w:tcPr>
          <w:p w14:paraId="39F98CF2" w14:textId="6EE981FC" w:rsidR="00910DE0" w:rsidRPr="00896F44" w:rsidRDefault="00910DE0" w:rsidP="000A10E5">
            <w:pPr>
              <w:spacing w:after="180" w:line="240" w:lineRule="auto"/>
              <w:jc w:val="center"/>
              <w:rPr>
                <w:rFonts w:eastAsia="Helvetica,Times New Roman" w:cstheme="minorHAnsi"/>
                <w:sz w:val="20"/>
                <w:szCs w:val="20"/>
              </w:rPr>
            </w:pPr>
            <w:r w:rsidRPr="00896F44">
              <w:rPr>
                <w:bCs/>
                <w:i/>
                <w:sz w:val="20"/>
                <w:szCs w:val="20"/>
              </w:rPr>
              <w:t>US$2014/kW</w:t>
            </w:r>
          </w:p>
        </w:tc>
        <w:tc>
          <w:tcPr>
            <w:tcW w:w="985" w:type="pct"/>
            <w:vAlign w:val="center"/>
          </w:tcPr>
          <w:p w14:paraId="0AA3AF19" w14:textId="079B1D47" w:rsidR="00C7126B" w:rsidRPr="00896F44" w:rsidRDefault="006F782B"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7</w:t>
            </w:r>
            <w:r w:rsidR="00896F44" w:rsidRPr="00896F44">
              <w:rPr>
                <w:rFonts w:eastAsia="Helvetica,Times New Roman" w:cstheme="minorHAnsi"/>
                <w:color w:val="000000" w:themeColor="text1"/>
                <w:sz w:val="20"/>
                <w:szCs w:val="20"/>
              </w:rPr>
              <w:t>04.0</w:t>
            </w:r>
            <w:r w:rsidRPr="00896F44">
              <w:rPr>
                <w:rFonts w:eastAsia="Helvetica,Times New Roman" w:cstheme="minorHAnsi"/>
                <w:color w:val="000000" w:themeColor="text1"/>
                <w:sz w:val="20"/>
                <w:szCs w:val="20"/>
              </w:rPr>
              <w:t xml:space="preserve"> </w:t>
            </w:r>
            <w:r w:rsidR="00DD28FE" w:rsidRPr="00896F44">
              <w:rPr>
                <w:rFonts w:eastAsia="Helvetica,Times New Roman" w:cstheme="minorHAnsi"/>
                <w:color w:val="000000" w:themeColor="text1"/>
                <w:sz w:val="20"/>
                <w:szCs w:val="20"/>
              </w:rPr>
              <w:t>–</w:t>
            </w:r>
            <w:r w:rsidRPr="00896F44">
              <w:rPr>
                <w:rFonts w:eastAsia="Helvetica,Times New Roman" w:cstheme="minorHAnsi"/>
                <w:color w:val="000000" w:themeColor="text1"/>
                <w:sz w:val="20"/>
                <w:szCs w:val="20"/>
              </w:rPr>
              <w:t xml:space="preserve"> 2</w:t>
            </w:r>
            <w:r w:rsidR="00DD28FE" w:rsidRPr="00896F44">
              <w:rPr>
                <w:rFonts w:eastAsia="Helvetica,Times New Roman" w:cstheme="minorHAnsi"/>
                <w:color w:val="000000" w:themeColor="text1"/>
                <w:sz w:val="20"/>
                <w:szCs w:val="20"/>
              </w:rPr>
              <w:t>,</w:t>
            </w:r>
            <w:r w:rsidR="00896F44" w:rsidRPr="00896F44">
              <w:rPr>
                <w:rFonts w:eastAsia="Helvetica,Times New Roman" w:cstheme="minorHAnsi"/>
                <w:color w:val="000000" w:themeColor="text1"/>
                <w:sz w:val="20"/>
                <w:szCs w:val="20"/>
              </w:rPr>
              <w:t>763</w:t>
            </w:r>
          </w:p>
        </w:tc>
        <w:tc>
          <w:tcPr>
            <w:tcW w:w="738" w:type="pct"/>
            <w:vAlign w:val="center"/>
          </w:tcPr>
          <w:p w14:paraId="448110A6" w14:textId="2436B2C0" w:rsidR="00C7126B" w:rsidRPr="00896F44" w:rsidRDefault="006F782B"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1</w:t>
            </w:r>
            <w:r w:rsidR="00DD28FE" w:rsidRPr="00896F44">
              <w:rPr>
                <w:rFonts w:eastAsia="Helvetica,Times New Roman" w:cstheme="minorHAnsi"/>
                <w:color w:val="000000" w:themeColor="text1"/>
                <w:sz w:val="20"/>
                <w:szCs w:val="20"/>
              </w:rPr>
              <w:t>,</w:t>
            </w:r>
            <w:r w:rsidRPr="00896F44">
              <w:rPr>
                <w:rFonts w:eastAsia="Helvetica,Times New Roman" w:cstheme="minorHAnsi"/>
                <w:color w:val="000000" w:themeColor="text1"/>
                <w:sz w:val="20"/>
                <w:szCs w:val="20"/>
              </w:rPr>
              <w:t>7</w:t>
            </w:r>
            <w:r w:rsidR="00896F44" w:rsidRPr="00896F44">
              <w:rPr>
                <w:rFonts w:eastAsia="Helvetica,Times New Roman" w:cstheme="minorHAnsi"/>
                <w:color w:val="000000" w:themeColor="text1"/>
                <w:sz w:val="20"/>
                <w:szCs w:val="20"/>
              </w:rPr>
              <w:t>34</w:t>
            </w:r>
          </w:p>
        </w:tc>
        <w:tc>
          <w:tcPr>
            <w:tcW w:w="617" w:type="pct"/>
            <w:vAlign w:val="center"/>
          </w:tcPr>
          <w:p w14:paraId="26687D7C" w14:textId="068500FA" w:rsidR="00372FBD" w:rsidRPr="00896F44" w:rsidRDefault="00372FBD"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68</w:t>
            </w:r>
          </w:p>
        </w:tc>
        <w:tc>
          <w:tcPr>
            <w:tcW w:w="578" w:type="pct"/>
            <w:vAlign w:val="center"/>
          </w:tcPr>
          <w:p w14:paraId="11A2B4F9" w14:textId="67FB18A7" w:rsidR="0071612A" w:rsidRPr="00896F44" w:rsidRDefault="00896F44"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10</w:t>
            </w:r>
          </w:p>
        </w:tc>
      </w:tr>
      <w:tr w:rsidR="00910DE0" w:rsidRPr="00061636" w14:paraId="7FBD7FC3" w14:textId="77777777" w:rsidTr="005C77F5">
        <w:trPr>
          <w:trHeight w:val="906"/>
          <w:jc w:val="center"/>
        </w:trPr>
        <w:tc>
          <w:tcPr>
            <w:tcW w:w="1220" w:type="pct"/>
            <w:vAlign w:val="center"/>
          </w:tcPr>
          <w:p w14:paraId="58BCEFDE" w14:textId="2AA4043F" w:rsidR="00910DE0" w:rsidRPr="00061636" w:rsidRDefault="00910DE0" w:rsidP="000A10E5">
            <w:pPr>
              <w:spacing w:after="180" w:line="240" w:lineRule="auto"/>
              <w:jc w:val="center"/>
              <w:rPr>
                <w:color w:val="000000" w:themeColor="text1"/>
                <w:sz w:val="20"/>
                <w:szCs w:val="20"/>
              </w:rPr>
            </w:pPr>
            <w:r w:rsidRPr="00061636">
              <w:rPr>
                <w:color w:val="000000" w:themeColor="text1"/>
                <w:sz w:val="20"/>
                <w:szCs w:val="20"/>
              </w:rPr>
              <w:t>Fixed Operation and Maintenance Cost</w:t>
            </w:r>
          </w:p>
        </w:tc>
        <w:tc>
          <w:tcPr>
            <w:tcW w:w="862" w:type="pct"/>
            <w:vAlign w:val="center"/>
          </w:tcPr>
          <w:p w14:paraId="794FCD2A" w14:textId="0F2C8721" w:rsidR="00910DE0" w:rsidRPr="00896F44" w:rsidRDefault="00910DE0" w:rsidP="000A10E5">
            <w:pPr>
              <w:spacing w:after="180" w:line="240" w:lineRule="auto"/>
              <w:jc w:val="center"/>
              <w:rPr>
                <w:rFonts w:eastAsia="Helvetica,Times New Roman" w:cstheme="minorHAnsi"/>
                <w:sz w:val="20"/>
                <w:szCs w:val="20"/>
              </w:rPr>
            </w:pPr>
            <w:r w:rsidRPr="00896F44">
              <w:rPr>
                <w:bCs/>
                <w:i/>
                <w:sz w:val="20"/>
                <w:szCs w:val="20"/>
              </w:rPr>
              <w:t>US$2014/kW</w:t>
            </w:r>
          </w:p>
        </w:tc>
        <w:tc>
          <w:tcPr>
            <w:tcW w:w="985" w:type="pct"/>
            <w:vAlign w:val="center"/>
          </w:tcPr>
          <w:p w14:paraId="4F470140" w14:textId="607CEB8C" w:rsidR="00207112" w:rsidRPr="00896F44" w:rsidRDefault="00896F44"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6.99</w:t>
            </w:r>
            <w:r w:rsidR="00207112" w:rsidRPr="00896F44">
              <w:rPr>
                <w:rFonts w:eastAsia="Helvetica,Times New Roman" w:cstheme="minorHAnsi"/>
                <w:color w:val="000000" w:themeColor="text1"/>
                <w:sz w:val="20"/>
                <w:szCs w:val="20"/>
              </w:rPr>
              <w:t xml:space="preserve"> - 2</w:t>
            </w:r>
            <w:r w:rsidRPr="00896F44">
              <w:rPr>
                <w:rFonts w:eastAsia="Helvetica,Times New Roman" w:cstheme="minorHAnsi"/>
                <w:color w:val="000000" w:themeColor="text1"/>
                <w:sz w:val="20"/>
                <w:szCs w:val="20"/>
              </w:rPr>
              <w:t>7</w:t>
            </w:r>
            <w:r w:rsidR="00207112" w:rsidRPr="00896F44">
              <w:rPr>
                <w:rFonts w:eastAsia="Helvetica,Times New Roman" w:cstheme="minorHAnsi"/>
                <w:color w:val="000000" w:themeColor="text1"/>
                <w:sz w:val="20"/>
                <w:szCs w:val="20"/>
              </w:rPr>
              <w:t>.</w:t>
            </w:r>
            <w:r w:rsidRPr="00896F44">
              <w:rPr>
                <w:rFonts w:eastAsia="Helvetica,Times New Roman" w:cstheme="minorHAnsi"/>
                <w:color w:val="000000" w:themeColor="text1"/>
                <w:sz w:val="20"/>
                <w:szCs w:val="20"/>
              </w:rPr>
              <w:t>58</w:t>
            </w:r>
          </w:p>
        </w:tc>
        <w:tc>
          <w:tcPr>
            <w:tcW w:w="738" w:type="pct"/>
            <w:vAlign w:val="center"/>
          </w:tcPr>
          <w:p w14:paraId="7207DC06" w14:textId="098CF883" w:rsidR="00207112" w:rsidRPr="00896F44" w:rsidRDefault="00207112"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15.</w:t>
            </w:r>
            <w:r w:rsidR="00896F44" w:rsidRPr="00896F44">
              <w:rPr>
                <w:rFonts w:eastAsia="Helvetica,Times New Roman" w:cstheme="minorHAnsi"/>
                <w:color w:val="000000" w:themeColor="text1"/>
                <w:sz w:val="20"/>
                <w:szCs w:val="20"/>
              </w:rPr>
              <w:t>94</w:t>
            </w:r>
          </w:p>
        </w:tc>
        <w:tc>
          <w:tcPr>
            <w:tcW w:w="617" w:type="pct"/>
            <w:vAlign w:val="center"/>
          </w:tcPr>
          <w:p w14:paraId="3290C1F9" w14:textId="0AA2DDC0" w:rsidR="0071612A" w:rsidRPr="00896F44" w:rsidRDefault="0071612A"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3</w:t>
            </w:r>
            <w:r w:rsidR="00896F44" w:rsidRPr="00896F44">
              <w:rPr>
                <w:rFonts w:eastAsia="Helvetica,Times New Roman" w:cstheme="minorHAnsi"/>
                <w:color w:val="000000" w:themeColor="text1"/>
                <w:sz w:val="20"/>
                <w:szCs w:val="20"/>
              </w:rPr>
              <w:t>5</w:t>
            </w:r>
          </w:p>
        </w:tc>
        <w:tc>
          <w:tcPr>
            <w:tcW w:w="578" w:type="pct"/>
            <w:vAlign w:val="center"/>
          </w:tcPr>
          <w:p w14:paraId="766E4798" w14:textId="1A532630" w:rsidR="0071612A" w:rsidRPr="00896F44" w:rsidRDefault="0071612A"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1</w:t>
            </w:r>
            <w:r w:rsidR="00896F44" w:rsidRPr="00896F44">
              <w:rPr>
                <w:rFonts w:eastAsia="Helvetica,Times New Roman" w:cstheme="minorHAnsi"/>
                <w:color w:val="000000" w:themeColor="text1"/>
                <w:sz w:val="20"/>
                <w:szCs w:val="20"/>
              </w:rPr>
              <w:t>9</w:t>
            </w:r>
          </w:p>
        </w:tc>
      </w:tr>
      <w:tr w:rsidR="00910DE0" w:rsidRPr="00DD28FE" w14:paraId="56960ECE" w14:textId="77777777" w:rsidTr="00DD28FE">
        <w:trPr>
          <w:trHeight w:val="634"/>
          <w:jc w:val="center"/>
        </w:trPr>
        <w:tc>
          <w:tcPr>
            <w:tcW w:w="1220" w:type="pct"/>
            <w:vAlign w:val="center"/>
          </w:tcPr>
          <w:p w14:paraId="7C1C0BA0" w14:textId="4D270C31" w:rsidR="00910DE0" w:rsidRPr="00061636" w:rsidRDefault="00744EFA" w:rsidP="000A10E5">
            <w:pPr>
              <w:spacing w:after="180" w:line="240" w:lineRule="auto"/>
              <w:jc w:val="center"/>
              <w:rPr>
                <w:color w:val="000000" w:themeColor="text1"/>
                <w:sz w:val="20"/>
                <w:szCs w:val="20"/>
              </w:rPr>
            </w:pPr>
            <w:r>
              <w:rPr>
                <w:color w:val="000000" w:themeColor="text1"/>
                <w:sz w:val="20"/>
                <w:szCs w:val="20"/>
              </w:rPr>
              <w:t xml:space="preserve">Module </w:t>
            </w:r>
            <w:r w:rsidR="00910DE0" w:rsidRPr="00061636">
              <w:rPr>
                <w:color w:val="000000" w:themeColor="text1"/>
                <w:sz w:val="20"/>
                <w:szCs w:val="20"/>
              </w:rPr>
              <w:t>Learning Rate</w:t>
            </w:r>
          </w:p>
        </w:tc>
        <w:tc>
          <w:tcPr>
            <w:tcW w:w="862" w:type="pct"/>
            <w:vAlign w:val="center"/>
          </w:tcPr>
          <w:p w14:paraId="18D7B6C5" w14:textId="6EA6B799" w:rsidR="00910DE0" w:rsidRPr="00896F44" w:rsidRDefault="00910DE0" w:rsidP="000A10E5">
            <w:pPr>
              <w:spacing w:after="180" w:line="240" w:lineRule="auto"/>
              <w:jc w:val="center"/>
              <w:rPr>
                <w:rStyle w:val="CommentReference"/>
                <w:sz w:val="20"/>
                <w:szCs w:val="20"/>
              </w:rPr>
            </w:pPr>
            <w:r w:rsidRPr="00896F44">
              <w:rPr>
                <w:rStyle w:val="CommentReference"/>
                <w:sz w:val="20"/>
                <w:szCs w:val="20"/>
              </w:rPr>
              <w:t>%</w:t>
            </w:r>
          </w:p>
        </w:tc>
        <w:tc>
          <w:tcPr>
            <w:tcW w:w="985" w:type="pct"/>
            <w:shd w:val="clear" w:color="auto" w:fill="FFFFFF" w:themeFill="background1"/>
            <w:vAlign w:val="center"/>
          </w:tcPr>
          <w:p w14:paraId="503DB7E2" w14:textId="75C0B906" w:rsidR="0016605A" w:rsidRPr="00896F44" w:rsidRDefault="0016605A"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18.2 – 29.5</w:t>
            </w:r>
          </w:p>
        </w:tc>
        <w:tc>
          <w:tcPr>
            <w:tcW w:w="738" w:type="pct"/>
            <w:vAlign w:val="center"/>
          </w:tcPr>
          <w:p w14:paraId="6AC44958" w14:textId="523E547E" w:rsidR="0016605A" w:rsidRPr="00896F44" w:rsidRDefault="00896F44" w:rsidP="00A22E81">
            <w:pPr>
              <w:spacing w:line="240" w:lineRule="auto"/>
              <w:jc w:val="center"/>
              <w:rPr>
                <w:bCs/>
                <w:sz w:val="20"/>
                <w:szCs w:val="20"/>
              </w:rPr>
            </w:pPr>
            <w:r w:rsidRPr="00896F44">
              <w:rPr>
                <w:bCs/>
                <w:sz w:val="20"/>
                <w:szCs w:val="20"/>
              </w:rPr>
              <w:t>23.08</w:t>
            </w:r>
          </w:p>
        </w:tc>
        <w:tc>
          <w:tcPr>
            <w:tcW w:w="617" w:type="pct"/>
            <w:vAlign w:val="center"/>
          </w:tcPr>
          <w:p w14:paraId="073E928F" w14:textId="4C1B99D2" w:rsidR="0016605A" w:rsidRPr="00896F44" w:rsidRDefault="0016605A"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21</w:t>
            </w:r>
          </w:p>
        </w:tc>
        <w:tc>
          <w:tcPr>
            <w:tcW w:w="578" w:type="pct"/>
            <w:vAlign w:val="center"/>
          </w:tcPr>
          <w:p w14:paraId="0689267C" w14:textId="1DEFD53C" w:rsidR="0016605A" w:rsidRPr="00896F44" w:rsidRDefault="0016605A"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18</w:t>
            </w:r>
          </w:p>
        </w:tc>
      </w:tr>
      <w:tr w:rsidR="0016605A" w:rsidRPr="00DD28FE" w14:paraId="2680B880" w14:textId="77777777" w:rsidTr="00DD28FE">
        <w:trPr>
          <w:trHeight w:val="634"/>
          <w:jc w:val="center"/>
        </w:trPr>
        <w:tc>
          <w:tcPr>
            <w:tcW w:w="1220" w:type="pct"/>
            <w:vAlign w:val="center"/>
          </w:tcPr>
          <w:p w14:paraId="2C733A0B" w14:textId="1C9E7D9C" w:rsidR="0016605A" w:rsidRDefault="0016605A" w:rsidP="000A10E5">
            <w:pPr>
              <w:spacing w:after="180" w:line="240" w:lineRule="auto"/>
              <w:jc w:val="center"/>
              <w:rPr>
                <w:color w:val="000000" w:themeColor="text1"/>
                <w:sz w:val="20"/>
                <w:szCs w:val="20"/>
              </w:rPr>
            </w:pPr>
            <w:r>
              <w:rPr>
                <w:color w:val="000000" w:themeColor="text1"/>
                <w:sz w:val="20"/>
                <w:szCs w:val="20"/>
              </w:rPr>
              <w:t>BOS Learning Rate</w:t>
            </w:r>
          </w:p>
        </w:tc>
        <w:tc>
          <w:tcPr>
            <w:tcW w:w="862" w:type="pct"/>
            <w:vAlign w:val="center"/>
          </w:tcPr>
          <w:p w14:paraId="5B8674C3" w14:textId="07459727" w:rsidR="0016605A" w:rsidRPr="00896F44" w:rsidRDefault="0016605A" w:rsidP="000A10E5">
            <w:pPr>
              <w:spacing w:after="180" w:line="240" w:lineRule="auto"/>
              <w:jc w:val="center"/>
              <w:rPr>
                <w:rStyle w:val="CommentReference"/>
                <w:sz w:val="20"/>
                <w:szCs w:val="20"/>
              </w:rPr>
            </w:pPr>
            <w:r w:rsidRPr="00896F44">
              <w:rPr>
                <w:rStyle w:val="CommentReference"/>
                <w:sz w:val="20"/>
                <w:szCs w:val="20"/>
              </w:rPr>
              <w:t>%</w:t>
            </w:r>
          </w:p>
        </w:tc>
        <w:tc>
          <w:tcPr>
            <w:tcW w:w="985" w:type="pct"/>
            <w:shd w:val="clear" w:color="auto" w:fill="FFFFFF" w:themeFill="background1"/>
            <w:vAlign w:val="center"/>
          </w:tcPr>
          <w:p w14:paraId="503A4298" w14:textId="229FB2C0" w:rsidR="0016605A" w:rsidRPr="00896F44" w:rsidDel="0016605A" w:rsidRDefault="0016605A"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1</w:t>
            </w:r>
            <w:r w:rsidR="00896F44" w:rsidRPr="00896F44">
              <w:rPr>
                <w:rFonts w:eastAsia="Helvetica,Times New Roman" w:cstheme="minorHAnsi"/>
                <w:color w:val="000000" w:themeColor="text1"/>
                <w:sz w:val="20"/>
                <w:szCs w:val="20"/>
              </w:rPr>
              <w:t>1</w:t>
            </w:r>
            <w:r w:rsidRPr="00896F44">
              <w:rPr>
                <w:rFonts w:eastAsia="Helvetica,Times New Roman" w:cstheme="minorHAnsi"/>
                <w:color w:val="000000" w:themeColor="text1"/>
                <w:sz w:val="20"/>
                <w:szCs w:val="20"/>
              </w:rPr>
              <w:t>.</w:t>
            </w:r>
            <w:r w:rsidR="00896F44" w:rsidRPr="00896F44">
              <w:rPr>
                <w:rFonts w:eastAsia="Helvetica,Times New Roman" w:cstheme="minorHAnsi"/>
                <w:color w:val="000000" w:themeColor="text1"/>
                <w:sz w:val="20"/>
                <w:szCs w:val="20"/>
              </w:rPr>
              <w:t>5</w:t>
            </w:r>
            <w:r w:rsidRPr="00896F44">
              <w:rPr>
                <w:rFonts w:eastAsia="Helvetica,Times New Roman" w:cstheme="minorHAnsi"/>
                <w:color w:val="000000" w:themeColor="text1"/>
                <w:sz w:val="20"/>
                <w:szCs w:val="20"/>
              </w:rPr>
              <w:t xml:space="preserve"> – 2</w:t>
            </w:r>
            <w:r w:rsidR="00896F44" w:rsidRPr="00896F44">
              <w:rPr>
                <w:rFonts w:eastAsia="Helvetica,Times New Roman" w:cstheme="minorHAnsi"/>
                <w:color w:val="000000" w:themeColor="text1"/>
                <w:sz w:val="20"/>
                <w:szCs w:val="20"/>
              </w:rPr>
              <w:t>2</w:t>
            </w:r>
            <w:r w:rsidRPr="00896F44">
              <w:rPr>
                <w:rFonts w:eastAsia="Helvetica,Times New Roman" w:cstheme="minorHAnsi"/>
                <w:color w:val="000000" w:themeColor="text1"/>
                <w:sz w:val="20"/>
                <w:szCs w:val="20"/>
              </w:rPr>
              <w:t>.</w:t>
            </w:r>
            <w:r w:rsidR="00896F44" w:rsidRPr="00896F44">
              <w:rPr>
                <w:rFonts w:eastAsia="Helvetica,Times New Roman" w:cstheme="minorHAnsi"/>
                <w:color w:val="000000" w:themeColor="text1"/>
                <w:sz w:val="20"/>
                <w:szCs w:val="20"/>
              </w:rPr>
              <w:t>1</w:t>
            </w:r>
          </w:p>
        </w:tc>
        <w:tc>
          <w:tcPr>
            <w:tcW w:w="738" w:type="pct"/>
            <w:vAlign w:val="center"/>
          </w:tcPr>
          <w:p w14:paraId="66198E51" w14:textId="0775BC64" w:rsidR="0016605A" w:rsidRPr="00896F44" w:rsidDel="0016605A" w:rsidRDefault="0016605A" w:rsidP="00A22E81">
            <w:pPr>
              <w:spacing w:line="240" w:lineRule="auto"/>
              <w:jc w:val="center"/>
              <w:rPr>
                <w:bCs/>
                <w:sz w:val="20"/>
                <w:szCs w:val="20"/>
              </w:rPr>
            </w:pPr>
            <w:r w:rsidRPr="00896F44">
              <w:rPr>
                <w:bCs/>
                <w:sz w:val="20"/>
                <w:szCs w:val="20"/>
              </w:rPr>
              <w:t>16.</w:t>
            </w:r>
            <w:r w:rsidR="00896F44" w:rsidRPr="00896F44">
              <w:rPr>
                <w:bCs/>
                <w:sz w:val="20"/>
                <w:szCs w:val="20"/>
              </w:rPr>
              <w:t>8</w:t>
            </w:r>
          </w:p>
        </w:tc>
        <w:tc>
          <w:tcPr>
            <w:tcW w:w="617" w:type="pct"/>
            <w:vAlign w:val="center"/>
          </w:tcPr>
          <w:p w14:paraId="7D75B61A" w14:textId="66197D76" w:rsidR="0016605A" w:rsidRPr="00896F44" w:rsidDel="0016605A" w:rsidRDefault="00896F44"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20</w:t>
            </w:r>
          </w:p>
        </w:tc>
        <w:tc>
          <w:tcPr>
            <w:tcW w:w="578" w:type="pct"/>
            <w:vAlign w:val="center"/>
          </w:tcPr>
          <w:p w14:paraId="27D80D3E" w14:textId="3D454CB5" w:rsidR="0016605A" w:rsidRPr="00896F44" w:rsidDel="0016605A" w:rsidRDefault="0016605A"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1</w:t>
            </w:r>
            <w:r w:rsidR="00896F44" w:rsidRPr="00896F44">
              <w:rPr>
                <w:rFonts w:eastAsia="Helvetica,Times New Roman" w:cstheme="minorHAnsi"/>
                <w:color w:val="000000" w:themeColor="text1"/>
                <w:sz w:val="20"/>
                <w:szCs w:val="20"/>
              </w:rPr>
              <w:t>3</w:t>
            </w:r>
          </w:p>
        </w:tc>
      </w:tr>
    </w:tbl>
    <w:p w14:paraId="56260956" w14:textId="3680A3E5" w:rsidR="00826B4A" w:rsidRDefault="00826B4A" w:rsidP="00EB247F"/>
    <w:p w14:paraId="3A03953A" w14:textId="68F170D2" w:rsidR="001D17E8" w:rsidRPr="00061636" w:rsidRDefault="00826B4A" w:rsidP="00826B4A">
      <w:pPr>
        <w:spacing w:after="160" w:line="259" w:lineRule="auto"/>
        <w:jc w:val="left"/>
      </w:pPr>
      <w:r>
        <w:br w:type="page"/>
      </w:r>
    </w:p>
    <w:p w14:paraId="56F5BC32" w14:textId="146E1F0E" w:rsidR="001D17E8" w:rsidRPr="00061636" w:rsidRDefault="00E069AC" w:rsidP="00EB247F">
      <w:pPr>
        <w:pStyle w:val="Heading3"/>
      </w:pPr>
      <w:bookmarkStart w:id="47" w:name="_Toc10331918"/>
      <w:r w:rsidRPr="00061636">
        <w:lastRenderedPageBreak/>
        <w:t>Technical Inputs</w:t>
      </w:r>
      <w:bookmarkEnd w:id="47"/>
    </w:p>
    <w:p w14:paraId="3CE5966B" w14:textId="3E63360D" w:rsidR="000875B5" w:rsidRPr="00061636" w:rsidRDefault="000875B5" w:rsidP="00EB247F">
      <w:pPr>
        <w:pStyle w:val="Caption"/>
        <w:jc w:val="center"/>
        <w:rPr>
          <w:rFonts w:asciiTheme="majorHAnsi" w:eastAsiaTheme="majorEastAsia" w:hAnsiTheme="majorHAnsi" w:cstheme="majorBidi"/>
          <w:b/>
          <w:bCs/>
          <w:color w:val="000000" w:themeColor="text1"/>
          <w:sz w:val="23"/>
          <w:szCs w:val="23"/>
          <w:lang w:eastAsia="zh-CN"/>
        </w:rPr>
      </w:pPr>
      <w:bookmarkStart w:id="48" w:name="_Toc534461010"/>
      <w:r w:rsidRPr="00061636">
        <w:t xml:space="preserve">Table </w:t>
      </w:r>
      <w:fldSimple w:instr=" STYLEREF 1 \s ">
        <w:r w:rsidRPr="00061636">
          <w:t>2</w:t>
        </w:r>
      </w:fldSimple>
      <w:r w:rsidRPr="00061636">
        <w:t>.</w:t>
      </w:r>
      <w:r w:rsidR="00D158BC" w:rsidRPr="00061636">
        <w:rPr>
          <w:noProof/>
        </w:rPr>
        <w:fldChar w:fldCharType="begin"/>
      </w:r>
      <w:r w:rsidR="00D158BC" w:rsidRPr="00061636">
        <w:rPr>
          <w:noProof/>
        </w:rPr>
        <w:instrText xml:space="preserve"> SEQ Table \* ARABIC \s 1 </w:instrText>
      </w:r>
      <w:r w:rsidR="00D158BC" w:rsidRPr="00061636">
        <w:rPr>
          <w:noProof/>
        </w:rPr>
        <w:fldChar w:fldCharType="separate"/>
      </w:r>
      <w:r w:rsidR="00E978D4" w:rsidRPr="00061636">
        <w:rPr>
          <w:noProof/>
        </w:rPr>
        <w:t>4</w:t>
      </w:r>
      <w:r w:rsidR="00D158BC" w:rsidRPr="00061636">
        <w:rPr>
          <w:noProof/>
        </w:rPr>
        <w:fldChar w:fldCharType="end"/>
      </w:r>
      <w:r w:rsidRPr="00061636">
        <w:t xml:space="preserve"> </w:t>
      </w:r>
      <w:r w:rsidR="000A10E5" w:rsidRPr="00061636">
        <w:t>Technical Inputs</w:t>
      </w:r>
      <w:r w:rsidR="00E978D4" w:rsidRPr="00061636">
        <w:t xml:space="preserve"> Conventional Technologies</w:t>
      </w:r>
      <w:bookmarkEnd w:id="48"/>
    </w:p>
    <w:tbl>
      <w:tblPr>
        <w:tblStyle w:val="TableGrid"/>
        <w:tblW w:w="9561" w:type="dxa"/>
        <w:jc w:val="center"/>
        <w:tblLook w:val="04A0" w:firstRow="1" w:lastRow="0" w:firstColumn="1" w:lastColumn="0" w:noHBand="0" w:noVBand="1"/>
      </w:tblPr>
      <w:tblGrid>
        <w:gridCol w:w="1992"/>
        <w:gridCol w:w="1311"/>
        <w:gridCol w:w="1795"/>
        <w:gridCol w:w="1590"/>
        <w:gridCol w:w="1493"/>
        <w:gridCol w:w="1380"/>
      </w:tblGrid>
      <w:tr w:rsidR="00E978D4" w:rsidRPr="00061636" w14:paraId="6018AB22" w14:textId="77777777" w:rsidTr="005C77F5">
        <w:trPr>
          <w:trHeight w:val="868"/>
          <w:jc w:val="center"/>
        </w:trPr>
        <w:tc>
          <w:tcPr>
            <w:tcW w:w="1992" w:type="dxa"/>
            <w:shd w:val="clear" w:color="auto" w:fill="4F81BD" w:themeFill="accent1"/>
            <w:vAlign w:val="center"/>
          </w:tcPr>
          <w:p w14:paraId="4EC8594B" w14:textId="77777777" w:rsidR="00E978D4" w:rsidRPr="00061636" w:rsidRDefault="00E978D4" w:rsidP="009A4D96">
            <w:pPr>
              <w:spacing w:after="180" w:line="240" w:lineRule="auto"/>
              <w:jc w:val="center"/>
              <w:rPr>
                <w:rFonts w:eastAsia="Helvetica,Times New Roman" w:cstheme="minorHAnsi"/>
                <w:b/>
                <w:color w:val="FFFFFF" w:themeColor="background1"/>
                <w:sz w:val="20"/>
                <w:szCs w:val="20"/>
              </w:rPr>
            </w:pPr>
          </w:p>
        </w:tc>
        <w:tc>
          <w:tcPr>
            <w:tcW w:w="1311" w:type="dxa"/>
            <w:shd w:val="clear" w:color="auto" w:fill="4F81BD" w:themeFill="accent1"/>
            <w:vAlign w:val="center"/>
          </w:tcPr>
          <w:p w14:paraId="2319849B" w14:textId="56E33788" w:rsidR="00E978D4" w:rsidRPr="00061636" w:rsidRDefault="00E978D4" w:rsidP="009A4D96">
            <w:pPr>
              <w:spacing w:after="180" w:line="240" w:lineRule="auto"/>
              <w:jc w:val="center"/>
              <w:rPr>
                <w:b/>
                <w:bCs/>
                <w:color w:val="FFFFFF" w:themeColor="background1"/>
                <w:sz w:val="20"/>
                <w:szCs w:val="20"/>
              </w:rPr>
            </w:pPr>
            <w:r w:rsidRPr="00061636">
              <w:rPr>
                <w:b/>
                <w:bCs/>
                <w:color w:val="FFFFFF" w:themeColor="background1"/>
                <w:sz w:val="20"/>
                <w:szCs w:val="20"/>
              </w:rPr>
              <w:t>Units</w:t>
            </w:r>
          </w:p>
        </w:tc>
        <w:tc>
          <w:tcPr>
            <w:tcW w:w="1795" w:type="dxa"/>
            <w:shd w:val="clear" w:color="auto" w:fill="4F81BD" w:themeFill="accent1"/>
            <w:vAlign w:val="center"/>
          </w:tcPr>
          <w:p w14:paraId="311DE699" w14:textId="661DD11D" w:rsidR="00E978D4" w:rsidRPr="00061636" w:rsidRDefault="00E978D4" w:rsidP="009A4D96">
            <w:pPr>
              <w:spacing w:after="180" w:line="240" w:lineRule="auto"/>
              <w:jc w:val="center"/>
              <w:rPr>
                <w:b/>
                <w:bCs/>
                <w:color w:val="FFFFFF" w:themeColor="background1"/>
                <w:sz w:val="20"/>
                <w:szCs w:val="20"/>
              </w:rPr>
            </w:pPr>
            <w:r w:rsidRPr="00061636">
              <w:rPr>
                <w:b/>
                <w:bCs/>
                <w:color w:val="FFFFFF" w:themeColor="background1"/>
                <w:sz w:val="20"/>
                <w:szCs w:val="20"/>
              </w:rPr>
              <w:t>Project Drawdown Data Set Range</w:t>
            </w:r>
          </w:p>
        </w:tc>
        <w:tc>
          <w:tcPr>
            <w:tcW w:w="1590" w:type="dxa"/>
            <w:shd w:val="clear" w:color="auto" w:fill="4F81BD" w:themeFill="accent1"/>
            <w:vAlign w:val="center"/>
          </w:tcPr>
          <w:p w14:paraId="63244B3B" w14:textId="3199A5F9" w:rsidR="00E978D4" w:rsidRPr="00061636" w:rsidRDefault="00E978D4" w:rsidP="009A4D96">
            <w:pPr>
              <w:spacing w:after="180" w:line="240" w:lineRule="auto"/>
              <w:jc w:val="center"/>
              <w:rPr>
                <w:b/>
                <w:bCs/>
                <w:color w:val="FFFFFF" w:themeColor="background1"/>
                <w:sz w:val="20"/>
                <w:szCs w:val="20"/>
              </w:rPr>
            </w:pPr>
            <w:r w:rsidRPr="00061636">
              <w:rPr>
                <w:b/>
                <w:bCs/>
                <w:color w:val="FFFFFF" w:themeColor="background1"/>
                <w:sz w:val="20"/>
                <w:szCs w:val="20"/>
              </w:rPr>
              <w:t>Model Input</w:t>
            </w:r>
          </w:p>
        </w:tc>
        <w:tc>
          <w:tcPr>
            <w:tcW w:w="1493" w:type="dxa"/>
            <w:shd w:val="clear" w:color="auto" w:fill="4F81BD" w:themeFill="accent1"/>
            <w:vAlign w:val="center"/>
          </w:tcPr>
          <w:p w14:paraId="0266F380" w14:textId="6CDC42DD" w:rsidR="00E978D4" w:rsidRPr="00061636" w:rsidRDefault="00E978D4" w:rsidP="009A4D96">
            <w:pPr>
              <w:spacing w:after="180" w:line="240" w:lineRule="auto"/>
              <w:jc w:val="center"/>
              <w:rPr>
                <w:b/>
                <w:bCs/>
                <w:color w:val="FFFFFF" w:themeColor="background1"/>
                <w:sz w:val="20"/>
                <w:szCs w:val="20"/>
              </w:rPr>
            </w:pPr>
            <w:r w:rsidRPr="00061636">
              <w:rPr>
                <w:b/>
                <w:bCs/>
                <w:color w:val="FFFFFF" w:themeColor="background1"/>
                <w:sz w:val="20"/>
                <w:szCs w:val="20"/>
              </w:rPr>
              <w:t>Data Points (#)</w:t>
            </w:r>
          </w:p>
        </w:tc>
        <w:tc>
          <w:tcPr>
            <w:tcW w:w="1380" w:type="dxa"/>
            <w:shd w:val="clear" w:color="auto" w:fill="4F81BD" w:themeFill="accent1"/>
            <w:vAlign w:val="center"/>
          </w:tcPr>
          <w:p w14:paraId="4298198A" w14:textId="22583AB3" w:rsidR="00E978D4" w:rsidRPr="00061636" w:rsidRDefault="00E978D4" w:rsidP="009A4D96">
            <w:pPr>
              <w:spacing w:after="180" w:line="240" w:lineRule="auto"/>
              <w:jc w:val="center"/>
              <w:rPr>
                <w:b/>
                <w:bCs/>
                <w:color w:val="FFFFFF" w:themeColor="background1"/>
                <w:sz w:val="20"/>
                <w:szCs w:val="20"/>
              </w:rPr>
            </w:pPr>
            <w:r w:rsidRPr="00061636">
              <w:rPr>
                <w:b/>
                <w:bCs/>
                <w:color w:val="FFFFFF" w:themeColor="background1"/>
                <w:sz w:val="20"/>
                <w:szCs w:val="20"/>
              </w:rPr>
              <w:t>Sources (#)</w:t>
            </w:r>
          </w:p>
        </w:tc>
      </w:tr>
      <w:tr w:rsidR="004E6D9C" w:rsidRPr="00061636" w14:paraId="63867CFF" w14:textId="77777777" w:rsidTr="005C77F5">
        <w:trPr>
          <w:trHeight w:val="642"/>
          <w:jc w:val="center"/>
        </w:trPr>
        <w:tc>
          <w:tcPr>
            <w:tcW w:w="1992" w:type="dxa"/>
            <w:vAlign w:val="center"/>
          </w:tcPr>
          <w:p w14:paraId="5BEA9C34" w14:textId="529F2214" w:rsidR="004E6D9C" w:rsidRPr="00061636" w:rsidRDefault="004E6D9C" w:rsidP="004E6D9C">
            <w:pPr>
              <w:spacing w:line="240" w:lineRule="auto"/>
              <w:jc w:val="center"/>
              <w:rPr>
                <w:color w:val="000000" w:themeColor="text1"/>
                <w:sz w:val="20"/>
                <w:szCs w:val="20"/>
              </w:rPr>
            </w:pPr>
            <w:r w:rsidRPr="00593535">
              <w:rPr>
                <w:bCs/>
                <w:sz w:val="20"/>
                <w:szCs w:val="20"/>
              </w:rPr>
              <w:t>Lifetime Capacity (Conventional)</w:t>
            </w:r>
          </w:p>
        </w:tc>
        <w:tc>
          <w:tcPr>
            <w:tcW w:w="1311" w:type="dxa"/>
            <w:vAlign w:val="center"/>
          </w:tcPr>
          <w:p w14:paraId="78FC6EF1" w14:textId="31D671A6" w:rsidR="004E6D9C" w:rsidRPr="00061636" w:rsidRDefault="004E6D9C" w:rsidP="004E6D9C">
            <w:pPr>
              <w:spacing w:after="180" w:line="240" w:lineRule="auto"/>
              <w:jc w:val="center"/>
              <w:rPr>
                <w:rFonts w:eastAsia="Helvetica,Times New Roman" w:cstheme="minorHAnsi"/>
                <w:color w:val="000000" w:themeColor="text1"/>
                <w:sz w:val="20"/>
                <w:szCs w:val="20"/>
              </w:rPr>
            </w:pPr>
            <w:r w:rsidRPr="00593535">
              <w:rPr>
                <w:bCs/>
                <w:i/>
                <w:color w:val="000000" w:themeColor="text1"/>
                <w:sz w:val="20"/>
                <w:szCs w:val="20"/>
              </w:rPr>
              <w:t>hours</w:t>
            </w:r>
          </w:p>
        </w:tc>
        <w:tc>
          <w:tcPr>
            <w:tcW w:w="1795" w:type="dxa"/>
            <w:vAlign w:val="center"/>
          </w:tcPr>
          <w:p w14:paraId="4812F414" w14:textId="5214F4C9" w:rsidR="004E6D9C" w:rsidRPr="00061636" w:rsidRDefault="004E6D9C" w:rsidP="004E6D9C">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121,807</w:t>
            </w:r>
            <w:r w:rsidRPr="00593535">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222,351</w:t>
            </w:r>
          </w:p>
        </w:tc>
        <w:tc>
          <w:tcPr>
            <w:tcW w:w="1590" w:type="dxa"/>
            <w:vAlign w:val="center"/>
          </w:tcPr>
          <w:p w14:paraId="1A2A7431" w14:textId="54285373" w:rsidR="004E6D9C" w:rsidRPr="00061636" w:rsidRDefault="004E6D9C" w:rsidP="004E6D9C">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172,079</w:t>
            </w:r>
          </w:p>
        </w:tc>
        <w:tc>
          <w:tcPr>
            <w:tcW w:w="1493" w:type="dxa"/>
            <w:vAlign w:val="center"/>
          </w:tcPr>
          <w:p w14:paraId="69B835DE" w14:textId="35BDE16E" w:rsidR="004E6D9C" w:rsidRPr="00061636" w:rsidRDefault="004E6D9C" w:rsidP="004E6D9C">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12</w:t>
            </w:r>
          </w:p>
        </w:tc>
        <w:tc>
          <w:tcPr>
            <w:tcW w:w="1380" w:type="dxa"/>
            <w:vAlign w:val="center"/>
          </w:tcPr>
          <w:p w14:paraId="5AF77D15" w14:textId="0C2EBBFB" w:rsidR="004E6D9C" w:rsidRPr="00061636" w:rsidRDefault="004E6D9C" w:rsidP="004E6D9C">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6</w:t>
            </w:r>
          </w:p>
        </w:tc>
      </w:tr>
      <w:tr w:rsidR="004E6D9C" w:rsidRPr="00061636" w14:paraId="1D67C409" w14:textId="77777777" w:rsidTr="005C77F5">
        <w:trPr>
          <w:trHeight w:val="642"/>
          <w:jc w:val="center"/>
        </w:trPr>
        <w:tc>
          <w:tcPr>
            <w:tcW w:w="1992" w:type="dxa"/>
            <w:vAlign w:val="center"/>
          </w:tcPr>
          <w:p w14:paraId="5ADDAC7F" w14:textId="0A7A4328" w:rsidR="004E6D9C" w:rsidRPr="00061636" w:rsidRDefault="004E6D9C" w:rsidP="004E6D9C">
            <w:pPr>
              <w:spacing w:line="240" w:lineRule="auto"/>
              <w:jc w:val="center"/>
              <w:rPr>
                <w:color w:val="000000" w:themeColor="text1"/>
                <w:sz w:val="20"/>
                <w:szCs w:val="20"/>
              </w:rPr>
            </w:pPr>
            <w:r w:rsidRPr="00593535">
              <w:rPr>
                <w:bCs/>
                <w:sz w:val="20"/>
                <w:szCs w:val="20"/>
              </w:rPr>
              <w:t>Average Annual Use (Conventional)</w:t>
            </w:r>
          </w:p>
        </w:tc>
        <w:tc>
          <w:tcPr>
            <w:tcW w:w="1311" w:type="dxa"/>
            <w:vAlign w:val="center"/>
          </w:tcPr>
          <w:p w14:paraId="3731A45E" w14:textId="312F699B" w:rsidR="004E6D9C" w:rsidRPr="00061636" w:rsidRDefault="004E6D9C" w:rsidP="004E6D9C">
            <w:pPr>
              <w:spacing w:after="180" w:line="240" w:lineRule="auto"/>
              <w:jc w:val="center"/>
              <w:rPr>
                <w:rFonts w:eastAsia="Helvetica,Times New Roman" w:cstheme="minorHAnsi"/>
                <w:color w:val="000000" w:themeColor="text1"/>
                <w:sz w:val="20"/>
                <w:szCs w:val="20"/>
              </w:rPr>
            </w:pPr>
            <w:r w:rsidRPr="00593535">
              <w:rPr>
                <w:bCs/>
                <w:i/>
                <w:color w:val="000000" w:themeColor="text1"/>
                <w:sz w:val="20"/>
                <w:szCs w:val="20"/>
              </w:rPr>
              <w:t>hours</w:t>
            </w:r>
          </w:p>
        </w:tc>
        <w:tc>
          <w:tcPr>
            <w:tcW w:w="1795" w:type="dxa"/>
            <w:vAlign w:val="center"/>
          </w:tcPr>
          <w:p w14:paraId="08234FBE" w14:textId="48B8EEE8" w:rsidR="004E6D9C" w:rsidRPr="00061636" w:rsidRDefault="004E6D9C" w:rsidP="004E6D9C">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3,33</w:t>
            </w:r>
            <w:r>
              <w:rPr>
                <w:rFonts w:eastAsia="Helvetica,Times New Roman" w:cstheme="minorHAnsi"/>
                <w:color w:val="000000" w:themeColor="text1"/>
                <w:sz w:val="20"/>
                <w:szCs w:val="20"/>
              </w:rPr>
              <w:t>7</w:t>
            </w:r>
            <w:r w:rsidRPr="00593535">
              <w:rPr>
                <w:rFonts w:eastAsia="Helvetica,Times New Roman" w:cstheme="minorHAnsi"/>
                <w:color w:val="000000" w:themeColor="text1"/>
                <w:sz w:val="20"/>
                <w:szCs w:val="20"/>
              </w:rPr>
              <w:t>– 6,</w:t>
            </w:r>
            <w:r>
              <w:rPr>
                <w:rFonts w:eastAsia="Helvetica,Times New Roman" w:cstheme="minorHAnsi"/>
                <w:color w:val="000000" w:themeColor="text1"/>
                <w:sz w:val="20"/>
                <w:szCs w:val="20"/>
              </w:rPr>
              <w:t>587</w:t>
            </w:r>
          </w:p>
        </w:tc>
        <w:tc>
          <w:tcPr>
            <w:tcW w:w="1590" w:type="dxa"/>
            <w:vAlign w:val="center"/>
          </w:tcPr>
          <w:p w14:paraId="4DB6DDA0" w14:textId="3FF44F5A" w:rsidR="004E6D9C" w:rsidRPr="00061636" w:rsidRDefault="004E6D9C" w:rsidP="004E6D9C">
            <w:pPr>
              <w:spacing w:line="240" w:lineRule="auto"/>
              <w:jc w:val="center"/>
              <w:rPr>
                <w:bCs/>
                <w:sz w:val="20"/>
                <w:szCs w:val="20"/>
              </w:rPr>
            </w:pPr>
            <w:r w:rsidRPr="00372A3C">
              <w:rPr>
                <w:bCs/>
                <w:sz w:val="20"/>
                <w:szCs w:val="20"/>
              </w:rPr>
              <w:t>4,962</w:t>
            </w:r>
          </w:p>
        </w:tc>
        <w:tc>
          <w:tcPr>
            <w:tcW w:w="1493" w:type="dxa"/>
            <w:vAlign w:val="center"/>
          </w:tcPr>
          <w:p w14:paraId="7B612667" w14:textId="6056F890" w:rsidR="004E6D9C" w:rsidRPr="00061636" w:rsidRDefault="004E6D9C" w:rsidP="004E6D9C">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23</w:t>
            </w:r>
          </w:p>
        </w:tc>
        <w:tc>
          <w:tcPr>
            <w:tcW w:w="1380" w:type="dxa"/>
            <w:vAlign w:val="center"/>
          </w:tcPr>
          <w:p w14:paraId="590B311B" w14:textId="783D2A50" w:rsidR="004E6D9C" w:rsidRPr="00061636" w:rsidRDefault="004E6D9C" w:rsidP="004E6D9C">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4</w:t>
            </w:r>
          </w:p>
        </w:tc>
      </w:tr>
    </w:tbl>
    <w:p w14:paraId="39AA775F" w14:textId="77777777" w:rsidR="009A4D96" w:rsidRPr="00061636" w:rsidRDefault="009A4D96" w:rsidP="009A4D96">
      <w:pPr>
        <w:pStyle w:val="Caption"/>
      </w:pPr>
    </w:p>
    <w:p w14:paraId="71759B8A" w14:textId="6259838D" w:rsidR="00E978D4" w:rsidRPr="00061636" w:rsidRDefault="00E978D4" w:rsidP="00E978D4">
      <w:pPr>
        <w:pStyle w:val="Caption"/>
        <w:jc w:val="center"/>
        <w:rPr>
          <w:rFonts w:asciiTheme="majorHAnsi" w:eastAsiaTheme="majorEastAsia" w:hAnsiTheme="majorHAnsi" w:cstheme="majorBidi"/>
          <w:b/>
          <w:bCs/>
          <w:color w:val="000000" w:themeColor="text1"/>
          <w:sz w:val="23"/>
          <w:szCs w:val="23"/>
          <w:lang w:eastAsia="zh-CN"/>
        </w:rPr>
      </w:pPr>
      <w:bookmarkStart w:id="49" w:name="_Toc534461011"/>
      <w:r w:rsidRPr="00061636">
        <w:t xml:space="preserve">Table </w:t>
      </w:r>
      <w:fldSimple w:instr=" STYLEREF 1 \s ">
        <w:r w:rsidRPr="00061636">
          <w:t>2</w:t>
        </w:r>
      </w:fldSimple>
      <w:r w:rsidRPr="00061636">
        <w:t>.</w:t>
      </w:r>
      <w:r w:rsidRPr="00061636">
        <w:rPr>
          <w:noProof/>
        </w:rPr>
        <w:fldChar w:fldCharType="begin"/>
      </w:r>
      <w:r w:rsidRPr="00061636">
        <w:rPr>
          <w:noProof/>
        </w:rPr>
        <w:instrText xml:space="preserve"> SEQ Table \* ARABIC \s 1 </w:instrText>
      </w:r>
      <w:r w:rsidRPr="00061636">
        <w:rPr>
          <w:noProof/>
        </w:rPr>
        <w:fldChar w:fldCharType="separate"/>
      </w:r>
      <w:r w:rsidRPr="00061636">
        <w:rPr>
          <w:noProof/>
        </w:rPr>
        <w:t>5</w:t>
      </w:r>
      <w:r w:rsidRPr="00061636">
        <w:rPr>
          <w:noProof/>
        </w:rPr>
        <w:fldChar w:fldCharType="end"/>
      </w:r>
      <w:r w:rsidRPr="00061636">
        <w:t xml:space="preserve"> Technical Inputs Solution</w:t>
      </w:r>
      <w:bookmarkEnd w:id="49"/>
    </w:p>
    <w:tbl>
      <w:tblPr>
        <w:tblStyle w:val="TableGrid"/>
        <w:tblW w:w="9600" w:type="dxa"/>
        <w:jc w:val="center"/>
        <w:tblLook w:val="04A0" w:firstRow="1" w:lastRow="0" w:firstColumn="1" w:lastColumn="0" w:noHBand="0" w:noVBand="1"/>
      </w:tblPr>
      <w:tblGrid>
        <w:gridCol w:w="2000"/>
        <w:gridCol w:w="1316"/>
        <w:gridCol w:w="1701"/>
        <w:gridCol w:w="1698"/>
        <w:gridCol w:w="1499"/>
        <w:gridCol w:w="1386"/>
      </w:tblGrid>
      <w:tr w:rsidR="00E978D4" w:rsidRPr="00061636" w14:paraId="13C00DA5" w14:textId="77777777" w:rsidTr="00E978D4">
        <w:trPr>
          <w:trHeight w:val="591"/>
          <w:jc w:val="center"/>
        </w:trPr>
        <w:tc>
          <w:tcPr>
            <w:tcW w:w="2000" w:type="dxa"/>
            <w:shd w:val="clear" w:color="auto" w:fill="4F81BD" w:themeFill="accent1"/>
            <w:vAlign w:val="center"/>
          </w:tcPr>
          <w:p w14:paraId="348EFAF2" w14:textId="77777777" w:rsidR="00E978D4" w:rsidRPr="00061636" w:rsidRDefault="00E978D4" w:rsidP="009A4D96">
            <w:pPr>
              <w:spacing w:after="180" w:line="240" w:lineRule="auto"/>
              <w:jc w:val="center"/>
              <w:rPr>
                <w:rFonts w:eastAsia="Helvetica,Times New Roman" w:cstheme="minorHAnsi"/>
                <w:b/>
                <w:color w:val="FFFFFF" w:themeColor="background1"/>
                <w:sz w:val="20"/>
                <w:szCs w:val="20"/>
              </w:rPr>
            </w:pPr>
          </w:p>
        </w:tc>
        <w:tc>
          <w:tcPr>
            <w:tcW w:w="1316" w:type="dxa"/>
            <w:shd w:val="clear" w:color="auto" w:fill="4F81BD" w:themeFill="accent1"/>
            <w:vAlign w:val="center"/>
          </w:tcPr>
          <w:p w14:paraId="6C3DD347" w14:textId="77777777" w:rsidR="00E978D4" w:rsidRPr="00061636" w:rsidRDefault="00E978D4" w:rsidP="009A4D96">
            <w:pPr>
              <w:spacing w:after="180" w:line="240" w:lineRule="auto"/>
              <w:jc w:val="center"/>
              <w:rPr>
                <w:b/>
                <w:bCs/>
                <w:color w:val="FFFFFF" w:themeColor="background1"/>
                <w:sz w:val="20"/>
                <w:szCs w:val="20"/>
              </w:rPr>
            </w:pPr>
            <w:r w:rsidRPr="00061636">
              <w:rPr>
                <w:b/>
                <w:bCs/>
                <w:color w:val="FFFFFF" w:themeColor="background1"/>
                <w:sz w:val="20"/>
                <w:szCs w:val="20"/>
              </w:rPr>
              <w:t>Units</w:t>
            </w:r>
          </w:p>
        </w:tc>
        <w:tc>
          <w:tcPr>
            <w:tcW w:w="1701" w:type="dxa"/>
            <w:shd w:val="clear" w:color="auto" w:fill="4F81BD" w:themeFill="accent1"/>
            <w:vAlign w:val="center"/>
          </w:tcPr>
          <w:p w14:paraId="1ADF41EE" w14:textId="77777777" w:rsidR="00E978D4" w:rsidRPr="00061636" w:rsidRDefault="00E978D4" w:rsidP="009A4D96">
            <w:pPr>
              <w:spacing w:after="180" w:line="240" w:lineRule="auto"/>
              <w:jc w:val="center"/>
              <w:rPr>
                <w:b/>
                <w:bCs/>
                <w:color w:val="FFFFFF" w:themeColor="background1"/>
                <w:sz w:val="20"/>
                <w:szCs w:val="20"/>
              </w:rPr>
            </w:pPr>
            <w:r w:rsidRPr="00061636">
              <w:rPr>
                <w:b/>
                <w:bCs/>
                <w:color w:val="FFFFFF" w:themeColor="background1"/>
                <w:sz w:val="20"/>
                <w:szCs w:val="20"/>
              </w:rPr>
              <w:t>Project Drawdown Data Set Range</w:t>
            </w:r>
          </w:p>
        </w:tc>
        <w:tc>
          <w:tcPr>
            <w:tcW w:w="1698" w:type="dxa"/>
            <w:shd w:val="clear" w:color="auto" w:fill="4F81BD" w:themeFill="accent1"/>
            <w:vAlign w:val="center"/>
          </w:tcPr>
          <w:p w14:paraId="01F11A1C" w14:textId="77777777" w:rsidR="00E978D4" w:rsidRPr="00061636" w:rsidRDefault="00E978D4" w:rsidP="009A4D96">
            <w:pPr>
              <w:spacing w:after="180" w:line="240" w:lineRule="auto"/>
              <w:jc w:val="center"/>
              <w:rPr>
                <w:b/>
                <w:bCs/>
                <w:color w:val="FFFFFF" w:themeColor="background1"/>
                <w:sz w:val="20"/>
                <w:szCs w:val="20"/>
              </w:rPr>
            </w:pPr>
            <w:r w:rsidRPr="00061636">
              <w:rPr>
                <w:b/>
                <w:bCs/>
                <w:color w:val="FFFFFF" w:themeColor="background1"/>
                <w:sz w:val="20"/>
                <w:szCs w:val="20"/>
              </w:rPr>
              <w:t>Model Input</w:t>
            </w:r>
          </w:p>
        </w:tc>
        <w:tc>
          <w:tcPr>
            <w:tcW w:w="1499" w:type="dxa"/>
            <w:shd w:val="clear" w:color="auto" w:fill="4F81BD" w:themeFill="accent1"/>
            <w:vAlign w:val="center"/>
          </w:tcPr>
          <w:p w14:paraId="19836510" w14:textId="77777777" w:rsidR="00E978D4" w:rsidRPr="00061636" w:rsidRDefault="00E978D4" w:rsidP="009A4D96">
            <w:pPr>
              <w:spacing w:after="180" w:line="240" w:lineRule="auto"/>
              <w:jc w:val="center"/>
              <w:rPr>
                <w:b/>
                <w:bCs/>
                <w:color w:val="FFFFFF" w:themeColor="background1"/>
                <w:sz w:val="20"/>
                <w:szCs w:val="20"/>
              </w:rPr>
            </w:pPr>
            <w:r w:rsidRPr="00061636">
              <w:rPr>
                <w:b/>
                <w:bCs/>
                <w:color w:val="FFFFFF" w:themeColor="background1"/>
                <w:sz w:val="20"/>
                <w:szCs w:val="20"/>
              </w:rPr>
              <w:t>Data Points (#)</w:t>
            </w:r>
          </w:p>
        </w:tc>
        <w:tc>
          <w:tcPr>
            <w:tcW w:w="1386" w:type="dxa"/>
            <w:shd w:val="clear" w:color="auto" w:fill="4F81BD" w:themeFill="accent1"/>
            <w:vAlign w:val="center"/>
          </w:tcPr>
          <w:p w14:paraId="60C8D5D4" w14:textId="77777777" w:rsidR="00E978D4" w:rsidRPr="00061636" w:rsidRDefault="00E978D4" w:rsidP="009A4D96">
            <w:pPr>
              <w:spacing w:after="180" w:line="240" w:lineRule="auto"/>
              <w:jc w:val="center"/>
              <w:rPr>
                <w:b/>
                <w:bCs/>
                <w:color w:val="FFFFFF" w:themeColor="background1"/>
                <w:sz w:val="20"/>
                <w:szCs w:val="20"/>
              </w:rPr>
            </w:pPr>
            <w:r w:rsidRPr="00061636">
              <w:rPr>
                <w:b/>
                <w:bCs/>
                <w:color w:val="FFFFFF" w:themeColor="background1"/>
                <w:sz w:val="20"/>
                <w:szCs w:val="20"/>
              </w:rPr>
              <w:t>Sources (#)</w:t>
            </w:r>
          </w:p>
        </w:tc>
      </w:tr>
      <w:tr w:rsidR="00E978D4" w:rsidRPr="00061636" w14:paraId="695CF599" w14:textId="77777777" w:rsidTr="00E978D4">
        <w:trPr>
          <w:trHeight w:val="437"/>
          <w:jc w:val="center"/>
        </w:trPr>
        <w:tc>
          <w:tcPr>
            <w:tcW w:w="2000" w:type="dxa"/>
            <w:vAlign w:val="center"/>
          </w:tcPr>
          <w:p w14:paraId="54939FF5" w14:textId="11A6CEAE" w:rsidR="00E978D4" w:rsidRPr="00061636" w:rsidRDefault="00E978D4" w:rsidP="009A4D96">
            <w:pPr>
              <w:spacing w:line="240" w:lineRule="auto"/>
              <w:jc w:val="center"/>
              <w:rPr>
                <w:bCs/>
                <w:sz w:val="20"/>
                <w:szCs w:val="20"/>
              </w:rPr>
            </w:pPr>
            <w:r w:rsidRPr="00061636">
              <w:rPr>
                <w:bCs/>
                <w:sz w:val="20"/>
                <w:szCs w:val="20"/>
              </w:rPr>
              <w:t xml:space="preserve">Lifetime Capacity </w:t>
            </w:r>
          </w:p>
        </w:tc>
        <w:tc>
          <w:tcPr>
            <w:tcW w:w="1316" w:type="dxa"/>
            <w:vAlign w:val="center"/>
          </w:tcPr>
          <w:p w14:paraId="3E6C4D96" w14:textId="77777777" w:rsidR="00E978D4" w:rsidRPr="00061636" w:rsidRDefault="00E978D4" w:rsidP="009A4D96">
            <w:pPr>
              <w:spacing w:after="180" w:line="240" w:lineRule="auto"/>
              <w:jc w:val="center"/>
              <w:rPr>
                <w:rFonts w:eastAsia="Helvetica,Times New Roman" w:cstheme="minorHAnsi"/>
                <w:color w:val="000000" w:themeColor="text1"/>
                <w:sz w:val="20"/>
                <w:szCs w:val="20"/>
              </w:rPr>
            </w:pPr>
            <w:r w:rsidRPr="00061636">
              <w:rPr>
                <w:bCs/>
                <w:i/>
                <w:color w:val="000000" w:themeColor="text1"/>
                <w:sz w:val="20"/>
                <w:szCs w:val="20"/>
              </w:rPr>
              <w:t>hours</w:t>
            </w:r>
          </w:p>
        </w:tc>
        <w:tc>
          <w:tcPr>
            <w:tcW w:w="1701" w:type="dxa"/>
            <w:vAlign w:val="center"/>
          </w:tcPr>
          <w:p w14:paraId="5BE951E7" w14:textId="5E6114FA" w:rsidR="009D6DB6" w:rsidRPr="00896F44" w:rsidRDefault="00734059"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4</w:t>
            </w:r>
            <w:r w:rsidR="00896F44" w:rsidRPr="00896F44">
              <w:rPr>
                <w:rFonts w:eastAsia="Helvetica,Times New Roman" w:cstheme="minorHAnsi"/>
                <w:color w:val="000000" w:themeColor="text1"/>
                <w:sz w:val="20"/>
                <w:szCs w:val="20"/>
              </w:rPr>
              <w:t>4</w:t>
            </w:r>
            <w:r w:rsidRPr="00896F44">
              <w:rPr>
                <w:rFonts w:eastAsia="Helvetica,Times New Roman" w:cstheme="minorHAnsi"/>
                <w:color w:val="000000" w:themeColor="text1"/>
                <w:sz w:val="20"/>
                <w:szCs w:val="20"/>
              </w:rPr>
              <w:t>,</w:t>
            </w:r>
            <w:r w:rsidR="00896F44" w:rsidRPr="00896F44">
              <w:rPr>
                <w:rFonts w:eastAsia="Helvetica,Times New Roman" w:cstheme="minorHAnsi"/>
                <w:color w:val="000000" w:themeColor="text1"/>
                <w:sz w:val="20"/>
                <w:szCs w:val="20"/>
              </w:rPr>
              <w:t>825</w:t>
            </w:r>
            <w:r w:rsidRPr="00896F44">
              <w:rPr>
                <w:rFonts w:eastAsia="Helvetica,Times New Roman" w:cstheme="minorHAnsi"/>
                <w:color w:val="000000" w:themeColor="text1"/>
                <w:sz w:val="20"/>
                <w:szCs w:val="20"/>
              </w:rPr>
              <w:t xml:space="preserve"> – 5</w:t>
            </w:r>
            <w:r w:rsidR="00896F44" w:rsidRPr="00896F44">
              <w:rPr>
                <w:rFonts w:eastAsia="Helvetica,Times New Roman" w:cstheme="minorHAnsi"/>
                <w:color w:val="000000" w:themeColor="text1"/>
                <w:sz w:val="20"/>
                <w:szCs w:val="20"/>
              </w:rPr>
              <w:t>3</w:t>
            </w:r>
            <w:r w:rsidRPr="00896F44">
              <w:rPr>
                <w:rFonts w:eastAsia="Helvetica,Times New Roman" w:cstheme="minorHAnsi"/>
                <w:color w:val="000000" w:themeColor="text1"/>
                <w:sz w:val="20"/>
                <w:szCs w:val="20"/>
              </w:rPr>
              <w:t>,</w:t>
            </w:r>
            <w:r w:rsidR="00896F44" w:rsidRPr="00896F44">
              <w:rPr>
                <w:rFonts w:eastAsia="Helvetica,Times New Roman" w:cstheme="minorHAnsi"/>
                <w:color w:val="000000" w:themeColor="text1"/>
                <w:sz w:val="20"/>
                <w:szCs w:val="20"/>
              </w:rPr>
              <w:t>829</w:t>
            </w:r>
          </w:p>
        </w:tc>
        <w:tc>
          <w:tcPr>
            <w:tcW w:w="1698" w:type="dxa"/>
            <w:vAlign w:val="center"/>
          </w:tcPr>
          <w:p w14:paraId="20F7DFAA" w14:textId="1165A497" w:rsidR="009D6DB6" w:rsidRPr="00896F44" w:rsidRDefault="00896F44"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49</w:t>
            </w:r>
            <w:r w:rsidR="00734059" w:rsidRPr="00896F44">
              <w:rPr>
                <w:rFonts w:eastAsia="Helvetica,Times New Roman" w:cstheme="minorHAnsi"/>
                <w:color w:val="000000" w:themeColor="text1"/>
                <w:sz w:val="20"/>
                <w:szCs w:val="20"/>
              </w:rPr>
              <w:t>,</w:t>
            </w:r>
            <w:r w:rsidRPr="00896F44">
              <w:rPr>
                <w:rFonts w:eastAsia="Helvetica,Times New Roman" w:cstheme="minorHAnsi"/>
                <w:color w:val="000000" w:themeColor="text1"/>
                <w:sz w:val="20"/>
                <w:szCs w:val="20"/>
              </w:rPr>
              <w:t>327</w:t>
            </w:r>
          </w:p>
        </w:tc>
        <w:tc>
          <w:tcPr>
            <w:tcW w:w="1499" w:type="dxa"/>
            <w:vAlign w:val="center"/>
          </w:tcPr>
          <w:p w14:paraId="604C40F1" w14:textId="70F18FB4" w:rsidR="009D6DB6" w:rsidRPr="00896F44" w:rsidRDefault="00896F44"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12</w:t>
            </w:r>
          </w:p>
        </w:tc>
        <w:tc>
          <w:tcPr>
            <w:tcW w:w="1386" w:type="dxa"/>
            <w:vAlign w:val="center"/>
          </w:tcPr>
          <w:p w14:paraId="686442A0" w14:textId="4F78296E" w:rsidR="009D6DB6" w:rsidRPr="00896F44" w:rsidRDefault="00896F44"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11</w:t>
            </w:r>
          </w:p>
        </w:tc>
      </w:tr>
      <w:tr w:rsidR="00E978D4" w:rsidRPr="00061636" w14:paraId="2C2A2D34" w14:textId="77777777" w:rsidTr="00E978D4">
        <w:trPr>
          <w:trHeight w:val="307"/>
          <w:jc w:val="center"/>
        </w:trPr>
        <w:tc>
          <w:tcPr>
            <w:tcW w:w="2000" w:type="dxa"/>
            <w:vAlign w:val="center"/>
          </w:tcPr>
          <w:p w14:paraId="61A76755" w14:textId="4B2E74C4" w:rsidR="00E978D4" w:rsidRPr="00061636" w:rsidRDefault="00E978D4" w:rsidP="009A4D96">
            <w:pPr>
              <w:spacing w:line="240" w:lineRule="auto"/>
              <w:jc w:val="center"/>
              <w:rPr>
                <w:bCs/>
                <w:sz w:val="20"/>
                <w:szCs w:val="20"/>
              </w:rPr>
            </w:pPr>
            <w:r w:rsidRPr="00061636">
              <w:rPr>
                <w:bCs/>
                <w:sz w:val="20"/>
                <w:szCs w:val="20"/>
              </w:rPr>
              <w:t xml:space="preserve">Average Annual Use </w:t>
            </w:r>
          </w:p>
        </w:tc>
        <w:tc>
          <w:tcPr>
            <w:tcW w:w="1316" w:type="dxa"/>
            <w:vAlign w:val="center"/>
          </w:tcPr>
          <w:p w14:paraId="6E34186B" w14:textId="77777777" w:rsidR="00E978D4" w:rsidRPr="00061636" w:rsidRDefault="00E978D4" w:rsidP="009A4D96">
            <w:pPr>
              <w:spacing w:after="180" w:line="240" w:lineRule="auto"/>
              <w:jc w:val="center"/>
              <w:rPr>
                <w:rFonts w:eastAsia="Helvetica,Times New Roman" w:cstheme="minorHAnsi"/>
                <w:color w:val="000000" w:themeColor="text1"/>
                <w:sz w:val="20"/>
                <w:szCs w:val="20"/>
              </w:rPr>
            </w:pPr>
            <w:r w:rsidRPr="00061636">
              <w:rPr>
                <w:bCs/>
                <w:i/>
                <w:color w:val="000000" w:themeColor="text1"/>
                <w:sz w:val="20"/>
                <w:szCs w:val="20"/>
              </w:rPr>
              <w:t>hours</w:t>
            </w:r>
          </w:p>
        </w:tc>
        <w:tc>
          <w:tcPr>
            <w:tcW w:w="1701" w:type="dxa"/>
            <w:vAlign w:val="center"/>
          </w:tcPr>
          <w:p w14:paraId="5F99BA54" w14:textId="18ADD5AE" w:rsidR="00F9617E" w:rsidRPr="00896F44" w:rsidRDefault="00B0741C"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1</w:t>
            </w:r>
            <w:r w:rsidR="00DD28FE" w:rsidRPr="00896F44">
              <w:rPr>
                <w:rFonts w:eastAsia="Helvetica,Times New Roman" w:cstheme="minorHAnsi"/>
                <w:color w:val="000000" w:themeColor="text1"/>
                <w:sz w:val="20"/>
                <w:szCs w:val="20"/>
              </w:rPr>
              <w:t>,</w:t>
            </w:r>
            <w:r w:rsidR="00896F44" w:rsidRPr="00896F44">
              <w:rPr>
                <w:rFonts w:eastAsia="Helvetica,Times New Roman" w:cstheme="minorHAnsi"/>
                <w:color w:val="000000" w:themeColor="text1"/>
                <w:sz w:val="20"/>
                <w:szCs w:val="20"/>
              </w:rPr>
              <w:t>192</w:t>
            </w:r>
            <w:r w:rsidRPr="00896F44">
              <w:rPr>
                <w:rFonts w:eastAsia="Helvetica,Times New Roman" w:cstheme="minorHAnsi"/>
                <w:color w:val="000000" w:themeColor="text1"/>
                <w:sz w:val="20"/>
                <w:szCs w:val="20"/>
              </w:rPr>
              <w:t xml:space="preserve"> </w:t>
            </w:r>
            <w:r w:rsidR="00DD28FE" w:rsidRPr="00896F44">
              <w:rPr>
                <w:rFonts w:eastAsia="Helvetica,Times New Roman" w:cstheme="minorHAnsi"/>
                <w:color w:val="000000" w:themeColor="text1"/>
                <w:sz w:val="20"/>
                <w:szCs w:val="20"/>
              </w:rPr>
              <w:t>–</w:t>
            </w:r>
            <w:r w:rsidRPr="00896F44">
              <w:rPr>
                <w:rFonts w:eastAsia="Helvetica,Times New Roman" w:cstheme="minorHAnsi"/>
                <w:color w:val="000000" w:themeColor="text1"/>
                <w:sz w:val="20"/>
                <w:szCs w:val="20"/>
              </w:rPr>
              <w:t xml:space="preserve"> 2</w:t>
            </w:r>
            <w:r w:rsidR="00DD28FE" w:rsidRPr="00896F44">
              <w:rPr>
                <w:rFonts w:eastAsia="Helvetica,Times New Roman" w:cstheme="minorHAnsi"/>
                <w:color w:val="000000" w:themeColor="text1"/>
                <w:sz w:val="20"/>
                <w:szCs w:val="20"/>
              </w:rPr>
              <w:t>,</w:t>
            </w:r>
            <w:r w:rsidR="00896F44" w:rsidRPr="00896F44">
              <w:rPr>
                <w:rFonts w:eastAsia="Helvetica,Times New Roman" w:cstheme="minorHAnsi"/>
                <w:color w:val="000000" w:themeColor="text1"/>
                <w:sz w:val="20"/>
                <w:szCs w:val="20"/>
              </w:rPr>
              <w:t>431</w:t>
            </w:r>
          </w:p>
        </w:tc>
        <w:tc>
          <w:tcPr>
            <w:tcW w:w="1698" w:type="dxa"/>
            <w:vAlign w:val="center"/>
          </w:tcPr>
          <w:p w14:paraId="278E134A" w14:textId="7F140CD0" w:rsidR="00F9617E" w:rsidRPr="00896F44" w:rsidRDefault="00B0741C"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1</w:t>
            </w:r>
            <w:r w:rsidR="00DD28FE" w:rsidRPr="00896F44">
              <w:rPr>
                <w:rFonts w:eastAsia="Helvetica,Times New Roman" w:cstheme="minorHAnsi"/>
                <w:color w:val="000000" w:themeColor="text1"/>
                <w:sz w:val="20"/>
                <w:szCs w:val="20"/>
              </w:rPr>
              <w:t>,</w:t>
            </w:r>
            <w:r w:rsidRPr="00896F44">
              <w:rPr>
                <w:rFonts w:eastAsia="Helvetica,Times New Roman" w:cstheme="minorHAnsi"/>
                <w:color w:val="000000" w:themeColor="text1"/>
                <w:sz w:val="20"/>
                <w:szCs w:val="20"/>
              </w:rPr>
              <w:t>8</w:t>
            </w:r>
            <w:r w:rsidR="00896F44" w:rsidRPr="00896F44">
              <w:rPr>
                <w:rFonts w:eastAsia="Helvetica,Times New Roman" w:cstheme="minorHAnsi"/>
                <w:color w:val="000000" w:themeColor="text1"/>
                <w:sz w:val="20"/>
                <w:szCs w:val="20"/>
              </w:rPr>
              <w:t>12</w:t>
            </w:r>
          </w:p>
        </w:tc>
        <w:tc>
          <w:tcPr>
            <w:tcW w:w="1499" w:type="dxa"/>
            <w:vAlign w:val="center"/>
          </w:tcPr>
          <w:p w14:paraId="1086D182" w14:textId="5487A501" w:rsidR="00E978D4" w:rsidRPr="00896F44" w:rsidRDefault="00DD28FE"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69</w:t>
            </w:r>
          </w:p>
        </w:tc>
        <w:tc>
          <w:tcPr>
            <w:tcW w:w="1386" w:type="dxa"/>
            <w:vAlign w:val="center"/>
          </w:tcPr>
          <w:p w14:paraId="1F20109E" w14:textId="37ABDBCD" w:rsidR="00552710" w:rsidRPr="00896F44" w:rsidRDefault="00552710" w:rsidP="00A22E81">
            <w:pPr>
              <w:spacing w:after="180" w:line="240" w:lineRule="auto"/>
              <w:jc w:val="center"/>
              <w:rPr>
                <w:rFonts w:eastAsia="Helvetica,Times New Roman" w:cstheme="minorHAnsi"/>
                <w:color w:val="000000" w:themeColor="text1"/>
                <w:sz w:val="20"/>
                <w:szCs w:val="20"/>
              </w:rPr>
            </w:pPr>
            <w:r w:rsidRPr="00896F44">
              <w:rPr>
                <w:rFonts w:eastAsia="Helvetica,Times New Roman" w:cstheme="minorHAnsi"/>
                <w:color w:val="000000" w:themeColor="text1"/>
                <w:sz w:val="20"/>
                <w:szCs w:val="20"/>
              </w:rPr>
              <w:t>15</w:t>
            </w:r>
          </w:p>
        </w:tc>
      </w:tr>
    </w:tbl>
    <w:p w14:paraId="3F927A96" w14:textId="77777777" w:rsidR="00E978D4" w:rsidRPr="00061636" w:rsidRDefault="00E978D4" w:rsidP="00EB247F">
      <w:pPr>
        <w:spacing w:after="0"/>
        <w:rPr>
          <w:bCs/>
        </w:rPr>
      </w:pPr>
    </w:p>
    <w:p w14:paraId="4E32D218" w14:textId="050DAA88" w:rsidR="00B144E5" w:rsidRPr="00061636" w:rsidRDefault="00E069AC" w:rsidP="002A6808">
      <w:pPr>
        <w:pStyle w:val="Heading2"/>
        <w:numPr>
          <w:ilvl w:val="1"/>
          <w:numId w:val="8"/>
        </w:numPr>
      </w:pPr>
      <w:bookmarkStart w:id="50" w:name="_Toc10331919"/>
      <w:r w:rsidRPr="00061636">
        <w:t>Assumptions</w:t>
      </w:r>
      <w:bookmarkEnd w:id="50"/>
    </w:p>
    <w:p w14:paraId="263DC89B" w14:textId="77777777" w:rsidR="00EB36FE" w:rsidRPr="00AB74E3" w:rsidRDefault="00EB36FE" w:rsidP="00EB36FE">
      <w:pPr>
        <w:rPr>
          <w:rFonts w:cs="Times New Roman"/>
        </w:rPr>
      </w:pPr>
      <w:r w:rsidRPr="00E069AC">
        <w:t xml:space="preserve">Six overarching assumptions have been made for Project Drawdown models to enable the development and integration of individual model solutions. These are that infrastructure required for solution is available and in-place, policies required are already in-place, no carbon price is modeled, all costs accrue at the level of </w:t>
      </w:r>
      <w:r w:rsidRPr="0066316E">
        <w:t xml:space="preserve">agency modeled, improvements in technology are not modeled, </w:t>
      </w:r>
      <w:r w:rsidRPr="0066316E">
        <w:rPr>
          <w:color w:val="000000" w:themeColor="text1"/>
        </w:rPr>
        <w:t xml:space="preserve">and that first costs may change according to learning. Full details of core assumptions and methodology are available on the Project Drawdown Reduction and Replacement Solutions (RRS) Model Framework and Guide report. Beyond these core assumptions, there are other important assumptions made for the modeling of this specific solution. These are detailed </w:t>
      </w:r>
      <w:r w:rsidRPr="0066316E">
        <w:rPr>
          <w:rFonts w:cs="Times New Roman"/>
          <w:color w:val="000000" w:themeColor="text1"/>
        </w:rPr>
        <w:t>below.</w:t>
      </w:r>
    </w:p>
    <w:p w14:paraId="786BD3E3" w14:textId="30D24242" w:rsidR="003C3534" w:rsidRDefault="003C3534" w:rsidP="00EB36FE">
      <w:pPr>
        <w:pStyle w:val="ListParagraph"/>
        <w:numPr>
          <w:ilvl w:val="0"/>
          <w:numId w:val="2"/>
        </w:numPr>
        <w:ind w:left="0" w:firstLine="567"/>
        <w:rPr>
          <w:rFonts w:cs="Times New Roman"/>
          <w:bCs/>
        </w:rPr>
      </w:pPr>
      <w:r w:rsidRPr="003C3534">
        <w:rPr>
          <w:rFonts w:cs="Times New Roman"/>
          <w:bCs/>
        </w:rPr>
        <w:t>Utility-scale PV systems are defined as any ground-mounted, grid-connected solar installation having a capacity greater than 1 MW</w:t>
      </w:r>
      <w:r w:rsidRPr="003C3534">
        <w:rPr>
          <w:rFonts w:cs="Times New Roman"/>
          <w:bCs/>
          <w:vertAlign w:val="subscript"/>
        </w:rPr>
        <w:t xml:space="preserve"> </w:t>
      </w:r>
      <w:r w:rsidR="00350A34" w:rsidRPr="00AA35ED">
        <w:rPr>
          <w:rFonts w:cs="Times New Roman"/>
          <w:noProof/>
        </w:rPr>
        <w:t>(IEA, 2010</w:t>
      </w:r>
      <w:r w:rsidR="00350A34">
        <w:rPr>
          <w:rFonts w:cs="Times New Roman"/>
          <w:noProof/>
        </w:rPr>
        <w:t xml:space="preserve">; </w:t>
      </w:r>
      <w:r w:rsidR="00350A34" w:rsidRPr="00AA35ED">
        <w:rPr>
          <w:rFonts w:cs="Times New Roman"/>
          <w:noProof/>
        </w:rPr>
        <w:t>REN21, 2016)</w:t>
      </w:r>
      <w:r w:rsidRPr="003C3534">
        <w:rPr>
          <w:rFonts w:cs="Times New Roman"/>
          <w:bCs/>
        </w:rPr>
        <w:t xml:space="preserve">. </w:t>
      </w:r>
    </w:p>
    <w:p w14:paraId="089EFA5C" w14:textId="07179FE2" w:rsidR="00826B4A" w:rsidRPr="00826B4A" w:rsidRDefault="0000143C" w:rsidP="00EB36FE">
      <w:pPr>
        <w:pStyle w:val="ListParagraph"/>
        <w:numPr>
          <w:ilvl w:val="0"/>
          <w:numId w:val="2"/>
        </w:numPr>
        <w:ind w:left="0" w:firstLine="567"/>
        <w:rPr>
          <w:rFonts w:cs="Times New Roman"/>
          <w:bCs/>
        </w:rPr>
      </w:pPr>
      <w:r w:rsidRPr="003C3534">
        <w:rPr>
          <w:rFonts w:cs="Times New Roman"/>
          <w:bCs/>
        </w:rPr>
        <w:t xml:space="preserve">Most of the literature contained in this report does not provide a specific prognostication for future adoption of utility-scale PV but does suggest, however, that the majority of future installations </w:t>
      </w:r>
      <w:r w:rsidR="000A10E5" w:rsidRPr="003C3534">
        <w:rPr>
          <w:rFonts w:cs="Times New Roman"/>
          <w:bCs/>
        </w:rPr>
        <w:t>will conform</w:t>
      </w:r>
      <w:r w:rsidR="009C51FA" w:rsidRPr="003C3534">
        <w:rPr>
          <w:rFonts w:cs="Times New Roman"/>
          <w:bCs/>
        </w:rPr>
        <w:t xml:space="preserve"> to</w:t>
      </w:r>
      <w:r w:rsidRPr="003C3534">
        <w:rPr>
          <w:rFonts w:cs="Times New Roman"/>
          <w:bCs/>
        </w:rPr>
        <w:t xml:space="preserve"> </w:t>
      </w:r>
      <w:r w:rsidR="00DE33AF" w:rsidRPr="003C3534">
        <w:rPr>
          <w:rFonts w:cs="Times New Roman"/>
          <w:bCs/>
        </w:rPr>
        <w:t xml:space="preserve">the </w:t>
      </w:r>
      <w:r w:rsidRPr="003C3534">
        <w:rPr>
          <w:rFonts w:cs="Times New Roman"/>
          <w:bCs/>
        </w:rPr>
        <w:t xml:space="preserve">definition </w:t>
      </w:r>
      <w:r w:rsidR="00DE33AF" w:rsidRPr="003C3534">
        <w:rPr>
          <w:rFonts w:cs="Times New Roman"/>
          <w:bCs/>
        </w:rPr>
        <w:t>used here</w:t>
      </w:r>
      <w:r w:rsidRPr="003C3534">
        <w:rPr>
          <w:rFonts w:cs="Times New Roman"/>
          <w:bCs/>
        </w:rPr>
        <w:t>of utility-scale</w:t>
      </w:r>
      <w:r w:rsidR="009C51FA" w:rsidRPr="003C3534">
        <w:rPr>
          <w:rFonts w:cs="Times New Roman"/>
          <w:bCs/>
        </w:rPr>
        <w:t xml:space="preserve"> SPV projects</w:t>
      </w:r>
      <w:r w:rsidRPr="003C3534">
        <w:rPr>
          <w:rFonts w:cs="Times New Roman"/>
          <w:bCs/>
        </w:rPr>
        <w:t>. For this reason, several different data points</w:t>
      </w:r>
      <w:r w:rsidR="00DE33AF" w:rsidRPr="003C3534">
        <w:rPr>
          <w:rFonts w:cs="Times New Roman"/>
          <w:bCs/>
        </w:rPr>
        <w:t xml:space="preserve"> were averaged</w:t>
      </w:r>
      <w:r w:rsidRPr="003C3534">
        <w:rPr>
          <w:rFonts w:cs="Times New Roman"/>
          <w:bCs/>
        </w:rPr>
        <w:t xml:space="preserve"> and </w:t>
      </w:r>
      <w:r w:rsidRPr="003C3534">
        <w:rPr>
          <w:rFonts w:cs="Times New Roman"/>
        </w:rPr>
        <w:t xml:space="preserve">it is assumed that rooftop installations represent a constant share of </w:t>
      </w:r>
      <w:r w:rsidRPr="003C3534">
        <w:rPr>
          <w:rFonts w:cs="Times New Roman"/>
        </w:rPr>
        <w:lastRenderedPageBreak/>
        <w:t xml:space="preserve">around 40 percent of the market, with utility-scale solar capturing the remaining 60 percent </w:t>
      </w:r>
      <w:sdt>
        <w:sdtPr>
          <w:rPr>
            <w:rFonts w:cs="Times New Roman"/>
          </w:rPr>
          <w:id w:val="1303664669"/>
          <w:citation/>
        </w:sdtPr>
        <w:sdtContent>
          <w:r w:rsidR="002F2A3C">
            <w:rPr>
              <w:rFonts w:cs="Times New Roman"/>
            </w:rPr>
            <w:fldChar w:fldCharType="begin"/>
          </w:r>
          <w:r w:rsidR="002F2A3C">
            <w:rPr>
              <w:rFonts w:cs="Times New Roman"/>
            </w:rPr>
            <w:instrText xml:space="preserve"> CITATION USD12 \l 1033 </w:instrText>
          </w:r>
          <w:r w:rsidR="002F2A3C">
            <w:rPr>
              <w:rFonts w:cs="Times New Roman"/>
            </w:rPr>
            <w:fldChar w:fldCharType="separate"/>
          </w:r>
          <w:r w:rsidR="002F2A3C" w:rsidRPr="002F2A3C">
            <w:rPr>
              <w:rFonts w:cs="Times New Roman"/>
              <w:noProof/>
            </w:rPr>
            <w:t>(USDOE, 2012)</w:t>
          </w:r>
          <w:r w:rsidR="002F2A3C">
            <w:rPr>
              <w:rFonts w:cs="Times New Roman"/>
            </w:rPr>
            <w:fldChar w:fldCharType="end"/>
          </w:r>
        </w:sdtContent>
      </w:sdt>
      <w:sdt>
        <w:sdtPr>
          <w:rPr>
            <w:rFonts w:cs="Times New Roman"/>
          </w:rPr>
          <w:id w:val="-1078362392"/>
          <w:citation/>
        </w:sdtPr>
        <w:sdtContent>
          <w:r w:rsidR="002F2A3C">
            <w:rPr>
              <w:rFonts w:cs="Times New Roman"/>
            </w:rPr>
            <w:fldChar w:fldCharType="begin"/>
          </w:r>
          <w:r w:rsidR="00C92058">
            <w:rPr>
              <w:rFonts w:cs="Times New Roman"/>
            </w:rPr>
            <w:instrText xml:space="preserve">CITATION IEA14 \l 1033 </w:instrText>
          </w:r>
          <w:r w:rsidR="002F2A3C">
            <w:rPr>
              <w:rFonts w:cs="Times New Roman"/>
            </w:rPr>
            <w:fldChar w:fldCharType="separate"/>
          </w:r>
          <w:r w:rsidR="00C92058">
            <w:rPr>
              <w:rFonts w:cs="Times New Roman"/>
              <w:noProof/>
            </w:rPr>
            <w:t xml:space="preserve"> </w:t>
          </w:r>
          <w:r w:rsidR="00C92058" w:rsidRPr="00C92058">
            <w:rPr>
              <w:rFonts w:cs="Times New Roman"/>
              <w:noProof/>
            </w:rPr>
            <w:t>(IEA, 2014)</w:t>
          </w:r>
          <w:r w:rsidR="002F2A3C">
            <w:rPr>
              <w:rFonts w:cs="Times New Roman"/>
            </w:rPr>
            <w:fldChar w:fldCharType="end"/>
          </w:r>
        </w:sdtContent>
      </w:sdt>
      <w:r w:rsidR="00106CAC">
        <w:rPr>
          <w:rFonts w:cs="Times New Roman"/>
        </w:rPr>
        <w:t>.</w:t>
      </w:r>
    </w:p>
    <w:p w14:paraId="4CCCA394" w14:textId="4BE2B606" w:rsidR="009D118F" w:rsidRPr="00826B4A" w:rsidRDefault="00A21451" w:rsidP="00EB36FE">
      <w:pPr>
        <w:pStyle w:val="ListParagraph"/>
        <w:numPr>
          <w:ilvl w:val="0"/>
          <w:numId w:val="2"/>
        </w:numPr>
        <w:ind w:left="0" w:firstLine="567"/>
        <w:rPr>
          <w:rFonts w:cs="Times New Roman"/>
          <w:bCs/>
        </w:rPr>
      </w:pPr>
      <w:r w:rsidRPr="00826B4A">
        <w:rPr>
          <w:rFonts w:cs="Times New Roman"/>
          <w:bCs/>
        </w:rPr>
        <w:t xml:space="preserve"> </w:t>
      </w:r>
      <w:r w:rsidR="00D1081A">
        <w:rPr>
          <w:rFonts w:cs="Times New Roman"/>
          <w:bCs/>
        </w:rPr>
        <w:t>T</w:t>
      </w:r>
      <w:r w:rsidR="009D118F" w:rsidRPr="00826B4A">
        <w:rPr>
          <w:rFonts w:cs="Times New Roman"/>
          <w:bCs/>
        </w:rPr>
        <w:t xml:space="preserve">he PV </w:t>
      </w:r>
      <w:r w:rsidR="000A10E5" w:rsidRPr="00826B4A">
        <w:rPr>
          <w:rFonts w:cs="Times New Roman"/>
          <w:bCs/>
        </w:rPr>
        <w:t>module on</w:t>
      </w:r>
      <w:r w:rsidRPr="00826B4A">
        <w:rPr>
          <w:rFonts w:cs="Times New Roman"/>
          <w:bCs/>
        </w:rPr>
        <w:t xml:space="preserve"> its own</w:t>
      </w:r>
      <w:r w:rsidR="009D118F" w:rsidRPr="00826B4A">
        <w:rPr>
          <w:rFonts w:cs="Times New Roman"/>
          <w:bCs/>
        </w:rPr>
        <w:t xml:space="preserve"> </w:t>
      </w:r>
      <w:r w:rsidR="000A10E5" w:rsidRPr="00826B4A">
        <w:rPr>
          <w:rFonts w:cs="Times New Roman"/>
          <w:bCs/>
        </w:rPr>
        <w:t xml:space="preserve">contributed </w:t>
      </w:r>
      <w:r w:rsidR="00D1081A">
        <w:rPr>
          <w:rFonts w:cs="Times New Roman"/>
          <w:bCs/>
        </w:rPr>
        <w:t>to an</w:t>
      </w:r>
      <w:r w:rsidR="00E43DF0">
        <w:rPr>
          <w:rFonts w:cs="Times New Roman"/>
          <w:bCs/>
        </w:rPr>
        <w:t xml:space="preserve"> </w:t>
      </w:r>
      <w:r w:rsidR="00D1081A">
        <w:rPr>
          <w:rFonts w:cs="Times New Roman"/>
          <w:bCs/>
        </w:rPr>
        <w:t xml:space="preserve">estimated </w:t>
      </w:r>
      <w:r w:rsidR="000A10E5" w:rsidRPr="00826B4A">
        <w:rPr>
          <w:rFonts w:cs="Times New Roman"/>
          <w:bCs/>
        </w:rPr>
        <w:t>4</w:t>
      </w:r>
      <w:r w:rsidR="00D1081A">
        <w:rPr>
          <w:rFonts w:cs="Times New Roman"/>
          <w:bCs/>
        </w:rPr>
        <w:t>4</w:t>
      </w:r>
      <w:r w:rsidR="000A10E5" w:rsidRPr="00826B4A">
        <w:rPr>
          <w:rFonts w:cs="Times New Roman"/>
          <w:bCs/>
        </w:rPr>
        <w:t>.</w:t>
      </w:r>
      <w:r w:rsidR="00D1081A">
        <w:rPr>
          <w:rFonts w:cs="Times New Roman"/>
          <w:bCs/>
        </w:rPr>
        <w:t>7</w:t>
      </w:r>
      <w:r w:rsidR="009D118F" w:rsidRPr="00826B4A">
        <w:rPr>
          <w:rFonts w:cs="Times New Roman"/>
          <w:bCs/>
        </w:rPr>
        <w:t xml:space="preserve"> percent of </w:t>
      </w:r>
      <w:r w:rsidRPr="00826B4A">
        <w:rPr>
          <w:rFonts w:cs="Times New Roman"/>
          <w:bCs/>
        </w:rPr>
        <w:t xml:space="preserve">the </w:t>
      </w:r>
      <w:r w:rsidR="009D118F" w:rsidRPr="00826B4A">
        <w:rPr>
          <w:rFonts w:cs="Times New Roman"/>
          <w:bCs/>
        </w:rPr>
        <w:t xml:space="preserve">installed cost for utility-scale </w:t>
      </w:r>
      <w:r w:rsidR="000A10E5" w:rsidRPr="00826B4A">
        <w:rPr>
          <w:rFonts w:cs="Times New Roman"/>
          <w:bCs/>
        </w:rPr>
        <w:t>installations.</w:t>
      </w:r>
    </w:p>
    <w:p w14:paraId="04FBF2E3" w14:textId="412B6782" w:rsidR="009D118F" w:rsidRPr="00061636" w:rsidRDefault="551A77D0" w:rsidP="002A6808">
      <w:pPr>
        <w:pStyle w:val="Heading2"/>
        <w:numPr>
          <w:ilvl w:val="1"/>
          <w:numId w:val="8"/>
        </w:numPr>
      </w:pPr>
      <w:bookmarkStart w:id="51" w:name="_Toc10331920"/>
      <w:r w:rsidRPr="00061636">
        <w:t>I</w:t>
      </w:r>
      <w:r w:rsidR="00E069AC" w:rsidRPr="00061636">
        <w:t>ntegration</w:t>
      </w:r>
      <w:bookmarkEnd w:id="51"/>
    </w:p>
    <w:p w14:paraId="40B0D509" w14:textId="6F8F3B60" w:rsidR="00F61DCA" w:rsidRPr="00061636" w:rsidRDefault="00F61DCA" w:rsidP="00EB247F">
      <w:r w:rsidRPr="00061636">
        <w:t xml:space="preserve">The complete Project Drawdown integration documentation </w:t>
      </w:r>
      <w:r w:rsidR="00B6183A" w:rsidRPr="00061636">
        <w:t xml:space="preserve">with </w:t>
      </w:r>
      <w:r w:rsidR="008006D0" w:rsidRPr="00061636">
        <w:t>details on</w:t>
      </w:r>
      <w:r w:rsidRPr="00061636">
        <w:t xml:space="preserve"> how all solution models in each sector are integrated, and how sectors are integrated to form a complete system</w:t>
      </w:r>
      <w:r w:rsidR="008006D0" w:rsidRPr="00061636">
        <w:t xml:space="preserve"> </w:t>
      </w:r>
      <w:r w:rsidR="00DB4E3F" w:rsidRPr="00061636">
        <w:t>is</w:t>
      </w:r>
      <w:r w:rsidR="008006D0" w:rsidRPr="00061636">
        <w:t xml:space="preserve"> available at </w:t>
      </w:r>
      <w:hyperlink r:id="rId18" w:history="1">
        <w:r w:rsidR="008006D0" w:rsidRPr="00061636">
          <w:rPr>
            <w:rStyle w:val="Hyperlink"/>
            <w:color w:val="auto"/>
          </w:rPr>
          <w:t>www.drawdown.org</w:t>
        </w:r>
      </w:hyperlink>
      <w:r w:rsidRPr="00061636">
        <w:t>. Th</w:t>
      </w:r>
      <w:r w:rsidR="00DB4E3F" w:rsidRPr="00061636">
        <w:t>e</w:t>
      </w:r>
      <w:r w:rsidRPr="00061636">
        <w:t xml:space="preserve">se general notes </w:t>
      </w:r>
      <w:r w:rsidR="000A10E5" w:rsidRPr="00061636">
        <w:t xml:space="preserve">are </w:t>
      </w:r>
      <w:r w:rsidR="000A10E5">
        <w:t>extracted</w:t>
      </w:r>
      <w:r w:rsidRPr="00061636">
        <w:t xml:space="preserve"> from this document but </w:t>
      </w:r>
      <w:r w:rsidR="00A21451">
        <w:t xml:space="preserve">the main document </w:t>
      </w:r>
      <w:r w:rsidR="00DB4E3F" w:rsidRPr="00061636">
        <w:t>may</w:t>
      </w:r>
      <w:r w:rsidRPr="00061636">
        <w:t xml:space="preserve"> be </w:t>
      </w:r>
      <w:r w:rsidR="003C3534" w:rsidRPr="00061636">
        <w:t>referred</w:t>
      </w:r>
      <w:r w:rsidR="00DB4E3F" w:rsidRPr="00061636">
        <w:t xml:space="preserve"> to</w:t>
      </w:r>
      <w:r w:rsidRPr="00061636">
        <w:t xml:space="preserve"> for a complete understanding of the</w:t>
      </w:r>
      <w:r w:rsidR="00DB4E3F" w:rsidRPr="00061636">
        <w:t xml:space="preserve"> model</w:t>
      </w:r>
      <w:r w:rsidRPr="00061636">
        <w:t xml:space="preserve"> integration process. Only </w:t>
      </w:r>
      <w:r w:rsidR="00DB4E3F" w:rsidRPr="00061636">
        <w:t xml:space="preserve">the </w:t>
      </w:r>
      <w:r w:rsidRPr="00061636">
        <w:t xml:space="preserve">key elements of the integration process that are needed to understand how </w:t>
      </w:r>
      <w:r w:rsidR="000A10E5" w:rsidRPr="00061636">
        <w:t>this present</w:t>
      </w:r>
      <w:r w:rsidRPr="00061636">
        <w:t xml:space="preserve"> solution fits into the entire system are described here.</w:t>
      </w:r>
    </w:p>
    <w:p w14:paraId="6E8EB265" w14:textId="25248C7D" w:rsidR="002A4E84" w:rsidRPr="00061636" w:rsidRDefault="00DB4E3F" w:rsidP="00EB247F">
      <w:r w:rsidRPr="00061636">
        <w:t xml:space="preserve">For the purpose of this integration, </w:t>
      </w:r>
      <w:r w:rsidR="00F61DCA" w:rsidRPr="00061636">
        <w:t>t</w:t>
      </w:r>
      <w:r w:rsidR="002A4E84" w:rsidRPr="00061636">
        <w:t>he data derived from individual solution</w:t>
      </w:r>
      <w:r w:rsidRPr="00061636">
        <w:t>’</w:t>
      </w:r>
      <w:r w:rsidR="002A4E84" w:rsidRPr="00061636">
        <w:t xml:space="preserve">s models </w:t>
      </w:r>
      <w:r w:rsidR="000A10E5" w:rsidRPr="00061636">
        <w:t>was fed</w:t>
      </w:r>
      <w:r w:rsidRPr="00061636">
        <w:t xml:space="preserve"> </w:t>
      </w:r>
      <w:r w:rsidR="002A4E84" w:rsidRPr="00061636">
        <w:t>into</w:t>
      </w:r>
      <w:r w:rsidRPr="00061636">
        <w:t xml:space="preserve"> the</w:t>
      </w:r>
      <w:r w:rsidR="002A4E84" w:rsidRPr="00061636">
        <w:t xml:space="preserve"> sector-level integration models to generate</w:t>
      </w:r>
      <w:r w:rsidRPr="00061636">
        <w:t xml:space="preserve"> the</w:t>
      </w:r>
      <w:r w:rsidR="002A4E84" w:rsidRPr="00061636">
        <w:t xml:space="preserve"> final results for all</w:t>
      </w:r>
      <w:r w:rsidRPr="00061636">
        <w:t xml:space="preserve"> the</w:t>
      </w:r>
      <w:r w:rsidR="002A4E84" w:rsidRPr="00061636">
        <w:t xml:space="preserve"> solutions within a global system. The link</w:t>
      </w:r>
      <w:r w:rsidRPr="00061636">
        <w:t>age</w:t>
      </w:r>
      <w:r w:rsidR="002A4E84" w:rsidRPr="00061636">
        <w:t xml:space="preserve"> between this sector and all the others is important, but major interactions occur with energy demand-side sectors like Transport</w:t>
      </w:r>
      <w:r w:rsidRPr="00061636">
        <w:t>,</w:t>
      </w:r>
      <w:r w:rsidR="002A4E84" w:rsidRPr="00061636">
        <w:t xml:space="preserve"> Buildings and Cities.</w:t>
      </w:r>
    </w:p>
    <w:p w14:paraId="10D2FF27" w14:textId="6D7A8B87" w:rsidR="002A4E84" w:rsidRPr="00061636" w:rsidRDefault="009D118F" w:rsidP="00EB247F">
      <w:r w:rsidRPr="00061636">
        <w:t xml:space="preserve">Through the process of integrating solar </w:t>
      </w:r>
      <w:r w:rsidR="00F61DCA" w:rsidRPr="00061636">
        <w:t xml:space="preserve">PV </w:t>
      </w:r>
      <w:r w:rsidRPr="00061636">
        <w:t>farms with other solutions, the total addressable market for electricity generation technologies was adjusted to account for reduced demand resulting from the growth of more energy-effi</w:t>
      </w:r>
      <w:r w:rsidR="00F4258D" w:rsidRPr="00061636">
        <w:t>cient technologies (for example</w:t>
      </w:r>
      <w:r w:rsidRPr="00061636">
        <w:t xml:space="preserve"> LED</w:t>
      </w:r>
      <w:r w:rsidR="00A90312">
        <w:t xml:space="preserve"> </w:t>
      </w:r>
      <w:r w:rsidRPr="00061636">
        <w:t>lighting and heat pumps) as well as increased electrification from other solutions like electric vehicles and high-speed rail. Grid emissions factors were calculated based on the annual mix of different electricity generating technologies over time. Emission factors for each technology were determined through a meta-analysis of multiple sources, accounting for direct and indirect emissions.</w:t>
      </w:r>
    </w:p>
    <w:p w14:paraId="0ED84BEA" w14:textId="53A78589" w:rsidR="009D118F" w:rsidRPr="00061636" w:rsidRDefault="00E069AC" w:rsidP="002A6808">
      <w:pPr>
        <w:pStyle w:val="Heading2"/>
        <w:numPr>
          <w:ilvl w:val="1"/>
          <w:numId w:val="8"/>
        </w:numPr>
      </w:pPr>
      <w:bookmarkStart w:id="52" w:name="_Toc10331921"/>
      <w:r w:rsidRPr="00061636">
        <w:t>Limitations / Further Developments</w:t>
      </w:r>
      <w:bookmarkEnd w:id="52"/>
    </w:p>
    <w:p w14:paraId="22162937" w14:textId="5490ED38" w:rsidR="003A4CBC" w:rsidRPr="00061636" w:rsidRDefault="003A4CBC" w:rsidP="00EB247F">
      <w:r w:rsidRPr="00061636">
        <w:t xml:space="preserve">More research and </w:t>
      </w:r>
      <w:r w:rsidR="000A10E5" w:rsidRPr="00061636">
        <w:t>modeling is</w:t>
      </w:r>
      <w:r w:rsidRPr="00061636">
        <w:t xml:space="preserve"> necessary to help policy-makers and project developers understand in detail the benefits of </w:t>
      </w:r>
      <w:r w:rsidR="00A90312">
        <w:t xml:space="preserve">the </w:t>
      </w:r>
      <w:r w:rsidRPr="00061636">
        <w:t>adoption</w:t>
      </w:r>
      <w:r w:rsidR="003D7BF4" w:rsidRPr="00061636">
        <w:t xml:space="preserve"> of this solution </w:t>
      </w:r>
      <w:r w:rsidRPr="00061636">
        <w:t xml:space="preserve">on a </w:t>
      </w:r>
      <w:r w:rsidR="000A10E5" w:rsidRPr="00061636">
        <w:t>more effective</w:t>
      </w:r>
      <w:r w:rsidRPr="00061636">
        <w:t xml:space="preserve"> scale</w:t>
      </w:r>
      <w:r w:rsidR="003D7BF4" w:rsidRPr="00061636">
        <w:t>. More so</w:t>
      </w:r>
      <w:r w:rsidRPr="00061636">
        <w:t xml:space="preserve"> as utility-scale PV will not always make economic sense nor fit perfectly into any </w:t>
      </w:r>
      <w:r w:rsidR="000A10E5" w:rsidRPr="00061636">
        <w:t>country’s existing</w:t>
      </w:r>
      <w:r w:rsidRPr="00061636">
        <w:t xml:space="preserve"> electricity genera</w:t>
      </w:r>
      <w:r w:rsidR="00DE33AF" w:rsidRPr="00061636">
        <w:t xml:space="preserve">tion portfolio. In particular, the RRS </w:t>
      </w:r>
      <w:r w:rsidRPr="00061636">
        <w:t xml:space="preserve">model holds a number of factors constant in order to keep </w:t>
      </w:r>
      <w:r w:rsidR="003D7BF4" w:rsidRPr="00061636">
        <w:t xml:space="preserve">the </w:t>
      </w:r>
      <w:r w:rsidRPr="00061636">
        <w:t xml:space="preserve">global-scale </w:t>
      </w:r>
      <w:r w:rsidR="000A10E5" w:rsidRPr="00061636">
        <w:t>modeling exercise</w:t>
      </w:r>
      <w:r w:rsidR="003D7BF4" w:rsidRPr="00061636">
        <w:t xml:space="preserve"> </w:t>
      </w:r>
      <w:r w:rsidRPr="00061636">
        <w:t xml:space="preserve">from becoming too complex, but </w:t>
      </w:r>
      <w:r w:rsidR="00DE33AF" w:rsidRPr="00061636">
        <w:t>it is</w:t>
      </w:r>
      <w:r w:rsidRPr="00061636">
        <w:t xml:space="preserve"> acknowledge</w:t>
      </w:r>
      <w:r w:rsidR="00DE33AF" w:rsidRPr="00061636">
        <w:t>d</w:t>
      </w:r>
      <w:r w:rsidRPr="00061636">
        <w:t xml:space="preserve"> that many of these factors, including prices of fuel and operating costs for conventional electricity, could change considerably over the period of analysis.</w:t>
      </w:r>
    </w:p>
    <w:p w14:paraId="46A65B98" w14:textId="05FBAB61" w:rsidR="003A4CBC" w:rsidRPr="00061636" w:rsidRDefault="00DE33AF" w:rsidP="00EB247F">
      <w:r w:rsidRPr="00061636">
        <w:lastRenderedPageBreak/>
        <w:t>The RRS</w:t>
      </w:r>
      <w:r w:rsidR="003A4CBC" w:rsidRPr="00061636">
        <w:t xml:space="preserve"> model is also based on a critical assumption about the percentage of solar PV that will meet the size and definition of “utility-scale,” and while this is necessary for </w:t>
      </w:r>
      <w:r w:rsidRPr="00061636">
        <w:t>the</w:t>
      </w:r>
      <w:r w:rsidR="003A4CBC" w:rsidRPr="00061636">
        <w:t xml:space="preserve"> model</w:t>
      </w:r>
      <w:r w:rsidRPr="00061636">
        <w:t>,</w:t>
      </w:r>
      <w:r w:rsidR="003A4CBC" w:rsidRPr="00061636">
        <w:t xml:space="preserve"> given the adoption data </w:t>
      </w:r>
      <w:r w:rsidRPr="00061636">
        <w:t>was</w:t>
      </w:r>
      <w:r w:rsidR="003A4CBC" w:rsidRPr="00061636">
        <w:t xml:space="preserve"> use</w:t>
      </w:r>
      <w:r w:rsidRPr="00061636">
        <w:t>d</w:t>
      </w:r>
      <w:r w:rsidR="003A4CBC" w:rsidRPr="00061636">
        <w:t>, it provides a rather coarse estimate of growth on a regional basis and could certainly be improved by the inclusion of specific datasets correlating to the country or region levels.</w:t>
      </w:r>
    </w:p>
    <w:p w14:paraId="44AD7CDF" w14:textId="3FF75FF8" w:rsidR="00F52595" w:rsidRPr="00061636" w:rsidRDefault="003A4CBC" w:rsidP="00EB247F">
      <w:pPr>
        <w:sectPr w:rsidR="00F52595" w:rsidRPr="00061636">
          <w:pgSz w:w="12240" w:h="15840"/>
          <w:pgMar w:top="1440" w:right="1440" w:bottom="1440" w:left="1440" w:header="720" w:footer="720" w:gutter="0"/>
          <w:cols w:space="720"/>
        </w:sectPr>
      </w:pPr>
      <w:r w:rsidRPr="00061636">
        <w:t xml:space="preserve">Finally, global analysis is complicated in many ways by the fact that the technical performance and costs of utility-scale PV can vary widely across regions depending on the viability of the solar resource and related factors of production. </w:t>
      </w:r>
      <w:r w:rsidR="00DE33AF" w:rsidRPr="00061636">
        <w:t>T</w:t>
      </w:r>
      <w:r w:rsidR="00F4258D" w:rsidRPr="00061636">
        <w:t>o account for these differences</w:t>
      </w:r>
      <w:r w:rsidR="00DE33AF" w:rsidRPr="00061636">
        <w:t xml:space="preserve"> </w:t>
      </w:r>
      <w:r w:rsidRPr="00061636">
        <w:t xml:space="preserve">results where </w:t>
      </w:r>
      <w:r w:rsidR="00DE33AF" w:rsidRPr="00061636">
        <w:t xml:space="preserve">weighted </w:t>
      </w:r>
      <w:r w:rsidRPr="00061636">
        <w:t>appropriate, but this cannot be done in every case, and</w:t>
      </w:r>
      <w:r w:rsidR="00DE33AF" w:rsidRPr="00061636">
        <w:t xml:space="preserve"> due to this </w:t>
      </w:r>
      <w:r w:rsidR="000A10E5" w:rsidRPr="00061636">
        <w:t>limitation, often a</w:t>
      </w:r>
      <w:r w:rsidRPr="00061636">
        <w:t xml:space="preserve"> more conservative estimate</w:t>
      </w:r>
      <w:r w:rsidR="003D7BF4" w:rsidRPr="00061636">
        <w:t xml:space="preserve"> was selected</w:t>
      </w:r>
      <w:r w:rsidRPr="00061636">
        <w:t xml:space="preserve"> for the climate and financial inputs</w:t>
      </w:r>
      <w:r w:rsidR="00A44EDA" w:rsidRPr="00061636">
        <w:t xml:space="preserve"> so as</w:t>
      </w:r>
      <w:r w:rsidRPr="00061636">
        <w:t xml:space="preserve"> not to overstate the potential benefits of </w:t>
      </w:r>
      <w:bookmarkStart w:id="53" w:name="Dec_9"/>
      <w:bookmarkEnd w:id="53"/>
      <w:r w:rsidRPr="00061636">
        <w:t>adoption.</w:t>
      </w:r>
    </w:p>
    <w:p w14:paraId="7CAFC693" w14:textId="4A2F7BD1" w:rsidR="007C645A" w:rsidRPr="00061636" w:rsidRDefault="551A77D0" w:rsidP="004A2866">
      <w:pPr>
        <w:pStyle w:val="Heading1"/>
      </w:pPr>
      <w:bookmarkStart w:id="54" w:name="_Toc10331922"/>
      <w:r w:rsidRPr="00061636">
        <w:lastRenderedPageBreak/>
        <w:t>Results</w:t>
      </w:r>
      <w:bookmarkEnd w:id="54"/>
    </w:p>
    <w:p w14:paraId="13B4CEC0" w14:textId="2982DD44" w:rsidR="00F61DCA" w:rsidRPr="00061636" w:rsidRDefault="00A44EDA" w:rsidP="005C77F5">
      <w:pPr>
        <w:autoSpaceDE w:val="0"/>
        <w:autoSpaceDN w:val="0"/>
        <w:adjustRightInd w:val="0"/>
        <w:spacing w:after="0"/>
      </w:pPr>
      <w:r w:rsidRPr="00061636">
        <w:t>T</w:t>
      </w:r>
      <w:r w:rsidR="00B24F59" w:rsidRPr="00061636">
        <w:t>h</w:t>
      </w:r>
      <w:r w:rsidR="008006D0" w:rsidRPr="00061636">
        <w:t xml:space="preserve">e following </w:t>
      </w:r>
      <w:r w:rsidR="000A10E5" w:rsidRPr="00061636">
        <w:t>section depicts</w:t>
      </w:r>
      <w:r w:rsidR="00B24F59" w:rsidRPr="00061636">
        <w:t xml:space="preserve"> selected</w:t>
      </w:r>
      <w:r w:rsidR="00F61DCA" w:rsidRPr="00061636">
        <w:t xml:space="preserve"> results derived from the </w:t>
      </w:r>
      <w:r w:rsidR="008006D0" w:rsidRPr="00061636">
        <w:t xml:space="preserve">RRS </w:t>
      </w:r>
      <w:r w:rsidR="00F61DCA" w:rsidRPr="00061636">
        <w:t>model</w:t>
      </w:r>
      <w:r w:rsidR="00B24F59" w:rsidRPr="00061636">
        <w:t xml:space="preserve"> </w:t>
      </w:r>
      <w:r w:rsidR="008006D0" w:rsidRPr="00061636">
        <w:t xml:space="preserve">evaluating the impact of increased adoption of Solar PV </w:t>
      </w:r>
      <w:r w:rsidR="00F4258D" w:rsidRPr="00061636">
        <w:t>Utility-scale</w:t>
      </w:r>
      <w:r w:rsidRPr="00061636">
        <w:t xml:space="preserve"> systems</w:t>
      </w:r>
      <w:r w:rsidR="008006D0" w:rsidRPr="00061636">
        <w:t xml:space="preserve"> for electricity </w:t>
      </w:r>
      <w:r w:rsidR="00AC60DD" w:rsidRPr="00061636">
        <w:t>generation as</w:t>
      </w:r>
      <w:r w:rsidR="008006D0" w:rsidRPr="00061636">
        <w:t xml:space="preserve"> compared to conventional technologies.</w:t>
      </w:r>
    </w:p>
    <w:p w14:paraId="7E39F2AB" w14:textId="2623AFC6" w:rsidR="00B261E0" w:rsidRPr="00061636" w:rsidRDefault="007C645A" w:rsidP="002A6808">
      <w:pPr>
        <w:pStyle w:val="Heading2"/>
        <w:numPr>
          <w:ilvl w:val="1"/>
          <w:numId w:val="11"/>
        </w:numPr>
      </w:pPr>
      <w:bookmarkStart w:id="55" w:name="_Toc10331923"/>
      <w:r w:rsidRPr="00061636">
        <w:t>Adoption</w:t>
      </w:r>
      <w:bookmarkEnd w:id="55"/>
    </w:p>
    <w:p w14:paraId="1CA60A5B" w14:textId="45355D69" w:rsidR="006D6758" w:rsidRPr="00061636" w:rsidRDefault="00A44EDA" w:rsidP="00EB247F">
      <w:pPr>
        <w:pStyle w:val="Caption"/>
        <w:rPr>
          <w:i w:val="0"/>
          <w:iCs w:val="0"/>
          <w:color w:val="auto"/>
          <w:sz w:val="22"/>
          <w:szCs w:val="22"/>
        </w:rPr>
      </w:pPr>
      <w:r w:rsidRPr="00F11E39">
        <w:rPr>
          <w:i w:val="0"/>
          <w:iCs w:val="0"/>
          <w:color w:val="auto"/>
          <w:sz w:val="22"/>
          <w:szCs w:val="22"/>
        </w:rPr>
        <w:t>A c</w:t>
      </w:r>
      <w:r w:rsidR="007C645A" w:rsidRPr="00F11E39">
        <w:rPr>
          <w:i w:val="0"/>
          <w:iCs w:val="0"/>
          <w:color w:val="auto"/>
          <w:sz w:val="22"/>
          <w:szCs w:val="22"/>
        </w:rPr>
        <w:t>ompari</w:t>
      </w:r>
      <w:r w:rsidRPr="00F11E39">
        <w:rPr>
          <w:i w:val="0"/>
          <w:iCs w:val="0"/>
          <w:color w:val="auto"/>
          <w:sz w:val="22"/>
          <w:szCs w:val="22"/>
        </w:rPr>
        <w:t>son of</w:t>
      </w:r>
      <w:r w:rsidR="007C645A" w:rsidRPr="00F11E39">
        <w:rPr>
          <w:i w:val="0"/>
          <w:iCs w:val="0"/>
          <w:color w:val="auto"/>
          <w:sz w:val="22"/>
          <w:szCs w:val="22"/>
        </w:rPr>
        <w:t xml:space="preserve"> the results from the three modeled</w:t>
      </w:r>
      <w:r w:rsidRPr="00F11E39">
        <w:rPr>
          <w:i w:val="0"/>
          <w:iCs w:val="0"/>
          <w:color w:val="auto"/>
          <w:sz w:val="22"/>
          <w:szCs w:val="22"/>
        </w:rPr>
        <w:t xml:space="preserve"> PD</w:t>
      </w:r>
      <w:r w:rsidR="007C645A" w:rsidRPr="00F11E39">
        <w:rPr>
          <w:i w:val="0"/>
          <w:iCs w:val="0"/>
          <w:color w:val="auto"/>
          <w:sz w:val="22"/>
          <w:szCs w:val="22"/>
        </w:rPr>
        <w:t xml:space="preserve"> </w:t>
      </w:r>
      <w:r w:rsidR="00AC60DD" w:rsidRPr="00F11E39">
        <w:rPr>
          <w:i w:val="0"/>
          <w:iCs w:val="0"/>
          <w:color w:val="auto"/>
          <w:sz w:val="22"/>
          <w:szCs w:val="22"/>
        </w:rPr>
        <w:t>scenarios with</w:t>
      </w:r>
      <w:r w:rsidR="008006D0" w:rsidRPr="00F11E39">
        <w:rPr>
          <w:i w:val="0"/>
          <w:iCs w:val="0"/>
          <w:color w:val="auto"/>
          <w:sz w:val="22"/>
          <w:szCs w:val="22"/>
        </w:rPr>
        <w:t xml:space="preserve"> the Reference Scenario allow</w:t>
      </w:r>
      <w:r w:rsidR="00A21451" w:rsidRPr="00F11E39">
        <w:rPr>
          <w:i w:val="0"/>
          <w:iCs w:val="0"/>
          <w:color w:val="auto"/>
          <w:sz w:val="22"/>
          <w:szCs w:val="22"/>
        </w:rPr>
        <w:t>s</w:t>
      </w:r>
      <w:r w:rsidR="007C645A" w:rsidRPr="00F11E39">
        <w:rPr>
          <w:i w:val="0"/>
          <w:iCs w:val="0"/>
          <w:color w:val="auto"/>
          <w:sz w:val="22"/>
          <w:szCs w:val="22"/>
        </w:rPr>
        <w:t xml:space="preserve"> </w:t>
      </w:r>
      <w:r w:rsidRPr="00F11E39">
        <w:rPr>
          <w:i w:val="0"/>
          <w:iCs w:val="0"/>
          <w:color w:val="auto"/>
          <w:sz w:val="22"/>
          <w:szCs w:val="22"/>
        </w:rPr>
        <w:t>an</w:t>
      </w:r>
      <w:r w:rsidR="007C645A" w:rsidRPr="00F11E39">
        <w:rPr>
          <w:i w:val="0"/>
          <w:iCs w:val="0"/>
          <w:color w:val="auto"/>
          <w:sz w:val="22"/>
          <w:szCs w:val="22"/>
        </w:rPr>
        <w:t xml:space="preserve"> estimat</w:t>
      </w:r>
      <w:r w:rsidRPr="00F11E39">
        <w:rPr>
          <w:i w:val="0"/>
          <w:iCs w:val="0"/>
          <w:color w:val="auto"/>
          <w:sz w:val="22"/>
          <w:szCs w:val="22"/>
        </w:rPr>
        <w:t xml:space="preserve">ion of </w:t>
      </w:r>
      <w:r w:rsidR="007C645A" w:rsidRPr="00F11E39">
        <w:rPr>
          <w:i w:val="0"/>
          <w:iCs w:val="0"/>
          <w:color w:val="auto"/>
          <w:sz w:val="22"/>
          <w:szCs w:val="22"/>
        </w:rPr>
        <w:t xml:space="preserve">the climate and financial impacts of increased adoption of utility-scale PV systems. </w:t>
      </w:r>
      <w:r w:rsidRPr="00F11E39">
        <w:rPr>
          <w:i w:val="0"/>
          <w:iCs w:val="0"/>
          <w:color w:val="auto"/>
          <w:sz w:val="22"/>
          <w:szCs w:val="22"/>
        </w:rPr>
        <w:t xml:space="preserve">As a result of this </w:t>
      </w:r>
      <w:r w:rsidRPr="00F11E39">
        <w:rPr>
          <w:i w:val="0"/>
          <w:iCs w:val="0"/>
          <w:color w:val="000000" w:themeColor="text1"/>
          <w:sz w:val="22"/>
          <w:szCs w:val="22"/>
        </w:rPr>
        <w:t>exercise, t</w:t>
      </w:r>
      <w:r w:rsidR="007C645A" w:rsidRPr="00F11E39">
        <w:rPr>
          <w:i w:val="0"/>
          <w:iCs w:val="0"/>
          <w:color w:val="000000" w:themeColor="text1"/>
          <w:sz w:val="22"/>
          <w:szCs w:val="22"/>
        </w:rPr>
        <w:t>he Plausible Scenario</w:t>
      </w:r>
      <w:r w:rsidR="005C77F5" w:rsidRPr="00F11E39">
        <w:rPr>
          <w:i w:val="0"/>
          <w:iCs w:val="0"/>
          <w:color w:val="000000" w:themeColor="text1"/>
          <w:sz w:val="22"/>
          <w:szCs w:val="22"/>
        </w:rPr>
        <w:t xml:space="preserve"> (PDS1)</w:t>
      </w:r>
      <w:r w:rsidR="007C645A" w:rsidRPr="00F11E39">
        <w:rPr>
          <w:i w:val="0"/>
          <w:iCs w:val="0"/>
          <w:color w:val="000000" w:themeColor="text1"/>
          <w:sz w:val="22"/>
          <w:szCs w:val="22"/>
        </w:rPr>
        <w:t xml:space="preserve"> projects</w:t>
      </w:r>
      <w:r w:rsidRPr="00F11E39">
        <w:rPr>
          <w:i w:val="0"/>
          <w:iCs w:val="0"/>
          <w:color w:val="000000" w:themeColor="text1"/>
          <w:sz w:val="22"/>
          <w:szCs w:val="22"/>
        </w:rPr>
        <w:t xml:space="preserve"> that</w:t>
      </w:r>
      <w:r w:rsidR="007C645A" w:rsidRPr="00F11E39">
        <w:rPr>
          <w:i w:val="0"/>
          <w:iCs w:val="0"/>
          <w:color w:val="000000" w:themeColor="text1"/>
          <w:sz w:val="22"/>
          <w:szCs w:val="22"/>
        </w:rPr>
        <w:t xml:space="preserve"> </w:t>
      </w:r>
      <w:r w:rsidR="005F0E84">
        <w:rPr>
          <w:i w:val="0"/>
          <w:iCs w:val="0"/>
          <w:color w:val="000000" w:themeColor="text1"/>
          <w:sz w:val="22"/>
          <w:szCs w:val="22"/>
        </w:rPr>
        <w:t>20.5</w:t>
      </w:r>
      <w:r w:rsidR="007C645A" w:rsidRPr="00F11E39">
        <w:rPr>
          <w:i w:val="0"/>
          <w:iCs w:val="0"/>
          <w:color w:val="000000" w:themeColor="text1"/>
          <w:sz w:val="22"/>
          <w:szCs w:val="22"/>
        </w:rPr>
        <w:t xml:space="preserve"> percent of total electricity generation worldwide</w:t>
      </w:r>
      <w:r w:rsidRPr="00F11E39">
        <w:rPr>
          <w:i w:val="0"/>
          <w:iCs w:val="0"/>
          <w:color w:val="000000" w:themeColor="text1"/>
          <w:sz w:val="22"/>
          <w:szCs w:val="22"/>
        </w:rPr>
        <w:t xml:space="preserve"> </w:t>
      </w:r>
      <w:r w:rsidR="00AC60DD" w:rsidRPr="00F11E39">
        <w:rPr>
          <w:i w:val="0"/>
          <w:iCs w:val="0"/>
          <w:color w:val="000000" w:themeColor="text1"/>
          <w:sz w:val="22"/>
          <w:szCs w:val="22"/>
        </w:rPr>
        <w:t>would come</w:t>
      </w:r>
      <w:r w:rsidR="007C645A" w:rsidRPr="00F11E39">
        <w:rPr>
          <w:i w:val="0"/>
          <w:iCs w:val="0"/>
          <w:color w:val="000000" w:themeColor="text1"/>
          <w:sz w:val="22"/>
          <w:szCs w:val="22"/>
        </w:rPr>
        <w:t xml:space="preserve"> from utility-scale solar</w:t>
      </w:r>
      <w:r w:rsidRPr="00F11E39">
        <w:rPr>
          <w:i w:val="0"/>
          <w:iCs w:val="0"/>
          <w:color w:val="000000" w:themeColor="text1"/>
          <w:sz w:val="22"/>
          <w:szCs w:val="22"/>
        </w:rPr>
        <w:t xml:space="preserve"> systems</w:t>
      </w:r>
      <w:r w:rsidR="007C645A" w:rsidRPr="00F11E39">
        <w:rPr>
          <w:i w:val="0"/>
          <w:iCs w:val="0"/>
          <w:color w:val="000000" w:themeColor="text1"/>
          <w:sz w:val="22"/>
          <w:szCs w:val="22"/>
        </w:rPr>
        <w:t xml:space="preserve"> by 2050. In the Drawdown </w:t>
      </w:r>
      <w:r w:rsidR="005C77F5" w:rsidRPr="00F11E39">
        <w:rPr>
          <w:i w:val="0"/>
          <w:iCs w:val="0"/>
          <w:color w:val="000000" w:themeColor="text1"/>
          <w:sz w:val="22"/>
          <w:szCs w:val="22"/>
        </w:rPr>
        <w:t xml:space="preserve">(PDS2) </w:t>
      </w:r>
      <w:r w:rsidR="007C645A" w:rsidRPr="00F11E39">
        <w:rPr>
          <w:i w:val="0"/>
          <w:iCs w:val="0"/>
          <w:color w:val="000000" w:themeColor="text1"/>
          <w:sz w:val="22"/>
          <w:szCs w:val="22"/>
        </w:rPr>
        <w:t>and Optimum Scenarios</w:t>
      </w:r>
      <w:r w:rsidR="005C77F5" w:rsidRPr="00F11E39">
        <w:rPr>
          <w:i w:val="0"/>
          <w:iCs w:val="0"/>
          <w:color w:val="000000" w:themeColor="text1"/>
          <w:sz w:val="22"/>
          <w:szCs w:val="22"/>
        </w:rPr>
        <w:t xml:space="preserve"> (PDS3)</w:t>
      </w:r>
      <w:r w:rsidR="007C645A" w:rsidRPr="00F11E39">
        <w:rPr>
          <w:i w:val="0"/>
          <w:iCs w:val="0"/>
          <w:color w:val="000000" w:themeColor="text1"/>
          <w:sz w:val="22"/>
          <w:szCs w:val="22"/>
        </w:rPr>
        <w:t xml:space="preserve"> </w:t>
      </w:r>
      <w:r w:rsidR="00AC60DD" w:rsidRPr="00F11E39">
        <w:rPr>
          <w:i w:val="0"/>
          <w:iCs w:val="0"/>
          <w:color w:val="000000" w:themeColor="text1"/>
          <w:sz w:val="22"/>
          <w:szCs w:val="22"/>
        </w:rPr>
        <w:t>this share</w:t>
      </w:r>
      <w:r w:rsidR="00D201BF" w:rsidRPr="00F11E39">
        <w:rPr>
          <w:i w:val="0"/>
          <w:iCs w:val="0"/>
          <w:color w:val="000000" w:themeColor="text1"/>
          <w:sz w:val="22"/>
          <w:szCs w:val="22"/>
        </w:rPr>
        <w:t xml:space="preserve"> reaches </w:t>
      </w:r>
      <w:r w:rsidR="00F11E39" w:rsidRPr="00F11E39">
        <w:rPr>
          <w:i w:val="0"/>
          <w:iCs w:val="0"/>
          <w:color w:val="000000" w:themeColor="text1"/>
          <w:sz w:val="22"/>
          <w:szCs w:val="22"/>
        </w:rPr>
        <w:t xml:space="preserve">25 </w:t>
      </w:r>
      <w:r w:rsidR="00D201BF" w:rsidRPr="00F11E39">
        <w:rPr>
          <w:i w:val="0"/>
          <w:iCs w:val="0"/>
          <w:color w:val="000000" w:themeColor="text1"/>
          <w:sz w:val="22"/>
          <w:szCs w:val="22"/>
        </w:rPr>
        <w:t>percent</w:t>
      </w:r>
      <w:r w:rsidR="007C645A" w:rsidRPr="00F11E39">
        <w:rPr>
          <w:i w:val="0"/>
          <w:iCs w:val="0"/>
          <w:color w:val="auto"/>
          <w:sz w:val="22"/>
          <w:szCs w:val="22"/>
        </w:rPr>
        <w:t>.</w:t>
      </w:r>
      <w:r w:rsidR="00B24F59" w:rsidRPr="00F11E39">
        <w:rPr>
          <w:i w:val="0"/>
          <w:iCs w:val="0"/>
          <w:color w:val="auto"/>
          <w:sz w:val="22"/>
          <w:szCs w:val="22"/>
        </w:rPr>
        <w:t xml:space="preserve"> </w:t>
      </w:r>
      <w:r w:rsidRPr="00F11E39">
        <w:rPr>
          <w:i w:val="0"/>
          <w:iCs w:val="0"/>
          <w:color w:val="auto"/>
          <w:sz w:val="22"/>
          <w:szCs w:val="22"/>
        </w:rPr>
        <w:t xml:space="preserve">It needs to </w:t>
      </w:r>
      <w:r w:rsidR="00AC60DD" w:rsidRPr="00F11E39">
        <w:rPr>
          <w:i w:val="0"/>
          <w:iCs w:val="0"/>
          <w:color w:val="auto"/>
          <w:sz w:val="22"/>
          <w:szCs w:val="22"/>
        </w:rPr>
        <w:t>be noted</w:t>
      </w:r>
      <w:r w:rsidRPr="00F11E39">
        <w:rPr>
          <w:i w:val="0"/>
          <w:iCs w:val="0"/>
          <w:color w:val="auto"/>
          <w:sz w:val="22"/>
          <w:szCs w:val="22"/>
        </w:rPr>
        <w:t xml:space="preserve"> that t</w:t>
      </w:r>
      <w:r w:rsidR="00E9270B" w:rsidRPr="00F11E39">
        <w:rPr>
          <w:i w:val="0"/>
          <w:iCs w:val="0"/>
          <w:color w:val="auto"/>
          <w:sz w:val="22"/>
          <w:szCs w:val="22"/>
        </w:rPr>
        <w:t>he vast majority of additional utility-scale PV installed over the next 30 years will take place outside</w:t>
      </w:r>
      <w:r w:rsidR="00E9270B" w:rsidRPr="00061636">
        <w:rPr>
          <w:i w:val="0"/>
          <w:iCs w:val="0"/>
          <w:color w:val="auto"/>
          <w:sz w:val="22"/>
          <w:szCs w:val="22"/>
        </w:rPr>
        <w:t xml:space="preserve"> the</w:t>
      </w:r>
      <w:r w:rsidRPr="00061636">
        <w:rPr>
          <w:i w:val="0"/>
          <w:iCs w:val="0"/>
          <w:color w:val="auto"/>
          <w:sz w:val="22"/>
          <w:szCs w:val="22"/>
        </w:rPr>
        <w:t xml:space="preserve"> (present)</w:t>
      </w:r>
      <w:r w:rsidR="00E9270B" w:rsidRPr="00061636">
        <w:rPr>
          <w:i w:val="0"/>
          <w:iCs w:val="0"/>
          <w:color w:val="auto"/>
          <w:sz w:val="22"/>
          <w:szCs w:val="22"/>
        </w:rPr>
        <w:t xml:space="preserve"> developed world. China alone is expected to have more PV generation in 2050 than the entire OECD</w:t>
      </w:r>
      <w:r w:rsidR="00216029" w:rsidRPr="00061636">
        <w:rPr>
          <w:i w:val="0"/>
          <w:iCs w:val="0"/>
          <w:color w:val="auto"/>
          <w:sz w:val="22"/>
          <w:szCs w:val="22"/>
        </w:rPr>
        <w:t xml:space="preserve"> countries</w:t>
      </w:r>
      <w:r w:rsidR="00E9270B" w:rsidRPr="00061636">
        <w:rPr>
          <w:i w:val="0"/>
          <w:iCs w:val="0"/>
          <w:color w:val="auto"/>
          <w:sz w:val="22"/>
          <w:szCs w:val="22"/>
        </w:rPr>
        <w:t xml:space="preserve">. </w:t>
      </w:r>
      <w:r w:rsidR="00807D37" w:rsidRPr="00061636">
        <w:rPr>
          <w:i w:val="0"/>
          <w:iCs w:val="0"/>
          <w:color w:val="auto"/>
          <w:sz w:val="22"/>
          <w:szCs w:val="22"/>
        </w:rPr>
        <w:t>Table 3.</w:t>
      </w:r>
      <w:r w:rsidR="005C77F5" w:rsidRPr="00061636">
        <w:rPr>
          <w:i w:val="0"/>
          <w:iCs w:val="0"/>
          <w:color w:val="auto"/>
          <w:sz w:val="22"/>
          <w:szCs w:val="22"/>
        </w:rPr>
        <w:t>1</w:t>
      </w:r>
      <w:r w:rsidR="00216029" w:rsidRPr="00061636">
        <w:rPr>
          <w:i w:val="0"/>
          <w:iCs w:val="0"/>
          <w:color w:val="auto"/>
          <w:sz w:val="22"/>
          <w:szCs w:val="22"/>
        </w:rPr>
        <w:t xml:space="preserve"> below</w:t>
      </w:r>
      <w:r w:rsidR="00807D37" w:rsidRPr="00061636">
        <w:rPr>
          <w:i w:val="0"/>
          <w:iCs w:val="0"/>
          <w:color w:val="auto"/>
          <w:sz w:val="22"/>
          <w:szCs w:val="22"/>
        </w:rPr>
        <w:t xml:space="preserve"> </w:t>
      </w:r>
      <w:r w:rsidR="00B24F59" w:rsidRPr="00061636">
        <w:rPr>
          <w:i w:val="0"/>
          <w:iCs w:val="0"/>
          <w:color w:val="auto"/>
          <w:sz w:val="22"/>
          <w:szCs w:val="22"/>
        </w:rPr>
        <w:t>show</w:t>
      </w:r>
      <w:r w:rsidR="00216029" w:rsidRPr="00061636">
        <w:rPr>
          <w:i w:val="0"/>
          <w:iCs w:val="0"/>
          <w:color w:val="auto"/>
          <w:sz w:val="22"/>
          <w:szCs w:val="22"/>
        </w:rPr>
        <w:t>s</w:t>
      </w:r>
      <w:r w:rsidR="00B24F59" w:rsidRPr="00061636">
        <w:rPr>
          <w:i w:val="0"/>
          <w:iCs w:val="0"/>
          <w:color w:val="auto"/>
          <w:sz w:val="22"/>
          <w:szCs w:val="22"/>
        </w:rPr>
        <w:t xml:space="preserve"> the adoptions of the solution in </w:t>
      </w:r>
      <w:r w:rsidR="00807D37" w:rsidRPr="00061636">
        <w:rPr>
          <w:i w:val="0"/>
          <w:iCs w:val="0"/>
          <w:color w:val="auto"/>
          <w:sz w:val="22"/>
          <w:szCs w:val="22"/>
        </w:rPr>
        <w:t>2050</w:t>
      </w:r>
      <w:r w:rsidR="00B24F59" w:rsidRPr="00061636">
        <w:rPr>
          <w:i w:val="0"/>
          <w:iCs w:val="0"/>
          <w:color w:val="auto"/>
          <w:sz w:val="22"/>
          <w:szCs w:val="22"/>
        </w:rPr>
        <w:t xml:space="preserve"> in functional units and percent</w:t>
      </w:r>
      <w:r w:rsidR="00216029" w:rsidRPr="00061636">
        <w:rPr>
          <w:i w:val="0"/>
          <w:iCs w:val="0"/>
          <w:color w:val="auto"/>
          <w:sz w:val="22"/>
          <w:szCs w:val="22"/>
        </w:rPr>
        <w:t>age terms</w:t>
      </w:r>
      <w:r w:rsidR="00B24F59" w:rsidRPr="00061636">
        <w:rPr>
          <w:i w:val="0"/>
          <w:iCs w:val="0"/>
          <w:color w:val="auto"/>
          <w:sz w:val="22"/>
          <w:szCs w:val="22"/>
        </w:rPr>
        <w:t xml:space="preserve">. </w:t>
      </w:r>
      <w:r w:rsidR="00216029" w:rsidRPr="00061636">
        <w:rPr>
          <w:i w:val="0"/>
          <w:iCs w:val="0"/>
          <w:color w:val="auto"/>
          <w:sz w:val="22"/>
          <w:szCs w:val="22"/>
        </w:rPr>
        <w:t xml:space="preserve">The graph </w:t>
      </w:r>
      <w:r w:rsidR="00F11E39">
        <w:rPr>
          <w:i w:val="0"/>
          <w:iCs w:val="0"/>
          <w:color w:val="auto"/>
          <w:sz w:val="22"/>
          <w:szCs w:val="22"/>
        </w:rPr>
        <w:t>in</w:t>
      </w:r>
      <w:r w:rsidR="00216029" w:rsidRPr="00061636">
        <w:rPr>
          <w:i w:val="0"/>
          <w:iCs w:val="0"/>
          <w:color w:val="auto"/>
          <w:sz w:val="22"/>
          <w:szCs w:val="22"/>
        </w:rPr>
        <w:t xml:space="preserve"> </w:t>
      </w:r>
      <w:r w:rsidR="00912CC8" w:rsidRPr="00061636">
        <w:rPr>
          <w:i w:val="0"/>
          <w:iCs w:val="0"/>
          <w:color w:val="auto"/>
          <w:sz w:val="22"/>
          <w:szCs w:val="22"/>
        </w:rPr>
        <w:t>Figure 3</w:t>
      </w:r>
      <w:r w:rsidR="00F11E39">
        <w:rPr>
          <w:i w:val="0"/>
          <w:iCs w:val="0"/>
          <w:color w:val="auto"/>
          <w:sz w:val="22"/>
          <w:szCs w:val="22"/>
        </w:rPr>
        <w:t>.</w:t>
      </w:r>
      <w:r w:rsidR="00912CC8" w:rsidRPr="00061636">
        <w:rPr>
          <w:i w:val="0"/>
          <w:iCs w:val="0"/>
          <w:color w:val="auto"/>
          <w:sz w:val="22"/>
          <w:szCs w:val="22"/>
        </w:rPr>
        <w:t xml:space="preserve">1 depicts the </w:t>
      </w:r>
      <w:r w:rsidR="00AC60DD" w:rsidRPr="00061636">
        <w:rPr>
          <w:i w:val="0"/>
          <w:iCs w:val="0"/>
          <w:color w:val="auto"/>
          <w:sz w:val="22"/>
          <w:szCs w:val="22"/>
        </w:rPr>
        <w:t>long-term</w:t>
      </w:r>
      <w:r w:rsidR="00912CC8" w:rsidRPr="00061636">
        <w:rPr>
          <w:i w:val="0"/>
          <w:iCs w:val="0"/>
          <w:color w:val="auto"/>
          <w:sz w:val="22"/>
          <w:szCs w:val="22"/>
        </w:rPr>
        <w:t xml:space="preserve"> pathway trajectories for the different scenarios of </w:t>
      </w:r>
      <w:r w:rsidR="005F0E84">
        <w:rPr>
          <w:i w:val="0"/>
          <w:iCs w:val="0"/>
          <w:color w:val="auto"/>
          <w:sz w:val="22"/>
          <w:szCs w:val="22"/>
        </w:rPr>
        <w:t>utility scale solar PV systems</w:t>
      </w:r>
      <w:r w:rsidR="00912CC8" w:rsidRPr="00061636">
        <w:rPr>
          <w:i w:val="0"/>
          <w:iCs w:val="0"/>
          <w:color w:val="auto"/>
          <w:sz w:val="22"/>
          <w:szCs w:val="22"/>
        </w:rPr>
        <w:t>.</w:t>
      </w:r>
    </w:p>
    <w:p w14:paraId="21183A78" w14:textId="3DE82561" w:rsidR="008D1491" w:rsidRPr="00061636" w:rsidRDefault="008D1491" w:rsidP="00EB247F">
      <w:pPr>
        <w:pStyle w:val="Caption"/>
        <w:jc w:val="center"/>
      </w:pPr>
      <w:bookmarkStart w:id="56" w:name="_Toc534461012"/>
      <w:r w:rsidRPr="00061636">
        <w:t xml:space="preserve">Table </w:t>
      </w:r>
      <w:fldSimple w:instr=" STYLEREF 1 \s ">
        <w:r w:rsidR="00492F5E" w:rsidRPr="00061636">
          <w:t>3</w:t>
        </w:r>
      </w:fldSimple>
      <w:r w:rsidR="00492F5E" w:rsidRPr="00061636">
        <w:t>.</w:t>
      </w:r>
      <w:fldSimple w:instr=" SEQ Table \* ARABIC \s 1 ">
        <w:r w:rsidR="00492F5E" w:rsidRPr="00061636">
          <w:t>1</w:t>
        </w:r>
      </w:fldSimple>
      <w:r w:rsidRPr="00061636">
        <w:t xml:space="preserve"> </w:t>
      </w:r>
      <w:r w:rsidR="005C77F5" w:rsidRPr="00061636">
        <w:t xml:space="preserve">World </w:t>
      </w:r>
      <w:r w:rsidRPr="00061636">
        <w:t>Adoption</w:t>
      </w:r>
      <w:r w:rsidR="005C77F5" w:rsidRPr="00061636">
        <w:t xml:space="preserve"> of the Solution</w:t>
      </w:r>
      <w:bookmarkEnd w:id="56"/>
    </w:p>
    <w:tbl>
      <w:tblPr>
        <w:tblStyle w:val="TableGrid"/>
        <w:tblW w:w="9217" w:type="dxa"/>
        <w:tblLook w:val="04A0" w:firstRow="1" w:lastRow="0" w:firstColumn="1" w:lastColumn="0" w:noHBand="0" w:noVBand="1"/>
      </w:tblPr>
      <w:tblGrid>
        <w:gridCol w:w="1951"/>
        <w:gridCol w:w="1163"/>
        <w:gridCol w:w="1417"/>
        <w:gridCol w:w="1385"/>
        <w:gridCol w:w="1652"/>
        <w:gridCol w:w="1649"/>
      </w:tblGrid>
      <w:tr w:rsidR="00971BA5" w:rsidRPr="00061636" w14:paraId="3FFD2090" w14:textId="77777777" w:rsidTr="005C77F5">
        <w:trPr>
          <w:trHeight w:val="48"/>
        </w:trPr>
        <w:tc>
          <w:tcPr>
            <w:tcW w:w="1951" w:type="dxa"/>
            <w:vMerge w:val="restart"/>
            <w:shd w:val="clear" w:color="auto" w:fill="4F81BD" w:themeFill="accent1"/>
            <w:vAlign w:val="center"/>
          </w:tcPr>
          <w:p w14:paraId="71879AD5" w14:textId="3CA30AF5" w:rsidR="00971BA5" w:rsidRPr="00061636" w:rsidRDefault="00971BA5" w:rsidP="001534F5">
            <w:pPr>
              <w:spacing w:line="240" w:lineRule="auto"/>
              <w:jc w:val="center"/>
              <w:rPr>
                <w:rFonts w:cstheme="minorHAnsi"/>
                <w:b/>
                <w:bCs/>
                <w:color w:val="FFFFFF" w:themeColor="background1"/>
                <w:sz w:val="20"/>
                <w:szCs w:val="20"/>
              </w:rPr>
            </w:pPr>
            <w:r w:rsidRPr="00061636">
              <w:rPr>
                <w:rFonts w:cstheme="minorHAnsi"/>
                <w:b/>
                <w:bCs/>
                <w:color w:val="FFFFFF" w:themeColor="background1"/>
                <w:sz w:val="20"/>
                <w:szCs w:val="20"/>
              </w:rPr>
              <w:t>Solution</w:t>
            </w:r>
          </w:p>
        </w:tc>
        <w:tc>
          <w:tcPr>
            <w:tcW w:w="1163" w:type="dxa"/>
            <w:vMerge w:val="restart"/>
            <w:shd w:val="clear" w:color="auto" w:fill="4F81BD" w:themeFill="accent1"/>
            <w:vAlign w:val="center"/>
          </w:tcPr>
          <w:p w14:paraId="736EA4CB" w14:textId="55E81B77" w:rsidR="00971BA5" w:rsidRPr="00061636" w:rsidRDefault="00971BA5" w:rsidP="001534F5">
            <w:pPr>
              <w:spacing w:line="240" w:lineRule="auto"/>
              <w:jc w:val="center"/>
              <w:rPr>
                <w:b/>
                <w:bCs/>
                <w:iCs/>
                <w:color w:val="FFFFFF" w:themeColor="background1"/>
                <w:sz w:val="20"/>
                <w:szCs w:val="20"/>
              </w:rPr>
            </w:pPr>
            <w:r w:rsidRPr="00061636">
              <w:rPr>
                <w:b/>
                <w:bCs/>
                <w:iCs/>
                <w:color w:val="FFFFFF" w:themeColor="background1"/>
                <w:sz w:val="20"/>
                <w:szCs w:val="20"/>
              </w:rPr>
              <w:t>Units</w:t>
            </w:r>
          </w:p>
        </w:tc>
        <w:tc>
          <w:tcPr>
            <w:tcW w:w="1417" w:type="dxa"/>
            <w:vMerge w:val="restart"/>
            <w:shd w:val="clear" w:color="auto" w:fill="4F81BD" w:themeFill="accent1"/>
            <w:vAlign w:val="center"/>
          </w:tcPr>
          <w:p w14:paraId="7A4BC7EC" w14:textId="56617266" w:rsidR="00971BA5" w:rsidRPr="00061636" w:rsidRDefault="00971BA5" w:rsidP="001534F5">
            <w:pPr>
              <w:spacing w:line="240" w:lineRule="auto"/>
              <w:jc w:val="center"/>
              <w:rPr>
                <w:b/>
                <w:bCs/>
                <w:color w:val="FFFFFF" w:themeColor="background1"/>
                <w:sz w:val="20"/>
                <w:szCs w:val="20"/>
              </w:rPr>
            </w:pPr>
            <w:r w:rsidRPr="00061636">
              <w:rPr>
                <w:b/>
                <w:bCs/>
                <w:iCs/>
                <w:color w:val="FFFFFF" w:themeColor="background1"/>
                <w:sz w:val="20"/>
                <w:szCs w:val="20"/>
              </w:rPr>
              <w:t xml:space="preserve">Base Year </w:t>
            </w:r>
            <w:r w:rsidRPr="00061636">
              <w:rPr>
                <w:b/>
                <w:bCs/>
                <w:color w:val="FFFFFF" w:themeColor="background1"/>
                <w:sz w:val="20"/>
                <w:szCs w:val="20"/>
              </w:rPr>
              <w:t xml:space="preserve"> (2014)</w:t>
            </w:r>
          </w:p>
        </w:tc>
        <w:tc>
          <w:tcPr>
            <w:tcW w:w="4686" w:type="dxa"/>
            <w:gridSpan w:val="3"/>
            <w:shd w:val="clear" w:color="auto" w:fill="4F81BD" w:themeFill="accent1"/>
            <w:vAlign w:val="center"/>
          </w:tcPr>
          <w:p w14:paraId="1BAFBD47" w14:textId="1AD40332" w:rsidR="00971BA5" w:rsidRPr="00061636" w:rsidRDefault="00971BA5" w:rsidP="001534F5">
            <w:pPr>
              <w:spacing w:line="240" w:lineRule="auto"/>
              <w:jc w:val="center"/>
              <w:rPr>
                <w:b/>
                <w:bCs/>
                <w:iCs/>
                <w:color w:val="FFFFFF" w:themeColor="background1"/>
                <w:sz w:val="20"/>
                <w:szCs w:val="20"/>
              </w:rPr>
            </w:pPr>
            <w:r w:rsidRPr="00061636">
              <w:rPr>
                <w:b/>
                <w:bCs/>
                <w:iCs/>
                <w:color w:val="FFFFFF" w:themeColor="background1"/>
                <w:sz w:val="20"/>
                <w:szCs w:val="20"/>
              </w:rPr>
              <w:t>World Adoption by 2050</w:t>
            </w:r>
          </w:p>
        </w:tc>
      </w:tr>
      <w:tr w:rsidR="00971BA5" w:rsidRPr="00061636" w14:paraId="4801E75B" w14:textId="77777777" w:rsidTr="005C77F5">
        <w:trPr>
          <w:trHeight w:val="184"/>
        </w:trPr>
        <w:tc>
          <w:tcPr>
            <w:tcW w:w="1951" w:type="dxa"/>
            <w:vMerge/>
            <w:shd w:val="clear" w:color="auto" w:fill="4F81BD" w:themeFill="accent1"/>
            <w:vAlign w:val="center"/>
          </w:tcPr>
          <w:p w14:paraId="6CD710FF" w14:textId="77777777" w:rsidR="00971BA5" w:rsidRPr="00061636" w:rsidRDefault="00971BA5" w:rsidP="001534F5">
            <w:pPr>
              <w:spacing w:line="240" w:lineRule="auto"/>
              <w:jc w:val="center"/>
              <w:rPr>
                <w:rFonts w:cstheme="minorHAnsi"/>
                <w:b/>
                <w:bCs/>
                <w:i/>
                <w:color w:val="FFFFFF" w:themeColor="background1"/>
                <w:sz w:val="20"/>
                <w:szCs w:val="20"/>
              </w:rPr>
            </w:pPr>
          </w:p>
        </w:tc>
        <w:tc>
          <w:tcPr>
            <w:tcW w:w="1163" w:type="dxa"/>
            <w:vMerge/>
            <w:shd w:val="clear" w:color="auto" w:fill="4F81BD" w:themeFill="accent1"/>
            <w:vAlign w:val="center"/>
          </w:tcPr>
          <w:p w14:paraId="173F30E0" w14:textId="77777777" w:rsidR="00971BA5" w:rsidRPr="00061636" w:rsidRDefault="00971BA5" w:rsidP="001534F5">
            <w:pPr>
              <w:spacing w:line="240" w:lineRule="auto"/>
              <w:jc w:val="center"/>
              <w:rPr>
                <w:bCs/>
                <w:i/>
                <w:color w:val="FFFFFF" w:themeColor="background1"/>
                <w:sz w:val="20"/>
                <w:szCs w:val="20"/>
              </w:rPr>
            </w:pPr>
          </w:p>
        </w:tc>
        <w:tc>
          <w:tcPr>
            <w:tcW w:w="1417" w:type="dxa"/>
            <w:vMerge/>
            <w:shd w:val="clear" w:color="auto" w:fill="4F81BD" w:themeFill="accent1"/>
            <w:vAlign w:val="center"/>
          </w:tcPr>
          <w:p w14:paraId="74E7E210" w14:textId="29C848AE" w:rsidR="00971BA5" w:rsidRPr="00061636" w:rsidRDefault="00971BA5" w:rsidP="001534F5">
            <w:pPr>
              <w:spacing w:line="240" w:lineRule="auto"/>
              <w:jc w:val="center"/>
              <w:rPr>
                <w:bCs/>
                <w:i/>
                <w:color w:val="FFFFFF" w:themeColor="background1"/>
                <w:sz w:val="20"/>
                <w:szCs w:val="20"/>
              </w:rPr>
            </w:pPr>
          </w:p>
        </w:tc>
        <w:tc>
          <w:tcPr>
            <w:tcW w:w="1385" w:type="dxa"/>
            <w:shd w:val="clear" w:color="auto" w:fill="4F81BD" w:themeFill="accent1"/>
            <w:vAlign w:val="center"/>
          </w:tcPr>
          <w:p w14:paraId="3BAD7FDF" w14:textId="77777777" w:rsidR="00971BA5" w:rsidRPr="00061636" w:rsidRDefault="00971BA5" w:rsidP="001534F5">
            <w:pPr>
              <w:spacing w:line="240" w:lineRule="auto"/>
              <w:jc w:val="center"/>
              <w:rPr>
                <w:b/>
                <w:bCs/>
                <w:iCs/>
                <w:color w:val="FFFFFF" w:themeColor="background1"/>
                <w:sz w:val="20"/>
                <w:szCs w:val="20"/>
              </w:rPr>
            </w:pPr>
            <w:r w:rsidRPr="00061636">
              <w:rPr>
                <w:b/>
                <w:bCs/>
                <w:iCs/>
                <w:color w:val="FFFFFF" w:themeColor="background1"/>
                <w:sz w:val="20"/>
                <w:szCs w:val="20"/>
              </w:rPr>
              <w:t>Plausible</w:t>
            </w:r>
          </w:p>
        </w:tc>
        <w:tc>
          <w:tcPr>
            <w:tcW w:w="1652" w:type="dxa"/>
            <w:shd w:val="clear" w:color="auto" w:fill="4F81BD" w:themeFill="accent1"/>
            <w:vAlign w:val="center"/>
          </w:tcPr>
          <w:p w14:paraId="0A0F5473" w14:textId="77777777" w:rsidR="00971BA5" w:rsidRPr="00061636" w:rsidRDefault="00971BA5" w:rsidP="001534F5">
            <w:pPr>
              <w:spacing w:line="240" w:lineRule="auto"/>
              <w:jc w:val="center"/>
              <w:rPr>
                <w:b/>
                <w:bCs/>
                <w:iCs/>
                <w:color w:val="FFFFFF" w:themeColor="background1"/>
                <w:sz w:val="20"/>
                <w:szCs w:val="20"/>
              </w:rPr>
            </w:pPr>
            <w:r w:rsidRPr="00061636">
              <w:rPr>
                <w:b/>
                <w:bCs/>
                <w:iCs/>
                <w:color w:val="FFFFFF" w:themeColor="background1"/>
                <w:sz w:val="20"/>
                <w:szCs w:val="20"/>
              </w:rPr>
              <w:t>Drawdown</w:t>
            </w:r>
          </w:p>
        </w:tc>
        <w:tc>
          <w:tcPr>
            <w:tcW w:w="1649" w:type="dxa"/>
            <w:shd w:val="clear" w:color="auto" w:fill="4F81BD" w:themeFill="accent1"/>
            <w:vAlign w:val="center"/>
          </w:tcPr>
          <w:p w14:paraId="0927695E" w14:textId="77777777" w:rsidR="00971BA5" w:rsidRPr="00061636" w:rsidRDefault="00971BA5" w:rsidP="001534F5">
            <w:pPr>
              <w:spacing w:line="240" w:lineRule="auto"/>
              <w:jc w:val="center"/>
              <w:rPr>
                <w:b/>
                <w:bCs/>
                <w:iCs/>
                <w:color w:val="FFFFFF" w:themeColor="background1"/>
                <w:sz w:val="20"/>
                <w:szCs w:val="20"/>
              </w:rPr>
            </w:pPr>
            <w:r w:rsidRPr="00061636">
              <w:rPr>
                <w:b/>
                <w:bCs/>
                <w:iCs/>
                <w:color w:val="FFFFFF" w:themeColor="background1"/>
                <w:sz w:val="20"/>
                <w:szCs w:val="20"/>
              </w:rPr>
              <w:t>Optimum</w:t>
            </w:r>
          </w:p>
        </w:tc>
      </w:tr>
      <w:tr w:rsidR="005C77F5" w:rsidRPr="00061636" w14:paraId="305C72A7" w14:textId="77777777" w:rsidTr="00396031">
        <w:trPr>
          <w:trHeight w:val="619"/>
        </w:trPr>
        <w:tc>
          <w:tcPr>
            <w:tcW w:w="1951" w:type="dxa"/>
            <w:vMerge w:val="restart"/>
            <w:vAlign w:val="center"/>
          </w:tcPr>
          <w:p w14:paraId="2B8FFE1B" w14:textId="7C80F205" w:rsidR="005C77F5" w:rsidRPr="00061636" w:rsidRDefault="00F4258D" w:rsidP="001534F5">
            <w:pPr>
              <w:spacing w:line="240" w:lineRule="auto"/>
              <w:jc w:val="center"/>
              <w:rPr>
                <w:sz w:val="20"/>
                <w:szCs w:val="20"/>
              </w:rPr>
            </w:pPr>
            <w:r w:rsidRPr="00061636">
              <w:rPr>
                <w:sz w:val="20"/>
                <w:szCs w:val="20"/>
              </w:rPr>
              <w:t>Utility-scale</w:t>
            </w:r>
            <w:r w:rsidR="005C77F5" w:rsidRPr="00061636">
              <w:rPr>
                <w:sz w:val="20"/>
                <w:szCs w:val="20"/>
              </w:rPr>
              <w:t xml:space="preserve"> Solar Photovoltaic (Solar Farms)</w:t>
            </w:r>
          </w:p>
        </w:tc>
        <w:tc>
          <w:tcPr>
            <w:tcW w:w="1163" w:type="dxa"/>
            <w:vAlign w:val="center"/>
          </w:tcPr>
          <w:p w14:paraId="5BDA7373" w14:textId="4437EFB5" w:rsidR="005C77F5" w:rsidRPr="00061636" w:rsidRDefault="005C77F5" w:rsidP="001534F5">
            <w:pPr>
              <w:spacing w:line="240" w:lineRule="auto"/>
              <w:jc w:val="center"/>
              <w:rPr>
                <w:rFonts w:cstheme="minorHAnsi"/>
                <w:bCs/>
                <w:color w:val="000000" w:themeColor="text1"/>
                <w:sz w:val="20"/>
                <w:szCs w:val="20"/>
              </w:rPr>
            </w:pPr>
            <w:r w:rsidRPr="00061636">
              <w:rPr>
                <w:bCs/>
                <w:i/>
                <w:color w:val="000000" w:themeColor="text1"/>
                <w:sz w:val="20"/>
                <w:szCs w:val="20"/>
              </w:rPr>
              <w:t>Electricity Generation (</w:t>
            </w:r>
            <w:proofErr w:type="spellStart"/>
            <w:r w:rsidRPr="00061636">
              <w:rPr>
                <w:bCs/>
                <w:i/>
                <w:color w:val="000000" w:themeColor="text1"/>
                <w:sz w:val="20"/>
                <w:szCs w:val="20"/>
              </w:rPr>
              <w:t>TWh</w:t>
            </w:r>
            <w:proofErr w:type="spellEnd"/>
            <w:r w:rsidRPr="00061636">
              <w:rPr>
                <w:bCs/>
                <w:i/>
                <w:color w:val="000000" w:themeColor="text1"/>
                <w:sz w:val="20"/>
                <w:szCs w:val="20"/>
              </w:rPr>
              <w:t>)</w:t>
            </w:r>
          </w:p>
        </w:tc>
        <w:tc>
          <w:tcPr>
            <w:tcW w:w="1417" w:type="dxa"/>
            <w:vAlign w:val="center"/>
          </w:tcPr>
          <w:p w14:paraId="72C0B03E" w14:textId="70B09AA0" w:rsidR="005C77F5" w:rsidRPr="00061636" w:rsidRDefault="005C77F5" w:rsidP="001534F5">
            <w:pPr>
              <w:spacing w:line="240" w:lineRule="auto"/>
              <w:jc w:val="center"/>
              <w:rPr>
                <w:rFonts w:cstheme="minorHAnsi"/>
                <w:bCs/>
                <w:sz w:val="20"/>
                <w:szCs w:val="20"/>
              </w:rPr>
            </w:pPr>
            <w:r w:rsidRPr="00061636">
              <w:rPr>
                <w:rFonts w:cstheme="minorHAnsi"/>
                <w:bCs/>
                <w:sz w:val="20"/>
                <w:szCs w:val="20"/>
              </w:rPr>
              <w:t>112.63</w:t>
            </w:r>
          </w:p>
        </w:tc>
        <w:tc>
          <w:tcPr>
            <w:tcW w:w="1385" w:type="dxa"/>
            <w:vAlign w:val="center"/>
          </w:tcPr>
          <w:p w14:paraId="2A8FE7A2" w14:textId="23B840DC" w:rsidR="005C77F5" w:rsidRPr="00F11E39" w:rsidRDefault="00F11E39" w:rsidP="001534F5">
            <w:pPr>
              <w:spacing w:line="240" w:lineRule="auto"/>
              <w:jc w:val="center"/>
              <w:rPr>
                <w:rFonts w:cstheme="minorHAnsi"/>
                <w:bCs/>
                <w:sz w:val="20"/>
                <w:szCs w:val="20"/>
              </w:rPr>
            </w:pPr>
            <w:r w:rsidRPr="00F11E39">
              <w:rPr>
                <w:rFonts w:cstheme="minorHAnsi"/>
                <w:bCs/>
                <w:sz w:val="20"/>
                <w:szCs w:val="20"/>
              </w:rPr>
              <w:t>9,352</w:t>
            </w:r>
          </w:p>
        </w:tc>
        <w:tc>
          <w:tcPr>
            <w:tcW w:w="1652" w:type="dxa"/>
            <w:vAlign w:val="center"/>
          </w:tcPr>
          <w:p w14:paraId="79EE8DDC" w14:textId="4B1FDEA3" w:rsidR="005C77F5" w:rsidRPr="00F11E39" w:rsidRDefault="00F11E39" w:rsidP="001534F5">
            <w:pPr>
              <w:spacing w:line="240" w:lineRule="auto"/>
              <w:jc w:val="center"/>
              <w:rPr>
                <w:rFonts w:cstheme="minorHAnsi"/>
                <w:bCs/>
                <w:sz w:val="20"/>
                <w:szCs w:val="20"/>
              </w:rPr>
            </w:pPr>
            <w:r w:rsidRPr="00F11E39">
              <w:rPr>
                <w:rFonts w:cstheme="minorHAnsi"/>
                <w:bCs/>
                <w:sz w:val="20"/>
                <w:szCs w:val="20"/>
              </w:rPr>
              <w:t>17,742</w:t>
            </w:r>
          </w:p>
        </w:tc>
        <w:tc>
          <w:tcPr>
            <w:tcW w:w="1649" w:type="dxa"/>
            <w:vAlign w:val="center"/>
          </w:tcPr>
          <w:p w14:paraId="5B002A1D" w14:textId="6FA6C572" w:rsidR="005C77F5" w:rsidRPr="00F11E39" w:rsidRDefault="00F11E39" w:rsidP="001534F5">
            <w:pPr>
              <w:spacing w:line="240" w:lineRule="auto"/>
              <w:jc w:val="center"/>
              <w:rPr>
                <w:rFonts w:cstheme="minorHAnsi"/>
                <w:bCs/>
                <w:sz w:val="20"/>
                <w:szCs w:val="20"/>
              </w:rPr>
            </w:pPr>
            <w:r w:rsidRPr="00F11E39">
              <w:rPr>
                <w:rFonts w:cstheme="minorHAnsi"/>
                <w:bCs/>
                <w:sz w:val="20"/>
                <w:szCs w:val="20"/>
              </w:rPr>
              <w:t>17,742</w:t>
            </w:r>
          </w:p>
        </w:tc>
      </w:tr>
      <w:tr w:rsidR="005C77F5" w:rsidRPr="00061636" w14:paraId="59E1863D" w14:textId="77777777" w:rsidTr="005C77F5">
        <w:trPr>
          <w:trHeight w:val="32"/>
        </w:trPr>
        <w:tc>
          <w:tcPr>
            <w:tcW w:w="1951" w:type="dxa"/>
            <w:vMerge/>
            <w:vAlign w:val="center"/>
          </w:tcPr>
          <w:p w14:paraId="518ED63B" w14:textId="77777777" w:rsidR="005C77F5" w:rsidRPr="00061636" w:rsidRDefault="005C77F5" w:rsidP="001534F5">
            <w:pPr>
              <w:spacing w:line="240" w:lineRule="auto"/>
              <w:jc w:val="center"/>
              <w:rPr>
                <w:sz w:val="20"/>
                <w:szCs w:val="20"/>
              </w:rPr>
            </w:pPr>
          </w:p>
        </w:tc>
        <w:tc>
          <w:tcPr>
            <w:tcW w:w="1163" w:type="dxa"/>
            <w:vAlign w:val="center"/>
          </w:tcPr>
          <w:p w14:paraId="2352B4C1" w14:textId="2AF39034" w:rsidR="005C77F5" w:rsidRPr="00061636" w:rsidRDefault="005C77F5" w:rsidP="001534F5">
            <w:pPr>
              <w:spacing w:line="240" w:lineRule="auto"/>
              <w:jc w:val="center"/>
              <w:rPr>
                <w:rFonts w:cstheme="minorHAnsi"/>
                <w:bCs/>
                <w:color w:val="000000" w:themeColor="text1"/>
                <w:sz w:val="20"/>
                <w:szCs w:val="20"/>
              </w:rPr>
            </w:pPr>
            <w:r w:rsidRPr="00061636">
              <w:rPr>
                <w:bCs/>
                <w:i/>
                <w:iCs/>
                <w:color w:val="000000" w:themeColor="text1"/>
                <w:sz w:val="20"/>
                <w:szCs w:val="20"/>
              </w:rPr>
              <w:t xml:space="preserve">(% </w:t>
            </w:r>
            <w:r w:rsidR="00216029" w:rsidRPr="00061636">
              <w:rPr>
                <w:bCs/>
                <w:i/>
                <w:iCs/>
                <w:color w:val="000000" w:themeColor="text1"/>
                <w:sz w:val="20"/>
                <w:szCs w:val="20"/>
              </w:rPr>
              <w:t xml:space="preserve">of </w:t>
            </w:r>
            <w:r w:rsidRPr="00061636">
              <w:rPr>
                <w:bCs/>
                <w:i/>
                <w:iCs/>
                <w:color w:val="000000" w:themeColor="text1"/>
                <w:sz w:val="20"/>
                <w:szCs w:val="20"/>
              </w:rPr>
              <w:t>market)</w:t>
            </w:r>
          </w:p>
        </w:tc>
        <w:tc>
          <w:tcPr>
            <w:tcW w:w="1417" w:type="dxa"/>
            <w:vAlign w:val="center"/>
          </w:tcPr>
          <w:p w14:paraId="4FD03435" w14:textId="116D47AF" w:rsidR="005C77F5" w:rsidRPr="00061636" w:rsidRDefault="005C77F5" w:rsidP="001534F5">
            <w:pPr>
              <w:spacing w:line="240" w:lineRule="auto"/>
              <w:jc w:val="center"/>
              <w:rPr>
                <w:rFonts w:cstheme="minorHAnsi"/>
                <w:bCs/>
                <w:sz w:val="20"/>
                <w:szCs w:val="20"/>
              </w:rPr>
            </w:pPr>
            <w:r w:rsidRPr="00061636">
              <w:rPr>
                <w:rFonts w:cstheme="minorHAnsi"/>
                <w:bCs/>
                <w:sz w:val="20"/>
                <w:szCs w:val="20"/>
              </w:rPr>
              <w:t>0.50%</w:t>
            </w:r>
          </w:p>
        </w:tc>
        <w:tc>
          <w:tcPr>
            <w:tcW w:w="1385" w:type="dxa"/>
            <w:vAlign w:val="center"/>
          </w:tcPr>
          <w:p w14:paraId="34CAFB53" w14:textId="7A32D705" w:rsidR="005C77F5" w:rsidRPr="00F11E39" w:rsidRDefault="005F0E84" w:rsidP="001534F5">
            <w:pPr>
              <w:spacing w:line="240" w:lineRule="auto"/>
              <w:jc w:val="center"/>
              <w:rPr>
                <w:rFonts w:cstheme="minorHAnsi"/>
                <w:bCs/>
                <w:sz w:val="20"/>
                <w:szCs w:val="20"/>
              </w:rPr>
            </w:pPr>
            <w:r>
              <w:rPr>
                <w:rFonts w:cstheme="minorHAnsi"/>
                <w:bCs/>
                <w:sz w:val="20"/>
                <w:szCs w:val="20"/>
              </w:rPr>
              <w:t>20.5</w:t>
            </w:r>
            <w:r w:rsidR="005C77F5" w:rsidRPr="00F11E39">
              <w:rPr>
                <w:rFonts w:cstheme="minorHAnsi"/>
                <w:bCs/>
                <w:sz w:val="20"/>
                <w:szCs w:val="20"/>
              </w:rPr>
              <w:t>%</w:t>
            </w:r>
          </w:p>
        </w:tc>
        <w:tc>
          <w:tcPr>
            <w:tcW w:w="1652" w:type="dxa"/>
            <w:vAlign w:val="center"/>
          </w:tcPr>
          <w:p w14:paraId="43B375D1" w14:textId="0B6FDE05" w:rsidR="005C77F5" w:rsidRPr="00F11E39" w:rsidRDefault="00F11E39" w:rsidP="001534F5">
            <w:pPr>
              <w:spacing w:line="240" w:lineRule="auto"/>
              <w:jc w:val="center"/>
              <w:rPr>
                <w:rFonts w:cstheme="minorHAnsi"/>
                <w:bCs/>
                <w:sz w:val="20"/>
                <w:szCs w:val="20"/>
              </w:rPr>
            </w:pPr>
            <w:r w:rsidRPr="00F11E39">
              <w:rPr>
                <w:rFonts w:cstheme="minorHAnsi"/>
                <w:bCs/>
                <w:sz w:val="20"/>
                <w:szCs w:val="20"/>
              </w:rPr>
              <w:t>25.0</w:t>
            </w:r>
            <w:r w:rsidR="005C77F5" w:rsidRPr="00F11E39">
              <w:rPr>
                <w:rFonts w:cstheme="minorHAnsi"/>
                <w:bCs/>
                <w:sz w:val="20"/>
                <w:szCs w:val="20"/>
              </w:rPr>
              <w:t>%</w:t>
            </w:r>
          </w:p>
        </w:tc>
        <w:tc>
          <w:tcPr>
            <w:tcW w:w="1649" w:type="dxa"/>
            <w:vAlign w:val="center"/>
          </w:tcPr>
          <w:p w14:paraId="7641EB01" w14:textId="5DA51B63" w:rsidR="005C77F5" w:rsidRPr="00F11E39" w:rsidRDefault="00F11E39" w:rsidP="001534F5">
            <w:pPr>
              <w:spacing w:line="240" w:lineRule="auto"/>
              <w:jc w:val="center"/>
              <w:rPr>
                <w:rFonts w:cstheme="minorHAnsi"/>
                <w:bCs/>
                <w:sz w:val="20"/>
                <w:szCs w:val="20"/>
              </w:rPr>
            </w:pPr>
            <w:r w:rsidRPr="00F11E39">
              <w:rPr>
                <w:rFonts w:cstheme="minorHAnsi"/>
                <w:bCs/>
                <w:sz w:val="20"/>
                <w:szCs w:val="20"/>
              </w:rPr>
              <w:t>25.0</w:t>
            </w:r>
            <w:r w:rsidR="005C77F5" w:rsidRPr="00F11E39">
              <w:rPr>
                <w:rFonts w:cstheme="minorHAnsi"/>
                <w:bCs/>
                <w:sz w:val="20"/>
                <w:szCs w:val="20"/>
              </w:rPr>
              <w:t>%</w:t>
            </w:r>
          </w:p>
        </w:tc>
      </w:tr>
    </w:tbl>
    <w:p w14:paraId="2AB38D2C" w14:textId="77777777" w:rsidR="00762877" w:rsidRPr="00061636" w:rsidRDefault="00762877" w:rsidP="00EB247F">
      <w:pPr>
        <w:spacing w:after="0"/>
        <w:jc w:val="center"/>
        <w:rPr>
          <w:rFonts w:cstheme="minorHAnsi"/>
          <w:b/>
          <w:bCs/>
          <w:i/>
        </w:rPr>
      </w:pPr>
    </w:p>
    <w:p w14:paraId="49A61C9E" w14:textId="77777777" w:rsidR="001534F5" w:rsidRPr="00061636" w:rsidRDefault="001534F5" w:rsidP="00EB247F">
      <w:pPr>
        <w:pStyle w:val="Caption"/>
        <w:jc w:val="center"/>
      </w:pPr>
    </w:p>
    <w:p w14:paraId="7A2926D4" w14:textId="0E6EC2A6" w:rsidR="003A7929" w:rsidRPr="00061636" w:rsidRDefault="00F11E39" w:rsidP="00EB247F">
      <w:pPr>
        <w:pStyle w:val="Caption"/>
        <w:jc w:val="center"/>
      </w:pPr>
      <w:r>
        <w:rPr>
          <w:noProof/>
        </w:rPr>
        <w:lastRenderedPageBreak/>
        <w:drawing>
          <wp:inline distT="0" distB="0" distL="0" distR="0" wp14:anchorId="4A2E029E" wp14:editId="5078C883">
            <wp:extent cx="5657850" cy="3118757"/>
            <wp:effectExtent l="0" t="0" r="6350" b="18415"/>
            <wp:docPr id="6" name="Chart 6">
              <a:extLst xmlns:a="http://schemas.openxmlformats.org/drawingml/2006/main">
                <a:ext uri="{FF2B5EF4-FFF2-40B4-BE49-F238E27FC236}">
                  <a16:creationId xmlns:a16="http://schemas.microsoft.com/office/drawing/2014/main" id="{FF90EB87-C6E7-48A9-81B8-448E3116FE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67E303A" w14:textId="466C4082" w:rsidR="00762877" w:rsidRPr="00061636" w:rsidRDefault="00977F6D" w:rsidP="00912CC8">
      <w:pPr>
        <w:pStyle w:val="Caption"/>
        <w:jc w:val="center"/>
      </w:pPr>
      <w:bookmarkStart w:id="57" w:name="_Toc23606360"/>
      <w:r w:rsidRPr="00F11E39">
        <w:t xml:space="preserve">Figure </w:t>
      </w:r>
      <w:r w:rsidR="00D158BC" w:rsidRPr="00F11E39">
        <w:rPr>
          <w:noProof/>
        </w:rPr>
        <w:fldChar w:fldCharType="begin"/>
      </w:r>
      <w:r w:rsidR="00D158BC" w:rsidRPr="00F11E39">
        <w:rPr>
          <w:noProof/>
        </w:rPr>
        <w:instrText xml:space="preserve"> STYLEREF 1 \s </w:instrText>
      </w:r>
      <w:r w:rsidR="00D158BC" w:rsidRPr="00F11E39">
        <w:rPr>
          <w:noProof/>
        </w:rPr>
        <w:fldChar w:fldCharType="separate"/>
      </w:r>
      <w:r w:rsidR="004A672D" w:rsidRPr="00F11E39">
        <w:rPr>
          <w:noProof/>
        </w:rPr>
        <w:t>3</w:t>
      </w:r>
      <w:r w:rsidR="00D158BC" w:rsidRPr="00F11E39">
        <w:rPr>
          <w:noProof/>
        </w:rPr>
        <w:fldChar w:fldCharType="end"/>
      </w:r>
      <w:r w:rsidR="00912CC8" w:rsidRPr="00F11E39">
        <w:t>.</w:t>
      </w:r>
      <w:r w:rsidR="00D158BC" w:rsidRPr="00F11E39">
        <w:rPr>
          <w:noProof/>
        </w:rPr>
        <w:fldChar w:fldCharType="begin"/>
      </w:r>
      <w:r w:rsidR="00D158BC" w:rsidRPr="00F11E39">
        <w:rPr>
          <w:noProof/>
        </w:rPr>
        <w:instrText xml:space="preserve"> SEQ Figure \* ARABIC \s 1 </w:instrText>
      </w:r>
      <w:r w:rsidR="00D158BC" w:rsidRPr="00F11E39">
        <w:rPr>
          <w:noProof/>
        </w:rPr>
        <w:fldChar w:fldCharType="separate"/>
      </w:r>
      <w:r w:rsidR="004A672D" w:rsidRPr="00F11E39">
        <w:rPr>
          <w:noProof/>
        </w:rPr>
        <w:t>1</w:t>
      </w:r>
      <w:r w:rsidR="00D158BC" w:rsidRPr="00F11E39">
        <w:rPr>
          <w:noProof/>
        </w:rPr>
        <w:fldChar w:fldCharType="end"/>
      </w:r>
      <w:r w:rsidRPr="00F11E39">
        <w:t xml:space="preserve"> </w:t>
      </w:r>
      <w:r w:rsidR="00807D37" w:rsidRPr="00F11E39">
        <w:t xml:space="preserve">World Annual </w:t>
      </w:r>
      <w:r w:rsidRPr="00F11E39">
        <w:t>Adoption 20</w:t>
      </w:r>
      <w:r w:rsidR="00971BA5" w:rsidRPr="00F11E39">
        <w:t>15-206</w:t>
      </w:r>
      <w:r w:rsidRPr="00F11E39">
        <w:t>0</w:t>
      </w:r>
      <w:bookmarkEnd w:id="57"/>
    </w:p>
    <w:p w14:paraId="446A4A95" w14:textId="537CB853" w:rsidR="00794375" w:rsidRPr="00061636" w:rsidRDefault="00794375" w:rsidP="00794375">
      <w:r w:rsidRPr="00061636">
        <w:t>Note: Drawdown and Optimum Scenarios have the same global adoption for this solution and therefore it is overlaid in the figure.</w:t>
      </w:r>
    </w:p>
    <w:p w14:paraId="6B6F22E7" w14:textId="19002B27" w:rsidR="003A7929" w:rsidRPr="00061636" w:rsidRDefault="551A77D0" w:rsidP="002A6808">
      <w:pPr>
        <w:pStyle w:val="Heading2"/>
        <w:numPr>
          <w:ilvl w:val="1"/>
          <w:numId w:val="8"/>
        </w:numPr>
      </w:pPr>
      <w:bookmarkStart w:id="58" w:name="_Toc10331924"/>
      <w:r w:rsidRPr="00061636">
        <w:t>Climate Impacts</w:t>
      </w:r>
      <w:bookmarkEnd w:id="58"/>
    </w:p>
    <w:p w14:paraId="36842FAA" w14:textId="0F314E8A" w:rsidR="003A7929" w:rsidRPr="00061636" w:rsidRDefault="00586343" w:rsidP="00EB247F">
      <w:pPr>
        <w:pStyle w:val="Caption"/>
        <w:rPr>
          <w:i w:val="0"/>
          <w:iCs w:val="0"/>
          <w:color w:val="auto"/>
          <w:sz w:val="22"/>
          <w:szCs w:val="22"/>
        </w:rPr>
      </w:pPr>
      <w:r w:rsidRPr="00061636">
        <w:rPr>
          <w:i w:val="0"/>
          <w:iCs w:val="0"/>
          <w:color w:val="auto"/>
          <w:sz w:val="22"/>
          <w:szCs w:val="22"/>
        </w:rPr>
        <w:t>T</w:t>
      </w:r>
      <w:r w:rsidR="003A7929" w:rsidRPr="00061636">
        <w:rPr>
          <w:i w:val="0"/>
          <w:iCs w:val="0"/>
          <w:color w:val="auto"/>
          <w:sz w:val="22"/>
          <w:szCs w:val="22"/>
        </w:rPr>
        <w:t xml:space="preserve">he </w:t>
      </w:r>
      <w:r w:rsidR="00AC60DD" w:rsidRPr="00061636">
        <w:rPr>
          <w:i w:val="0"/>
          <w:iCs w:val="0"/>
          <w:color w:val="auto"/>
          <w:sz w:val="22"/>
          <w:szCs w:val="22"/>
        </w:rPr>
        <w:t>results of</w:t>
      </w:r>
      <w:r w:rsidR="003A7929" w:rsidRPr="00061636">
        <w:rPr>
          <w:i w:val="0"/>
          <w:iCs w:val="0"/>
          <w:color w:val="auto"/>
          <w:sz w:val="22"/>
          <w:szCs w:val="22"/>
        </w:rPr>
        <w:t xml:space="preserve"> the analysis</w:t>
      </w:r>
      <w:r w:rsidRPr="00061636">
        <w:rPr>
          <w:i w:val="0"/>
          <w:iCs w:val="0"/>
          <w:color w:val="auto"/>
          <w:sz w:val="22"/>
          <w:szCs w:val="22"/>
        </w:rPr>
        <w:t xml:space="preserve"> of emissions</w:t>
      </w:r>
      <w:r w:rsidR="003A7929" w:rsidRPr="00061636">
        <w:rPr>
          <w:i w:val="0"/>
          <w:iCs w:val="0"/>
          <w:color w:val="auto"/>
          <w:sz w:val="22"/>
          <w:szCs w:val="22"/>
        </w:rPr>
        <w:t xml:space="preserve"> for each scenario </w:t>
      </w:r>
      <w:r w:rsidRPr="00061636">
        <w:rPr>
          <w:i w:val="0"/>
          <w:iCs w:val="0"/>
          <w:color w:val="auto"/>
          <w:sz w:val="22"/>
          <w:szCs w:val="22"/>
        </w:rPr>
        <w:t>(</w:t>
      </w:r>
      <w:r w:rsidR="003A7929" w:rsidRPr="00061636">
        <w:rPr>
          <w:i w:val="0"/>
          <w:iCs w:val="0"/>
          <w:color w:val="auto"/>
          <w:sz w:val="22"/>
          <w:szCs w:val="22"/>
        </w:rPr>
        <w:t>which include total emissions reduction and atmospheric concentration changes</w:t>
      </w:r>
      <w:r w:rsidRPr="00061636">
        <w:rPr>
          <w:i w:val="0"/>
          <w:iCs w:val="0"/>
          <w:color w:val="auto"/>
          <w:sz w:val="22"/>
          <w:szCs w:val="22"/>
        </w:rPr>
        <w:t>) are given below</w:t>
      </w:r>
      <w:r w:rsidR="003A7929" w:rsidRPr="00061636">
        <w:rPr>
          <w:i w:val="0"/>
          <w:iCs w:val="0"/>
          <w:color w:val="auto"/>
          <w:sz w:val="22"/>
          <w:szCs w:val="22"/>
        </w:rPr>
        <w:t xml:space="preserve">. For a detailed explanation of each </w:t>
      </w:r>
      <w:r w:rsidR="00AC60DD" w:rsidRPr="00061636">
        <w:rPr>
          <w:i w:val="0"/>
          <w:iCs w:val="0"/>
          <w:color w:val="auto"/>
          <w:sz w:val="22"/>
          <w:szCs w:val="22"/>
        </w:rPr>
        <w:t>result, the</w:t>
      </w:r>
      <w:r w:rsidR="003A7929" w:rsidRPr="00061636">
        <w:rPr>
          <w:i w:val="0"/>
          <w:iCs w:val="0"/>
          <w:color w:val="auto"/>
          <w:sz w:val="22"/>
          <w:szCs w:val="22"/>
        </w:rPr>
        <w:t xml:space="preserve"> glossary</w:t>
      </w:r>
      <w:r w:rsidRPr="00061636">
        <w:rPr>
          <w:i w:val="0"/>
          <w:iCs w:val="0"/>
          <w:color w:val="auto"/>
          <w:sz w:val="22"/>
          <w:szCs w:val="22"/>
        </w:rPr>
        <w:t xml:space="preserve"> may be seen at </w:t>
      </w:r>
      <w:r w:rsidR="003A7929" w:rsidRPr="00061636">
        <w:rPr>
          <w:i w:val="0"/>
          <w:iCs w:val="0"/>
          <w:color w:val="auto"/>
          <w:sz w:val="22"/>
          <w:szCs w:val="22"/>
        </w:rPr>
        <w:t>Section 6.</w:t>
      </w:r>
    </w:p>
    <w:p w14:paraId="52E48BE0" w14:textId="77ECA99D" w:rsidR="00B261E0" w:rsidRPr="00061636" w:rsidRDefault="00586343" w:rsidP="001534F5">
      <w:r w:rsidRPr="00F11E39">
        <w:t xml:space="preserve">According to </w:t>
      </w:r>
      <w:r w:rsidR="00F11E39" w:rsidRPr="00F11E39">
        <w:t>PD</w:t>
      </w:r>
      <w:r w:rsidRPr="00F11E39">
        <w:t xml:space="preserve"> estimates, t</w:t>
      </w:r>
      <w:r w:rsidR="007C645A" w:rsidRPr="00F11E39">
        <w:t>he Plausible Scenari</w:t>
      </w:r>
      <w:r w:rsidR="001B3003" w:rsidRPr="00F11E39">
        <w:t xml:space="preserve">o results in the avoidance of </w:t>
      </w:r>
      <w:r w:rsidR="00F11E39" w:rsidRPr="00F11E39">
        <w:t>47.</w:t>
      </w:r>
      <w:r w:rsidR="005F0E84">
        <w:t>35</w:t>
      </w:r>
      <w:r w:rsidR="007C645A" w:rsidRPr="00F11E39">
        <w:t xml:space="preserve"> gigatons of carbon dioxide-equivalent greenhouse gas emissio</w:t>
      </w:r>
      <w:r w:rsidR="00BB79D6" w:rsidRPr="00F11E39">
        <w:t>ns between 2020-2050</w:t>
      </w:r>
      <w:r w:rsidR="005C77F5" w:rsidRPr="00F11E39">
        <w:t xml:space="preserve">. </w:t>
      </w:r>
      <w:r w:rsidR="007C645A" w:rsidRPr="00F11E39">
        <w:t xml:space="preserve">Both the Drawdown and Optimum Scenarios are more ambitious in the growth of utility-scale PV technologies, with </w:t>
      </w:r>
      <w:r w:rsidRPr="00F11E39">
        <w:t xml:space="preserve">consequential </w:t>
      </w:r>
      <w:r w:rsidR="007C645A" w:rsidRPr="00F11E39">
        <w:t xml:space="preserve">impacts on greenhouse gas emission reduction </w:t>
      </w:r>
      <w:r w:rsidRPr="00F11E39">
        <w:t xml:space="preserve">of </w:t>
      </w:r>
      <w:r w:rsidR="00F11E39" w:rsidRPr="00F11E39">
        <w:t>127.</w:t>
      </w:r>
      <w:r w:rsidR="005F0E84">
        <w:t>99</w:t>
      </w:r>
      <w:r w:rsidRPr="00F11E39">
        <w:t xml:space="preserve"> gigatons of carbon</w:t>
      </w:r>
      <w:r w:rsidR="00A90312" w:rsidRPr="00F11E39">
        <w:t xml:space="preserve"> </w:t>
      </w:r>
      <w:r w:rsidRPr="00F11E39">
        <w:t xml:space="preserve">dioxide </w:t>
      </w:r>
      <w:r w:rsidR="003C3534" w:rsidRPr="00F11E39">
        <w:t>equivalent</w:t>
      </w:r>
      <w:r w:rsidRPr="00F11E39">
        <w:t xml:space="preserve"> </w:t>
      </w:r>
      <w:r w:rsidR="007C645A" w:rsidRPr="00F11E39">
        <w:t>over 2020-2050</w:t>
      </w:r>
      <w:r w:rsidR="00BB79D6" w:rsidRPr="00F11E39">
        <w:t>.</w:t>
      </w:r>
      <w:r w:rsidR="00057050" w:rsidRPr="00F11E39">
        <w:t xml:space="preserve"> Tables 3.2 and 3.3. provide additional information on the climate impacts of the solution</w:t>
      </w:r>
      <w:r w:rsidR="00057050" w:rsidRPr="00061636">
        <w:t xml:space="preserve"> adoption.</w:t>
      </w:r>
    </w:p>
    <w:p w14:paraId="0DC28666" w14:textId="77777777" w:rsidR="00826B4A" w:rsidRDefault="00826B4A">
      <w:pPr>
        <w:spacing w:after="160" w:line="259" w:lineRule="auto"/>
        <w:jc w:val="left"/>
        <w:rPr>
          <w:i/>
          <w:iCs/>
          <w:color w:val="1F497D" w:themeColor="text2"/>
          <w:sz w:val="18"/>
          <w:szCs w:val="18"/>
        </w:rPr>
      </w:pPr>
      <w:r>
        <w:br w:type="page"/>
      </w:r>
    </w:p>
    <w:p w14:paraId="4DA2B4CB" w14:textId="55F75D48" w:rsidR="00762877" w:rsidRPr="00061636" w:rsidRDefault="0066753A" w:rsidP="00EB247F">
      <w:pPr>
        <w:pStyle w:val="Caption"/>
        <w:jc w:val="center"/>
        <w:rPr>
          <w:rFonts w:eastAsia="Times New Roman" w:cs="Times New Roman"/>
          <w:sz w:val="24"/>
          <w:szCs w:val="24"/>
          <w:lang w:eastAsia="zh-CN"/>
        </w:rPr>
      </w:pPr>
      <w:bookmarkStart w:id="59" w:name="_Toc534461013"/>
      <w:r w:rsidRPr="00061636">
        <w:lastRenderedPageBreak/>
        <w:t xml:space="preserve">Table </w:t>
      </w:r>
      <w:fldSimple w:instr=" STYLEREF 1 \s ">
        <w:r w:rsidR="00492F5E" w:rsidRPr="00061636">
          <w:t>3</w:t>
        </w:r>
      </w:fldSimple>
      <w:r w:rsidR="00492F5E" w:rsidRPr="00061636">
        <w:t>.</w:t>
      </w:r>
      <w:fldSimple w:instr=" SEQ Table \* ARABIC \s 1 ">
        <w:r w:rsidR="00492F5E" w:rsidRPr="00061636">
          <w:t>2</w:t>
        </w:r>
      </w:fldSimple>
      <w:r w:rsidRPr="00061636">
        <w:t xml:space="preserve"> Climate Impacts</w:t>
      </w:r>
      <w:bookmarkEnd w:id="59"/>
    </w:p>
    <w:tbl>
      <w:tblPr>
        <w:tblW w:w="9376" w:type="dxa"/>
        <w:jc w:val="center"/>
        <w:tblLayout w:type="fixed"/>
        <w:tblCellMar>
          <w:top w:w="15" w:type="dxa"/>
          <w:left w:w="15" w:type="dxa"/>
          <w:bottom w:w="15" w:type="dxa"/>
          <w:right w:w="15" w:type="dxa"/>
        </w:tblCellMar>
        <w:tblLook w:val="04A0" w:firstRow="1" w:lastRow="0" w:firstColumn="1" w:lastColumn="0" w:noHBand="0" w:noVBand="1"/>
      </w:tblPr>
      <w:tblGrid>
        <w:gridCol w:w="2052"/>
        <w:gridCol w:w="2441"/>
        <w:gridCol w:w="2441"/>
        <w:gridCol w:w="2442"/>
      </w:tblGrid>
      <w:tr w:rsidR="005C77F5" w:rsidRPr="00061636" w14:paraId="0150056F" w14:textId="1D8EC1D7" w:rsidTr="005C77F5">
        <w:trPr>
          <w:trHeight w:val="388"/>
          <w:jc w:val="center"/>
        </w:trPr>
        <w:tc>
          <w:tcPr>
            <w:tcW w:w="2052"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03E3878" w14:textId="77777777" w:rsidR="005C77F5" w:rsidRPr="00061636" w:rsidRDefault="005C77F5" w:rsidP="001534F5">
            <w:pPr>
              <w:spacing w:line="240" w:lineRule="auto"/>
              <w:jc w:val="center"/>
              <w:rPr>
                <w:rFonts w:cstheme="minorHAnsi"/>
                <w:b/>
                <w:bCs/>
                <w:color w:val="FFFFFF" w:themeColor="background1"/>
                <w:sz w:val="20"/>
                <w:szCs w:val="20"/>
                <w:lang w:eastAsia="zh-CN"/>
              </w:rPr>
            </w:pPr>
            <w:r w:rsidRPr="00061636">
              <w:rPr>
                <w:rFonts w:cstheme="minorHAnsi"/>
                <w:b/>
                <w:bCs/>
                <w:color w:val="FFFFFF" w:themeColor="background1"/>
                <w:sz w:val="20"/>
                <w:szCs w:val="20"/>
                <w:lang w:eastAsia="zh-CN"/>
              </w:rPr>
              <w:t>Scenario</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E0923C5" w14:textId="77777777" w:rsidR="005C77F5" w:rsidRPr="00061636" w:rsidRDefault="005C77F5" w:rsidP="001534F5">
            <w:pPr>
              <w:spacing w:line="240" w:lineRule="auto"/>
              <w:jc w:val="center"/>
              <w:rPr>
                <w:rFonts w:cstheme="minorHAnsi"/>
                <w:b/>
                <w:bCs/>
                <w:color w:val="FFFFFF" w:themeColor="background1"/>
                <w:sz w:val="20"/>
                <w:szCs w:val="20"/>
                <w:lang w:eastAsia="zh-CN"/>
              </w:rPr>
            </w:pPr>
            <w:r w:rsidRPr="00061636">
              <w:rPr>
                <w:rFonts w:cstheme="minorHAnsi"/>
                <w:b/>
                <w:bCs/>
                <w:color w:val="FFFFFF" w:themeColor="background1"/>
                <w:sz w:val="20"/>
                <w:szCs w:val="20"/>
                <w:lang w:eastAsia="zh-CN"/>
              </w:rPr>
              <w:t>Maximum Annual Emissions Reduction</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FADFDAF" w14:textId="77777777" w:rsidR="005C77F5" w:rsidRPr="00061636" w:rsidRDefault="005C77F5" w:rsidP="001534F5">
            <w:pPr>
              <w:spacing w:line="240" w:lineRule="auto"/>
              <w:jc w:val="center"/>
              <w:rPr>
                <w:rFonts w:cstheme="minorHAnsi"/>
                <w:b/>
                <w:bCs/>
                <w:color w:val="FFFFFF" w:themeColor="background1"/>
                <w:sz w:val="20"/>
                <w:szCs w:val="20"/>
                <w:lang w:eastAsia="zh-CN"/>
              </w:rPr>
            </w:pPr>
            <w:r w:rsidRPr="00061636">
              <w:rPr>
                <w:rFonts w:cstheme="minorHAnsi"/>
                <w:b/>
                <w:bCs/>
                <w:color w:val="FFFFFF" w:themeColor="background1"/>
                <w:sz w:val="20"/>
                <w:szCs w:val="20"/>
                <w:lang w:eastAsia="zh-CN"/>
              </w:rPr>
              <w:t>Total Emissions Reduction</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8D8D42A" w14:textId="77777777" w:rsidR="005C77F5" w:rsidRPr="00061636" w:rsidRDefault="005C77F5" w:rsidP="001534F5">
            <w:pPr>
              <w:spacing w:line="240" w:lineRule="auto"/>
              <w:jc w:val="center"/>
              <w:rPr>
                <w:rFonts w:cstheme="minorHAnsi"/>
                <w:b/>
                <w:bCs/>
                <w:color w:val="FFFFFF" w:themeColor="background1"/>
                <w:sz w:val="20"/>
                <w:szCs w:val="20"/>
                <w:lang w:eastAsia="zh-CN"/>
              </w:rPr>
            </w:pPr>
            <w:r w:rsidRPr="00061636">
              <w:rPr>
                <w:rFonts w:cstheme="minorHAnsi"/>
                <w:b/>
                <w:bCs/>
                <w:color w:val="FFFFFF" w:themeColor="background1"/>
                <w:sz w:val="20"/>
                <w:szCs w:val="20"/>
                <w:lang w:eastAsia="zh-CN"/>
              </w:rPr>
              <w:t>Emissions Reduction in 2050</w:t>
            </w:r>
          </w:p>
        </w:tc>
      </w:tr>
      <w:tr w:rsidR="005C77F5" w:rsidRPr="00061636" w14:paraId="6B5C6387" w14:textId="411C48F1" w:rsidTr="005C77F5">
        <w:trPr>
          <w:trHeight w:val="306"/>
          <w:jc w:val="center"/>
        </w:trPr>
        <w:tc>
          <w:tcPr>
            <w:tcW w:w="2052"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5C77F5" w:rsidRPr="00061636" w:rsidRDefault="005C77F5" w:rsidP="001534F5">
            <w:pPr>
              <w:spacing w:line="240" w:lineRule="auto"/>
              <w:jc w:val="center"/>
              <w:rPr>
                <w:rFonts w:cstheme="minorHAnsi"/>
                <w:b/>
                <w:bCs/>
                <w:i/>
                <w:color w:val="FFFFFF" w:themeColor="background1"/>
                <w:sz w:val="20"/>
                <w:szCs w:val="20"/>
                <w:lang w:eastAsia="zh-CN"/>
              </w:rPr>
            </w:pP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7D6628D" w14:textId="77777777" w:rsidR="005C77F5" w:rsidRPr="00061636" w:rsidRDefault="005C77F5" w:rsidP="001534F5">
            <w:pPr>
              <w:spacing w:line="240" w:lineRule="auto"/>
              <w:jc w:val="center"/>
              <w:rPr>
                <w:rFonts w:cstheme="minorHAnsi"/>
                <w:bCs/>
                <w:i/>
                <w:color w:val="FFFFFF" w:themeColor="background1"/>
                <w:sz w:val="20"/>
                <w:szCs w:val="20"/>
                <w:lang w:eastAsia="zh-CN"/>
              </w:rPr>
            </w:pPr>
            <w:r w:rsidRPr="00061636">
              <w:rPr>
                <w:rFonts w:cstheme="minorHAnsi"/>
                <w:bCs/>
                <w:i/>
                <w:color w:val="FFFFFF" w:themeColor="background1"/>
                <w:sz w:val="20"/>
                <w:szCs w:val="20"/>
                <w:lang w:eastAsia="zh-CN"/>
              </w:rPr>
              <w:t>(Gt CO</w:t>
            </w:r>
            <w:r w:rsidRPr="00061636">
              <w:rPr>
                <w:rFonts w:cstheme="minorHAnsi"/>
                <w:bCs/>
                <w:i/>
                <w:color w:val="FFFFFF" w:themeColor="background1"/>
                <w:sz w:val="20"/>
                <w:szCs w:val="20"/>
                <w:vertAlign w:val="subscript"/>
                <w:lang w:eastAsia="zh-CN"/>
              </w:rPr>
              <w:t>2</w:t>
            </w:r>
            <w:r w:rsidRPr="00061636">
              <w:rPr>
                <w:rFonts w:cstheme="minorHAnsi"/>
                <w:bCs/>
                <w:i/>
                <w:color w:val="FFFFFF" w:themeColor="background1"/>
                <w:sz w:val="20"/>
                <w:szCs w:val="20"/>
                <w:lang w:eastAsia="zh-CN"/>
              </w:rPr>
              <w:t>-eq/yr.)</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668F7C2F" w14:textId="77777777" w:rsidR="005C77F5" w:rsidRPr="00061636" w:rsidRDefault="005C77F5" w:rsidP="001534F5">
            <w:pPr>
              <w:spacing w:line="240" w:lineRule="auto"/>
              <w:jc w:val="center"/>
              <w:rPr>
                <w:rFonts w:cstheme="minorHAnsi"/>
                <w:bCs/>
                <w:i/>
                <w:color w:val="FFFFFF" w:themeColor="background1"/>
                <w:sz w:val="20"/>
                <w:szCs w:val="20"/>
                <w:lang w:eastAsia="zh-CN"/>
              </w:rPr>
            </w:pPr>
            <w:r w:rsidRPr="00061636">
              <w:rPr>
                <w:rFonts w:cstheme="minorHAnsi"/>
                <w:bCs/>
                <w:i/>
                <w:color w:val="FFFFFF" w:themeColor="background1"/>
                <w:sz w:val="20"/>
                <w:szCs w:val="20"/>
                <w:lang w:eastAsia="zh-CN"/>
              </w:rPr>
              <w:t>Gt CO</w:t>
            </w:r>
            <w:r w:rsidRPr="00061636">
              <w:rPr>
                <w:rFonts w:cstheme="minorHAnsi"/>
                <w:bCs/>
                <w:i/>
                <w:color w:val="FFFFFF" w:themeColor="background1"/>
                <w:sz w:val="20"/>
                <w:szCs w:val="20"/>
                <w:vertAlign w:val="subscript"/>
                <w:lang w:eastAsia="zh-CN"/>
              </w:rPr>
              <w:t>2</w:t>
            </w:r>
            <w:r w:rsidRPr="00061636">
              <w:rPr>
                <w:rFonts w:cstheme="minorHAnsi"/>
                <w:bCs/>
                <w:i/>
                <w:color w:val="FFFFFF" w:themeColor="background1"/>
                <w:sz w:val="20"/>
                <w:szCs w:val="20"/>
                <w:lang w:eastAsia="zh-CN"/>
              </w:rPr>
              <w:t>-eq/yr. (2020-2050)</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3E01EFE1" w14:textId="77777777" w:rsidR="005C77F5" w:rsidRPr="00061636" w:rsidRDefault="005C77F5" w:rsidP="001534F5">
            <w:pPr>
              <w:spacing w:line="240" w:lineRule="auto"/>
              <w:jc w:val="center"/>
              <w:rPr>
                <w:rFonts w:cstheme="minorHAnsi"/>
                <w:bCs/>
                <w:i/>
                <w:color w:val="FFFFFF" w:themeColor="background1"/>
                <w:sz w:val="20"/>
                <w:szCs w:val="20"/>
                <w:lang w:eastAsia="zh-CN"/>
              </w:rPr>
            </w:pPr>
            <w:r w:rsidRPr="00061636">
              <w:rPr>
                <w:rFonts w:cstheme="minorHAnsi"/>
                <w:bCs/>
                <w:i/>
                <w:color w:val="FFFFFF" w:themeColor="background1"/>
                <w:sz w:val="20"/>
                <w:szCs w:val="20"/>
                <w:lang w:eastAsia="zh-CN"/>
              </w:rPr>
              <w:t>(Gt CO</w:t>
            </w:r>
            <w:r w:rsidRPr="00061636">
              <w:rPr>
                <w:rFonts w:cstheme="minorHAnsi"/>
                <w:bCs/>
                <w:i/>
                <w:color w:val="FFFFFF" w:themeColor="background1"/>
                <w:sz w:val="20"/>
                <w:szCs w:val="20"/>
                <w:vertAlign w:val="subscript"/>
                <w:lang w:eastAsia="zh-CN"/>
              </w:rPr>
              <w:t>2</w:t>
            </w:r>
            <w:r w:rsidRPr="00061636">
              <w:rPr>
                <w:rFonts w:cstheme="minorHAnsi"/>
                <w:bCs/>
                <w:i/>
                <w:color w:val="FFFFFF" w:themeColor="background1"/>
                <w:sz w:val="20"/>
                <w:szCs w:val="20"/>
                <w:lang w:eastAsia="zh-CN"/>
              </w:rPr>
              <w:t>-eq/year)</w:t>
            </w:r>
          </w:p>
        </w:tc>
      </w:tr>
      <w:tr w:rsidR="005C77F5" w:rsidRPr="00061636" w14:paraId="354A2249" w14:textId="7B11184C"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63153F" w14:textId="77777777" w:rsidR="005C77F5" w:rsidRPr="00061636" w:rsidRDefault="005C77F5" w:rsidP="001534F5">
            <w:pPr>
              <w:shd w:val="clear" w:color="auto" w:fill="FFFFFF" w:themeFill="background1"/>
              <w:spacing w:after="0" w:line="240" w:lineRule="auto"/>
              <w:jc w:val="center"/>
              <w:rPr>
                <w:i/>
                <w:iCs/>
                <w:color w:val="000000" w:themeColor="text1"/>
                <w:sz w:val="20"/>
                <w:szCs w:val="20"/>
                <w:lang w:eastAsia="zh-CN"/>
              </w:rPr>
            </w:pPr>
            <w:r w:rsidRPr="00061636">
              <w:rPr>
                <w:b/>
                <w:bCs/>
                <w:i/>
                <w:iCs/>
                <w:color w:val="000000" w:themeColor="text1"/>
                <w:sz w:val="20"/>
                <w:szCs w:val="20"/>
                <w:lang w:eastAsia="zh-CN"/>
              </w:rPr>
              <w:t>Plausible</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125A2C99" w:rsidR="005C77F5" w:rsidRPr="003A30AF" w:rsidRDefault="003A30AF" w:rsidP="001534F5">
            <w:pPr>
              <w:shd w:val="clear" w:color="auto" w:fill="FFFFFF"/>
              <w:spacing w:after="0" w:line="240" w:lineRule="auto"/>
              <w:jc w:val="center"/>
              <w:rPr>
                <w:rFonts w:eastAsia="Times New Roman" w:cstheme="minorHAnsi"/>
                <w:color w:val="000000" w:themeColor="text1"/>
                <w:sz w:val="20"/>
                <w:szCs w:val="20"/>
                <w:lang w:eastAsia="zh-CN"/>
              </w:rPr>
            </w:pPr>
            <w:r w:rsidRPr="003A30AF">
              <w:rPr>
                <w:rFonts w:eastAsia="Times New Roman" w:cstheme="minorHAnsi"/>
                <w:color w:val="000000" w:themeColor="text1"/>
                <w:sz w:val="20"/>
                <w:szCs w:val="20"/>
                <w:lang w:eastAsia="zh-CN"/>
              </w:rPr>
              <w:t>4.0</w:t>
            </w:r>
            <w:r w:rsidR="005F0E84">
              <w:rPr>
                <w:rFonts w:eastAsia="Times New Roman" w:cstheme="minorHAnsi"/>
                <w:color w:val="000000" w:themeColor="text1"/>
                <w:sz w:val="20"/>
                <w:szCs w:val="20"/>
                <w:lang w:eastAsia="zh-CN"/>
              </w:rPr>
              <w:t>3</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13A97043" w:rsidR="005C77F5" w:rsidRPr="003A30AF" w:rsidRDefault="003A30AF" w:rsidP="001534F5">
            <w:pPr>
              <w:shd w:val="clear" w:color="auto" w:fill="FFFFFF"/>
              <w:spacing w:after="0" w:line="240" w:lineRule="auto"/>
              <w:jc w:val="center"/>
              <w:rPr>
                <w:rFonts w:eastAsia="Times New Roman" w:cstheme="minorHAnsi"/>
                <w:color w:val="000000" w:themeColor="text1"/>
                <w:sz w:val="20"/>
                <w:szCs w:val="20"/>
                <w:lang w:eastAsia="zh-CN"/>
              </w:rPr>
            </w:pPr>
            <w:r w:rsidRPr="003A30AF">
              <w:rPr>
                <w:rFonts w:eastAsia="Times New Roman" w:cstheme="minorHAnsi"/>
                <w:color w:val="000000" w:themeColor="text1"/>
                <w:sz w:val="20"/>
                <w:szCs w:val="20"/>
                <w:lang w:eastAsia="zh-CN"/>
              </w:rPr>
              <w:t>47.</w:t>
            </w:r>
            <w:r w:rsidR="005F0E84">
              <w:rPr>
                <w:rFonts w:eastAsia="Times New Roman" w:cstheme="minorHAnsi"/>
                <w:color w:val="000000" w:themeColor="text1"/>
                <w:sz w:val="20"/>
                <w:szCs w:val="20"/>
                <w:lang w:eastAsia="zh-CN"/>
              </w:rPr>
              <w:t>35</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5AF96DD7" w:rsidR="005C77F5" w:rsidRPr="003A30AF" w:rsidRDefault="003A30AF" w:rsidP="001534F5">
            <w:pPr>
              <w:shd w:val="clear" w:color="auto" w:fill="FFFFFF"/>
              <w:spacing w:after="0" w:line="240" w:lineRule="auto"/>
              <w:jc w:val="center"/>
              <w:rPr>
                <w:rFonts w:eastAsia="Times New Roman" w:cstheme="minorHAnsi"/>
                <w:color w:val="000000" w:themeColor="text1"/>
                <w:sz w:val="20"/>
                <w:szCs w:val="20"/>
                <w:lang w:eastAsia="zh-CN"/>
              </w:rPr>
            </w:pPr>
            <w:r w:rsidRPr="003A30AF">
              <w:rPr>
                <w:rFonts w:eastAsia="Times New Roman" w:cstheme="minorHAnsi"/>
                <w:color w:val="000000" w:themeColor="text1"/>
                <w:sz w:val="20"/>
                <w:szCs w:val="20"/>
                <w:lang w:eastAsia="zh-CN"/>
              </w:rPr>
              <w:t>4.0</w:t>
            </w:r>
            <w:r w:rsidR="005F0E84">
              <w:rPr>
                <w:rFonts w:eastAsia="Times New Roman" w:cstheme="minorHAnsi"/>
                <w:color w:val="000000" w:themeColor="text1"/>
                <w:sz w:val="20"/>
                <w:szCs w:val="20"/>
                <w:lang w:eastAsia="zh-CN"/>
              </w:rPr>
              <w:t>3</w:t>
            </w:r>
          </w:p>
        </w:tc>
      </w:tr>
      <w:tr w:rsidR="005C77F5" w:rsidRPr="00061636" w14:paraId="7DCB0C2E" w14:textId="35D5AF3A"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122973" w14:textId="77777777" w:rsidR="005C77F5" w:rsidRPr="00061636" w:rsidRDefault="005C77F5" w:rsidP="001534F5">
            <w:pPr>
              <w:shd w:val="clear" w:color="auto" w:fill="FFFFFF" w:themeFill="background1"/>
              <w:spacing w:after="0" w:line="240" w:lineRule="auto"/>
              <w:jc w:val="center"/>
              <w:rPr>
                <w:i/>
                <w:iCs/>
                <w:color w:val="000000" w:themeColor="text1"/>
                <w:sz w:val="20"/>
                <w:szCs w:val="20"/>
                <w:lang w:eastAsia="zh-CN"/>
              </w:rPr>
            </w:pPr>
            <w:r w:rsidRPr="00061636">
              <w:rPr>
                <w:b/>
                <w:bCs/>
                <w:i/>
                <w:iCs/>
                <w:color w:val="000000" w:themeColor="text1"/>
                <w:sz w:val="20"/>
                <w:szCs w:val="20"/>
                <w:lang w:eastAsia="zh-CN"/>
              </w:rPr>
              <w:t>Drawdown</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696A19B4" w:rsidR="005C77F5" w:rsidRPr="003C3534" w:rsidRDefault="003A30AF" w:rsidP="001534F5">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3A30AF">
              <w:rPr>
                <w:rFonts w:eastAsia="Times New Roman" w:cstheme="minorHAnsi"/>
                <w:color w:val="000000" w:themeColor="text1"/>
                <w:sz w:val="20"/>
                <w:szCs w:val="20"/>
                <w:lang w:eastAsia="zh-CN"/>
              </w:rPr>
              <w:t>7.8</w:t>
            </w:r>
            <w:r w:rsidR="005F0E84">
              <w:rPr>
                <w:rFonts w:eastAsia="Times New Roman" w:cstheme="minorHAnsi"/>
                <w:color w:val="000000" w:themeColor="text1"/>
                <w:sz w:val="20"/>
                <w:szCs w:val="20"/>
                <w:lang w:eastAsia="zh-CN"/>
              </w:rPr>
              <w:t>9</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0861307C" w:rsidR="005C77F5" w:rsidRPr="003A30AF" w:rsidRDefault="00F11E39" w:rsidP="001534F5">
            <w:pPr>
              <w:shd w:val="clear" w:color="auto" w:fill="FFFFFF"/>
              <w:spacing w:after="0" w:line="240" w:lineRule="auto"/>
              <w:jc w:val="center"/>
              <w:rPr>
                <w:rFonts w:eastAsia="Times New Roman" w:cstheme="minorHAnsi"/>
                <w:color w:val="000000" w:themeColor="text1"/>
                <w:sz w:val="20"/>
                <w:szCs w:val="20"/>
                <w:lang w:eastAsia="zh-CN"/>
              </w:rPr>
            </w:pPr>
            <w:r w:rsidRPr="003A30AF">
              <w:rPr>
                <w:rFonts w:eastAsia="Times New Roman" w:cstheme="minorHAnsi"/>
                <w:color w:val="000000" w:themeColor="text1"/>
                <w:sz w:val="20"/>
                <w:szCs w:val="20"/>
                <w:lang w:eastAsia="zh-CN"/>
              </w:rPr>
              <w:t>127.</w:t>
            </w:r>
            <w:r w:rsidR="005F0E84">
              <w:rPr>
                <w:rFonts w:eastAsia="Times New Roman" w:cstheme="minorHAnsi"/>
                <w:color w:val="000000" w:themeColor="text1"/>
                <w:sz w:val="20"/>
                <w:szCs w:val="20"/>
                <w:lang w:eastAsia="zh-CN"/>
              </w:rPr>
              <w:t>99</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1226080D" w:rsidR="005C77F5" w:rsidRPr="003C3534" w:rsidRDefault="003A30AF" w:rsidP="001534F5">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3A30AF">
              <w:rPr>
                <w:rFonts w:eastAsia="Times New Roman" w:cstheme="minorHAnsi"/>
                <w:color w:val="000000" w:themeColor="text1"/>
                <w:sz w:val="20"/>
                <w:szCs w:val="20"/>
                <w:lang w:eastAsia="zh-CN"/>
              </w:rPr>
              <w:t>7.8</w:t>
            </w:r>
            <w:r w:rsidR="005F0E84">
              <w:rPr>
                <w:rFonts w:eastAsia="Times New Roman" w:cstheme="minorHAnsi"/>
                <w:color w:val="000000" w:themeColor="text1"/>
                <w:sz w:val="20"/>
                <w:szCs w:val="20"/>
                <w:lang w:eastAsia="zh-CN"/>
              </w:rPr>
              <w:t>9</w:t>
            </w:r>
          </w:p>
        </w:tc>
      </w:tr>
      <w:tr w:rsidR="005C77F5" w:rsidRPr="00061636" w14:paraId="7CA1AA1B" w14:textId="3D7819CF"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9F4E2C" w14:textId="77777777" w:rsidR="005C77F5" w:rsidRPr="00061636" w:rsidRDefault="005C77F5" w:rsidP="001534F5">
            <w:pPr>
              <w:shd w:val="clear" w:color="auto" w:fill="FFFFFF" w:themeFill="background1"/>
              <w:spacing w:after="0" w:line="240" w:lineRule="auto"/>
              <w:jc w:val="center"/>
              <w:rPr>
                <w:i/>
                <w:iCs/>
                <w:color w:val="000000" w:themeColor="text1"/>
                <w:sz w:val="20"/>
                <w:szCs w:val="20"/>
                <w:lang w:eastAsia="zh-CN"/>
              </w:rPr>
            </w:pPr>
            <w:r w:rsidRPr="00061636">
              <w:rPr>
                <w:b/>
                <w:bCs/>
                <w:i/>
                <w:iCs/>
                <w:color w:val="000000" w:themeColor="text1"/>
                <w:sz w:val="20"/>
                <w:szCs w:val="20"/>
                <w:lang w:eastAsia="zh-CN"/>
              </w:rPr>
              <w:t>Optimum</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253CA798" w:rsidR="005C77F5" w:rsidRPr="003C3534" w:rsidRDefault="003A30AF" w:rsidP="001534F5">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3A30AF">
              <w:rPr>
                <w:rFonts w:eastAsia="Times New Roman" w:cstheme="minorHAnsi"/>
                <w:color w:val="000000" w:themeColor="text1"/>
                <w:sz w:val="20"/>
                <w:szCs w:val="20"/>
                <w:lang w:eastAsia="zh-CN"/>
              </w:rPr>
              <w:t>7.8</w:t>
            </w:r>
            <w:r w:rsidR="005F0E84">
              <w:rPr>
                <w:rFonts w:eastAsia="Times New Roman" w:cstheme="minorHAnsi"/>
                <w:color w:val="000000" w:themeColor="text1"/>
                <w:sz w:val="20"/>
                <w:szCs w:val="20"/>
                <w:lang w:eastAsia="zh-CN"/>
              </w:rPr>
              <w:t>9</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329E8148" w:rsidR="005C77F5" w:rsidRPr="003A30AF" w:rsidRDefault="00F11E39" w:rsidP="001534F5">
            <w:pPr>
              <w:shd w:val="clear" w:color="auto" w:fill="FFFFFF"/>
              <w:spacing w:after="0" w:line="240" w:lineRule="auto"/>
              <w:jc w:val="center"/>
              <w:rPr>
                <w:rFonts w:eastAsia="Times New Roman" w:cstheme="minorHAnsi"/>
                <w:color w:val="000000" w:themeColor="text1"/>
                <w:sz w:val="20"/>
                <w:szCs w:val="20"/>
                <w:lang w:eastAsia="zh-CN"/>
              </w:rPr>
            </w:pPr>
            <w:r w:rsidRPr="003A30AF">
              <w:rPr>
                <w:rFonts w:eastAsia="Times New Roman" w:cstheme="minorHAnsi"/>
                <w:color w:val="000000" w:themeColor="text1"/>
                <w:sz w:val="20"/>
                <w:szCs w:val="20"/>
                <w:lang w:eastAsia="zh-CN"/>
              </w:rPr>
              <w:t>127.</w:t>
            </w:r>
            <w:r w:rsidR="005F0E84">
              <w:rPr>
                <w:rFonts w:eastAsia="Times New Roman" w:cstheme="minorHAnsi"/>
                <w:color w:val="000000" w:themeColor="text1"/>
                <w:sz w:val="20"/>
                <w:szCs w:val="20"/>
                <w:lang w:eastAsia="zh-CN"/>
              </w:rPr>
              <w:t>99</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74169190" w:rsidR="005C77F5" w:rsidRPr="003C3534" w:rsidRDefault="003A30AF" w:rsidP="001534F5">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3A30AF">
              <w:rPr>
                <w:rFonts w:eastAsia="Times New Roman" w:cstheme="minorHAnsi"/>
                <w:color w:val="000000" w:themeColor="text1"/>
                <w:sz w:val="20"/>
                <w:szCs w:val="20"/>
                <w:lang w:eastAsia="zh-CN"/>
              </w:rPr>
              <w:t>7.8</w:t>
            </w:r>
            <w:r w:rsidR="005F0E84">
              <w:rPr>
                <w:rFonts w:eastAsia="Times New Roman" w:cstheme="minorHAnsi"/>
                <w:color w:val="000000" w:themeColor="text1"/>
                <w:sz w:val="20"/>
                <w:szCs w:val="20"/>
                <w:lang w:eastAsia="zh-CN"/>
              </w:rPr>
              <w:t>9</w:t>
            </w:r>
          </w:p>
        </w:tc>
      </w:tr>
    </w:tbl>
    <w:p w14:paraId="43965544" w14:textId="77777777" w:rsidR="00BB79D6" w:rsidRPr="00061636" w:rsidRDefault="00BB79D6" w:rsidP="00EB247F">
      <w:pPr>
        <w:pStyle w:val="Caption"/>
      </w:pPr>
      <w:bookmarkStart w:id="60" w:name="_Toc524993443"/>
    </w:p>
    <w:p w14:paraId="75CCF135" w14:textId="30AAAB49" w:rsidR="003C3534" w:rsidRDefault="001534F5" w:rsidP="003C3534">
      <w:pPr>
        <w:spacing w:after="0"/>
      </w:pPr>
      <w:r w:rsidRPr="00061636">
        <w:t xml:space="preserve">The solution </w:t>
      </w:r>
      <w:r w:rsidRPr="003A30AF">
        <w:t>was integrated with all other Project Drawdown solutions and may have different emissions results from the models. This is due to adjustments caused by interactions among solutions that limit full adoption (such as by feedstock or demand limits) or that limit the full benefit of some solutions (such as reduced individual solution impact when technologies are combined). After integration, the impact on</w:t>
      </w:r>
      <w:r w:rsidR="005F0E84">
        <w:t xml:space="preserve"> the</w:t>
      </w:r>
      <w:r w:rsidRPr="003A30AF">
        <w:t xml:space="preserve"> emission reduction</w:t>
      </w:r>
      <w:r w:rsidR="005F0E84">
        <w:t xml:space="preserve"> potential </w:t>
      </w:r>
      <w:r w:rsidRPr="003A30AF">
        <w:t xml:space="preserve">for this solution is </w:t>
      </w:r>
      <w:r w:rsidR="005F0E84">
        <w:t>43.5</w:t>
      </w:r>
      <w:r w:rsidRPr="003A30AF">
        <w:t xml:space="preserve"> gigatons of </w:t>
      </w:r>
      <w:r w:rsidRPr="009A024A">
        <w:t xml:space="preserve">carbon dioxide-equivalent in the </w:t>
      </w:r>
      <w:r w:rsidRPr="009A024A">
        <w:rPr>
          <w:i/>
        </w:rPr>
        <w:t>Plausible</w:t>
      </w:r>
      <w:r w:rsidRPr="009A024A">
        <w:t xml:space="preserve"> scenario, </w:t>
      </w:r>
      <w:r w:rsidR="003A30AF" w:rsidRPr="009A024A">
        <w:t>11</w:t>
      </w:r>
      <w:r w:rsidR="005F0E84">
        <w:t>9</w:t>
      </w:r>
      <w:r w:rsidR="003A30AF" w:rsidRPr="009A024A">
        <w:t>.6</w:t>
      </w:r>
      <w:r w:rsidRPr="009A024A">
        <w:t xml:space="preserve"> gigatons of carbon dioxide-equivalent for the </w:t>
      </w:r>
      <w:r w:rsidRPr="009A024A">
        <w:rPr>
          <w:i/>
        </w:rPr>
        <w:t xml:space="preserve">Drawdown </w:t>
      </w:r>
      <w:r w:rsidRPr="009A024A">
        <w:t xml:space="preserve">Scenario and </w:t>
      </w:r>
      <w:r w:rsidR="005F0E84">
        <w:t>118.1</w:t>
      </w:r>
      <w:r w:rsidRPr="009A024A">
        <w:t xml:space="preserve"> gigatons of carbon dioxide-equivalent for the </w:t>
      </w:r>
      <w:r w:rsidRPr="009A024A">
        <w:rPr>
          <w:i/>
        </w:rPr>
        <w:t>Optimum</w:t>
      </w:r>
      <w:r w:rsidRPr="009A024A">
        <w:t xml:space="preserve"> Scenario.</w:t>
      </w:r>
      <w:r w:rsidR="00912CC8" w:rsidRPr="009A024A">
        <w:t xml:space="preserve"> Figure 3.2. show</w:t>
      </w:r>
      <w:r w:rsidR="00AB23AA" w:rsidRPr="009A024A">
        <w:t>s</w:t>
      </w:r>
      <w:r w:rsidR="00912CC8" w:rsidRPr="009A024A">
        <w:t xml:space="preserve"> the world annual emissions reduction</w:t>
      </w:r>
      <w:r w:rsidR="00912CC8" w:rsidRPr="003A30AF">
        <w:t xml:space="preserve"> trajectories for the different scenarios for the long term.</w:t>
      </w:r>
    </w:p>
    <w:p w14:paraId="41C62D14" w14:textId="77777777" w:rsidR="003A30AF" w:rsidRPr="00061636" w:rsidRDefault="003A30AF" w:rsidP="003C3534">
      <w:pPr>
        <w:spacing w:after="0"/>
      </w:pPr>
    </w:p>
    <w:p w14:paraId="524B77BF" w14:textId="75BBD916" w:rsidR="00762877" w:rsidRPr="00061636" w:rsidRDefault="003A7929" w:rsidP="00EB247F">
      <w:pPr>
        <w:pStyle w:val="Caption"/>
        <w:jc w:val="center"/>
        <w:rPr>
          <w:rFonts w:eastAsia="Times New Roman" w:cs="Times New Roman"/>
          <w:sz w:val="24"/>
          <w:szCs w:val="24"/>
          <w:lang w:eastAsia="zh-CN"/>
        </w:rPr>
      </w:pPr>
      <w:bookmarkStart w:id="61" w:name="_Toc534461014"/>
      <w:r w:rsidRPr="00061636">
        <w:t xml:space="preserve">Table </w:t>
      </w:r>
      <w:fldSimple w:instr=" STYLEREF 1 \s ">
        <w:r w:rsidRPr="00061636">
          <w:t>3</w:t>
        </w:r>
      </w:fldSimple>
      <w:r w:rsidRPr="00061636">
        <w:t>.</w:t>
      </w:r>
      <w:fldSimple w:instr=" SEQ Table \* ARABIC \s 1 ">
        <w:r w:rsidRPr="00061636">
          <w:t>3</w:t>
        </w:r>
      </w:fldSimple>
      <w:r w:rsidRPr="00061636">
        <w:t xml:space="preserve"> Impacts on Atmospheric Concentrations of CO</w:t>
      </w:r>
      <w:r w:rsidRPr="00061636">
        <w:rPr>
          <w:vertAlign w:val="subscript"/>
        </w:rPr>
        <w:t>2</w:t>
      </w:r>
      <w:r w:rsidRPr="00061636">
        <w:t>-eq</w:t>
      </w:r>
      <w:bookmarkEnd w:id="60"/>
      <w:bookmarkEnd w:id="61"/>
    </w:p>
    <w:tbl>
      <w:tblPr>
        <w:tblW w:w="9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061636" w14:paraId="6867F03C" w14:textId="77777777" w:rsidTr="00E43DF0">
        <w:trPr>
          <w:trHeight w:val="46"/>
          <w:jc w:val="center"/>
        </w:trPr>
        <w:tc>
          <w:tcPr>
            <w:tcW w:w="0" w:type="auto"/>
            <w:vMerge w:val="restart"/>
            <w:shd w:val="clear" w:color="auto" w:fill="4F81BD" w:themeFill="accent1"/>
            <w:tcMar>
              <w:top w:w="100" w:type="dxa"/>
              <w:left w:w="100" w:type="dxa"/>
              <w:bottom w:w="100" w:type="dxa"/>
              <w:right w:w="100" w:type="dxa"/>
            </w:tcMar>
            <w:hideMark/>
          </w:tcPr>
          <w:p w14:paraId="0451DCA8" w14:textId="77777777" w:rsidR="003A7929" w:rsidRPr="00061636" w:rsidRDefault="003A7929" w:rsidP="001534F5">
            <w:pPr>
              <w:spacing w:line="240" w:lineRule="auto"/>
              <w:jc w:val="center"/>
              <w:rPr>
                <w:rFonts w:cstheme="minorHAnsi"/>
                <w:b/>
                <w:bCs/>
                <w:color w:val="FFFFFF" w:themeColor="background1"/>
                <w:sz w:val="20"/>
                <w:szCs w:val="20"/>
                <w:lang w:eastAsia="zh-CN"/>
              </w:rPr>
            </w:pPr>
            <w:r w:rsidRPr="00061636">
              <w:rPr>
                <w:rFonts w:cstheme="minorHAnsi"/>
                <w:b/>
                <w:bCs/>
                <w:color w:val="FFFFFF" w:themeColor="background1"/>
                <w:sz w:val="20"/>
                <w:szCs w:val="20"/>
                <w:lang w:eastAsia="zh-CN"/>
              </w:rPr>
              <w:t>Scenario</w:t>
            </w:r>
          </w:p>
        </w:tc>
        <w:tc>
          <w:tcPr>
            <w:tcW w:w="0" w:type="auto"/>
            <w:shd w:val="clear" w:color="auto" w:fill="4F81BD" w:themeFill="accent1"/>
            <w:tcMar>
              <w:top w:w="100" w:type="dxa"/>
              <w:left w:w="100" w:type="dxa"/>
              <w:bottom w:w="100" w:type="dxa"/>
              <w:right w:w="100" w:type="dxa"/>
            </w:tcMar>
            <w:hideMark/>
          </w:tcPr>
          <w:p w14:paraId="538AC623" w14:textId="77777777" w:rsidR="003A7929" w:rsidRPr="00061636" w:rsidRDefault="003A7929" w:rsidP="001534F5">
            <w:pPr>
              <w:spacing w:line="240" w:lineRule="auto"/>
              <w:jc w:val="center"/>
              <w:rPr>
                <w:rFonts w:cstheme="minorHAnsi"/>
                <w:b/>
                <w:bCs/>
                <w:color w:val="FFFFFF" w:themeColor="background1"/>
                <w:sz w:val="20"/>
                <w:szCs w:val="20"/>
                <w:lang w:eastAsia="zh-CN"/>
              </w:rPr>
            </w:pPr>
            <w:r w:rsidRPr="00061636">
              <w:rPr>
                <w:rFonts w:cstheme="minorHAnsi"/>
                <w:b/>
                <w:bCs/>
                <w:color w:val="FFFFFF" w:themeColor="background1"/>
                <w:sz w:val="20"/>
                <w:szCs w:val="20"/>
                <w:lang w:eastAsia="zh-CN"/>
              </w:rPr>
              <w:t>GHG Concentration Change in 2050</w:t>
            </w:r>
          </w:p>
        </w:tc>
        <w:tc>
          <w:tcPr>
            <w:tcW w:w="0" w:type="auto"/>
            <w:shd w:val="clear" w:color="auto" w:fill="4F81BD" w:themeFill="accent1"/>
            <w:tcMar>
              <w:top w:w="100" w:type="dxa"/>
              <w:left w:w="100" w:type="dxa"/>
              <w:bottom w:w="100" w:type="dxa"/>
              <w:right w:w="100" w:type="dxa"/>
            </w:tcMar>
            <w:hideMark/>
          </w:tcPr>
          <w:p w14:paraId="0DE013E5" w14:textId="77777777" w:rsidR="003A7929" w:rsidRPr="00061636" w:rsidRDefault="003A7929" w:rsidP="001534F5">
            <w:pPr>
              <w:spacing w:line="240" w:lineRule="auto"/>
              <w:jc w:val="center"/>
              <w:rPr>
                <w:rFonts w:cstheme="minorHAnsi"/>
                <w:b/>
                <w:bCs/>
                <w:color w:val="FFFFFF" w:themeColor="background1"/>
                <w:sz w:val="20"/>
                <w:szCs w:val="20"/>
                <w:lang w:eastAsia="zh-CN"/>
              </w:rPr>
            </w:pPr>
            <w:r w:rsidRPr="00061636">
              <w:rPr>
                <w:rFonts w:cstheme="minorHAnsi"/>
                <w:b/>
                <w:bCs/>
                <w:color w:val="FFFFFF" w:themeColor="background1"/>
                <w:sz w:val="20"/>
                <w:szCs w:val="20"/>
                <w:lang w:eastAsia="zh-CN"/>
              </w:rPr>
              <w:t>GHG Concentration Rate of Change in 2050</w:t>
            </w:r>
          </w:p>
        </w:tc>
      </w:tr>
      <w:tr w:rsidR="003A7929" w:rsidRPr="00061636" w14:paraId="143693A2" w14:textId="77777777" w:rsidTr="00E43DF0">
        <w:trPr>
          <w:trHeight w:val="26"/>
          <w:jc w:val="center"/>
        </w:trPr>
        <w:tc>
          <w:tcPr>
            <w:tcW w:w="0" w:type="auto"/>
            <w:vMerge/>
            <w:shd w:val="clear" w:color="auto" w:fill="4F81BD" w:themeFill="accent1"/>
            <w:vAlign w:val="center"/>
            <w:hideMark/>
          </w:tcPr>
          <w:p w14:paraId="767828E7" w14:textId="77777777" w:rsidR="003A7929" w:rsidRPr="00061636" w:rsidRDefault="003A7929" w:rsidP="001534F5">
            <w:pPr>
              <w:spacing w:line="240" w:lineRule="auto"/>
              <w:jc w:val="center"/>
              <w:rPr>
                <w:rFonts w:cstheme="minorHAnsi"/>
                <w:bCs/>
                <w:i/>
                <w:color w:val="FFFFFF" w:themeColor="background1"/>
                <w:sz w:val="20"/>
                <w:szCs w:val="20"/>
                <w:lang w:eastAsia="zh-CN"/>
              </w:rPr>
            </w:pPr>
          </w:p>
        </w:tc>
        <w:tc>
          <w:tcPr>
            <w:tcW w:w="0" w:type="auto"/>
            <w:shd w:val="clear" w:color="auto" w:fill="4F81BD" w:themeFill="accent1"/>
            <w:tcMar>
              <w:top w:w="100" w:type="dxa"/>
              <w:left w:w="100" w:type="dxa"/>
              <w:bottom w:w="100" w:type="dxa"/>
              <w:right w:w="100" w:type="dxa"/>
            </w:tcMar>
            <w:hideMark/>
          </w:tcPr>
          <w:p w14:paraId="7AC61076" w14:textId="77777777" w:rsidR="003A7929" w:rsidRPr="00061636" w:rsidRDefault="003A7929" w:rsidP="001534F5">
            <w:pPr>
              <w:spacing w:line="240" w:lineRule="auto"/>
              <w:jc w:val="center"/>
              <w:rPr>
                <w:rFonts w:cstheme="minorHAnsi"/>
                <w:bCs/>
                <w:i/>
                <w:color w:val="FFFFFF" w:themeColor="background1"/>
                <w:sz w:val="20"/>
                <w:szCs w:val="20"/>
                <w:lang w:eastAsia="zh-CN"/>
              </w:rPr>
            </w:pPr>
            <w:r w:rsidRPr="00061636">
              <w:rPr>
                <w:rFonts w:cstheme="minorHAnsi"/>
                <w:bCs/>
                <w:i/>
                <w:color w:val="FFFFFF" w:themeColor="background1"/>
                <w:sz w:val="20"/>
                <w:szCs w:val="20"/>
                <w:lang w:eastAsia="zh-CN"/>
              </w:rPr>
              <w:t>PPM CO</w:t>
            </w:r>
            <w:r w:rsidRPr="00061636">
              <w:rPr>
                <w:rFonts w:cstheme="minorHAnsi"/>
                <w:bCs/>
                <w:i/>
                <w:color w:val="FFFFFF" w:themeColor="background1"/>
                <w:sz w:val="20"/>
                <w:szCs w:val="20"/>
                <w:vertAlign w:val="subscript"/>
                <w:lang w:eastAsia="zh-CN"/>
              </w:rPr>
              <w:t>2</w:t>
            </w:r>
            <w:r w:rsidRPr="00061636">
              <w:rPr>
                <w:rFonts w:cstheme="minorHAnsi"/>
                <w:bCs/>
                <w:i/>
                <w:color w:val="FFFFFF" w:themeColor="background1"/>
                <w:sz w:val="20"/>
                <w:szCs w:val="20"/>
                <w:lang w:eastAsia="zh-CN"/>
              </w:rPr>
              <w:t>-eq (2050)</w:t>
            </w:r>
          </w:p>
        </w:tc>
        <w:tc>
          <w:tcPr>
            <w:tcW w:w="0" w:type="auto"/>
            <w:shd w:val="clear" w:color="auto" w:fill="4F81BD" w:themeFill="accent1"/>
            <w:tcMar>
              <w:top w:w="100" w:type="dxa"/>
              <w:left w:w="100" w:type="dxa"/>
              <w:bottom w:w="100" w:type="dxa"/>
              <w:right w:w="100" w:type="dxa"/>
            </w:tcMar>
            <w:hideMark/>
          </w:tcPr>
          <w:p w14:paraId="1B728A76" w14:textId="77777777" w:rsidR="003A7929" w:rsidRPr="00061636" w:rsidRDefault="003A7929" w:rsidP="001534F5">
            <w:pPr>
              <w:spacing w:line="240" w:lineRule="auto"/>
              <w:jc w:val="center"/>
              <w:rPr>
                <w:rFonts w:cstheme="minorHAnsi"/>
                <w:bCs/>
                <w:i/>
                <w:color w:val="FFFFFF" w:themeColor="background1"/>
                <w:sz w:val="20"/>
                <w:szCs w:val="20"/>
                <w:lang w:eastAsia="zh-CN"/>
              </w:rPr>
            </w:pPr>
            <w:r w:rsidRPr="00061636">
              <w:rPr>
                <w:rFonts w:cstheme="minorHAnsi"/>
                <w:bCs/>
                <w:i/>
                <w:color w:val="FFFFFF" w:themeColor="background1"/>
                <w:sz w:val="20"/>
                <w:szCs w:val="20"/>
                <w:lang w:eastAsia="zh-CN"/>
              </w:rPr>
              <w:t>PPM CO</w:t>
            </w:r>
            <w:r w:rsidRPr="00061636">
              <w:rPr>
                <w:rFonts w:cstheme="minorHAnsi"/>
                <w:bCs/>
                <w:i/>
                <w:color w:val="FFFFFF" w:themeColor="background1"/>
                <w:sz w:val="20"/>
                <w:szCs w:val="20"/>
                <w:vertAlign w:val="subscript"/>
                <w:lang w:eastAsia="zh-CN"/>
              </w:rPr>
              <w:t>2</w:t>
            </w:r>
            <w:r w:rsidRPr="00061636">
              <w:rPr>
                <w:rFonts w:cstheme="minorHAnsi"/>
                <w:bCs/>
                <w:i/>
                <w:color w:val="FFFFFF" w:themeColor="background1"/>
                <w:sz w:val="20"/>
                <w:szCs w:val="20"/>
                <w:lang w:eastAsia="zh-CN"/>
              </w:rPr>
              <w:t>-eq change from 2049-2050</w:t>
            </w:r>
          </w:p>
        </w:tc>
      </w:tr>
      <w:tr w:rsidR="003A7929" w:rsidRPr="00061636" w14:paraId="4F4161D1" w14:textId="77777777" w:rsidTr="00E43DF0">
        <w:trPr>
          <w:trHeight w:val="16"/>
          <w:jc w:val="center"/>
        </w:trPr>
        <w:tc>
          <w:tcPr>
            <w:tcW w:w="0" w:type="auto"/>
            <w:tcMar>
              <w:top w:w="100" w:type="dxa"/>
              <w:left w:w="100" w:type="dxa"/>
              <w:bottom w:w="100" w:type="dxa"/>
              <w:right w:w="100" w:type="dxa"/>
            </w:tcMar>
            <w:hideMark/>
          </w:tcPr>
          <w:p w14:paraId="0CCA5B43" w14:textId="77777777" w:rsidR="003A7929" w:rsidRPr="00061636" w:rsidRDefault="003A7929" w:rsidP="001534F5">
            <w:pPr>
              <w:shd w:val="clear" w:color="auto" w:fill="FFFFFF" w:themeFill="background1"/>
              <w:spacing w:after="0" w:line="240" w:lineRule="auto"/>
              <w:jc w:val="center"/>
              <w:rPr>
                <w:color w:val="000000" w:themeColor="text1"/>
                <w:sz w:val="20"/>
                <w:szCs w:val="20"/>
                <w:lang w:eastAsia="zh-CN"/>
              </w:rPr>
            </w:pPr>
            <w:r w:rsidRPr="00061636">
              <w:rPr>
                <w:b/>
                <w:bCs/>
                <w:color w:val="000000" w:themeColor="text1"/>
                <w:sz w:val="20"/>
                <w:szCs w:val="20"/>
                <w:lang w:eastAsia="zh-CN"/>
              </w:rPr>
              <w:t>Plausible</w:t>
            </w:r>
          </w:p>
        </w:tc>
        <w:tc>
          <w:tcPr>
            <w:tcW w:w="0" w:type="auto"/>
            <w:tcMar>
              <w:top w:w="100" w:type="dxa"/>
              <w:left w:w="100" w:type="dxa"/>
              <w:bottom w:w="100" w:type="dxa"/>
              <w:right w:w="100" w:type="dxa"/>
            </w:tcMar>
            <w:hideMark/>
          </w:tcPr>
          <w:p w14:paraId="4A1BCFAA" w14:textId="37EAC467" w:rsidR="003A7929" w:rsidRPr="00B53121" w:rsidRDefault="003A30AF" w:rsidP="001534F5">
            <w:pPr>
              <w:shd w:val="clear" w:color="auto" w:fill="FFFFFF"/>
              <w:spacing w:after="0" w:line="240" w:lineRule="auto"/>
              <w:jc w:val="center"/>
              <w:rPr>
                <w:rFonts w:eastAsia="Times New Roman" w:cstheme="minorHAnsi"/>
                <w:color w:val="000000" w:themeColor="text1"/>
                <w:sz w:val="20"/>
                <w:szCs w:val="20"/>
                <w:lang w:eastAsia="zh-CN"/>
              </w:rPr>
            </w:pPr>
            <w:r w:rsidRPr="00B53121">
              <w:rPr>
                <w:rFonts w:eastAsia="Times New Roman" w:cstheme="minorHAnsi"/>
                <w:color w:val="000000" w:themeColor="text1"/>
                <w:sz w:val="20"/>
                <w:szCs w:val="20"/>
                <w:lang w:eastAsia="zh-CN"/>
              </w:rPr>
              <w:t>4</w:t>
            </w:r>
            <w:r w:rsidR="00B53121" w:rsidRPr="00B53121">
              <w:rPr>
                <w:rFonts w:eastAsia="Times New Roman" w:cstheme="minorHAnsi"/>
                <w:color w:val="000000" w:themeColor="text1"/>
                <w:sz w:val="20"/>
                <w:szCs w:val="20"/>
                <w:lang w:eastAsia="zh-CN"/>
              </w:rPr>
              <w:t>.</w:t>
            </w:r>
            <w:r w:rsidR="005F0E84">
              <w:rPr>
                <w:rFonts w:eastAsia="Times New Roman" w:cstheme="minorHAnsi"/>
                <w:color w:val="000000" w:themeColor="text1"/>
                <w:sz w:val="20"/>
                <w:szCs w:val="20"/>
                <w:lang w:eastAsia="zh-CN"/>
              </w:rPr>
              <w:t>13</w:t>
            </w:r>
          </w:p>
        </w:tc>
        <w:tc>
          <w:tcPr>
            <w:tcW w:w="0" w:type="auto"/>
            <w:tcMar>
              <w:top w:w="100" w:type="dxa"/>
              <w:left w:w="100" w:type="dxa"/>
              <w:bottom w:w="100" w:type="dxa"/>
              <w:right w:w="100" w:type="dxa"/>
            </w:tcMar>
            <w:hideMark/>
          </w:tcPr>
          <w:p w14:paraId="27FA7AAF" w14:textId="5B6ED3E5" w:rsidR="003A7929" w:rsidRPr="00B53121" w:rsidRDefault="0030099E" w:rsidP="001534F5">
            <w:pPr>
              <w:shd w:val="clear" w:color="auto" w:fill="FFFFFF"/>
              <w:spacing w:after="0" w:line="240" w:lineRule="auto"/>
              <w:jc w:val="center"/>
              <w:rPr>
                <w:rFonts w:eastAsia="Times New Roman" w:cstheme="minorHAnsi"/>
                <w:color w:val="000000" w:themeColor="text1"/>
                <w:sz w:val="20"/>
                <w:szCs w:val="20"/>
                <w:lang w:eastAsia="zh-CN"/>
              </w:rPr>
            </w:pPr>
            <w:r w:rsidRPr="00B53121">
              <w:rPr>
                <w:rFonts w:eastAsia="Times New Roman" w:cstheme="minorHAnsi"/>
                <w:color w:val="000000" w:themeColor="text1"/>
                <w:sz w:val="20"/>
                <w:szCs w:val="20"/>
                <w:lang w:eastAsia="zh-CN"/>
              </w:rPr>
              <w:t>0.</w:t>
            </w:r>
            <w:r w:rsidR="00B53121" w:rsidRPr="00B53121">
              <w:rPr>
                <w:rFonts w:eastAsia="Times New Roman" w:cstheme="minorHAnsi"/>
                <w:color w:val="000000" w:themeColor="text1"/>
                <w:sz w:val="20"/>
                <w:szCs w:val="20"/>
                <w:lang w:eastAsia="zh-CN"/>
              </w:rPr>
              <w:t>34</w:t>
            </w:r>
          </w:p>
        </w:tc>
      </w:tr>
      <w:tr w:rsidR="0030099E" w:rsidRPr="00061636" w14:paraId="389D5E87" w14:textId="77777777" w:rsidTr="00E43DF0">
        <w:trPr>
          <w:trHeight w:val="16"/>
          <w:jc w:val="center"/>
        </w:trPr>
        <w:tc>
          <w:tcPr>
            <w:tcW w:w="0" w:type="auto"/>
            <w:tcMar>
              <w:top w:w="100" w:type="dxa"/>
              <w:left w:w="100" w:type="dxa"/>
              <w:bottom w:w="100" w:type="dxa"/>
              <w:right w:w="100" w:type="dxa"/>
            </w:tcMar>
            <w:hideMark/>
          </w:tcPr>
          <w:p w14:paraId="1A526B64" w14:textId="77777777" w:rsidR="0030099E" w:rsidRPr="00061636" w:rsidRDefault="0030099E" w:rsidP="001534F5">
            <w:pPr>
              <w:shd w:val="clear" w:color="auto" w:fill="FFFFFF" w:themeFill="background1"/>
              <w:spacing w:after="0" w:line="240" w:lineRule="auto"/>
              <w:jc w:val="center"/>
              <w:rPr>
                <w:color w:val="000000" w:themeColor="text1"/>
                <w:sz w:val="20"/>
                <w:szCs w:val="20"/>
                <w:lang w:eastAsia="zh-CN"/>
              </w:rPr>
            </w:pPr>
            <w:r w:rsidRPr="00061636">
              <w:rPr>
                <w:b/>
                <w:bCs/>
                <w:color w:val="000000" w:themeColor="text1"/>
                <w:sz w:val="20"/>
                <w:szCs w:val="20"/>
                <w:lang w:eastAsia="zh-CN"/>
              </w:rPr>
              <w:t>Drawdown</w:t>
            </w:r>
          </w:p>
        </w:tc>
        <w:tc>
          <w:tcPr>
            <w:tcW w:w="0" w:type="auto"/>
            <w:tcMar>
              <w:top w:w="100" w:type="dxa"/>
              <w:left w:w="100" w:type="dxa"/>
              <w:bottom w:w="100" w:type="dxa"/>
              <w:right w:w="100" w:type="dxa"/>
            </w:tcMar>
            <w:hideMark/>
          </w:tcPr>
          <w:p w14:paraId="66EE9459" w14:textId="1234A9E5" w:rsidR="0030099E" w:rsidRPr="00B53121" w:rsidRDefault="00B53121" w:rsidP="001534F5">
            <w:pPr>
              <w:shd w:val="clear" w:color="auto" w:fill="FFFFFF"/>
              <w:spacing w:after="0" w:line="240" w:lineRule="auto"/>
              <w:jc w:val="center"/>
              <w:rPr>
                <w:rFonts w:eastAsia="Times New Roman" w:cstheme="minorHAnsi"/>
                <w:color w:val="000000" w:themeColor="text1"/>
                <w:sz w:val="20"/>
                <w:szCs w:val="20"/>
                <w:lang w:eastAsia="zh-CN"/>
              </w:rPr>
            </w:pPr>
            <w:r w:rsidRPr="00B53121">
              <w:rPr>
                <w:rFonts w:eastAsia="Times New Roman" w:cstheme="minorHAnsi"/>
                <w:color w:val="000000" w:themeColor="text1"/>
                <w:sz w:val="20"/>
                <w:szCs w:val="20"/>
                <w:lang w:eastAsia="zh-CN"/>
              </w:rPr>
              <w:t>10.</w:t>
            </w:r>
            <w:r w:rsidR="005F0E84">
              <w:rPr>
                <w:rFonts w:eastAsia="Times New Roman" w:cstheme="minorHAnsi"/>
                <w:color w:val="000000" w:themeColor="text1"/>
                <w:sz w:val="20"/>
                <w:szCs w:val="20"/>
                <w:lang w:eastAsia="zh-CN"/>
              </w:rPr>
              <w:t>81</w:t>
            </w:r>
          </w:p>
        </w:tc>
        <w:tc>
          <w:tcPr>
            <w:tcW w:w="0" w:type="auto"/>
            <w:tcMar>
              <w:top w:w="100" w:type="dxa"/>
              <w:left w:w="100" w:type="dxa"/>
              <w:bottom w:w="100" w:type="dxa"/>
              <w:right w:w="100" w:type="dxa"/>
            </w:tcMar>
            <w:hideMark/>
          </w:tcPr>
          <w:p w14:paraId="69BDFCEF" w14:textId="2B6ED341" w:rsidR="0030099E" w:rsidRPr="00B53121" w:rsidRDefault="00B53121" w:rsidP="001534F5">
            <w:pPr>
              <w:shd w:val="clear" w:color="auto" w:fill="FFFFFF"/>
              <w:spacing w:after="0" w:line="240" w:lineRule="auto"/>
              <w:jc w:val="center"/>
              <w:rPr>
                <w:rFonts w:eastAsia="Times New Roman" w:cstheme="minorHAnsi"/>
                <w:color w:val="000000" w:themeColor="text1"/>
                <w:sz w:val="20"/>
                <w:szCs w:val="20"/>
                <w:lang w:eastAsia="zh-CN"/>
              </w:rPr>
            </w:pPr>
            <w:r w:rsidRPr="00B53121">
              <w:rPr>
                <w:rFonts w:eastAsia="Times New Roman" w:cstheme="minorHAnsi"/>
                <w:color w:val="000000" w:themeColor="text1"/>
                <w:sz w:val="20"/>
                <w:szCs w:val="20"/>
                <w:lang w:eastAsia="zh-CN"/>
              </w:rPr>
              <w:t>0.61</w:t>
            </w:r>
          </w:p>
        </w:tc>
      </w:tr>
      <w:tr w:rsidR="00B53121" w:rsidRPr="00061636" w14:paraId="7A2BE5CA" w14:textId="77777777" w:rsidTr="00E43DF0">
        <w:trPr>
          <w:trHeight w:val="16"/>
          <w:jc w:val="center"/>
        </w:trPr>
        <w:tc>
          <w:tcPr>
            <w:tcW w:w="0" w:type="auto"/>
            <w:tcMar>
              <w:top w:w="100" w:type="dxa"/>
              <w:left w:w="100" w:type="dxa"/>
              <w:bottom w:w="100" w:type="dxa"/>
              <w:right w:w="100" w:type="dxa"/>
            </w:tcMar>
            <w:hideMark/>
          </w:tcPr>
          <w:p w14:paraId="084024A2" w14:textId="77777777" w:rsidR="00B53121" w:rsidRPr="00061636" w:rsidRDefault="00B53121" w:rsidP="00B53121">
            <w:pPr>
              <w:shd w:val="clear" w:color="auto" w:fill="FFFFFF" w:themeFill="background1"/>
              <w:spacing w:after="0" w:line="240" w:lineRule="auto"/>
              <w:jc w:val="center"/>
              <w:rPr>
                <w:color w:val="000000" w:themeColor="text1"/>
                <w:sz w:val="20"/>
                <w:szCs w:val="20"/>
                <w:lang w:eastAsia="zh-CN"/>
              </w:rPr>
            </w:pPr>
            <w:r w:rsidRPr="00061636">
              <w:rPr>
                <w:b/>
                <w:bCs/>
                <w:color w:val="000000" w:themeColor="text1"/>
                <w:sz w:val="20"/>
                <w:szCs w:val="20"/>
                <w:lang w:eastAsia="zh-CN"/>
              </w:rPr>
              <w:t>Optimum</w:t>
            </w:r>
          </w:p>
        </w:tc>
        <w:tc>
          <w:tcPr>
            <w:tcW w:w="0" w:type="auto"/>
            <w:tcMar>
              <w:top w:w="100" w:type="dxa"/>
              <w:left w:w="100" w:type="dxa"/>
              <w:bottom w:w="100" w:type="dxa"/>
              <w:right w:w="100" w:type="dxa"/>
            </w:tcMar>
            <w:hideMark/>
          </w:tcPr>
          <w:p w14:paraId="1FCA082F" w14:textId="09615E43" w:rsidR="00B53121" w:rsidRPr="003C3534" w:rsidRDefault="00B53121" w:rsidP="00B53121">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B53121">
              <w:rPr>
                <w:rFonts w:eastAsia="Times New Roman" w:cstheme="minorHAnsi"/>
                <w:color w:val="000000" w:themeColor="text1"/>
                <w:sz w:val="20"/>
                <w:szCs w:val="20"/>
                <w:lang w:eastAsia="zh-CN"/>
              </w:rPr>
              <w:t>10.</w:t>
            </w:r>
            <w:r w:rsidR="005F0E84">
              <w:rPr>
                <w:rFonts w:eastAsia="Times New Roman" w:cstheme="minorHAnsi"/>
                <w:color w:val="000000" w:themeColor="text1"/>
                <w:sz w:val="20"/>
                <w:szCs w:val="20"/>
                <w:lang w:eastAsia="zh-CN"/>
              </w:rPr>
              <w:t>81</w:t>
            </w:r>
          </w:p>
        </w:tc>
        <w:tc>
          <w:tcPr>
            <w:tcW w:w="0" w:type="auto"/>
            <w:tcMar>
              <w:top w:w="100" w:type="dxa"/>
              <w:left w:w="100" w:type="dxa"/>
              <w:bottom w:w="100" w:type="dxa"/>
              <w:right w:w="100" w:type="dxa"/>
            </w:tcMar>
            <w:hideMark/>
          </w:tcPr>
          <w:p w14:paraId="24A8C8CB" w14:textId="5C8B3253" w:rsidR="00B53121" w:rsidRPr="003C3534" w:rsidRDefault="00B53121" w:rsidP="00B53121">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B53121">
              <w:rPr>
                <w:rFonts w:eastAsia="Times New Roman" w:cstheme="minorHAnsi"/>
                <w:color w:val="000000" w:themeColor="text1"/>
                <w:sz w:val="20"/>
                <w:szCs w:val="20"/>
                <w:lang w:eastAsia="zh-CN"/>
              </w:rPr>
              <w:t>0.61</w:t>
            </w:r>
          </w:p>
        </w:tc>
      </w:tr>
    </w:tbl>
    <w:p w14:paraId="52077D33" w14:textId="77777777" w:rsidR="003A7FE2" w:rsidRPr="00061636" w:rsidRDefault="003A7FE2" w:rsidP="00EB247F">
      <w:pPr>
        <w:pStyle w:val="Caption"/>
      </w:pPr>
    </w:p>
    <w:p w14:paraId="61997373" w14:textId="441F4522" w:rsidR="003A7929" w:rsidRPr="00061636" w:rsidRDefault="00F11E39" w:rsidP="00EB247F">
      <w:pPr>
        <w:jc w:val="center"/>
      </w:pPr>
      <w:r>
        <w:rPr>
          <w:noProof/>
        </w:rPr>
        <w:lastRenderedPageBreak/>
        <w:drawing>
          <wp:inline distT="0" distB="0" distL="0" distR="0" wp14:anchorId="7EABF94C" wp14:editId="12C3360A">
            <wp:extent cx="5478235" cy="2686050"/>
            <wp:effectExtent l="0" t="0" r="8255" b="6350"/>
            <wp:docPr id="7" name="Chart 7">
              <a:extLst xmlns:a="http://schemas.openxmlformats.org/drawingml/2006/main">
                <a:ext uri="{FF2B5EF4-FFF2-40B4-BE49-F238E27FC236}">
                  <a16:creationId xmlns:a16="http://schemas.microsoft.com/office/drawing/2014/main" id="{04E40A61-3345-4E38-AA26-9300ACF719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DAEFCF6" w14:textId="79B620EC" w:rsidR="00762877" w:rsidRPr="00061636" w:rsidRDefault="003A7929" w:rsidP="00996E91">
      <w:pPr>
        <w:pStyle w:val="Caption"/>
        <w:jc w:val="center"/>
      </w:pPr>
      <w:bookmarkStart w:id="62" w:name="_Toc524993433"/>
      <w:bookmarkStart w:id="63" w:name="_Toc23606361"/>
      <w:r w:rsidRPr="00F11E39">
        <w:t xml:space="preserve">Figure </w:t>
      </w:r>
      <w:fldSimple w:instr=" STYLEREF 1 \s ">
        <w:r w:rsidR="004A672D" w:rsidRPr="00F11E39">
          <w:rPr>
            <w:noProof/>
          </w:rPr>
          <w:t>3</w:t>
        </w:r>
      </w:fldSimple>
      <w:r w:rsidRPr="00F11E39">
        <w:t>.</w:t>
      </w:r>
      <w:fldSimple w:instr=" SEQ Figure \* ARABIC \s 1 ">
        <w:r w:rsidR="004A672D" w:rsidRPr="00F11E39">
          <w:rPr>
            <w:noProof/>
          </w:rPr>
          <w:t>2</w:t>
        </w:r>
      </w:fldSimple>
      <w:r w:rsidRPr="00F11E39">
        <w:t xml:space="preserve"> World Annual</w:t>
      </w:r>
      <w:r w:rsidRPr="00F11E39">
        <w:rPr>
          <w:vertAlign w:val="subscript"/>
        </w:rPr>
        <w:t xml:space="preserve"> </w:t>
      </w:r>
      <w:r w:rsidRPr="00F11E39">
        <w:t>Greenhouse Gas Emissions Reduction</w:t>
      </w:r>
      <w:bookmarkEnd w:id="62"/>
      <w:r w:rsidR="00F11E39" w:rsidRPr="00F11E39">
        <w:t xml:space="preserve"> 2015-2060</w:t>
      </w:r>
      <w:bookmarkEnd w:id="63"/>
    </w:p>
    <w:p w14:paraId="75746C46" w14:textId="7F6F8AC6" w:rsidR="00794375" w:rsidRPr="00061636" w:rsidRDefault="00794375" w:rsidP="00794375">
      <w:r w:rsidRPr="00061636">
        <w:t>Note: Drawdown and Optimum Scenarios have the same global adoption for this solution and therefore the world annual greenhouse gas emission reduction impact it is overlaid in the figure.</w:t>
      </w:r>
    </w:p>
    <w:p w14:paraId="66EC2EBB" w14:textId="500D3397" w:rsidR="00B261E0" w:rsidRPr="00061636" w:rsidRDefault="551A77D0" w:rsidP="002A6808">
      <w:pPr>
        <w:pStyle w:val="Heading2"/>
        <w:numPr>
          <w:ilvl w:val="1"/>
          <w:numId w:val="8"/>
        </w:numPr>
      </w:pPr>
      <w:bookmarkStart w:id="64" w:name="_Toc10331925"/>
      <w:r w:rsidRPr="00061636">
        <w:t>Financial Impacts</w:t>
      </w:r>
      <w:bookmarkEnd w:id="64"/>
    </w:p>
    <w:p w14:paraId="67D10FD6" w14:textId="12628984" w:rsidR="00E9270B" w:rsidRPr="00B53121" w:rsidRDefault="00E9270B" w:rsidP="005C77F5">
      <w:r w:rsidRPr="00061636">
        <w:t xml:space="preserve">The financial savings incurred by replacing conventional grid electricity sources with utility-scale PV are substantial. </w:t>
      </w:r>
      <w:r w:rsidR="00B53121">
        <w:t xml:space="preserve">Despite having achieved grid parity in several regions of the world, solar PV farms at the global scale, while using conservative financial inputs and technology development, might still have higher investment cost than conventional </w:t>
      </w:r>
      <w:r w:rsidR="00B53121" w:rsidRPr="00B53121">
        <w:t xml:space="preserve">technologies. </w:t>
      </w:r>
      <w:r w:rsidR="00AB23AA" w:rsidRPr="00B53121">
        <w:t xml:space="preserve">The </w:t>
      </w:r>
      <w:r w:rsidR="005C77F5" w:rsidRPr="007D275A">
        <w:rPr>
          <w:i/>
        </w:rPr>
        <w:t>Plausible</w:t>
      </w:r>
      <w:r w:rsidR="005C77F5" w:rsidRPr="00B53121">
        <w:t xml:space="preserve"> scenario presents </w:t>
      </w:r>
      <w:r w:rsidR="00B53121" w:rsidRPr="00B53121">
        <w:t xml:space="preserve">negative </w:t>
      </w:r>
      <w:r w:rsidR="005C77F5" w:rsidRPr="00B53121">
        <w:t>US$</w:t>
      </w:r>
      <w:r w:rsidR="007D275A">
        <w:t>269.7</w:t>
      </w:r>
      <w:r w:rsidR="005C77F5" w:rsidRPr="00B53121">
        <w:t xml:space="preserve"> billion associated </w:t>
      </w:r>
      <w:r w:rsidR="00B53121" w:rsidRPr="00B53121">
        <w:t xml:space="preserve">with </w:t>
      </w:r>
      <w:r w:rsidR="005C77F5" w:rsidRPr="00B53121">
        <w:t>net first costs</w:t>
      </w:r>
      <w:r w:rsidR="00996E91" w:rsidRPr="00B53121">
        <w:t xml:space="preserve"> </w:t>
      </w:r>
      <w:r w:rsidR="00B53121" w:rsidRPr="00B53121">
        <w:t>but</w:t>
      </w:r>
      <w:r w:rsidR="005C77F5" w:rsidRPr="00B53121">
        <w:t xml:space="preserve"> </w:t>
      </w:r>
      <w:r w:rsidR="00B53121" w:rsidRPr="00B53121">
        <w:t>over</w:t>
      </w:r>
      <w:r w:rsidR="005C77F5" w:rsidRPr="00B53121">
        <w:t xml:space="preserve"> US$</w:t>
      </w:r>
      <w:r w:rsidR="007D275A">
        <w:t>5.1</w:t>
      </w:r>
      <w:r w:rsidR="005C77F5" w:rsidRPr="00B53121">
        <w:t xml:space="preserve"> </w:t>
      </w:r>
      <w:r w:rsidR="00B53121" w:rsidRPr="00B53121">
        <w:t>t</w:t>
      </w:r>
      <w:r w:rsidR="005C77F5" w:rsidRPr="00B53121">
        <w:t>rillion of net operating savings projected over the same period</w:t>
      </w:r>
      <w:r w:rsidR="00E74AC0" w:rsidRPr="00B53121">
        <w:t xml:space="preserve"> (</w:t>
      </w:r>
      <w:r w:rsidR="00B53121" w:rsidRPr="00B53121">
        <w:t>2020-2050</w:t>
      </w:r>
      <w:r w:rsidR="00E74AC0" w:rsidRPr="00B53121">
        <w:t>)</w:t>
      </w:r>
      <w:r w:rsidR="005C77F5" w:rsidRPr="00B53121">
        <w:t xml:space="preserve">, </w:t>
      </w:r>
      <w:r w:rsidR="007D275A" w:rsidRPr="00B53121">
        <w:t>mainly</w:t>
      </w:r>
      <w:r w:rsidR="005C77F5" w:rsidRPr="00B53121">
        <w:t xml:space="preserve"> because utility-scale PV does not require any fuel inputs. </w:t>
      </w:r>
      <w:r w:rsidRPr="00B53121">
        <w:t>This allows for savings to start accruing from the first year of PDS adoption</w:t>
      </w:r>
      <w:r w:rsidR="00A80935" w:rsidRPr="00B53121">
        <w:t xml:space="preserve"> itself</w:t>
      </w:r>
      <w:r w:rsidRPr="00B53121">
        <w:t xml:space="preserve">. </w:t>
      </w:r>
      <w:r w:rsidR="00996E91" w:rsidRPr="00B53121">
        <w:t xml:space="preserve">Both PDS2 and PDS3 have </w:t>
      </w:r>
      <w:r w:rsidR="00AC60DD" w:rsidRPr="00B53121">
        <w:t>similar savings</w:t>
      </w:r>
      <w:r w:rsidR="00996E91" w:rsidRPr="00B53121">
        <w:t xml:space="preserve"> </w:t>
      </w:r>
      <w:r w:rsidR="00B53121" w:rsidRPr="00B53121">
        <w:t xml:space="preserve">among them </w:t>
      </w:r>
      <w:r w:rsidR="00996E91" w:rsidRPr="00B53121">
        <w:t>with</w:t>
      </w:r>
      <w:r w:rsidR="00A80935" w:rsidRPr="00B53121">
        <w:t xml:space="preserve"> </w:t>
      </w:r>
      <w:r w:rsidR="00B53121" w:rsidRPr="00B53121">
        <w:t xml:space="preserve">also negative </w:t>
      </w:r>
      <w:r w:rsidR="00996E91" w:rsidRPr="00B53121">
        <w:t>US$</w:t>
      </w:r>
      <w:r w:rsidR="007D275A">
        <w:t>1.34</w:t>
      </w:r>
      <w:r w:rsidR="00B53121" w:rsidRPr="00B53121">
        <w:t xml:space="preserve"> trillion</w:t>
      </w:r>
      <w:r w:rsidR="00AC60DD" w:rsidRPr="00B53121">
        <w:t xml:space="preserve"> in</w:t>
      </w:r>
      <w:r w:rsidR="00996E91" w:rsidRPr="00B53121">
        <w:t xml:space="preserve"> marginal first costs </w:t>
      </w:r>
      <w:r w:rsidR="00B53121" w:rsidRPr="00B53121">
        <w:t xml:space="preserve">but with very significant savings with </w:t>
      </w:r>
      <w:r w:rsidR="007D275A">
        <w:t>over</w:t>
      </w:r>
      <w:r w:rsidR="00996E91" w:rsidRPr="00B53121">
        <w:t xml:space="preserve"> </w:t>
      </w:r>
      <w:r w:rsidR="00995ABF" w:rsidRPr="00B53121">
        <w:t>US$</w:t>
      </w:r>
      <w:r w:rsidR="00B53121" w:rsidRPr="00B53121">
        <w:t>13.</w:t>
      </w:r>
      <w:r w:rsidR="007D275A">
        <w:t>6</w:t>
      </w:r>
      <w:r w:rsidR="00996E91" w:rsidRPr="00B53121">
        <w:t xml:space="preserve"> </w:t>
      </w:r>
      <w:r w:rsidR="00B53121" w:rsidRPr="00B53121">
        <w:t>t</w:t>
      </w:r>
      <w:r w:rsidR="004A2866" w:rsidRPr="00B53121">
        <w:t>rillion in</w:t>
      </w:r>
      <w:r w:rsidR="00996E91" w:rsidRPr="00B53121">
        <w:t xml:space="preserve"> net operating savings</w:t>
      </w:r>
      <w:r w:rsidR="00A80935" w:rsidRPr="00B53121">
        <w:t xml:space="preserve"> over the period from</w:t>
      </w:r>
      <w:r w:rsidR="003C3534" w:rsidRPr="00B53121">
        <w:t xml:space="preserve"> 2020 to 2050</w:t>
      </w:r>
      <w:r w:rsidR="00996E91" w:rsidRPr="00B53121">
        <w:t>.</w:t>
      </w:r>
    </w:p>
    <w:p w14:paraId="7B5C6E11" w14:textId="2D84217C" w:rsidR="003A7929" w:rsidRPr="00061636" w:rsidRDefault="00E9270B" w:rsidP="005C77F5">
      <w:r w:rsidRPr="00B53121">
        <w:rPr>
          <w:bCs/>
        </w:rPr>
        <w:t xml:space="preserve">The capital costs for PDS adoption of utility-scale PV will certainly require significant investments, as the cumulative capital costs are just over </w:t>
      </w:r>
      <w:r w:rsidR="00AB23AA" w:rsidRPr="00B53121">
        <w:rPr>
          <w:bCs/>
        </w:rPr>
        <w:t>US</w:t>
      </w:r>
      <w:r w:rsidRPr="00B53121">
        <w:rPr>
          <w:bCs/>
        </w:rPr>
        <w:t>$</w:t>
      </w:r>
      <w:r w:rsidR="00B53121" w:rsidRPr="00B53121">
        <w:rPr>
          <w:bCs/>
        </w:rPr>
        <w:t>3</w:t>
      </w:r>
      <w:r w:rsidR="007D275A">
        <w:rPr>
          <w:bCs/>
        </w:rPr>
        <w:t>.3</w:t>
      </w:r>
      <w:r w:rsidR="00B53121" w:rsidRPr="00B53121">
        <w:rPr>
          <w:bCs/>
        </w:rPr>
        <w:t xml:space="preserve"> </w:t>
      </w:r>
      <w:r w:rsidRPr="00B53121">
        <w:rPr>
          <w:bCs/>
        </w:rPr>
        <w:t xml:space="preserve">trillion under the </w:t>
      </w:r>
      <w:r w:rsidRPr="007D275A">
        <w:rPr>
          <w:bCs/>
          <w:i/>
        </w:rPr>
        <w:t>Plausible</w:t>
      </w:r>
      <w:r w:rsidRPr="00B53121">
        <w:rPr>
          <w:bCs/>
        </w:rPr>
        <w:t xml:space="preserve"> Scenario and </w:t>
      </w:r>
      <w:r w:rsidR="007D275A">
        <w:rPr>
          <w:bCs/>
        </w:rPr>
        <w:t xml:space="preserve">just over </w:t>
      </w:r>
      <w:r w:rsidR="00AB23AA" w:rsidRPr="00B53121">
        <w:rPr>
          <w:bCs/>
        </w:rPr>
        <w:t>US</w:t>
      </w:r>
      <w:r w:rsidRPr="00B53121">
        <w:rPr>
          <w:bCs/>
        </w:rPr>
        <w:t>$</w:t>
      </w:r>
      <w:r w:rsidR="00B53121" w:rsidRPr="00B53121">
        <w:rPr>
          <w:bCs/>
        </w:rPr>
        <w:t>5</w:t>
      </w:r>
      <w:r w:rsidRPr="00B53121">
        <w:rPr>
          <w:bCs/>
        </w:rPr>
        <w:t xml:space="preserve"> </w:t>
      </w:r>
      <w:r w:rsidR="007D275A">
        <w:rPr>
          <w:bCs/>
        </w:rPr>
        <w:t>t</w:t>
      </w:r>
      <w:r w:rsidRPr="00B53121">
        <w:rPr>
          <w:bCs/>
        </w:rPr>
        <w:t xml:space="preserve">rillion for the other two PD scenarios. The learning rates used in this analysis lead to a continued decrease in the capital costs of utility-scale PV systems. These projected decreases in the capital costs of utility-scale PV are in line with most projections for future costs. </w:t>
      </w:r>
      <w:r w:rsidRPr="00B53121">
        <w:rPr>
          <w:iCs/>
          <w:kern w:val="2"/>
          <w:lang w:eastAsia="zh-CN"/>
        </w:rPr>
        <w:t>T</w:t>
      </w:r>
      <w:r w:rsidR="00912CC8" w:rsidRPr="00B53121">
        <w:rPr>
          <w:iCs/>
          <w:kern w:val="2"/>
          <w:lang w:eastAsia="zh-CN"/>
        </w:rPr>
        <w:t xml:space="preserve">able </w:t>
      </w:r>
      <w:r w:rsidR="00AC60DD" w:rsidRPr="00B53121">
        <w:rPr>
          <w:iCs/>
          <w:kern w:val="2"/>
          <w:lang w:eastAsia="zh-CN"/>
        </w:rPr>
        <w:t>3.4 presents</w:t>
      </w:r>
      <w:r w:rsidR="003A7929" w:rsidRPr="00B53121">
        <w:rPr>
          <w:iCs/>
          <w:kern w:val="2"/>
          <w:lang w:eastAsia="zh-CN"/>
        </w:rPr>
        <w:t xml:space="preserve"> the financial results of the analysis for each scenario. For a detailed explanation of each result, please see the glossary (Section 6).</w:t>
      </w:r>
    </w:p>
    <w:p w14:paraId="02739D07" w14:textId="77777777" w:rsidR="00826B4A" w:rsidRDefault="00826B4A">
      <w:pPr>
        <w:spacing w:after="160" w:line="259" w:lineRule="auto"/>
        <w:jc w:val="left"/>
        <w:rPr>
          <w:i/>
          <w:iCs/>
          <w:color w:val="1F497D" w:themeColor="text2"/>
          <w:sz w:val="18"/>
          <w:szCs w:val="18"/>
        </w:rPr>
      </w:pPr>
      <w:r>
        <w:br w:type="page"/>
      </w:r>
    </w:p>
    <w:p w14:paraId="09347CCA" w14:textId="7AAAB877" w:rsidR="00492F5E" w:rsidRPr="00061636" w:rsidRDefault="00492F5E" w:rsidP="00EB247F">
      <w:pPr>
        <w:pStyle w:val="Caption"/>
        <w:jc w:val="center"/>
        <w:rPr>
          <w:i w:val="0"/>
          <w:iCs w:val="0"/>
        </w:rPr>
      </w:pPr>
      <w:bookmarkStart w:id="65" w:name="_Toc534461015"/>
      <w:r w:rsidRPr="00061636">
        <w:lastRenderedPageBreak/>
        <w:t xml:space="preserve">Table </w:t>
      </w:r>
      <w:fldSimple w:instr=" STYLEREF 1 \s ">
        <w:r w:rsidRPr="00061636">
          <w:t>3</w:t>
        </w:r>
      </w:fldSimple>
      <w:r w:rsidRPr="00061636">
        <w:t>.</w:t>
      </w:r>
      <w:fldSimple w:instr=" SEQ Table \* ARABIC \s 1 ">
        <w:r w:rsidRPr="00061636">
          <w:t>4</w:t>
        </w:r>
      </w:fldSimple>
      <w:r w:rsidRPr="00061636">
        <w:t xml:space="preserve"> Financial Impacts</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6"/>
        <w:gridCol w:w="1871"/>
        <w:gridCol w:w="1787"/>
        <w:gridCol w:w="1865"/>
        <w:gridCol w:w="2681"/>
      </w:tblGrid>
      <w:tr w:rsidR="00E9782A" w:rsidRPr="00061636" w14:paraId="02CA9FB7" w14:textId="77777777" w:rsidTr="00E43DF0">
        <w:trPr>
          <w:trHeight w:val="820"/>
        </w:trPr>
        <w:tc>
          <w:tcPr>
            <w:tcW w:w="0" w:type="auto"/>
            <w:vMerge w:val="restart"/>
            <w:shd w:val="clear" w:color="auto" w:fill="4F81BD" w:themeFill="accent1"/>
            <w:tcMar>
              <w:top w:w="100" w:type="dxa"/>
              <w:left w:w="100" w:type="dxa"/>
              <w:bottom w:w="100" w:type="dxa"/>
              <w:right w:w="100" w:type="dxa"/>
            </w:tcMar>
            <w:hideMark/>
          </w:tcPr>
          <w:p w14:paraId="573B5F21" w14:textId="77777777" w:rsidR="00E9782A" w:rsidRPr="00061636" w:rsidRDefault="00E9782A" w:rsidP="00912CC8">
            <w:pPr>
              <w:spacing w:after="0" w:line="240" w:lineRule="auto"/>
              <w:jc w:val="center"/>
              <w:rPr>
                <w:b/>
                <w:color w:val="FFFFFF" w:themeColor="background1"/>
                <w:sz w:val="20"/>
                <w:szCs w:val="20"/>
                <w:lang w:eastAsia="zh-CN"/>
              </w:rPr>
            </w:pPr>
            <w:r w:rsidRPr="00061636">
              <w:rPr>
                <w:b/>
                <w:bCs/>
                <w:color w:val="FFFFFF" w:themeColor="background1"/>
                <w:sz w:val="20"/>
                <w:szCs w:val="20"/>
                <w:lang w:eastAsia="zh-CN"/>
              </w:rPr>
              <w:t>Scenario</w:t>
            </w:r>
          </w:p>
        </w:tc>
        <w:tc>
          <w:tcPr>
            <w:tcW w:w="0" w:type="auto"/>
            <w:shd w:val="clear" w:color="auto" w:fill="4F81BD" w:themeFill="accent1"/>
            <w:tcMar>
              <w:top w:w="100" w:type="dxa"/>
              <w:left w:w="100" w:type="dxa"/>
              <w:bottom w:w="100" w:type="dxa"/>
              <w:right w:w="100" w:type="dxa"/>
            </w:tcMar>
            <w:hideMark/>
          </w:tcPr>
          <w:p w14:paraId="1BBD60AA" w14:textId="77777777" w:rsidR="00E9782A" w:rsidRPr="00061636" w:rsidRDefault="00E9782A" w:rsidP="00912CC8">
            <w:pPr>
              <w:spacing w:after="0" w:line="240" w:lineRule="auto"/>
              <w:jc w:val="center"/>
              <w:rPr>
                <w:b/>
                <w:color w:val="FFFFFF" w:themeColor="background1"/>
                <w:sz w:val="20"/>
                <w:szCs w:val="20"/>
                <w:lang w:eastAsia="zh-CN"/>
              </w:rPr>
            </w:pPr>
            <w:r w:rsidRPr="00061636">
              <w:rPr>
                <w:b/>
                <w:bCs/>
                <w:color w:val="FFFFFF" w:themeColor="background1"/>
                <w:sz w:val="20"/>
                <w:szCs w:val="20"/>
                <w:lang w:eastAsia="zh-CN"/>
              </w:rPr>
              <w:t>Cumulative First Cost</w:t>
            </w:r>
          </w:p>
        </w:tc>
        <w:tc>
          <w:tcPr>
            <w:tcW w:w="0" w:type="auto"/>
            <w:shd w:val="clear" w:color="auto" w:fill="4F81BD" w:themeFill="accent1"/>
            <w:tcMar>
              <w:top w:w="100" w:type="dxa"/>
              <w:left w:w="100" w:type="dxa"/>
              <w:bottom w:w="100" w:type="dxa"/>
              <w:right w:w="100" w:type="dxa"/>
            </w:tcMar>
            <w:hideMark/>
          </w:tcPr>
          <w:p w14:paraId="4B320DE8" w14:textId="77777777" w:rsidR="00E9782A" w:rsidRPr="00061636" w:rsidRDefault="00E9782A" w:rsidP="00912CC8">
            <w:pPr>
              <w:spacing w:after="0" w:line="240" w:lineRule="auto"/>
              <w:jc w:val="center"/>
              <w:rPr>
                <w:b/>
                <w:color w:val="FFFFFF" w:themeColor="background1"/>
                <w:sz w:val="20"/>
                <w:szCs w:val="20"/>
                <w:lang w:eastAsia="zh-CN"/>
              </w:rPr>
            </w:pPr>
            <w:r w:rsidRPr="00061636">
              <w:rPr>
                <w:b/>
                <w:bCs/>
                <w:color w:val="FFFFFF" w:themeColor="background1"/>
                <w:sz w:val="20"/>
                <w:szCs w:val="20"/>
                <w:lang w:eastAsia="zh-CN"/>
              </w:rPr>
              <w:t>Marginal First Cost</w:t>
            </w:r>
          </w:p>
        </w:tc>
        <w:tc>
          <w:tcPr>
            <w:tcW w:w="0" w:type="auto"/>
            <w:shd w:val="clear" w:color="auto" w:fill="4F81BD" w:themeFill="accent1"/>
            <w:tcMar>
              <w:top w:w="100" w:type="dxa"/>
              <w:left w:w="100" w:type="dxa"/>
              <w:bottom w:w="100" w:type="dxa"/>
              <w:right w:w="100" w:type="dxa"/>
            </w:tcMar>
            <w:hideMark/>
          </w:tcPr>
          <w:p w14:paraId="5A4C674E" w14:textId="77777777" w:rsidR="00E9782A" w:rsidRPr="00061636" w:rsidRDefault="00E9782A" w:rsidP="00912CC8">
            <w:pPr>
              <w:spacing w:after="0" w:line="240" w:lineRule="auto"/>
              <w:jc w:val="center"/>
              <w:rPr>
                <w:b/>
                <w:color w:val="FFFFFF" w:themeColor="background1"/>
                <w:sz w:val="20"/>
                <w:szCs w:val="20"/>
                <w:lang w:eastAsia="zh-CN"/>
              </w:rPr>
            </w:pPr>
            <w:r w:rsidRPr="00061636">
              <w:rPr>
                <w:b/>
                <w:bCs/>
                <w:color w:val="FFFFFF" w:themeColor="background1"/>
                <w:sz w:val="20"/>
                <w:szCs w:val="20"/>
                <w:lang w:eastAsia="zh-CN"/>
              </w:rPr>
              <w:t>Net Operating Savings</w:t>
            </w:r>
          </w:p>
        </w:tc>
        <w:tc>
          <w:tcPr>
            <w:tcW w:w="2681" w:type="dxa"/>
            <w:shd w:val="clear" w:color="auto" w:fill="4F81BD" w:themeFill="accent1"/>
            <w:tcMar>
              <w:top w:w="100" w:type="dxa"/>
              <w:left w:w="100" w:type="dxa"/>
              <w:bottom w:w="100" w:type="dxa"/>
              <w:right w:w="100" w:type="dxa"/>
            </w:tcMar>
            <w:hideMark/>
          </w:tcPr>
          <w:p w14:paraId="48ABD301" w14:textId="77777777" w:rsidR="00E9782A" w:rsidRPr="00061636" w:rsidRDefault="00E9782A" w:rsidP="00912CC8">
            <w:pPr>
              <w:spacing w:after="0" w:line="240" w:lineRule="auto"/>
              <w:jc w:val="center"/>
              <w:rPr>
                <w:b/>
                <w:color w:val="FFFFFF" w:themeColor="background1"/>
                <w:sz w:val="20"/>
                <w:szCs w:val="20"/>
                <w:lang w:eastAsia="zh-CN"/>
              </w:rPr>
            </w:pPr>
            <w:r w:rsidRPr="00061636">
              <w:rPr>
                <w:b/>
                <w:bCs/>
                <w:color w:val="FFFFFF" w:themeColor="background1"/>
                <w:sz w:val="20"/>
                <w:szCs w:val="20"/>
                <w:lang w:eastAsia="zh-CN"/>
              </w:rPr>
              <w:t>Lifetime Cashflow Savings NPV (of All Implementation Units)</w:t>
            </w:r>
          </w:p>
        </w:tc>
      </w:tr>
      <w:tr w:rsidR="00E9782A" w:rsidRPr="00061636" w14:paraId="67FE449F" w14:textId="77777777" w:rsidTr="00E43DF0">
        <w:trPr>
          <w:trHeight w:val="640"/>
        </w:trPr>
        <w:tc>
          <w:tcPr>
            <w:tcW w:w="0" w:type="auto"/>
            <w:vMerge/>
            <w:shd w:val="clear" w:color="auto" w:fill="4F81BD" w:themeFill="accent1"/>
            <w:vAlign w:val="center"/>
            <w:hideMark/>
          </w:tcPr>
          <w:p w14:paraId="325DD47F" w14:textId="77777777" w:rsidR="00E9782A" w:rsidRPr="00061636" w:rsidRDefault="00E9782A" w:rsidP="00912CC8">
            <w:pPr>
              <w:spacing w:after="0" w:line="240" w:lineRule="auto"/>
              <w:rPr>
                <w:rFonts w:eastAsia="Times New Roman" w:cstheme="minorHAnsi"/>
                <w:b/>
                <w:color w:val="FFFFFF" w:themeColor="background1"/>
                <w:sz w:val="20"/>
                <w:szCs w:val="20"/>
                <w:lang w:eastAsia="zh-CN"/>
              </w:rPr>
            </w:pPr>
          </w:p>
        </w:tc>
        <w:tc>
          <w:tcPr>
            <w:tcW w:w="0" w:type="auto"/>
            <w:shd w:val="clear" w:color="auto" w:fill="4F81BD" w:themeFill="accent1"/>
            <w:tcMar>
              <w:top w:w="100" w:type="dxa"/>
              <w:left w:w="100" w:type="dxa"/>
              <w:bottom w:w="100" w:type="dxa"/>
              <w:right w:w="100" w:type="dxa"/>
            </w:tcMar>
            <w:hideMark/>
          </w:tcPr>
          <w:p w14:paraId="54ADDBA3" w14:textId="27C758B9" w:rsidR="00E9782A" w:rsidRPr="00061636" w:rsidRDefault="00E9782A" w:rsidP="00912CC8">
            <w:pPr>
              <w:spacing w:after="0" w:line="240" w:lineRule="auto"/>
              <w:jc w:val="center"/>
              <w:rPr>
                <w:i/>
                <w:color w:val="FFFFFF" w:themeColor="background1"/>
                <w:sz w:val="20"/>
                <w:szCs w:val="20"/>
                <w:lang w:eastAsia="zh-CN"/>
              </w:rPr>
            </w:pPr>
            <w:r w:rsidRPr="00061636">
              <w:rPr>
                <w:i/>
                <w:color w:val="FFFFFF" w:themeColor="background1"/>
                <w:sz w:val="20"/>
                <w:szCs w:val="20"/>
                <w:lang w:eastAsia="zh-CN"/>
              </w:rPr>
              <w:t>20</w:t>
            </w:r>
            <w:r w:rsidR="00DA3D27">
              <w:rPr>
                <w:i/>
                <w:color w:val="FFFFFF" w:themeColor="background1"/>
                <w:sz w:val="20"/>
                <w:szCs w:val="20"/>
                <w:lang w:eastAsia="zh-CN"/>
              </w:rPr>
              <w:t>15</w:t>
            </w:r>
            <w:r w:rsidRPr="00061636">
              <w:rPr>
                <w:i/>
                <w:color w:val="FFFFFF" w:themeColor="background1"/>
                <w:sz w:val="20"/>
                <w:szCs w:val="20"/>
                <w:lang w:eastAsia="zh-CN"/>
              </w:rPr>
              <w:t xml:space="preserve">-2050 Billion </w:t>
            </w:r>
            <w:r w:rsidR="00995ABF">
              <w:rPr>
                <w:i/>
                <w:color w:val="FFFFFF" w:themeColor="background1"/>
                <w:sz w:val="20"/>
                <w:szCs w:val="20"/>
                <w:lang w:eastAsia="zh-CN"/>
              </w:rPr>
              <w:t>US$</w:t>
            </w:r>
          </w:p>
        </w:tc>
        <w:tc>
          <w:tcPr>
            <w:tcW w:w="0" w:type="auto"/>
            <w:shd w:val="clear" w:color="auto" w:fill="4F81BD" w:themeFill="accent1"/>
            <w:tcMar>
              <w:top w:w="100" w:type="dxa"/>
              <w:left w:w="100" w:type="dxa"/>
              <w:bottom w:w="100" w:type="dxa"/>
              <w:right w:w="100" w:type="dxa"/>
            </w:tcMar>
            <w:hideMark/>
          </w:tcPr>
          <w:p w14:paraId="2CCFE258" w14:textId="4A8D4D80" w:rsidR="00E9782A" w:rsidRPr="00061636" w:rsidRDefault="00E9782A" w:rsidP="00912CC8">
            <w:pPr>
              <w:spacing w:after="0" w:line="240" w:lineRule="auto"/>
              <w:jc w:val="center"/>
              <w:rPr>
                <w:i/>
                <w:color w:val="FFFFFF" w:themeColor="background1"/>
                <w:sz w:val="20"/>
                <w:szCs w:val="20"/>
                <w:lang w:eastAsia="zh-CN"/>
              </w:rPr>
            </w:pPr>
            <w:r w:rsidRPr="00061636">
              <w:rPr>
                <w:i/>
                <w:color w:val="FFFFFF" w:themeColor="background1"/>
                <w:sz w:val="20"/>
                <w:szCs w:val="20"/>
                <w:lang w:eastAsia="zh-CN"/>
              </w:rPr>
              <w:t>20</w:t>
            </w:r>
            <w:r w:rsidR="00DA3D27">
              <w:rPr>
                <w:i/>
                <w:color w:val="FFFFFF" w:themeColor="background1"/>
                <w:sz w:val="20"/>
                <w:szCs w:val="20"/>
                <w:lang w:eastAsia="zh-CN"/>
              </w:rPr>
              <w:t>15</w:t>
            </w:r>
            <w:r w:rsidRPr="00061636">
              <w:rPr>
                <w:i/>
                <w:color w:val="FFFFFF" w:themeColor="background1"/>
                <w:sz w:val="20"/>
                <w:szCs w:val="20"/>
                <w:lang w:eastAsia="zh-CN"/>
              </w:rPr>
              <w:t xml:space="preserve">-2050 Billion </w:t>
            </w:r>
            <w:r w:rsidR="00995ABF">
              <w:rPr>
                <w:i/>
                <w:color w:val="FFFFFF" w:themeColor="background1"/>
                <w:sz w:val="20"/>
                <w:szCs w:val="20"/>
                <w:lang w:eastAsia="zh-CN"/>
              </w:rPr>
              <w:t>US$</w:t>
            </w:r>
          </w:p>
        </w:tc>
        <w:tc>
          <w:tcPr>
            <w:tcW w:w="0" w:type="auto"/>
            <w:shd w:val="clear" w:color="auto" w:fill="4F81BD" w:themeFill="accent1"/>
            <w:tcMar>
              <w:top w:w="100" w:type="dxa"/>
              <w:left w:w="100" w:type="dxa"/>
              <w:bottom w:w="100" w:type="dxa"/>
              <w:right w:w="100" w:type="dxa"/>
            </w:tcMar>
            <w:hideMark/>
          </w:tcPr>
          <w:p w14:paraId="3E2B138C" w14:textId="16320663" w:rsidR="00E9782A" w:rsidRPr="00061636" w:rsidRDefault="00E9782A" w:rsidP="00912CC8">
            <w:pPr>
              <w:spacing w:after="0" w:line="240" w:lineRule="auto"/>
              <w:jc w:val="center"/>
              <w:rPr>
                <w:i/>
                <w:color w:val="FFFFFF" w:themeColor="background1"/>
                <w:sz w:val="20"/>
                <w:szCs w:val="20"/>
                <w:lang w:eastAsia="zh-CN"/>
              </w:rPr>
            </w:pPr>
            <w:r w:rsidRPr="00061636">
              <w:rPr>
                <w:i/>
                <w:color w:val="FFFFFF" w:themeColor="background1"/>
                <w:sz w:val="20"/>
                <w:szCs w:val="20"/>
                <w:lang w:eastAsia="zh-CN"/>
              </w:rPr>
              <w:t xml:space="preserve">2020-2050 Billion </w:t>
            </w:r>
            <w:r w:rsidR="00995ABF">
              <w:rPr>
                <w:i/>
                <w:color w:val="FFFFFF" w:themeColor="background1"/>
                <w:sz w:val="20"/>
                <w:szCs w:val="20"/>
                <w:lang w:eastAsia="zh-CN"/>
              </w:rPr>
              <w:t>US$</w:t>
            </w:r>
          </w:p>
        </w:tc>
        <w:tc>
          <w:tcPr>
            <w:tcW w:w="2681" w:type="dxa"/>
            <w:shd w:val="clear" w:color="auto" w:fill="4F81BD" w:themeFill="accent1"/>
            <w:tcMar>
              <w:top w:w="100" w:type="dxa"/>
              <w:left w:w="100" w:type="dxa"/>
              <w:bottom w:w="100" w:type="dxa"/>
              <w:right w:w="100" w:type="dxa"/>
            </w:tcMar>
            <w:hideMark/>
          </w:tcPr>
          <w:p w14:paraId="2CEBAAA5" w14:textId="60659901" w:rsidR="00E9782A" w:rsidRPr="00061636" w:rsidRDefault="00E9782A" w:rsidP="00912CC8">
            <w:pPr>
              <w:spacing w:after="0" w:line="240" w:lineRule="auto"/>
              <w:jc w:val="center"/>
              <w:rPr>
                <w:i/>
                <w:color w:val="FFFFFF" w:themeColor="background1"/>
                <w:sz w:val="20"/>
                <w:szCs w:val="20"/>
                <w:lang w:eastAsia="zh-CN"/>
              </w:rPr>
            </w:pPr>
            <w:r w:rsidRPr="00061636">
              <w:rPr>
                <w:i/>
                <w:color w:val="FFFFFF" w:themeColor="background1"/>
                <w:sz w:val="20"/>
                <w:szCs w:val="20"/>
                <w:lang w:eastAsia="zh-CN"/>
              </w:rPr>
              <w:t xml:space="preserve">Billion </w:t>
            </w:r>
            <w:r w:rsidR="00995ABF">
              <w:rPr>
                <w:i/>
                <w:color w:val="FFFFFF" w:themeColor="background1"/>
                <w:sz w:val="20"/>
                <w:szCs w:val="20"/>
                <w:lang w:eastAsia="zh-CN"/>
              </w:rPr>
              <w:t>US$</w:t>
            </w:r>
          </w:p>
        </w:tc>
      </w:tr>
      <w:tr w:rsidR="00E9782A" w:rsidRPr="00061636" w14:paraId="2CCDE781" w14:textId="77777777" w:rsidTr="00E43DF0">
        <w:trPr>
          <w:trHeight w:val="440"/>
        </w:trPr>
        <w:tc>
          <w:tcPr>
            <w:tcW w:w="0" w:type="auto"/>
            <w:tcMar>
              <w:top w:w="100" w:type="dxa"/>
              <w:left w:w="100" w:type="dxa"/>
              <w:bottom w:w="100" w:type="dxa"/>
              <w:right w:w="100" w:type="dxa"/>
            </w:tcMar>
            <w:hideMark/>
          </w:tcPr>
          <w:p w14:paraId="209B68F2" w14:textId="77777777" w:rsidR="00E9782A" w:rsidRPr="00B53121" w:rsidRDefault="00E9782A" w:rsidP="00912CC8">
            <w:pPr>
              <w:spacing w:after="0" w:line="240" w:lineRule="auto"/>
              <w:jc w:val="center"/>
              <w:rPr>
                <w:sz w:val="20"/>
                <w:szCs w:val="20"/>
                <w:lang w:eastAsia="zh-CN"/>
              </w:rPr>
            </w:pPr>
            <w:r w:rsidRPr="00B53121">
              <w:rPr>
                <w:b/>
                <w:bCs/>
                <w:color w:val="000000" w:themeColor="text1"/>
                <w:sz w:val="20"/>
                <w:szCs w:val="20"/>
                <w:lang w:eastAsia="zh-CN"/>
              </w:rPr>
              <w:t>Plausible</w:t>
            </w:r>
          </w:p>
        </w:tc>
        <w:tc>
          <w:tcPr>
            <w:tcW w:w="0" w:type="auto"/>
            <w:tcMar>
              <w:top w:w="100" w:type="dxa"/>
              <w:left w:w="100" w:type="dxa"/>
              <w:bottom w:w="100" w:type="dxa"/>
              <w:right w:w="100" w:type="dxa"/>
            </w:tcMar>
            <w:hideMark/>
          </w:tcPr>
          <w:p w14:paraId="0515D5F2" w14:textId="08F07D94" w:rsidR="00E9782A" w:rsidRPr="00B53121" w:rsidRDefault="00B53121" w:rsidP="00912CC8">
            <w:pPr>
              <w:spacing w:after="0" w:line="240" w:lineRule="auto"/>
              <w:jc w:val="center"/>
              <w:rPr>
                <w:rFonts w:eastAsia="Times New Roman" w:cstheme="minorHAnsi"/>
                <w:sz w:val="20"/>
                <w:szCs w:val="20"/>
                <w:lang w:eastAsia="zh-CN"/>
              </w:rPr>
            </w:pPr>
            <w:r w:rsidRPr="00B53121">
              <w:rPr>
                <w:rFonts w:eastAsia="Times New Roman" w:cstheme="minorHAnsi"/>
                <w:sz w:val="20"/>
                <w:szCs w:val="20"/>
                <w:lang w:eastAsia="zh-CN"/>
              </w:rPr>
              <w:t>3,3</w:t>
            </w:r>
            <w:r w:rsidR="007D275A">
              <w:rPr>
                <w:rFonts w:eastAsia="Times New Roman" w:cstheme="minorHAnsi"/>
                <w:sz w:val="20"/>
                <w:szCs w:val="20"/>
                <w:lang w:eastAsia="zh-CN"/>
              </w:rPr>
              <w:t>45</w:t>
            </w:r>
          </w:p>
        </w:tc>
        <w:tc>
          <w:tcPr>
            <w:tcW w:w="0" w:type="auto"/>
            <w:tcMar>
              <w:top w:w="100" w:type="dxa"/>
              <w:left w:w="100" w:type="dxa"/>
              <w:bottom w:w="100" w:type="dxa"/>
              <w:right w:w="100" w:type="dxa"/>
            </w:tcMar>
            <w:hideMark/>
          </w:tcPr>
          <w:p w14:paraId="31BD6A13" w14:textId="6E581AA8" w:rsidR="00E9782A" w:rsidRPr="003C3534" w:rsidRDefault="00B53121" w:rsidP="00912CC8">
            <w:pPr>
              <w:spacing w:after="0" w:line="240" w:lineRule="auto"/>
              <w:jc w:val="center"/>
              <w:rPr>
                <w:rFonts w:eastAsia="Times New Roman" w:cstheme="minorHAnsi"/>
                <w:sz w:val="20"/>
                <w:szCs w:val="20"/>
                <w:highlight w:val="lightGray"/>
                <w:lang w:eastAsia="zh-CN"/>
              </w:rPr>
            </w:pPr>
            <w:r w:rsidRPr="00B53121">
              <w:rPr>
                <w:rFonts w:eastAsia="Times New Roman" w:cstheme="minorHAnsi"/>
                <w:sz w:val="20"/>
                <w:szCs w:val="20"/>
                <w:lang w:eastAsia="zh-CN"/>
              </w:rPr>
              <w:t>-</w:t>
            </w:r>
            <w:r w:rsidR="007D275A">
              <w:rPr>
                <w:rFonts w:eastAsia="Times New Roman" w:cstheme="minorHAnsi"/>
                <w:sz w:val="20"/>
                <w:szCs w:val="20"/>
                <w:lang w:eastAsia="zh-CN"/>
              </w:rPr>
              <w:t>269.7</w:t>
            </w:r>
          </w:p>
        </w:tc>
        <w:tc>
          <w:tcPr>
            <w:tcW w:w="0" w:type="auto"/>
            <w:tcMar>
              <w:top w:w="100" w:type="dxa"/>
              <w:left w:w="100" w:type="dxa"/>
              <w:bottom w:w="100" w:type="dxa"/>
              <w:right w:w="100" w:type="dxa"/>
            </w:tcMar>
            <w:hideMark/>
          </w:tcPr>
          <w:p w14:paraId="4A9B277B" w14:textId="4324B5C2" w:rsidR="00E9782A" w:rsidRPr="003C3534" w:rsidRDefault="007D275A" w:rsidP="00912CC8">
            <w:pPr>
              <w:spacing w:after="0" w:line="240" w:lineRule="auto"/>
              <w:jc w:val="center"/>
              <w:rPr>
                <w:rFonts w:eastAsia="Times New Roman" w:cstheme="minorHAnsi"/>
                <w:sz w:val="20"/>
                <w:szCs w:val="20"/>
                <w:highlight w:val="lightGray"/>
                <w:lang w:eastAsia="zh-CN"/>
              </w:rPr>
            </w:pPr>
            <w:r>
              <w:rPr>
                <w:rFonts w:eastAsia="Times New Roman" w:cstheme="minorHAnsi"/>
                <w:sz w:val="20"/>
                <w:szCs w:val="20"/>
                <w:lang w:eastAsia="zh-CN"/>
              </w:rPr>
              <w:t>5,102</w:t>
            </w:r>
          </w:p>
        </w:tc>
        <w:tc>
          <w:tcPr>
            <w:tcW w:w="2681" w:type="dxa"/>
            <w:tcMar>
              <w:top w:w="100" w:type="dxa"/>
              <w:left w:w="100" w:type="dxa"/>
              <w:bottom w:w="100" w:type="dxa"/>
              <w:right w:w="100" w:type="dxa"/>
            </w:tcMar>
            <w:hideMark/>
          </w:tcPr>
          <w:p w14:paraId="25403F6C" w14:textId="17CA3319" w:rsidR="00E9782A" w:rsidRPr="003C3534" w:rsidRDefault="00B53121" w:rsidP="00912CC8">
            <w:pPr>
              <w:spacing w:after="0" w:line="240" w:lineRule="auto"/>
              <w:jc w:val="center"/>
              <w:rPr>
                <w:rFonts w:eastAsia="Times New Roman" w:cstheme="minorHAnsi"/>
                <w:sz w:val="20"/>
                <w:szCs w:val="20"/>
                <w:highlight w:val="lightGray"/>
                <w:lang w:eastAsia="zh-CN"/>
              </w:rPr>
            </w:pPr>
            <w:r w:rsidRPr="00B53121">
              <w:rPr>
                <w:rFonts w:eastAsia="Times New Roman" w:cstheme="minorHAnsi"/>
                <w:sz w:val="20"/>
                <w:szCs w:val="20"/>
                <w:lang w:eastAsia="zh-CN"/>
              </w:rPr>
              <w:t>5</w:t>
            </w:r>
            <w:r w:rsidR="007D275A">
              <w:rPr>
                <w:rFonts w:eastAsia="Times New Roman" w:cstheme="minorHAnsi"/>
                <w:sz w:val="20"/>
                <w:szCs w:val="20"/>
                <w:lang w:eastAsia="zh-CN"/>
              </w:rPr>
              <w:t>63</w:t>
            </w:r>
          </w:p>
        </w:tc>
      </w:tr>
      <w:tr w:rsidR="00E9782A" w:rsidRPr="00061636" w14:paraId="6C3482B4" w14:textId="77777777" w:rsidTr="00E43DF0">
        <w:trPr>
          <w:trHeight w:val="440"/>
        </w:trPr>
        <w:tc>
          <w:tcPr>
            <w:tcW w:w="0" w:type="auto"/>
            <w:tcMar>
              <w:top w:w="100" w:type="dxa"/>
              <w:left w:w="100" w:type="dxa"/>
              <w:bottom w:w="100" w:type="dxa"/>
              <w:right w:w="100" w:type="dxa"/>
            </w:tcMar>
            <w:hideMark/>
          </w:tcPr>
          <w:p w14:paraId="72370E76" w14:textId="77777777" w:rsidR="00E9782A" w:rsidRPr="00061636" w:rsidRDefault="00E9782A" w:rsidP="00912CC8">
            <w:pPr>
              <w:spacing w:after="0" w:line="240" w:lineRule="auto"/>
              <w:jc w:val="center"/>
              <w:rPr>
                <w:sz w:val="20"/>
                <w:szCs w:val="20"/>
                <w:lang w:eastAsia="zh-CN"/>
              </w:rPr>
            </w:pPr>
            <w:r w:rsidRPr="00061636">
              <w:rPr>
                <w:b/>
                <w:bCs/>
                <w:color w:val="000000" w:themeColor="text1"/>
                <w:sz w:val="20"/>
                <w:szCs w:val="20"/>
                <w:lang w:eastAsia="zh-CN"/>
              </w:rPr>
              <w:t>Drawdown</w:t>
            </w:r>
          </w:p>
        </w:tc>
        <w:tc>
          <w:tcPr>
            <w:tcW w:w="0" w:type="auto"/>
            <w:tcMar>
              <w:top w:w="100" w:type="dxa"/>
              <w:left w:w="100" w:type="dxa"/>
              <w:bottom w:w="100" w:type="dxa"/>
              <w:right w:w="100" w:type="dxa"/>
            </w:tcMar>
            <w:hideMark/>
          </w:tcPr>
          <w:p w14:paraId="4532B376" w14:textId="75F2EA56" w:rsidR="00E9782A" w:rsidRPr="003C3534" w:rsidRDefault="00E73781" w:rsidP="00912CC8">
            <w:pPr>
              <w:spacing w:after="0" w:line="240" w:lineRule="auto"/>
              <w:jc w:val="center"/>
              <w:rPr>
                <w:rFonts w:eastAsia="Times New Roman" w:cstheme="minorHAnsi"/>
                <w:sz w:val="20"/>
                <w:szCs w:val="20"/>
                <w:highlight w:val="lightGray"/>
                <w:lang w:eastAsia="zh-CN"/>
              </w:rPr>
            </w:pPr>
            <w:r w:rsidRPr="00E73781">
              <w:rPr>
                <w:rFonts w:eastAsia="Times New Roman" w:cstheme="minorHAnsi"/>
                <w:sz w:val="20"/>
                <w:szCs w:val="20"/>
                <w:lang w:eastAsia="zh-CN"/>
              </w:rPr>
              <w:t>5,</w:t>
            </w:r>
            <w:r w:rsidR="007D275A">
              <w:rPr>
                <w:rFonts w:eastAsia="Times New Roman" w:cstheme="minorHAnsi"/>
                <w:sz w:val="20"/>
                <w:szCs w:val="20"/>
                <w:lang w:eastAsia="zh-CN"/>
              </w:rPr>
              <w:t>098</w:t>
            </w:r>
          </w:p>
        </w:tc>
        <w:tc>
          <w:tcPr>
            <w:tcW w:w="0" w:type="auto"/>
            <w:tcMar>
              <w:top w:w="100" w:type="dxa"/>
              <w:left w:w="100" w:type="dxa"/>
              <w:bottom w:w="100" w:type="dxa"/>
              <w:right w:w="100" w:type="dxa"/>
            </w:tcMar>
            <w:hideMark/>
          </w:tcPr>
          <w:p w14:paraId="451B939A" w14:textId="5DDE1715" w:rsidR="00E9782A" w:rsidRPr="003C3534" w:rsidRDefault="007D275A" w:rsidP="007D275A">
            <w:pPr>
              <w:jc w:val="center"/>
              <w:rPr>
                <w:highlight w:val="lightGray"/>
                <w:lang w:eastAsia="zh-CN"/>
              </w:rPr>
            </w:pPr>
            <w:r>
              <w:rPr>
                <w:lang w:eastAsia="zh-CN"/>
              </w:rPr>
              <w:t>-1,454</w:t>
            </w:r>
          </w:p>
        </w:tc>
        <w:tc>
          <w:tcPr>
            <w:tcW w:w="0" w:type="auto"/>
            <w:tcMar>
              <w:top w:w="100" w:type="dxa"/>
              <w:left w:w="100" w:type="dxa"/>
              <w:bottom w:w="100" w:type="dxa"/>
              <w:right w:w="100" w:type="dxa"/>
            </w:tcMar>
            <w:hideMark/>
          </w:tcPr>
          <w:p w14:paraId="4DFA5DB3" w14:textId="59CF6CB5" w:rsidR="00E9782A" w:rsidRPr="003C3534" w:rsidRDefault="00B53121" w:rsidP="00912CC8">
            <w:pPr>
              <w:spacing w:after="0" w:line="240" w:lineRule="auto"/>
              <w:jc w:val="center"/>
              <w:rPr>
                <w:rFonts w:eastAsia="Times New Roman" w:cstheme="minorHAnsi"/>
                <w:sz w:val="20"/>
                <w:szCs w:val="20"/>
                <w:highlight w:val="lightGray"/>
                <w:lang w:eastAsia="zh-CN"/>
              </w:rPr>
            </w:pPr>
            <w:r w:rsidRPr="00B53121">
              <w:rPr>
                <w:rFonts w:eastAsia="Times New Roman" w:cstheme="minorHAnsi"/>
                <w:sz w:val="20"/>
                <w:szCs w:val="20"/>
                <w:lang w:eastAsia="zh-CN"/>
              </w:rPr>
              <w:t>13,</w:t>
            </w:r>
            <w:r w:rsidR="007D275A">
              <w:rPr>
                <w:rFonts w:eastAsia="Times New Roman" w:cstheme="minorHAnsi"/>
                <w:sz w:val="20"/>
                <w:szCs w:val="20"/>
                <w:lang w:eastAsia="zh-CN"/>
              </w:rPr>
              <w:t>642</w:t>
            </w:r>
          </w:p>
        </w:tc>
        <w:tc>
          <w:tcPr>
            <w:tcW w:w="2681" w:type="dxa"/>
            <w:tcMar>
              <w:top w:w="100" w:type="dxa"/>
              <w:left w:w="100" w:type="dxa"/>
              <w:bottom w:w="100" w:type="dxa"/>
              <w:right w:w="100" w:type="dxa"/>
            </w:tcMar>
            <w:hideMark/>
          </w:tcPr>
          <w:p w14:paraId="447233A8" w14:textId="1780E3B1" w:rsidR="00E9782A" w:rsidRPr="003C3534" w:rsidRDefault="00B53121" w:rsidP="00912CC8">
            <w:pPr>
              <w:spacing w:after="0" w:line="240" w:lineRule="auto"/>
              <w:jc w:val="center"/>
              <w:rPr>
                <w:rFonts w:eastAsia="Times New Roman" w:cstheme="minorHAnsi"/>
                <w:sz w:val="20"/>
                <w:szCs w:val="20"/>
                <w:highlight w:val="lightGray"/>
                <w:lang w:eastAsia="zh-CN"/>
              </w:rPr>
            </w:pPr>
            <w:r w:rsidRPr="00B53121">
              <w:rPr>
                <w:rFonts w:eastAsia="Times New Roman" w:cstheme="minorHAnsi"/>
                <w:sz w:val="20"/>
                <w:szCs w:val="20"/>
                <w:lang w:eastAsia="zh-CN"/>
              </w:rPr>
              <w:t>1,</w:t>
            </w:r>
            <w:r w:rsidR="007D275A">
              <w:rPr>
                <w:rFonts w:eastAsia="Times New Roman" w:cstheme="minorHAnsi"/>
                <w:sz w:val="20"/>
                <w:szCs w:val="20"/>
                <w:lang w:eastAsia="zh-CN"/>
              </w:rPr>
              <w:t>889</w:t>
            </w:r>
          </w:p>
        </w:tc>
      </w:tr>
      <w:tr w:rsidR="00E73781" w:rsidRPr="00061636" w14:paraId="76A27626" w14:textId="77777777" w:rsidTr="00E43DF0">
        <w:trPr>
          <w:trHeight w:val="440"/>
        </w:trPr>
        <w:tc>
          <w:tcPr>
            <w:tcW w:w="0" w:type="auto"/>
            <w:tcMar>
              <w:top w:w="100" w:type="dxa"/>
              <w:left w:w="100" w:type="dxa"/>
              <w:bottom w:w="100" w:type="dxa"/>
              <w:right w:w="100" w:type="dxa"/>
            </w:tcMar>
            <w:hideMark/>
          </w:tcPr>
          <w:p w14:paraId="358728F4" w14:textId="77777777" w:rsidR="00E73781" w:rsidRPr="00061636" w:rsidRDefault="00E73781" w:rsidP="00E73781">
            <w:pPr>
              <w:spacing w:after="0" w:line="240" w:lineRule="auto"/>
              <w:jc w:val="center"/>
              <w:rPr>
                <w:sz w:val="20"/>
                <w:szCs w:val="20"/>
                <w:lang w:eastAsia="zh-CN"/>
              </w:rPr>
            </w:pPr>
            <w:r w:rsidRPr="00061636">
              <w:rPr>
                <w:b/>
                <w:bCs/>
                <w:color w:val="000000" w:themeColor="text1"/>
                <w:sz w:val="20"/>
                <w:szCs w:val="20"/>
                <w:lang w:eastAsia="zh-CN"/>
              </w:rPr>
              <w:t>Optimum</w:t>
            </w:r>
          </w:p>
        </w:tc>
        <w:tc>
          <w:tcPr>
            <w:tcW w:w="0" w:type="auto"/>
            <w:tcMar>
              <w:top w:w="100" w:type="dxa"/>
              <w:left w:w="100" w:type="dxa"/>
              <w:bottom w:w="100" w:type="dxa"/>
              <w:right w:w="100" w:type="dxa"/>
            </w:tcMar>
            <w:hideMark/>
          </w:tcPr>
          <w:p w14:paraId="1D3AF255" w14:textId="5CEFE9E7" w:rsidR="00E73781" w:rsidRPr="003C3534" w:rsidRDefault="00E73781" w:rsidP="00E73781">
            <w:pPr>
              <w:spacing w:after="0" w:line="240" w:lineRule="auto"/>
              <w:jc w:val="center"/>
              <w:rPr>
                <w:rFonts w:eastAsia="Times New Roman" w:cstheme="minorHAnsi"/>
                <w:sz w:val="20"/>
                <w:szCs w:val="20"/>
                <w:highlight w:val="lightGray"/>
                <w:lang w:eastAsia="zh-CN"/>
              </w:rPr>
            </w:pPr>
            <w:r w:rsidRPr="00E73781">
              <w:rPr>
                <w:rFonts w:eastAsia="Times New Roman" w:cstheme="minorHAnsi"/>
                <w:sz w:val="20"/>
                <w:szCs w:val="20"/>
                <w:lang w:eastAsia="zh-CN"/>
              </w:rPr>
              <w:t>5,0</w:t>
            </w:r>
            <w:r w:rsidR="007D275A">
              <w:rPr>
                <w:rFonts w:eastAsia="Times New Roman" w:cstheme="minorHAnsi"/>
                <w:sz w:val="20"/>
                <w:szCs w:val="20"/>
                <w:lang w:eastAsia="zh-CN"/>
              </w:rPr>
              <w:t>98</w:t>
            </w:r>
          </w:p>
        </w:tc>
        <w:tc>
          <w:tcPr>
            <w:tcW w:w="0" w:type="auto"/>
            <w:tcMar>
              <w:top w:w="100" w:type="dxa"/>
              <w:left w:w="100" w:type="dxa"/>
              <w:bottom w:w="100" w:type="dxa"/>
              <w:right w:w="100" w:type="dxa"/>
            </w:tcMar>
            <w:hideMark/>
          </w:tcPr>
          <w:p w14:paraId="796F6A9C" w14:textId="2C286C01" w:rsidR="00E73781" w:rsidRPr="003C3534" w:rsidRDefault="007D275A" w:rsidP="00E73781">
            <w:pPr>
              <w:spacing w:after="0" w:line="240" w:lineRule="auto"/>
              <w:jc w:val="center"/>
              <w:rPr>
                <w:rFonts w:eastAsia="Times New Roman" w:cstheme="minorHAnsi"/>
                <w:sz w:val="20"/>
                <w:szCs w:val="20"/>
                <w:highlight w:val="lightGray"/>
                <w:lang w:eastAsia="zh-CN"/>
              </w:rPr>
            </w:pPr>
            <w:r>
              <w:rPr>
                <w:lang w:eastAsia="zh-CN"/>
              </w:rPr>
              <w:t>-</w:t>
            </w:r>
            <w:r>
              <w:rPr>
                <w:lang w:eastAsia="zh-CN"/>
              </w:rPr>
              <w:t>1,454</w:t>
            </w:r>
          </w:p>
        </w:tc>
        <w:tc>
          <w:tcPr>
            <w:tcW w:w="0" w:type="auto"/>
            <w:tcMar>
              <w:top w:w="100" w:type="dxa"/>
              <w:left w:w="100" w:type="dxa"/>
              <w:bottom w:w="100" w:type="dxa"/>
              <w:right w:w="100" w:type="dxa"/>
            </w:tcMar>
            <w:hideMark/>
          </w:tcPr>
          <w:p w14:paraId="4259EAAB" w14:textId="7B3DBB70" w:rsidR="00E73781" w:rsidRPr="003C3534" w:rsidRDefault="00E73781" w:rsidP="00E73781">
            <w:pPr>
              <w:spacing w:after="0" w:line="240" w:lineRule="auto"/>
              <w:jc w:val="center"/>
              <w:rPr>
                <w:rFonts w:eastAsia="Times New Roman" w:cstheme="minorHAnsi"/>
                <w:sz w:val="20"/>
                <w:szCs w:val="20"/>
                <w:highlight w:val="lightGray"/>
                <w:lang w:eastAsia="zh-CN"/>
              </w:rPr>
            </w:pPr>
            <w:r w:rsidRPr="00B53121">
              <w:rPr>
                <w:rFonts w:eastAsia="Times New Roman" w:cstheme="minorHAnsi"/>
                <w:sz w:val="20"/>
                <w:szCs w:val="20"/>
                <w:lang w:eastAsia="zh-CN"/>
              </w:rPr>
              <w:t>13,</w:t>
            </w:r>
            <w:r w:rsidR="007D275A">
              <w:rPr>
                <w:rFonts w:eastAsia="Times New Roman" w:cstheme="minorHAnsi"/>
                <w:sz w:val="20"/>
                <w:szCs w:val="20"/>
                <w:lang w:eastAsia="zh-CN"/>
              </w:rPr>
              <w:t>642</w:t>
            </w:r>
          </w:p>
        </w:tc>
        <w:tc>
          <w:tcPr>
            <w:tcW w:w="2681" w:type="dxa"/>
            <w:tcMar>
              <w:top w:w="100" w:type="dxa"/>
              <w:left w:w="100" w:type="dxa"/>
              <w:bottom w:w="100" w:type="dxa"/>
              <w:right w:w="100" w:type="dxa"/>
            </w:tcMar>
            <w:hideMark/>
          </w:tcPr>
          <w:p w14:paraId="1F14A8F5" w14:textId="3C9544B0" w:rsidR="00E73781" w:rsidRPr="003C3534" w:rsidRDefault="00E73781" w:rsidP="00E73781">
            <w:pPr>
              <w:spacing w:after="0" w:line="240" w:lineRule="auto"/>
              <w:jc w:val="center"/>
              <w:rPr>
                <w:rFonts w:eastAsia="Times New Roman" w:cstheme="minorHAnsi"/>
                <w:sz w:val="20"/>
                <w:szCs w:val="20"/>
                <w:highlight w:val="lightGray"/>
                <w:lang w:eastAsia="zh-CN"/>
              </w:rPr>
            </w:pPr>
            <w:r w:rsidRPr="00B53121">
              <w:rPr>
                <w:rFonts w:eastAsia="Times New Roman" w:cstheme="minorHAnsi"/>
                <w:sz w:val="20"/>
                <w:szCs w:val="20"/>
                <w:lang w:eastAsia="zh-CN"/>
              </w:rPr>
              <w:t>1,</w:t>
            </w:r>
            <w:r w:rsidR="007D275A">
              <w:rPr>
                <w:rFonts w:eastAsia="Times New Roman" w:cstheme="minorHAnsi"/>
                <w:sz w:val="20"/>
                <w:szCs w:val="20"/>
                <w:lang w:eastAsia="zh-CN"/>
              </w:rPr>
              <w:t>889</w:t>
            </w:r>
          </w:p>
        </w:tc>
      </w:tr>
    </w:tbl>
    <w:p w14:paraId="5F9C5470" w14:textId="77777777" w:rsidR="007D275A" w:rsidRDefault="007D275A">
      <w:pPr>
        <w:spacing w:after="160" w:line="259" w:lineRule="auto"/>
        <w:jc w:val="left"/>
      </w:pPr>
    </w:p>
    <w:p w14:paraId="02AFFAD9" w14:textId="3E3868BF" w:rsidR="007D275A" w:rsidRDefault="007D275A">
      <w:pPr>
        <w:spacing w:after="160" w:line="259" w:lineRule="auto"/>
        <w:jc w:val="left"/>
      </w:pPr>
      <w:r>
        <w:rPr>
          <w:noProof/>
        </w:rPr>
        <w:drawing>
          <wp:inline distT="0" distB="0" distL="0" distR="0" wp14:anchorId="1517334B" wp14:editId="1D0EBDB3">
            <wp:extent cx="5862918" cy="3254189"/>
            <wp:effectExtent l="0" t="0" r="17780" b="10160"/>
            <wp:docPr id="2" name="Chart 2">
              <a:extLst xmlns:a="http://schemas.openxmlformats.org/drawingml/2006/main">
                <a:ext uri="{FF2B5EF4-FFF2-40B4-BE49-F238E27FC236}">
                  <a16:creationId xmlns:a16="http://schemas.microsoft.com/office/drawing/2014/main" id="{00000000-0008-0000-04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904D744" w14:textId="64CB8358" w:rsidR="007D275A" w:rsidRPr="00061636" w:rsidRDefault="007D275A" w:rsidP="007D275A">
      <w:pPr>
        <w:pStyle w:val="Caption"/>
        <w:jc w:val="center"/>
      </w:pPr>
      <w:r w:rsidRPr="00F11E39">
        <w:t xml:space="preserve">Figure </w:t>
      </w:r>
      <w:r>
        <w:fldChar w:fldCharType="begin"/>
      </w:r>
      <w:r>
        <w:instrText xml:space="preserve"> STYLEREF 1 \s </w:instrText>
      </w:r>
      <w:r>
        <w:fldChar w:fldCharType="separate"/>
      </w:r>
      <w:r w:rsidRPr="00F11E39">
        <w:rPr>
          <w:noProof/>
        </w:rPr>
        <w:t>3</w:t>
      </w:r>
      <w:r>
        <w:rPr>
          <w:noProof/>
        </w:rPr>
        <w:fldChar w:fldCharType="end"/>
      </w:r>
      <w:r w:rsidRPr="00F11E39">
        <w:t>.</w:t>
      </w:r>
      <w:r>
        <w:t>3</w:t>
      </w:r>
      <w:r w:rsidRPr="00F11E39">
        <w:t xml:space="preserve"> World </w:t>
      </w:r>
      <w:r>
        <w:t>Operating Cost</w:t>
      </w:r>
      <w:r w:rsidRPr="00F11E39">
        <w:t xml:space="preserve"> Reduction 2015-2060</w:t>
      </w:r>
    </w:p>
    <w:p w14:paraId="6D3A196C" w14:textId="0B602675" w:rsidR="004A2866" w:rsidRDefault="004A2866">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638C27B6" w14:textId="35B14894" w:rsidR="00F52595" w:rsidRPr="00061636" w:rsidRDefault="551A77D0" w:rsidP="004A2866">
      <w:pPr>
        <w:pStyle w:val="Heading1"/>
      </w:pPr>
      <w:bookmarkStart w:id="66" w:name="_Toc10331926"/>
      <w:r w:rsidRPr="00061636">
        <w:lastRenderedPageBreak/>
        <w:t>Discussion</w:t>
      </w:r>
      <w:bookmarkEnd w:id="66"/>
    </w:p>
    <w:p w14:paraId="0AC3E4BE" w14:textId="71CC471A" w:rsidR="002A4E84" w:rsidRPr="00061636" w:rsidRDefault="002A4E84" w:rsidP="00EB247F">
      <w:pPr>
        <w:rPr>
          <w:lang w:eastAsia="en-US"/>
        </w:rPr>
      </w:pPr>
      <w:r w:rsidRPr="00061636">
        <w:rPr>
          <w:lang w:eastAsia="en-US"/>
        </w:rPr>
        <w:t>Solar photovoltaic</w:t>
      </w:r>
      <w:r w:rsidR="00A80935" w:rsidRPr="00061636">
        <w:rPr>
          <w:lang w:eastAsia="en-US"/>
        </w:rPr>
        <w:t>s</w:t>
      </w:r>
      <w:r w:rsidRPr="00061636">
        <w:rPr>
          <w:lang w:eastAsia="en-US"/>
        </w:rPr>
        <w:t xml:space="preserve"> ha</w:t>
      </w:r>
      <w:r w:rsidR="00A80935" w:rsidRPr="00061636">
        <w:rPr>
          <w:lang w:eastAsia="en-US"/>
        </w:rPr>
        <w:t>ve</w:t>
      </w:r>
      <w:r w:rsidRPr="00061636">
        <w:rPr>
          <w:lang w:eastAsia="en-US"/>
        </w:rPr>
        <w:t xml:space="preserve"> seen unprecedented levels of growth around the world since 2005, due primarily to advancements in technology and declines in costs. </w:t>
      </w:r>
      <w:r w:rsidR="008914D9">
        <w:rPr>
          <w:lang w:eastAsia="en-US"/>
        </w:rPr>
        <w:t>Of late, u</w:t>
      </w:r>
      <w:r w:rsidRPr="00061636">
        <w:rPr>
          <w:lang w:eastAsia="en-US"/>
        </w:rPr>
        <w:t xml:space="preserve">tility-scale </w:t>
      </w:r>
      <w:r w:rsidR="004A2866" w:rsidRPr="00061636">
        <w:rPr>
          <w:lang w:eastAsia="en-US"/>
        </w:rPr>
        <w:t xml:space="preserve">systems </w:t>
      </w:r>
      <w:r w:rsidR="004A2866">
        <w:rPr>
          <w:lang w:eastAsia="en-US"/>
        </w:rPr>
        <w:t>have</w:t>
      </w:r>
      <w:r w:rsidR="008914D9">
        <w:rPr>
          <w:lang w:eastAsia="en-US"/>
        </w:rPr>
        <w:t xml:space="preserve"> started becoming</w:t>
      </w:r>
      <w:r w:rsidRPr="00061636">
        <w:rPr>
          <w:lang w:eastAsia="en-US"/>
        </w:rPr>
        <w:t xml:space="preserve"> cost-competitive with fossil fuel generation around the world</w:t>
      </w:r>
      <w:r w:rsidR="008914D9">
        <w:rPr>
          <w:lang w:eastAsia="en-US"/>
        </w:rPr>
        <w:t xml:space="preserve"> and grid parity is being achieved</w:t>
      </w:r>
      <w:r w:rsidR="00624B2B">
        <w:rPr>
          <w:lang w:eastAsia="en-US"/>
        </w:rPr>
        <w:t xml:space="preserve"> in some of the recent tariff-based bids</w:t>
      </w:r>
      <w:r w:rsidRPr="00061636">
        <w:rPr>
          <w:lang w:eastAsia="en-US"/>
        </w:rPr>
        <w:t xml:space="preserve">. </w:t>
      </w:r>
      <w:r w:rsidR="00AB23AA" w:rsidRPr="00061636">
        <w:rPr>
          <w:lang w:eastAsia="en-US"/>
        </w:rPr>
        <w:t xml:space="preserve">This </w:t>
      </w:r>
      <w:r w:rsidR="00624B2B">
        <w:rPr>
          <w:lang w:eastAsia="en-US"/>
        </w:rPr>
        <w:t xml:space="preserve">positive trend </w:t>
      </w:r>
      <w:r w:rsidR="00AB23AA" w:rsidRPr="00061636">
        <w:rPr>
          <w:lang w:eastAsia="en-US"/>
        </w:rPr>
        <w:t xml:space="preserve">is already in evidence as seen from </w:t>
      </w:r>
      <w:r w:rsidR="00A90312">
        <w:rPr>
          <w:lang w:eastAsia="en-US"/>
        </w:rPr>
        <w:t xml:space="preserve">the </w:t>
      </w:r>
      <w:r w:rsidR="00AB23AA" w:rsidRPr="00061636">
        <w:rPr>
          <w:lang w:eastAsia="en-US"/>
        </w:rPr>
        <w:t xml:space="preserve">latest figures being received from different parts of the world. </w:t>
      </w:r>
      <w:r w:rsidRPr="00061636">
        <w:rPr>
          <w:lang w:eastAsia="en-US"/>
        </w:rPr>
        <w:t xml:space="preserve">As a result, utility-scale PV is likely to continue its rapid growth in many regional markets and will play an increasingly important role in future global electricity supply, </w:t>
      </w:r>
      <w:r w:rsidR="00624B2B">
        <w:rPr>
          <w:lang w:eastAsia="en-US"/>
        </w:rPr>
        <w:t xml:space="preserve">even </w:t>
      </w:r>
      <w:r w:rsidRPr="00061636">
        <w:rPr>
          <w:lang w:eastAsia="en-US"/>
        </w:rPr>
        <w:t xml:space="preserve">regardless of climate mitigation goals. If utilities and project developers, spurred on by local and national governments, accelerate the adoption of utility-scale solar over the next 30 years, the world will reap major benefits in terms of greenhouse gas emissions reduction, as demonstrated by </w:t>
      </w:r>
      <w:r w:rsidR="00DE33AF" w:rsidRPr="00061636">
        <w:rPr>
          <w:lang w:eastAsia="en-US"/>
        </w:rPr>
        <w:t>the</w:t>
      </w:r>
      <w:r w:rsidR="00A80935" w:rsidRPr="00061636">
        <w:rPr>
          <w:lang w:eastAsia="en-US"/>
        </w:rPr>
        <w:t>se</w:t>
      </w:r>
      <w:r w:rsidR="00DE33AF" w:rsidRPr="00061636">
        <w:rPr>
          <w:lang w:eastAsia="en-US"/>
        </w:rPr>
        <w:t xml:space="preserve"> </w:t>
      </w:r>
      <w:r w:rsidRPr="00061636">
        <w:rPr>
          <w:lang w:eastAsia="en-US"/>
        </w:rPr>
        <w:t>results.</w:t>
      </w:r>
    </w:p>
    <w:p w14:paraId="05981690" w14:textId="7332A5E0" w:rsidR="002A4E84" w:rsidRPr="00061636" w:rsidRDefault="002A4E84" w:rsidP="00EB247F">
      <w:pPr>
        <w:rPr>
          <w:lang w:eastAsia="en-US"/>
        </w:rPr>
      </w:pPr>
      <w:r w:rsidRPr="00061636">
        <w:rPr>
          <w:lang w:eastAsia="en-US"/>
        </w:rPr>
        <w:t xml:space="preserve">The rapid deployment of utility-scale PV will result in significant reductions in greenhouse gas emissions (and corresponding atmospheric concentrations) by displacing emissions associated with coal and natural gas. Solar </w:t>
      </w:r>
      <w:r w:rsidR="00624B2B">
        <w:rPr>
          <w:lang w:eastAsia="en-US"/>
        </w:rPr>
        <w:t xml:space="preserve">thus </w:t>
      </w:r>
      <w:r w:rsidR="00AC60DD" w:rsidRPr="00061636">
        <w:rPr>
          <w:lang w:eastAsia="en-US"/>
        </w:rPr>
        <w:t>has</w:t>
      </w:r>
      <w:r w:rsidR="00A80935" w:rsidRPr="00061636">
        <w:rPr>
          <w:lang w:eastAsia="en-US"/>
        </w:rPr>
        <w:t xml:space="preserve"> </w:t>
      </w:r>
      <w:r w:rsidRPr="00061636">
        <w:rPr>
          <w:lang w:eastAsia="en-US"/>
        </w:rPr>
        <w:t xml:space="preserve">promising long-term potential, </w:t>
      </w:r>
      <w:r w:rsidR="004A2866" w:rsidRPr="00061636">
        <w:rPr>
          <w:lang w:eastAsia="en-US"/>
        </w:rPr>
        <w:t xml:space="preserve">as </w:t>
      </w:r>
      <w:r w:rsidR="004A2866">
        <w:rPr>
          <w:lang w:eastAsia="en-US"/>
        </w:rPr>
        <w:t>the</w:t>
      </w:r>
      <w:r w:rsidRPr="00061636">
        <w:rPr>
          <w:lang w:eastAsia="en-US"/>
        </w:rPr>
        <w:t xml:space="preserve"> resource</w:t>
      </w:r>
      <w:r w:rsidR="00624B2B">
        <w:rPr>
          <w:lang w:eastAsia="en-US"/>
        </w:rPr>
        <w:t xml:space="preserve"> is</w:t>
      </w:r>
      <w:r w:rsidRPr="00061636">
        <w:rPr>
          <w:lang w:eastAsia="en-US"/>
        </w:rPr>
        <w:t xml:space="preserve"> plentiful</w:t>
      </w:r>
      <w:r w:rsidR="00624B2B">
        <w:rPr>
          <w:lang w:eastAsia="en-US"/>
        </w:rPr>
        <w:t>, cheap</w:t>
      </w:r>
      <w:r w:rsidRPr="00061636">
        <w:rPr>
          <w:lang w:eastAsia="en-US"/>
        </w:rPr>
        <w:t xml:space="preserve"> and widespread, and future advances in </w:t>
      </w:r>
      <w:r w:rsidR="004A2866" w:rsidRPr="00061636">
        <w:rPr>
          <w:lang w:eastAsia="en-US"/>
        </w:rPr>
        <w:t xml:space="preserve">both </w:t>
      </w:r>
      <w:r w:rsidR="004A2866">
        <w:rPr>
          <w:lang w:eastAsia="en-US"/>
        </w:rPr>
        <w:t>energy</w:t>
      </w:r>
      <w:r w:rsidR="00624B2B">
        <w:rPr>
          <w:lang w:eastAsia="en-US"/>
        </w:rPr>
        <w:t xml:space="preserve"> storage</w:t>
      </w:r>
      <w:r w:rsidRPr="00061636">
        <w:rPr>
          <w:lang w:eastAsia="en-US"/>
        </w:rPr>
        <w:t xml:space="preserve"> and photovoltaic technologies should continue to drive the adoption of this technology, even without specific policy interventions.</w:t>
      </w:r>
    </w:p>
    <w:p w14:paraId="1F5BDEED" w14:textId="5ECFEC7D" w:rsidR="006745FF" w:rsidRPr="00061636" w:rsidRDefault="002A4E84" w:rsidP="00EB247F">
      <w:pPr>
        <w:rPr>
          <w:lang w:eastAsia="en-US"/>
        </w:rPr>
      </w:pPr>
      <w:r w:rsidRPr="00061636">
        <w:rPr>
          <w:lang w:eastAsia="en-US"/>
        </w:rPr>
        <w:t xml:space="preserve">The financial benefits of rapid utility-scale PV adoption will also </w:t>
      </w:r>
      <w:r w:rsidR="004A2866" w:rsidRPr="00061636">
        <w:rPr>
          <w:lang w:eastAsia="en-US"/>
        </w:rPr>
        <w:t>be</w:t>
      </w:r>
      <w:r w:rsidR="004A2866">
        <w:rPr>
          <w:lang w:eastAsia="en-US"/>
        </w:rPr>
        <w:t>come</w:t>
      </w:r>
      <w:r w:rsidR="004A2866" w:rsidRPr="00061636">
        <w:rPr>
          <w:lang w:eastAsia="en-US"/>
        </w:rPr>
        <w:t xml:space="preserve"> </w:t>
      </w:r>
      <w:r w:rsidR="004A2866">
        <w:rPr>
          <w:lang w:eastAsia="en-US"/>
        </w:rPr>
        <w:t>significant</w:t>
      </w:r>
      <w:r w:rsidRPr="00061636">
        <w:rPr>
          <w:lang w:eastAsia="en-US"/>
        </w:rPr>
        <w:t xml:space="preserve"> and </w:t>
      </w:r>
      <w:r w:rsidR="00624B2B">
        <w:rPr>
          <w:lang w:eastAsia="en-US"/>
        </w:rPr>
        <w:t xml:space="preserve">this </w:t>
      </w:r>
      <w:r w:rsidRPr="00061636">
        <w:rPr>
          <w:lang w:eastAsia="en-US"/>
        </w:rPr>
        <w:t xml:space="preserve">can help jumpstart adoption. There are significant investment costs associated with accelerated adoption, but </w:t>
      </w:r>
      <w:r w:rsidR="004A2866" w:rsidRPr="00061636">
        <w:rPr>
          <w:lang w:eastAsia="en-US"/>
        </w:rPr>
        <w:t xml:space="preserve">this </w:t>
      </w:r>
      <w:r w:rsidR="004A2866">
        <w:rPr>
          <w:lang w:eastAsia="en-US"/>
        </w:rPr>
        <w:t>also</w:t>
      </w:r>
      <w:r w:rsidR="002906C9">
        <w:rPr>
          <w:lang w:eastAsia="en-US"/>
        </w:rPr>
        <w:t xml:space="preserve"> provides</w:t>
      </w:r>
      <w:r w:rsidRPr="00061636">
        <w:rPr>
          <w:lang w:eastAsia="en-US"/>
        </w:rPr>
        <w:t xml:space="preserve"> an opportunity to generate wealth and economic growth, as the return on investment is also substantial.</w:t>
      </w:r>
    </w:p>
    <w:p w14:paraId="319DCBD8" w14:textId="4F9ACC7D" w:rsidR="006745FF" w:rsidRPr="00061636" w:rsidRDefault="006745FF" w:rsidP="002A6808">
      <w:pPr>
        <w:pStyle w:val="Heading2"/>
        <w:numPr>
          <w:ilvl w:val="1"/>
          <w:numId w:val="10"/>
        </w:numPr>
      </w:pPr>
      <w:bookmarkStart w:id="67" w:name="_Toc10331927"/>
      <w:r w:rsidRPr="00061636">
        <w:t>Limitations</w:t>
      </w:r>
      <w:bookmarkEnd w:id="67"/>
    </w:p>
    <w:p w14:paraId="0DA1DBF6" w14:textId="7912673A" w:rsidR="006745FF" w:rsidRPr="00061636" w:rsidRDefault="006745FF">
      <w:r w:rsidRPr="00061636">
        <w:t xml:space="preserve">The accelerated installation of new utility-scale PV capacity will not be without challenges, however, as traditional electricity markets and grids are in many cases not </w:t>
      </w:r>
      <w:r w:rsidR="00B7426E" w:rsidRPr="00061636">
        <w:t>designed to absorb</w:t>
      </w:r>
      <w:r w:rsidRPr="00061636">
        <w:t xml:space="preserve"> a high penetration of intermittent</w:t>
      </w:r>
      <w:r w:rsidR="00B7426E" w:rsidRPr="00061636">
        <w:t xml:space="preserve"> and unpred</w:t>
      </w:r>
      <w:r w:rsidR="00250D3C" w:rsidRPr="00061636">
        <w:t>i</w:t>
      </w:r>
      <w:r w:rsidR="00B7426E" w:rsidRPr="00061636">
        <w:t>ct</w:t>
      </w:r>
      <w:r w:rsidR="00250D3C" w:rsidRPr="00061636">
        <w:t>a</w:t>
      </w:r>
      <w:r w:rsidR="00B7426E" w:rsidRPr="00061636">
        <w:t xml:space="preserve">ble </w:t>
      </w:r>
      <w:r w:rsidRPr="00061636">
        <w:t xml:space="preserve">renewable energy. There will be economic, policy, and social hurdles to overcome on the pathway set out in </w:t>
      </w:r>
      <w:r w:rsidR="00DE33AF" w:rsidRPr="00061636">
        <w:t>the</w:t>
      </w:r>
      <w:r w:rsidR="00B7426E" w:rsidRPr="00061636">
        <w:t>se</w:t>
      </w:r>
      <w:r w:rsidR="00DE33AF" w:rsidRPr="00061636">
        <w:t xml:space="preserve"> Drawdown</w:t>
      </w:r>
      <w:r w:rsidRPr="00061636">
        <w:t xml:space="preserve"> scenarios, and some of these will require significant changes to the way </w:t>
      </w:r>
      <w:r w:rsidR="00DE33AF" w:rsidRPr="00061636">
        <w:t>electricity is bought, sold and used.</w:t>
      </w:r>
      <w:r w:rsidR="007A09F4" w:rsidRPr="00061636">
        <w:t xml:space="preserve"> </w:t>
      </w:r>
      <w:r w:rsidR="00250D3C" w:rsidRPr="00061636">
        <w:t>It is just a matter of time before the technologists come up with solutions to the challenges imposed by increasing levels of renewable energy injection into the conventional grids.</w:t>
      </w:r>
      <w:r w:rsidRPr="00061636">
        <w:t xml:space="preserve"> </w:t>
      </w:r>
      <w:r w:rsidR="002906C9">
        <w:t xml:space="preserve">Already much thought and effort </w:t>
      </w:r>
      <w:r w:rsidR="00AC60DD">
        <w:t>are</w:t>
      </w:r>
      <w:r w:rsidR="002906C9">
        <w:t xml:space="preserve"> going into the design and development of “Smart Grids”. G</w:t>
      </w:r>
      <w:r w:rsidRPr="00061636">
        <w:t xml:space="preserve">iven the immense climate and financial </w:t>
      </w:r>
      <w:r w:rsidR="00250D3C" w:rsidRPr="00061636">
        <w:t>benefits</w:t>
      </w:r>
      <w:r w:rsidRPr="00061636">
        <w:t xml:space="preserve"> of global utility-scale PV adoption, it is </w:t>
      </w:r>
      <w:r w:rsidR="002906C9">
        <w:t>just a matter of time before</w:t>
      </w:r>
      <w:r w:rsidRPr="00061636">
        <w:t xml:space="preserve"> these challenges </w:t>
      </w:r>
      <w:r w:rsidR="00AC60DD" w:rsidRPr="00061636">
        <w:t>are met</w:t>
      </w:r>
      <w:r w:rsidR="002906C9">
        <w:t xml:space="preserve"> and the hurdles overcome</w:t>
      </w:r>
      <w:r w:rsidR="00DE33AF" w:rsidRPr="00061636">
        <w:t xml:space="preserve"> </w:t>
      </w:r>
      <w:r w:rsidRPr="00061636">
        <w:t>in order to realize the</w:t>
      </w:r>
      <w:r w:rsidR="00250D3C" w:rsidRPr="00061636">
        <w:t xml:space="preserve"> ensuing</w:t>
      </w:r>
      <w:r w:rsidRPr="00061636">
        <w:t xml:space="preserve"> benefits</w:t>
      </w:r>
      <w:r w:rsidR="003C3534">
        <w:t>.</w:t>
      </w:r>
      <w:r w:rsidR="007A09F4" w:rsidRPr="00061636">
        <w:t xml:space="preserve"> </w:t>
      </w:r>
    </w:p>
    <w:p w14:paraId="2139E8E7" w14:textId="767A0E25" w:rsidR="006745FF" w:rsidRPr="00061636" w:rsidRDefault="006745FF" w:rsidP="002A6808">
      <w:pPr>
        <w:pStyle w:val="Heading2"/>
        <w:numPr>
          <w:ilvl w:val="1"/>
          <w:numId w:val="10"/>
        </w:numPr>
      </w:pPr>
      <w:bookmarkStart w:id="68" w:name="_Toc10331928"/>
      <w:r w:rsidRPr="00061636">
        <w:lastRenderedPageBreak/>
        <w:t>Benchmarks</w:t>
      </w:r>
      <w:bookmarkEnd w:id="68"/>
    </w:p>
    <w:p w14:paraId="378528EA" w14:textId="411C41A0" w:rsidR="00BB79D6" w:rsidRPr="00826B4A" w:rsidRDefault="00BB79D6" w:rsidP="00EB247F">
      <w:pPr>
        <w:rPr>
          <w:bCs/>
          <w:iCs/>
          <w:highlight w:val="lightGray"/>
        </w:rPr>
      </w:pPr>
      <w:r w:rsidRPr="00BB0FA1">
        <w:rPr>
          <w:bCs/>
          <w:iCs/>
        </w:rPr>
        <w:t>Table 4.1 depicts a benchmark of Project Drawdown results for 2050</w:t>
      </w:r>
      <w:r w:rsidR="00B7426E" w:rsidRPr="00BB0FA1">
        <w:rPr>
          <w:bCs/>
          <w:iCs/>
        </w:rPr>
        <w:t xml:space="preserve"> for</w:t>
      </w:r>
      <w:r w:rsidR="007A09F4" w:rsidRPr="00BB0FA1">
        <w:rPr>
          <w:bCs/>
          <w:iCs/>
        </w:rPr>
        <w:t xml:space="preserve"> </w:t>
      </w:r>
      <w:r w:rsidRPr="00BB0FA1">
        <w:rPr>
          <w:bCs/>
          <w:iCs/>
        </w:rPr>
        <w:t>the three scenarios</w:t>
      </w:r>
      <w:r w:rsidR="007A09F4" w:rsidRPr="00BB0FA1">
        <w:rPr>
          <w:bCs/>
          <w:iCs/>
        </w:rPr>
        <w:t xml:space="preserve"> </w:t>
      </w:r>
      <w:r w:rsidR="00B7426E" w:rsidRPr="00BB0FA1">
        <w:rPr>
          <w:bCs/>
          <w:iCs/>
        </w:rPr>
        <w:t xml:space="preserve">as compared </w:t>
      </w:r>
      <w:r w:rsidR="004A2866" w:rsidRPr="00BB0FA1">
        <w:rPr>
          <w:bCs/>
          <w:iCs/>
        </w:rPr>
        <w:t>to six</w:t>
      </w:r>
      <w:r w:rsidR="00B7426E" w:rsidRPr="00BB0FA1">
        <w:rPr>
          <w:bCs/>
          <w:iCs/>
        </w:rPr>
        <w:t xml:space="preserve"> other</w:t>
      </w:r>
      <w:r w:rsidRPr="00BB0FA1">
        <w:rPr>
          <w:bCs/>
          <w:iCs/>
        </w:rPr>
        <w:t xml:space="preserve"> publicly available </w:t>
      </w:r>
      <w:r w:rsidR="00BB0FA1" w:rsidRPr="00BB0FA1">
        <w:rPr>
          <w:bCs/>
          <w:iCs/>
        </w:rPr>
        <w:t xml:space="preserve">ambitious </w:t>
      </w:r>
      <w:r w:rsidRPr="00BB0FA1">
        <w:rPr>
          <w:bCs/>
          <w:iCs/>
        </w:rPr>
        <w:t>scenarios from</w:t>
      </w:r>
      <w:r w:rsidR="004A2866" w:rsidRPr="00BB0FA1">
        <w:rPr>
          <w:bCs/>
          <w:iCs/>
        </w:rPr>
        <w:t xml:space="preserve"> Gre</w:t>
      </w:r>
      <w:r w:rsidR="00826B4A" w:rsidRPr="00BB0FA1">
        <w:rPr>
          <w:bCs/>
          <w:iCs/>
        </w:rPr>
        <w:t>e</w:t>
      </w:r>
      <w:r w:rsidR="004A2866" w:rsidRPr="00BB0FA1">
        <w:rPr>
          <w:bCs/>
          <w:iCs/>
        </w:rPr>
        <w:t>npeace (2015)</w:t>
      </w:r>
      <w:r w:rsidR="00BB0FA1" w:rsidRPr="00BB0FA1">
        <w:rPr>
          <w:bCs/>
          <w:iCs/>
        </w:rPr>
        <w:t>,</w:t>
      </w:r>
      <w:r w:rsidR="004A2866" w:rsidRPr="00BB0FA1">
        <w:rPr>
          <w:bCs/>
          <w:iCs/>
        </w:rPr>
        <w:t xml:space="preserve"> IEA ETP (2016)</w:t>
      </w:r>
      <w:r w:rsidR="00BB0FA1" w:rsidRPr="00BB0FA1">
        <w:rPr>
          <w:bCs/>
          <w:iCs/>
        </w:rPr>
        <w:t>, IEA WEO (2018), Shell (2018)</w:t>
      </w:r>
      <w:r w:rsidR="00BB0FA1">
        <w:rPr>
          <w:bCs/>
          <w:iCs/>
        </w:rPr>
        <w:t xml:space="preserve"> and</w:t>
      </w:r>
      <w:r w:rsidR="00BB0FA1" w:rsidRPr="00BB0FA1">
        <w:rPr>
          <w:bCs/>
          <w:iCs/>
        </w:rPr>
        <w:t xml:space="preserve"> Ram </w:t>
      </w:r>
      <w:r w:rsidR="00B26522">
        <w:rPr>
          <w:bCs/>
          <w:iCs/>
        </w:rPr>
        <w:t xml:space="preserve">et al. </w:t>
      </w:r>
      <w:r w:rsidR="00BB0FA1" w:rsidRPr="00BB0FA1">
        <w:rPr>
          <w:bCs/>
          <w:iCs/>
        </w:rPr>
        <w:t>(2017)</w:t>
      </w:r>
      <w:r w:rsidRPr="00BB0FA1">
        <w:rPr>
          <w:bCs/>
          <w:iCs/>
        </w:rPr>
        <w:t xml:space="preserve">. </w:t>
      </w:r>
      <w:r w:rsidR="00BB0FA1" w:rsidRPr="00BB0FA1">
        <w:rPr>
          <w:bCs/>
          <w:iCs/>
        </w:rPr>
        <w:t>Most</w:t>
      </w:r>
      <w:r w:rsidR="00BB0FA1">
        <w:rPr>
          <w:bCs/>
          <w:iCs/>
        </w:rPr>
        <w:t xml:space="preserve"> of the </w:t>
      </w:r>
      <w:r w:rsidRPr="00061636">
        <w:rPr>
          <w:bCs/>
          <w:iCs/>
        </w:rPr>
        <w:t>benchmarked results account for all solar PV electricity generation since no results are available from those sources differentiating utility and rooftop solar PV technologies.</w:t>
      </w:r>
      <w:r w:rsidR="00BB0FA1">
        <w:rPr>
          <w:bCs/>
          <w:iCs/>
        </w:rPr>
        <w:t xml:space="preserve"> Shell (2018) and Ram </w:t>
      </w:r>
      <w:r w:rsidR="00B26522">
        <w:rPr>
          <w:bCs/>
          <w:iCs/>
        </w:rPr>
        <w:t xml:space="preserve">et al. </w:t>
      </w:r>
      <w:r w:rsidR="00BB0FA1">
        <w:rPr>
          <w:bCs/>
          <w:iCs/>
        </w:rPr>
        <w:t>(2017) provide detailed results for utility</w:t>
      </w:r>
      <w:r w:rsidR="00A90312">
        <w:rPr>
          <w:bCs/>
          <w:iCs/>
        </w:rPr>
        <w:t>-</w:t>
      </w:r>
      <w:r w:rsidR="00BB0FA1">
        <w:rPr>
          <w:bCs/>
          <w:iCs/>
        </w:rPr>
        <w:t>scale solar.</w:t>
      </w:r>
      <w:r w:rsidR="00E73781">
        <w:rPr>
          <w:bCs/>
          <w:iCs/>
        </w:rPr>
        <w:t xml:space="preserve"> PD scenarios are within the boundaries of the projections from other sources in all scenarios.</w:t>
      </w:r>
    </w:p>
    <w:p w14:paraId="79DB6E21" w14:textId="77777777" w:rsidR="006745FF" w:rsidRPr="00061636" w:rsidRDefault="006745FF" w:rsidP="00EB247F">
      <w:pPr>
        <w:pStyle w:val="Caption"/>
        <w:jc w:val="center"/>
        <w:rPr>
          <w:b/>
          <w:bCs/>
        </w:rPr>
      </w:pPr>
      <w:bookmarkStart w:id="69" w:name="_Toc524993445"/>
      <w:bookmarkStart w:id="70" w:name="_Toc534461016"/>
      <w:r w:rsidRPr="00061636">
        <w:t xml:space="preserve">Table </w:t>
      </w:r>
      <w:fldSimple w:instr=" STYLEREF 1 \s ">
        <w:r w:rsidRPr="00061636">
          <w:t>4</w:t>
        </w:r>
      </w:fldSimple>
      <w:r w:rsidRPr="00061636">
        <w:t>.</w:t>
      </w:r>
      <w:fldSimple w:instr=" SEQ Table \* ARABIC \s 1 ">
        <w:r w:rsidRPr="00061636">
          <w:t>1</w:t>
        </w:r>
      </w:fldSimple>
      <w:r w:rsidRPr="00061636">
        <w:t xml:space="preserve"> Benchmarks</w:t>
      </w:r>
      <w:bookmarkEnd w:id="69"/>
      <w:bookmarkEnd w:id="70"/>
    </w:p>
    <w:tbl>
      <w:tblPr>
        <w:tblStyle w:val="TableGrid"/>
        <w:tblW w:w="9317" w:type="dxa"/>
        <w:tblLook w:val="04A0" w:firstRow="1" w:lastRow="0" w:firstColumn="1" w:lastColumn="0" w:noHBand="0" w:noVBand="1"/>
      </w:tblPr>
      <w:tblGrid>
        <w:gridCol w:w="4354"/>
        <w:gridCol w:w="2277"/>
        <w:gridCol w:w="2686"/>
      </w:tblGrid>
      <w:tr w:rsidR="00996E91" w:rsidRPr="00061636" w14:paraId="70C8E283" w14:textId="77777777" w:rsidTr="00F025BB">
        <w:trPr>
          <w:trHeight w:val="327"/>
        </w:trPr>
        <w:tc>
          <w:tcPr>
            <w:tcW w:w="4354" w:type="dxa"/>
            <w:shd w:val="clear" w:color="auto" w:fill="4F81BD" w:themeFill="accent1"/>
            <w:vAlign w:val="center"/>
          </w:tcPr>
          <w:p w14:paraId="721CED95" w14:textId="594D904F" w:rsidR="00996E91" w:rsidRPr="00061636" w:rsidRDefault="00996E91" w:rsidP="00912CC8">
            <w:pPr>
              <w:spacing w:line="240" w:lineRule="auto"/>
              <w:jc w:val="center"/>
              <w:rPr>
                <w:b/>
                <w:bCs/>
                <w:color w:val="FFFFFF" w:themeColor="background1"/>
                <w:sz w:val="20"/>
              </w:rPr>
            </w:pPr>
            <w:r w:rsidRPr="00061636">
              <w:rPr>
                <w:b/>
                <w:bCs/>
                <w:color w:val="FFFFFF" w:themeColor="background1"/>
                <w:sz w:val="20"/>
              </w:rPr>
              <w:t>Source and Scenario</w:t>
            </w:r>
          </w:p>
        </w:tc>
        <w:tc>
          <w:tcPr>
            <w:tcW w:w="2277" w:type="dxa"/>
            <w:shd w:val="clear" w:color="auto" w:fill="4F81BD" w:themeFill="accent1"/>
            <w:vAlign w:val="center"/>
          </w:tcPr>
          <w:p w14:paraId="73B9F0B0" w14:textId="335476DB" w:rsidR="008D1109" w:rsidRDefault="00996E91" w:rsidP="00912CC8">
            <w:pPr>
              <w:spacing w:line="240" w:lineRule="auto"/>
              <w:jc w:val="center"/>
              <w:rPr>
                <w:b/>
                <w:color w:val="FFFFFF" w:themeColor="background1"/>
                <w:sz w:val="20"/>
              </w:rPr>
            </w:pPr>
            <w:r w:rsidRPr="00061636">
              <w:rPr>
                <w:b/>
                <w:color w:val="FFFFFF" w:themeColor="background1"/>
                <w:sz w:val="20"/>
              </w:rPr>
              <w:t>Electricity Generation</w:t>
            </w:r>
            <w:r w:rsidR="008D1109">
              <w:rPr>
                <w:b/>
                <w:color w:val="FFFFFF" w:themeColor="background1"/>
                <w:sz w:val="20"/>
              </w:rPr>
              <w:t xml:space="preserve"> from SPV </w:t>
            </w:r>
            <w:r w:rsidRPr="00061636">
              <w:rPr>
                <w:b/>
                <w:color w:val="FFFFFF" w:themeColor="background1"/>
                <w:sz w:val="20"/>
              </w:rPr>
              <w:t>in 2050</w:t>
            </w:r>
          </w:p>
          <w:p w14:paraId="2C9D3A78" w14:textId="3409B6E3" w:rsidR="00996E91" w:rsidRPr="00061636" w:rsidRDefault="00996E91" w:rsidP="00912CC8">
            <w:pPr>
              <w:spacing w:line="240" w:lineRule="auto"/>
              <w:jc w:val="center"/>
              <w:rPr>
                <w:b/>
                <w:color w:val="FFFFFF" w:themeColor="background1"/>
                <w:sz w:val="20"/>
              </w:rPr>
            </w:pPr>
            <w:r w:rsidRPr="00061636">
              <w:rPr>
                <w:b/>
                <w:color w:val="FFFFFF" w:themeColor="background1"/>
                <w:sz w:val="20"/>
              </w:rPr>
              <w:t xml:space="preserve"> (</w:t>
            </w:r>
            <w:proofErr w:type="spellStart"/>
            <w:r w:rsidRPr="00061636">
              <w:rPr>
                <w:b/>
                <w:color w:val="FFFFFF" w:themeColor="background1"/>
                <w:sz w:val="20"/>
              </w:rPr>
              <w:t>TWh</w:t>
            </w:r>
            <w:proofErr w:type="spellEnd"/>
            <w:r w:rsidRPr="00061636">
              <w:rPr>
                <w:b/>
                <w:color w:val="FFFFFF" w:themeColor="background1"/>
                <w:sz w:val="20"/>
              </w:rPr>
              <w:t>)</w:t>
            </w:r>
          </w:p>
        </w:tc>
        <w:tc>
          <w:tcPr>
            <w:tcW w:w="2686" w:type="dxa"/>
            <w:shd w:val="clear" w:color="auto" w:fill="4F81BD" w:themeFill="accent1"/>
            <w:vAlign w:val="center"/>
          </w:tcPr>
          <w:p w14:paraId="54169280" w14:textId="7589E293" w:rsidR="00996E91" w:rsidRPr="00061636" w:rsidRDefault="00996E91" w:rsidP="00912CC8">
            <w:pPr>
              <w:spacing w:line="240" w:lineRule="auto"/>
              <w:jc w:val="center"/>
              <w:rPr>
                <w:b/>
                <w:color w:val="FFFFFF" w:themeColor="background1"/>
                <w:sz w:val="20"/>
              </w:rPr>
            </w:pPr>
            <w:r w:rsidRPr="00061636">
              <w:rPr>
                <w:b/>
                <w:color w:val="FFFFFF" w:themeColor="background1"/>
                <w:sz w:val="20"/>
              </w:rPr>
              <w:t>Market Share in 2050 (%)</w:t>
            </w:r>
          </w:p>
        </w:tc>
      </w:tr>
      <w:tr w:rsidR="00BB0FA1" w:rsidRPr="00061636" w14:paraId="55F36F84" w14:textId="77777777" w:rsidTr="00F025BB">
        <w:trPr>
          <w:trHeight w:val="430"/>
        </w:trPr>
        <w:tc>
          <w:tcPr>
            <w:tcW w:w="4354" w:type="dxa"/>
            <w:vAlign w:val="center"/>
          </w:tcPr>
          <w:p w14:paraId="48BB8E3C" w14:textId="5253C111" w:rsidR="00BB0FA1" w:rsidRPr="00E73781" w:rsidRDefault="00BB0FA1" w:rsidP="00BB0FA1">
            <w:pPr>
              <w:spacing w:line="240" w:lineRule="auto"/>
              <w:jc w:val="left"/>
              <w:rPr>
                <w:sz w:val="20"/>
                <w:szCs w:val="20"/>
              </w:rPr>
            </w:pPr>
            <w:bookmarkStart w:id="71" w:name="_GoBack" w:colFirst="1" w:colLast="2"/>
            <w:r w:rsidRPr="00E73781">
              <w:rPr>
                <w:b/>
                <w:sz w:val="20"/>
                <w:szCs w:val="20"/>
              </w:rPr>
              <w:t>Project Drawdown – Plausible Scenario (PDS1)</w:t>
            </w:r>
          </w:p>
        </w:tc>
        <w:tc>
          <w:tcPr>
            <w:tcW w:w="2277" w:type="dxa"/>
            <w:vAlign w:val="center"/>
          </w:tcPr>
          <w:p w14:paraId="5E4C76C7" w14:textId="007DDFBA" w:rsidR="00BB0FA1" w:rsidRPr="007D275A" w:rsidRDefault="00E73781" w:rsidP="00BB0FA1">
            <w:pPr>
              <w:spacing w:line="240" w:lineRule="auto"/>
              <w:jc w:val="center"/>
              <w:rPr>
                <w:b/>
                <w:bCs/>
                <w:sz w:val="20"/>
                <w:szCs w:val="20"/>
              </w:rPr>
            </w:pPr>
            <w:r w:rsidRPr="007D275A">
              <w:rPr>
                <w:b/>
                <w:bCs/>
                <w:sz w:val="20"/>
                <w:szCs w:val="20"/>
              </w:rPr>
              <w:t>9,353</w:t>
            </w:r>
            <w:r w:rsidRPr="007D275A">
              <w:rPr>
                <w:rStyle w:val="FootnoteReference"/>
                <w:b/>
                <w:bCs/>
                <w:sz w:val="20"/>
                <w:szCs w:val="20"/>
              </w:rPr>
              <w:footnoteReference w:id="7"/>
            </w:r>
          </w:p>
        </w:tc>
        <w:tc>
          <w:tcPr>
            <w:tcW w:w="2686" w:type="dxa"/>
            <w:vAlign w:val="center"/>
          </w:tcPr>
          <w:p w14:paraId="3675881C" w14:textId="49C27487" w:rsidR="00BB0FA1" w:rsidRPr="007D275A" w:rsidRDefault="007D275A" w:rsidP="00BB0FA1">
            <w:pPr>
              <w:spacing w:line="240" w:lineRule="auto"/>
              <w:jc w:val="center"/>
              <w:rPr>
                <w:b/>
                <w:bCs/>
                <w:sz w:val="20"/>
                <w:szCs w:val="20"/>
                <w:highlight w:val="yellow"/>
              </w:rPr>
            </w:pPr>
            <w:r w:rsidRPr="007D275A">
              <w:rPr>
                <w:b/>
                <w:bCs/>
                <w:sz w:val="20"/>
                <w:szCs w:val="20"/>
              </w:rPr>
              <w:t>20.5</w:t>
            </w:r>
            <w:r w:rsidR="00BB0FA1" w:rsidRPr="007D275A">
              <w:rPr>
                <w:b/>
                <w:bCs/>
                <w:sz w:val="20"/>
                <w:szCs w:val="20"/>
              </w:rPr>
              <w:t>%</w:t>
            </w:r>
          </w:p>
        </w:tc>
      </w:tr>
      <w:tr w:rsidR="00BB0FA1" w:rsidRPr="00061636" w14:paraId="4C93FF68" w14:textId="77777777" w:rsidTr="00F025BB">
        <w:trPr>
          <w:trHeight w:val="430"/>
        </w:trPr>
        <w:tc>
          <w:tcPr>
            <w:tcW w:w="4354" w:type="dxa"/>
            <w:vAlign w:val="center"/>
          </w:tcPr>
          <w:p w14:paraId="1840D3E2" w14:textId="5B17A27C" w:rsidR="00BB0FA1" w:rsidRPr="00BB0FA1" w:rsidRDefault="00BB0FA1" w:rsidP="00BB0FA1">
            <w:pPr>
              <w:spacing w:line="240" w:lineRule="auto"/>
              <w:jc w:val="left"/>
              <w:rPr>
                <w:sz w:val="20"/>
                <w:szCs w:val="20"/>
              </w:rPr>
            </w:pPr>
            <w:r w:rsidRPr="00BB0FA1">
              <w:rPr>
                <w:b/>
                <w:sz w:val="20"/>
                <w:szCs w:val="20"/>
              </w:rPr>
              <w:t>Project Drawdown – Drawdown Scenario (PDS2)</w:t>
            </w:r>
          </w:p>
        </w:tc>
        <w:tc>
          <w:tcPr>
            <w:tcW w:w="2277" w:type="dxa"/>
            <w:vAlign w:val="center"/>
          </w:tcPr>
          <w:p w14:paraId="0A0D385B" w14:textId="5827C685" w:rsidR="00BB0FA1" w:rsidRPr="007D275A" w:rsidRDefault="00E73781" w:rsidP="00BB0FA1">
            <w:pPr>
              <w:spacing w:line="240" w:lineRule="auto"/>
              <w:jc w:val="center"/>
              <w:rPr>
                <w:b/>
                <w:bCs/>
                <w:sz w:val="20"/>
                <w:szCs w:val="20"/>
              </w:rPr>
            </w:pPr>
            <w:r w:rsidRPr="007D275A">
              <w:rPr>
                <w:b/>
                <w:bCs/>
                <w:sz w:val="20"/>
                <w:szCs w:val="20"/>
              </w:rPr>
              <w:t>17,742</w:t>
            </w:r>
            <w:r w:rsidRPr="007D275A">
              <w:rPr>
                <w:b/>
                <w:bCs/>
                <w:sz w:val="20"/>
                <w:szCs w:val="20"/>
                <w:vertAlign w:val="superscript"/>
              </w:rPr>
              <w:t>7</w:t>
            </w:r>
          </w:p>
        </w:tc>
        <w:tc>
          <w:tcPr>
            <w:tcW w:w="2686" w:type="dxa"/>
            <w:vAlign w:val="center"/>
          </w:tcPr>
          <w:p w14:paraId="3837B7D4" w14:textId="04618460" w:rsidR="00BB0FA1" w:rsidRPr="007D275A" w:rsidRDefault="00BB0FA1" w:rsidP="00BB0FA1">
            <w:pPr>
              <w:spacing w:line="240" w:lineRule="auto"/>
              <w:jc w:val="center"/>
              <w:rPr>
                <w:b/>
                <w:bCs/>
                <w:sz w:val="20"/>
                <w:szCs w:val="20"/>
              </w:rPr>
            </w:pPr>
            <w:r w:rsidRPr="007D275A">
              <w:rPr>
                <w:b/>
                <w:bCs/>
                <w:sz w:val="20"/>
                <w:szCs w:val="20"/>
              </w:rPr>
              <w:t>2</w:t>
            </w:r>
            <w:r w:rsidR="00E73781" w:rsidRPr="007D275A">
              <w:rPr>
                <w:b/>
                <w:bCs/>
                <w:sz w:val="20"/>
                <w:szCs w:val="20"/>
              </w:rPr>
              <w:t>5</w:t>
            </w:r>
            <w:r w:rsidRPr="007D275A">
              <w:rPr>
                <w:b/>
                <w:bCs/>
                <w:sz w:val="20"/>
                <w:szCs w:val="20"/>
              </w:rPr>
              <w:t>.</w:t>
            </w:r>
            <w:r w:rsidR="00E73781" w:rsidRPr="007D275A">
              <w:rPr>
                <w:b/>
                <w:bCs/>
                <w:sz w:val="20"/>
                <w:szCs w:val="20"/>
              </w:rPr>
              <w:t>0</w:t>
            </w:r>
            <w:r w:rsidRPr="007D275A">
              <w:rPr>
                <w:b/>
                <w:bCs/>
                <w:sz w:val="20"/>
                <w:szCs w:val="20"/>
              </w:rPr>
              <w:t>%</w:t>
            </w:r>
          </w:p>
        </w:tc>
      </w:tr>
      <w:tr w:rsidR="00BB0FA1" w:rsidRPr="00061636" w14:paraId="2B4F39AB" w14:textId="77777777" w:rsidTr="00F025BB">
        <w:trPr>
          <w:trHeight w:val="430"/>
        </w:trPr>
        <w:tc>
          <w:tcPr>
            <w:tcW w:w="4354" w:type="dxa"/>
            <w:vAlign w:val="center"/>
          </w:tcPr>
          <w:p w14:paraId="165855F0" w14:textId="7F669268" w:rsidR="00BB0FA1" w:rsidRPr="00BB0FA1" w:rsidRDefault="00BB0FA1" w:rsidP="00BB0FA1">
            <w:pPr>
              <w:spacing w:line="240" w:lineRule="auto"/>
              <w:jc w:val="left"/>
              <w:rPr>
                <w:sz w:val="20"/>
                <w:szCs w:val="20"/>
              </w:rPr>
            </w:pPr>
            <w:r w:rsidRPr="00BB0FA1">
              <w:rPr>
                <w:b/>
                <w:sz w:val="20"/>
                <w:szCs w:val="20"/>
              </w:rPr>
              <w:t>Project Drawdown – Optimum Scenario (PDS3)</w:t>
            </w:r>
          </w:p>
        </w:tc>
        <w:tc>
          <w:tcPr>
            <w:tcW w:w="2277" w:type="dxa"/>
            <w:vAlign w:val="center"/>
          </w:tcPr>
          <w:p w14:paraId="55E58F8F" w14:textId="0292E8EA" w:rsidR="00BB0FA1" w:rsidRPr="007D275A" w:rsidRDefault="00BB0FA1" w:rsidP="00BB0FA1">
            <w:pPr>
              <w:spacing w:line="240" w:lineRule="auto"/>
              <w:jc w:val="center"/>
              <w:rPr>
                <w:b/>
                <w:bCs/>
                <w:sz w:val="20"/>
                <w:szCs w:val="20"/>
              </w:rPr>
            </w:pPr>
            <w:r w:rsidRPr="007D275A">
              <w:rPr>
                <w:b/>
                <w:bCs/>
                <w:sz w:val="20"/>
                <w:szCs w:val="20"/>
              </w:rPr>
              <w:t>1</w:t>
            </w:r>
            <w:r w:rsidR="00E73781" w:rsidRPr="007D275A">
              <w:rPr>
                <w:b/>
                <w:bCs/>
                <w:sz w:val="20"/>
                <w:szCs w:val="20"/>
              </w:rPr>
              <w:t>7,742</w:t>
            </w:r>
            <w:r w:rsidR="00E73781" w:rsidRPr="007D275A">
              <w:rPr>
                <w:b/>
                <w:bCs/>
                <w:sz w:val="20"/>
                <w:szCs w:val="20"/>
                <w:vertAlign w:val="superscript"/>
              </w:rPr>
              <w:t>7</w:t>
            </w:r>
          </w:p>
        </w:tc>
        <w:tc>
          <w:tcPr>
            <w:tcW w:w="2686" w:type="dxa"/>
            <w:vAlign w:val="center"/>
          </w:tcPr>
          <w:p w14:paraId="62C143B4" w14:textId="4BF6A7EE" w:rsidR="00BB0FA1" w:rsidRPr="007D275A" w:rsidRDefault="00BB0FA1" w:rsidP="00BB0FA1">
            <w:pPr>
              <w:spacing w:line="240" w:lineRule="auto"/>
              <w:jc w:val="center"/>
              <w:rPr>
                <w:b/>
                <w:bCs/>
                <w:sz w:val="20"/>
                <w:szCs w:val="20"/>
              </w:rPr>
            </w:pPr>
            <w:r w:rsidRPr="007D275A">
              <w:rPr>
                <w:b/>
                <w:bCs/>
                <w:sz w:val="20"/>
                <w:szCs w:val="20"/>
              </w:rPr>
              <w:t>2</w:t>
            </w:r>
            <w:r w:rsidR="00E73781" w:rsidRPr="007D275A">
              <w:rPr>
                <w:b/>
                <w:bCs/>
                <w:sz w:val="20"/>
                <w:szCs w:val="20"/>
              </w:rPr>
              <w:t>5</w:t>
            </w:r>
            <w:r w:rsidRPr="007D275A">
              <w:rPr>
                <w:b/>
                <w:bCs/>
                <w:sz w:val="20"/>
                <w:szCs w:val="20"/>
              </w:rPr>
              <w:t>.</w:t>
            </w:r>
            <w:r w:rsidR="00E73781" w:rsidRPr="007D275A">
              <w:rPr>
                <w:b/>
                <w:bCs/>
                <w:sz w:val="20"/>
                <w:szCs w:val="20"/>
              </w:rPr>
              <w:t>0</w:t>
            </w:r>
            <w:r w:rsidRPr="007D275A">
              <w:rPr>
                <w:b/>
                <w:bCs/>
                <w:sz w:val="20"/>
                <w:szCs w:val="20"/>
              </w:rPr>
              <w:t>%</w:t>
            </w:r>
          </w:p>
        </w:tc>
      </w:tr>
      <w:bookmarkEnd w:id="71"/>
      <w:tr w:rsidR="00BB0FA1" w:rsidRPr="00061636" w14:paraId="78931A43" w14:textId="77777777" w:rsidTr="00F025BB">
        <w:trPr>
          <w:trHeight w:val="430"/>
        </w:trPr>
        <w:tc>
          <w:tcPr>
            <w:tcW w:w="4354" w:type="dxa"/>
            <w:vAlign w:val="center"/>
          </w:tcPr>
          <w:p w14:paraId="4514D391" w14:textId="650CC923" w:rsidR="00BB0FA1" w:rsidRPr="00BB0FA1" w:rsidRDefault="00BB0FA1" w:rsidP="00BB0FA1">
            <w:pPr>
              <w:spacing w:line="240" w:lineRule="auto"/>
              <w:jc w:val="left"/>
              <w:rPr>
                <w:bCs/>
                <w:sz w:val="20"/>
                <w:szCs w:val="20"/>
              </w:rPr>
            </w:pPr>
            <w:r w:rsidRPr="00BB0FA1">
              <w:rPr>
                <w:sz w:val="20"/>
                <w:szCs w:val="20"/>
              </w:rPr>
              <w:t>IEA Energy Technologies Perspectives (2016) – 2DS</w:t>
            </w:r>
          </w:p>
        </w:tc>
        <w:tc>
          <w:tcPr>
            <w:tcW w:w="2277" w:type="dxa"/>
            <w:vAlign w:val="center"/>
          </w:tcPr>
          <w:p w14:paraId="109D83B9" w14:textId="1C3F68DD" w:rsidR="00BB0FA1" w:rsidRPr="00E73781" w:rsidRDefault="00BB0FA1" w:rsidP="00BB0FA1">
            <w:pPr>
              <w:spacing w:line="240" w:lineRule="auto"/>
              <w:jc w:val="center"/>
              <w:rPr>
                <w:sz w:val="20"/>
                <w:szCs w:val="20"/>
              </w:rPr>
            </w:pPr>
            <w:r w:rsidRPr="00E73781">
              <w:rPr>
                <w:bCs/>
                <w:sz w:val="20"/>
                <w:szCs w:val="20"/>
              </w:rPr>
              <w:t>5,103</w:t>
            </w:r>
            <w:r w:rsidR="00E73781" w:rsidRPr="00E73781">
              <w:rPr>
                <w:rStyle w:val="FootnoteReference"/>
                <w:b/>
                <w:bCs/>
                <w:sz w:val="20"/>
                <w:szCs w:val="20"/>
              </w:rPr>
              <w:footnoteReference w:id="8"/>
            </w:r>
          </w:p>
        </w:tc>
        <w:tc>
          <w:tcPr>
            <w:tcW w:w="2686" w:type="dxa"/>
            <w:vAlign w:val="center"/>
          </w:tcPr>
          <w:p w14:paraId="17DB0DA6" w14:textId="3DF131DD" w:rsidR="00BB0FA1" w:rsidRPr="00E73781" w:rsidRDefault="00BB0FA1" w:rsidP="00BB0FA1">
            <w:pPr>
              <w:spacing w:line="240" w:lineRule="auto"/>
              <w:jc w:val="center"/>
              <w:rPr>
                <w:bCs/>
                <w:sz w:val="20"/>
                <w:szCs w:val="20"/>
              </w:rPr>
            </w:pPr>
            <w:r w:rsidRPr="00E73781">
              <w:rPr>
                <w:bCs/>
                <w:sz w:val="20"/>
                <w:szCs w:val="20"/>
              </w:rPr>
              <w:t>12.3%</w:t>
            </w:r>
          </w:p>
        </w:tc>
      </w:tr>
      <w:tr w:rsidR="00BB0FA1" w:rsidRPr="00061636" w14:paraId="0F9AB968" w14:textId="77777777" w:rsidTr="00F025BB">
        <w:trPr>
          <w:trHeight w:val="528"/>
        </w:trPr>
        <w:tc>
          <w:tcPr>
            <w:tcW w:w="4354" w:type="dxa"/>
            <w:vAlign w:val="center"/>
          </w:tcPr>
          <w:p w14:paraId="1D433B19" w14:textId="67F9B432" w:rsidR="00BB0FA1" w:rsidRPr="00BB0FA1" w:rsidRDefault="00BB0FA1" w:rsidP="00BB0FA1">
            <w:pPr>
              <w:spacing w:line="240" w:lineRule="auto"/>
              <w:jc w:val="left"/>
              <w:rPr>
                <w:sz w:val="20"/>
                <w:szCs w:val="20"/>
              </w:rPr>
            </w:pPr>
            <w:r w:rsidRPr="00BB0FA1">
              <w:rPr>
                <w:sz w:val="20"/>
                <w:szCs w:val="20"/>
              </w:rPr>
              <w:t>Greenpeace Energy [R]evolution (2015) – Energy Revolution Scenario</w:t>
            </w:r>
          </w:p>
        </w:tc>
        <w:tc>
          <w:tcPr>
            <w:tcW w:w="2277" w:type="dxa"/>
            <w:vAlign w:val="center"/>
          </w:tcPr>
          <w:p w14:paraId="46C7A9AB" w14:textId="71FFD98C" w:rsidR="00BB0FA1" w:rsidRPr="00BB0FA1" w:rsidRDefault="00BB0FA1" w:rsidP="00BB0FA1">
            <w:pPr>
              <w:spacing w:line="240" w:lineRule="auto"/>
              <w:jc w:val="center"/>
              <w:rPr>
                <w:bCs/>
                <w:sz w:val="20"/>
                <w:szCs w:val="20"/>
              </w:rPr>
            </w:pPr>
            <w:r w:rsidRPr="00BB0FA1">
              <w:rPr>
                <w:bCs/>
                <w:sz w:val="20"/>
                <w:szCs w:val="20"/>
              </w:rPr>
              <w:t>9,914</w:t>
            </w:r>
            <w:r w:rsidRPr="00BB0FA1">
              <w:rPr>
                <w:b/>
                <w:bCs/>
                <w:sz w:val="20"/>
                <w:szCs w:val="20"/>
                <w:vertAlign w:val="superscript"/>
              </w:rPr>
              <w:t>8</w:t>
            </w:r>
          </w:p>
        </w:tc>
        <w:tc>
          <w:tcPr>
            <w:tcW w:w="2686" w:type="dxa"/>
            <w:vAlign w:val="center"/>
          </w:tcPr>
          <w:p w14:paraId="496E1576" w14:textId="0FFBCFFB" w:rsidR="00BB0FA1" w:rsidRPr="00BB0FA1" w:rsidRDefault="00BB0FA1" w:rsidP="00BB0FA1">
            <w:pPr>
              <w:spacing w:line="240" w:lineRule="auto"/>
              <w:jc w:val="center"/>
              <w:rPr>
                <w:bCs/>
                <w:sz w:val="20"/>
                <w:szCs w:val="20"/>
              </w:rPr>
            </w:pPr>
            <w:r w:rsidRPr="00BB0FA1">
              <w:rPr>
                <w:bCs/>
                <w:sz w:val="20"/>
                <w:szCs w:val="20"/>
              </w:rPr>
              <w:t>19.9%</w:t>
            </w:r>
          </w:p>
        </w:tc>
      </w:tr>
      <w:tr w:rsidR="00BB0FA1" w:rsidRPr="00061636" w14:paraId="0C532171" w14:textId="77777777" w:rsidTr="00F025BB">
        <w:trPr>
          <w:trHeight w:val="626"/>
        </w:trPr>
        <w:tc>
          <w:tcPr>
            <w:tcW w:w="4354" w:type="dxa"/>
            <w:vAlign w:val="center"/>
          </w:tcPr>
          <w:p w14:paraId="3DC7800E" w14:textId="762F881A" w:rsidR="00BB0FA1" w:rsidRPr="00BB0FA1" w:rsidRDefault="00BB0FA1" w:rsidP="00BB0FA1">
            <w:pPr>
              <w:spacing w:line="240" w:lineRule="auto"/>
              <w:jc w:val="left"/>
              <w:rPr>
                <w:sz w:val="20"/>
                <w:szCs w:val="20"/>
              </w:rPr>
            </w:pPr>
            <w:r w:rsidRPr="00BB0FA1">
              <w:rPr>
                <w:sz w:val="20"/>
                <w:szCs w:val="20"/>
              </w:rPr>
              <w:t>Greenpeace Energy [R]evolution (2015) – Advanced Energy Revolution Scenario</w:t>
            </w:r>
          </w:p>
        </w:tc>
        <w:tc>
          <w:tcPr>
            <w:tcW w:w="2277" w:type="dxa"/>
            <w:vAlign w:val="center"/>
          </w:tcPr>
          <w:p w14:paraId="3F8D9655" w14:textId="7F49C4AB" w:rsidR="00BB0FA1" w:rsidRPr="00BB0FA1" w:rsidRDefault="00BB0FA1" w:rsidP="00BB0FA1">
            <w:pPr>
              <w:spacing w:line="240" w:lineRule="auto"/>
              <w:jc w:val="center"/>
              <w:rPr>
                <w:bCs/>
                <w:sz w:val="20"/>
                <w:szCs w:val="20"/>
              </w:rPr>
            </w:pPr>
            <w:r w:rsidRPr="00BB0FA1">
              <w:rPr>
                <w:bCs/>
                <w:sz w:val="20"/>
                <w:szCs w:val="20"/>
              </w:rPr>
              <w:t>13,613</w:t>
            </w:r>
            <w:r w:rsidRPr="00BB0FA1">
              <w:rPr>
                <w:b/>
                <w:bCs/>
                <w:sz w:val="20"/>
                <w:szCs w:val="20"/>
                <w:vertAlign w:val="superscript"/>
              </w:rPr>
              <w:t>8</w:t>
            </w:r>
          </w:p>
        </w:tc>
        <w:tc>
          <w:tcPr>
            <w:tcW w:w="2686" w:type="dxa"/>
            <w:vAlign w:val="center"/>
          </w:tcPr>
          <w:p w14:paraId="14B27531" w14:textId="4A66926B" w:rsidR="00BB0FA1" w:rsidRPr="00BB0FA1" w:rsidRDefault="00BB0FA1" w:rsidP="00BB0FA1">
            <w:pPr>
              <w:spacing w:line="240" w:lineRule="auto"/>
              <w:jc w:val="center"/>
              <w:rPr>
                <w:bCs/>
                <w:sz w:val="20"/>
                <w:szCs w:val="20"/>
              </w:rPr>
            </w:pPr>
            <w:r w:rsidRPr="00BB0FA1">
              <w:rPr>
                <w:bCs/>
                <w:sz w:val="20"/>
                <w:szCs w:val="20"/>
              </w:rPr>
              <w:t>20.2%</w:t>
            </w:r>
          </w:p>
        </w:tc>
      </w:tr>
      <w:tr w:rsidR="00BB0FA1" w:rsidRPr="00061636" w14:paraId="02ABF703" w14:textId="77777777" w:rsidTr="00F025BB">
        <w:trPr>
          <w:trHeight w:val="327"/>
        </w:trPr>
        <w:tc>
          <w:tcPr>
            <w:tcW w:w="4354" w:type="dxa"/>
            <w:vAlign w:val="center"/>
          </w:tcPr>
          <w:p w14:paraId="079B1C03" w14:textId="5864865D" w:rsidR="00BB0FA1" w:rsidRPr="00BB0FA1" w:rsidRDefault="00BB0FA1" w:rsidP="00BB0FA1">
            <w:pPr>
              <w:spacing w:line="240" w:lineRule="auto"/>
              <w:jc w:val="left"/>
              <w:rPr>
                <w:sz w:val="20"/>
                <w:szCs w:val="20"/>
              </w:rPr>
            </w:pPr>
            <w:r w:rsidRPr="00BB0FA1">
              <w:rPr>
                <w:rFonts w:cs="Times New Roman"/>
                <w:sz w:val="20"/>
                <w:szCs w:val="20"/>
              </w:rPr>
              <w:t xml:space="preserve">IEA </w:t>
            </w:r>
            <w:r w:rsidRPr="00BB0FA1">
              <w:rPr>
                <w:bCs/>
                <w:sz w:val="20"/>
                <w:szCs w:val="20"/>
              </w:rPr>
              <w:t>World Energy Outlook (</w:t>
            </w:r>
            <w:r w:rsidRPr="00BB0FA1">
              <w:rPr>
                <w:rFonts w:cs="Times New Roman"/>
                <w:sz w:val="20"/>
                <w:szCs w:val="20"/>
              </w:rPr>
              <w:t xml:space="preserve">2018) - Sustainable Development Scenario </w:t>
            </w:r>
          </w:p>
        </w:tc>
        <w:tc>
          <w:tcPr>
            <w:tcW w:w="2277" w:type="dxa"/>
            <w:vAlign w:val="center"/>
          </w:tcPr>
          <w:p w14:paraId="648E59E8" w14:textId="4C0ADB37" w:rsidR="00BB0FA1" w:rsidRPr="00BB0FA1" w:rsidRDefault="00BB0FA1" w:rsidP="00BB0FA1">
            <w:pPr>
              <w:spacing w:line="240" w:lineRule="auto"/>
              <w:jc w:val="center"/>
              <w:rPr>
                <w:bCs/>
                <w:sz w:val="20"/>
                <w:szCs w:val="20"/>
              </w:rPr>
            </w:pPr>
            <w:r w:rsidRPr="00BB0FA1">
              <w:rPr>
                <w:bCs/>
                <w:sz w:val="20"/>
                <w:szCs w:val="20"/>
              </w:rPr>
              <w:t>5,631</w:t>
            </w:r>
            <w:r w:rsidRPr="00BB0FA1">
              <w:rPr>
                <w:b/>
                <w:bCs/>
                <w:sz w:val="20"/>
                <w:szCs w:val="20"/>
                <w:vertAlign w:val="superscript"/>
              </w:rPr>
              <w:t>8</w:t>
            </w:r>
          </w:p>
        </w:tc>
        <w:tc>
          <w:tcPr>
            <w:tcW w:w="2686" w:type="dxa"/>
            <w:vAlign w:val="center"/>
          </w:tcPr>
          <w:p w14:paraId="441C09AC" w14:textId="52F2AA8E" w:rsidR="00BB0FA1" w:rsidRPr="00BB0FA1" w:rsidRDefault="00BB0FA1" w:rsidP="00BB0FA1">
            <w:pPr>
              <w:spacing w:line="240" w:lineRule="auto"/>
              <w:jc w:val="center"/>
              <w:rPr>
                <w:bCs/>
                <w:sz w:val="20"/>
                <w:szCs w:val="20"/>
              </w:rPr>
            </w:pPr>
            <w:r w:rsidRPr="00BB0FA1">
              <w:rPr>
                <w:bCs/>
                <w:sz w:val="20"/>
                <w:szCs w:val="20"/>
              </w:rPr>
              <w:t>11.0%</w:t>
            </w:r>
          </w:p>
        </w:tc>
      </w:tr>
      <w:tr w:rsidR="00BB0FA1" w:rsidRPr="00061636" w14:paraId="2174E9C8" w14:textId="77777777" w:rsidTr="00F025BB">
        <w:trPr>
          <w:trHeight w:val="563"/>
        </w:trPr>
        <w:tc>
          <w:tcPr>
            <w:tcW w:w="4354" w:type="dxa"/>
            <w:vAlign w:val="center"/>
          </w:tcPr>
          <w:p w14:paraId="7EE33C08" w14:textId="22E5E68F" w:rsidR="00BB0FA1" w:rsidRPr="00BB0FA1" w:rsidRDefault="00BB0FA1" w:rsidP="00BB0FA1">
            <w:pPr>
              <w:spacing w:line="240" w:lineRule="auto"/>
              <w:jc w:val="left"/>
              <w:rPr>
                <w:sz w:val="20"/>
                <w:szCs w:val="20"/>
              </w:rPr>
            </w:pPr>
            <w:r w:rsidRPr="00BB0FA1">
              <w:rPr>
                <w:rFonts w:cs="Times New Roman"/>
                <w:sz w:val="20"/>
                <w:szCs w:val="20"/>
              </w:rPr>
              <w:t>IRENA</w:t>
            </w:r>
            <w:r w:rsidR="00B26522">
              <w:rPr>
                <w:rFonts w:cs="Times New Roman"/>
                <w:sz w:val="20"/>
                <w:szCs w:val="20"/>
              </w:rPr>
              <w:t xml:space="preserve"> (2017)</w:t>
            </w:r>
            <w:r w:rsidRPr="00BB0FA1">
              <w:rPr>
                <w:rFonts w:cs="Times New Roman"/>
                <w:sz w:val="20"/>
                <w:szCs w:val="20"/>
              </w:rPr>
              <w:t xml:space="preserve"> Roadmap-2050, </w:t>
            </w:r>
            <w:proofErr w:type="spellStart"/>
            <w:r w:rsidRPr="00BB0FA1">
              <w:rPr>
                <w:rFonts w:cs="Times New Roman"/>
                <w:sz w:val="20"/>
                <w:szCs w:val="20"/>
              </w:rPr>
              <w:t>REmap</w:t>
            </w:r>
            <w:proofErr w:type="spellEnd"/>
            <w:r w:rsidRPr="00BB0FA1">
              <w:rPr>
                <w:rFonts w:cs="Times New Roman"/>
                <w:sz w:val="20"/>
                <w:szCs w:val="20"/>
              </w:rPr>
              <w:t xml:space="preserve"> Case</w:t>
            </w:r>
          </w:p>
        </w:tc>
        <w:tc>
          <w:tcPr>
            <w:tcW w:w="2277" w:type="dxa"/>
            <w:vAlign w:val="center"/>
          </w:tcPr>
          <w:p w14:paraId="6E82F571" w14:textId="37600397" w:rsidR="00BB0FA1" w:rsidRPr="00BB0FA1" w:rsidRDefault="00BB0FA1" w:rsidP="00BB0FA1">
            <w:pPr>
              <w:spacing w:line="240" w:lineRule="auto"/>
              <w:jc w:val="center"/>
              <w:rPr>
                <w:bCs/>
                <w:sz w:val="20"/>
                <w:szCs w:val="20"/>
              </w:rPr>
            </w:pPr>
            <w:r w:rsidRPr="00BB0FA1">
              <w:rPr>
                <w:bCs/>
                <w:sz w:val="20"/>
                <w:szCs w:val="20"/>
              </w:rPr>
              <w:t>5,845</w:t>
            </w:r>
            <w:r w:rsidR="00E73781" w:rsidRPr="00E73781">
              <w:rPr>
                <w:vertAlign w:val="superscript"/>
              </w:rPr>
              <w:t>8</w:t>
            </w:r>
          </w:p>
        </w:tc>
        <w:tc>
          <w:tcPr>
            <w:tcW w:w="2686" w:type="dxa"/>
            <w:vAlign w:val="center"/>
          </w:tcPr>
          <w:p w14:paraId="310ED7AE" w14:textId="3CDC2093" w:rsidR="00BB0FA1" w:rsidRPr="00BB0FA1" w:rsidRDefault="00BB0FA1" w:rsidP="00BB0FA1">
            <w:pPr>
              <w:spacing w:line="240" w:lineRule="auto"/>
              <w:jc w:val="center"/>
              <w:rPr>
                <w:bCs/>
                <w:sz w:val="20"/>
                <w:szCs w:val="20"/>
              </w:rPr>
            </w:pPr>
            <w:r w:rsidRPr="00BB0FA1">
              <w:rPr>
                <w:bCs/>
                <w:sz w:val="20"/>
                <w:szCs w:val="20"/>
              </w:rPr>
              <w:t>14.1%</w:t>
            </w:r>
          </w:p>
        </w:tc>
      </w:tr>
      <w:tr w:rsidR="00BB0FA1" w:rsidRPr="00061636" w14:paraId="51693B3C" w14:textId="77777777" w:rsidTr="00F025BB">
        <w:trPr>
          <w:trHeight w:val="327"/>
        </w:trPr>
        <w:tc>
          <w:tcPr>
            <w:tcW w:w="4354" w:type="dxa"/>
            <w:vAlign w:val="center"/>
          </w:tcPr>
          <w:p w14:paraId="1D3960A5" w14:textId="02C2B27A" w:rsidR="00BB0FA1" w:rsidRPr="00BB0FA1" w:rsidRDefault="00BB0FA1" w:rsidP="00BB0FA1">
            <w:pPr>
              <w:spacing w:line="240" w:lineRule="auto"/>
              <w:jc w:val="left"/>
              <w:rPr>
                <w:sz w:val="20"/>
                <w:szCs w:val="20"/>
              </w:rPr>
            </w:pPr>
            <w:r w:rsidRPr="00BB0FA1">
              <w:rPr>
                <w:rFonts w:cs="Times New Roman"/>
                <w:sz w:val="20"/>
                <w:szCs w:val="20"/>
              </w:rPr>
              <w:t>Ram</w:t>
            </w:r>
            <w:r w:rsidR="00B26522">
              <w:rPr>
                <w:rFonts w:cs="Times New Roman"/>
                <w:sz w:val="20"/>
                <w:szCs w:val="20"/>
              </w:rPr>
              <w:t xml:space="preserve"> et al.</w:t>
            </w:r>
            <w:r w:rsidRPr="00BB0FA1">
              <w:rPr>
                <w:rFonts w:cs="Times New Roman"/>
                <w:sz w:val="20"/>
                <w:szCs w:val="20"/>
              </w:rPr>
              <w:t xml:space="preserve"> (2017) - 100% RE Scenario</w:t>
            </w:r>
          </w:p>
        </w:tc>
        <w:tc>
          <w:tcPr>
            <w:tcW w:w="2277" w:type="dxa"/>
            <w:vAlign w:val="center"/>
          </w:tcPr>
          <w:p w14:paraId="3D3D5C41" w14:textId="0AD472D7" w:rsidR="00BB0FA1" w:rsidRPr="00BB0FA1" w:rsidRDefault="00BB0FA1" w:rsidP="00BB0FA1">
            <w:pPr>
              <w:spacing w:line="240" w:lineRule="auto"/>
              <w:jc w:val="center"/>
              <w:rPr>
                <w:bCs/>
                <w:sz w:val="20"/>
                <w:szCs w:val="20"/>
              </w:rPr>
            </w:pPr>
            <w:r w:rsidRPr="00BB0FA1">
              <w:rPr>
                <w:sz w:val="20"/>
                <w:szCs w:val="20"/>
              </w:rPr>
              <w:t>26,217</w:t>
            </w:r>
            <w:r w:rsidR="00E73781" w:rsidRPr="00E73781">
              <w:rPr>
                <w:sz w:val="20"/>
                <w:szCs w:val="20"/>
                <w:vertAlign w:val="superscript"/>
              </w:rPr>
              <w:t>7</w:t>
            </w:r>
          </w:p>
        </w:tc>
        <w:tc>
          <w:tcPr>
            <w:tcW w:w="2686" w:type="dxa"/>
            <w:vAlign w:val="center"/>
          </w:tcPr>
          <w:p w14:paraId="7608F9EF" w14:textId="33D7FFE2" w:rsidR="00BB0FA1" w:rsidRPr="00BB0FA1" w:rsidRDefault="00BB0FA1" w:rsidP="00BB0FA1">
            <w:pPr>
              <w:spacing w:line="240" w:lineRule="auto"/>
              <w:jc w:val="center"/>
              <w:rPr>
                <w:bCs/>
                <w:sz w:val="20"/>
                <w:szCs w:val="20"/>
              </w:rPr>
            </w:pPr>
            <w:r w:rsidRPr="00BB0FA1">
              <w:rPr>
                <w:bCs/>
                <w:sz w:val="20"/>
                <w:szCs w:val="20"/>
              </w:rPr>
              <w:t>47.3%</w:t>
            </w:r>
          </w:p>
        </w:tc>
      </w:tr>
    </w:tbl>
    <w:p w14:paraId="471468B0" w14:textId="77777777" w:rsidR="00E73781" w:rsidRDefault="00E73781">
      <w:pPr>
        <w:spacing w:after="160" w:line="259" w:lineRule="auto"/>
        <w:jc w:val="left"/>
        <w:rPr>
          <w:rFonts w:asciiTheme="majorHAnsi" w:eastAsiaTheme="majorEastAsia" w:hAnsiTheme="majorHAnsi" w:cs="Times New Roman (Headings CS)"/>
          <w:b/>
          <w:bCs/>
          <w:smallCaps/>
          <w:color w:val="4F81BD" w:themeColor="accent1"/>
          <w:sz w:val="36"/>
          <w:szCs w:val="36"/>
        </w:rPr>
      </w:pPr>
      <w:bookmarkStart w:id="72" w:name="_Toc10331929"/>
      <w:r>
        <w:br w:type="page"/>
      </w:r>
    </w:p>
    <w:p w14:paraId="7454D80C" w14:textId="4DBF8314" w:rsidR="00434F61" w:rsidRDefault="551A77D0" w:rsidP="004A2866">
      <w:pPr>
        <w:pStyle w:val="Heading1"/>
      </w:pPr>
      <w:r w:rsidRPr="00061636">
        <w:lastRenderedPageBreak/>
        <w:t>References</w:t>
      </w:r>
      <w:bookmarkEnd w:id="72"/>
    </w:p>
    <w:p w14:paraId="0B7C555A" w14:textId="77777777" w:rsidR="006B01C8" w:rsidRPr="00F025BB" w:rsidRDefault="006B01C8" w:rsidP="00F025BB">
      <w:pPr>
        <w:tabs>
          <w:tab w:val="left" w:pos="3775"/>
        </w:tabs>
      </w:pPr>
      <w:proofErr w:type="spellStart"/>
      <w:r w:rsidRPr="0021252A">
        <w:rPr>
          <w:rFonts w:cs="Times New Roman"/>
        </w:rPr>
        <w:t>Aguado-Monsonet</w:t>
      </w:r>
      <w:proofErr w:type="spellEnd"/>
      <w:r w:rsidRPr="0021252A">
        <w:rPr>
          <w:rFonts w:cs="Times New Roman"/>
        </w:rPr>
        <w:t xml:space="preserve"> (1998). </w:t>
      </w:r>
      <w:r w:rsidRPr="00805F29">
        <w:rPr>
          <w:rFonts w:cs="Times New Roman"/>
          <w:i/>
        </w:rPr>
        <w:t>The environmental impact of photovoltaic technology</w:t>
      </w:r>
      <w:r w:rsidRPr="0021252A">
        <w:rPr>
          <w:rFonts w:cs="Times New Roman"/>
        </w:rPr>
        <w:t>. Institute for Prospective Technological Studies. European Commission, Joint Research Centre. Seville.</w:t>
      </w:r>
    </w:p>
    <w:p w14:paraId="3BE318BD" w14:textId="38BA59B0" w:rsidR="006B01C8" w:rsidRPr="0021252A" w:rsidRDefault="006B01C8" w:rsidP="007C5C1A">
      <w:pPr>
        <w:ind w:right="340"/>
        <w:rPr>
          <w:rFonts w:cs="Times New Roman"/>
        </w:rPr>
      </w:pPr>
      <w:proofErr w:type="spellStart"/>
      <w:r w:rsidRPr="0021252A">
        <w:rPr>
          <w:rFonts w:cs="Times New Roman"/>
        </w:rPr>
        <w:t>Alsema</w:t>
      </w:r>
      <w:proofErr w:type="spellEnd"/>
      <w:r w:rsidRPr="0021252A">
        <w:rPr>
          <w:rFonts w:cs="Times New Roman"/>
        </w:rPr>
        <w:t>, E.A. &amp; Wild-Scholten, M.J.de.</w:t>
      </w:r>
      <w:r>
        <w:rPr>
          <w:rFonts w:cs="Times New Roman"/>
        </w:rPr>
        <w:t xml:space="preserve"> </w:t>
      </w:r>
      <w:r w:rsidRPr="0021252A">
        <w:rPr>
          <w:rFonts w:cs="Times New Roman"/>
        </w:rPr>
        <w:t xml:space="preserve">(2011). </w:t>
      </w:r>
      <w:r w:rsidRPr="00805F29">
        <w:rPr>
          <w:rFonts w:cs="Times New Roman"/>
          <w:i/>
        </w:rPr>
        <w:t>Environmental Impact of Crystalline Silicon Photovoltaic Module Production.</w:t>
      </w:r>
      <w:r w:rsidRPr="0021252A">
        <w:rPr>
          <w:rFonts w:cs="Times New Roman"/>
        </w:rPr>
        <w:t xml:space="preserve"> Symposium G – Life-Cycle Analysis Tools for “Green” Materials and Process Selection) (p - 895). Materials Research Society. Retrieved from: https://www.cambridge.org/core/journals/mrs-online-proceedings-library-archive/article/environmental-impact-of-crystalline-silicon-photovoltaic-module-production/7BF7B20468FD82E6DEEF6EE986FB5BF4</w:t>
      </w:r>
    </w:p>
    <w:p w14:paraId="1238E999" w14:textId="3BCC4682" w:rsidR="006B01C8" w:rsidRPr="0021252A" w:rsidRDefault="006B01C8" w:rsidP="007C5C1A">
      <w:pPr>
        <w:ind w:right="340"/>
        <w:rPr>
          <w:rFonts w:cs="Times New Roman"/>
        </w:rPr>
      </w:pPr>
      <w:proofErr w:type="spellStart"/>
      <w:r w:rsidRPr="0021252A">
        <w:rPr>
          <w:rFonts w:cs="Times New Roman"/>
        </w:rPr>
        <w:t>Alsema,E.A</w:t>
      </w:r>
      <w:proofErr w:type="spellEnd"/>
      <w:r w:rsidRPr="0021252A">
        <w:rPr>
          <w:rFonts w:cs="Times New Roman"/>
        </w:rPr>
        <w:t>., Wild-</w:t>
      </w:r>
      <w:proofErr w:type="spellStart"/>
      <w:r w:rsidRPr="0021252A">
        <w:rPr>
          <w:rFonts w:cs="Times New Roman"/>
        </w:rPr>
        <w:t>Schloten</w:t>
      </w:r>
      <w:proofErr w:type="spellEnd"/>
      <w:r w:rsidRPr="0021252A">
        <w:rPr>
          <w:rFonts w:cs="Times New Roman"/>
        </w:rPr>
        <w:t xml:space="preserve">, M.J.de., </w:t>
      </w:r>
      <w:proofErr w:type="spellStart"/>
      <w:r w:rsidRPr="0021252A">
        <w:rPr>
          <w:rFonts w:cs="Times New Roman"/>
        </w:rPr>
        <w:t>Fthenakis</w:t>
      </w:r>
      <w:proofErr w:type="spellEnd"/>
      <w:r w:rsidRPr="0021252A">
        <w:rPr>
          <w:rFonts w:cs="Times New Roman"/>
        </w:rPr>
        <w:t xml:space="preserve">, V.M., </w:t>
      </w:r>
      <w:proofErr w:type="spellStart"/>
      <w:r w:rsidRPr="0021252A">
        <w:rPr>
          <w:rFonts w:cs="Times New Roman"/>
        </w:rPr>
        <w:t>Agostinelli</w:t>
      </w:r>
      <w:proofErr w:type="spellEnd"/>
      <w:r w:rsidRPr="0021252A">
        <w:rPr>
          <w:rFonts w:cs="Times New Roman"/>
        </w:rPr>
        <w:t>, G.,</w:t>
      </w:r>
      <w:proofErr w:type="spellStart"/>
      <w:r w:rsidRPr="0021252A">
        <w:rPr>
          <w:rFonts w:cs="Times New Roman"/>
        </w:rPr>
        <w:t>Dekkers</w:t>
      </w:r>
      <w:proofErr w:type="spellEnd"/>
      <w:r w:rsidRPr="0021252A">
        <w:rPr>
          <w:rFonts w:cs="Times New Roman"/>
        </w:rPr>
        <w:t xml:space="preserve">, H., Roth, K. &amp; </w:t>
      </w:r>
      <w:proofErr w:type="spellStart"/>
      <w:r w:rsidRPr="0021252A">
        <w:rPr>
          <w:rFonts w:cs="Times New Roman"/>
        </w:rPr>
        <w:t>Kinzig</w:t>
      </w:r>
      <w:proofErr w:type="spellEnd"/>
      <w:r w:rsidRPr="0021252A">
        <w:rPr>
          <w:rFonts w:cs="Times New Roman"/>
        </w:rPr>
        <w:t xml:space="preserve">. (2007). </w:t>
      </w:r>
      <w:r w:rsidRPr="00805F29">
        <w:rPr>
          <w:rFonts w:cs="Times New Roman"/>
          <w:i/>
        </w:rPr>
        <w:t>Fluorinated Greenhouse Gases in Photovoltaic Module Manufacturing: Potential Emissions and Abatement Strategies</w:t>
      </w:r>
      <w:r w:rsidRPr="0021252A">
        <w:rPr>
          <w:rFonts w:cs="Times New Roman"/>
        </w:rPr>
        <w:t xml:space="preserve">. 22nd European Photovoltaic Solar Energy Conference. Milan. </w:t>
      </w:r>
      <w:r w:rsidR="00E43DF0" w:rsidRPr="0021252A">
        <w:rPr>
          <w:rFonts w:cs="Times New Roman"/>
        </w:rPr>
        <w:t>Retrieved</w:t>
      </w:r>
      <w:r w:rsidRPr="0021252A">
        <w:rPr>
          <w:rFonts w:cs="Times New Roman"/>
        </w:rPr>
        <w:t xml:space="preserve"> from: http://www.clca.columbia.edu/papers/deWild%20etal%20-%20paper%20EPVSEC22%20Milano%20-%2020070830%20MdW.pdf</w:t>
      </w:r>
    </w:p>
    <w:p w14:paraId="2C664B61" w14:textId="77777777" w:rsidR="006B01C8" w:rsidRPr="0021252A" w:rsidRDefault="006B01C8" w:rsidP="007C5C1A">
      <w:pPr>
        <w:ind w:right="340"/>
        <w:rPr>
          <w:rFonts w:cs="Times New Roman"/>
        </w:rPr>
      </w:pPr>
      <w:r w:rsidRPr="00F025BB">
        <w:rPr>
          <w:rFonts w:cs="Times New Roman"/>
          <w:lang w:val="pt-PT"/>
        </w:rPr>
        <w:t xml:space="preserve">AMPERE. (2014). </w:t>
      </w:r>
      <w:r w:rsidRPr="00F025BB">
        <w:rPr>
          <w:rFonts w:cs="Times New Roman"/>
          <w:i/>
          <w:lang w:val="pt-PT"/>
        </w:rPr>
        <w:t xml:space="preserve">AMPERE </w:t>
      </w:r>
      <w:proofErr w:type="spellStart"/>
      <w:r w:rsidRPr="00F025BB">
        <w:rPr>
          <w:rFonts w:cs="Times New Roman"/>
          <w:i/>
          <w:lang w:val="pt-PT"/>
        </w:rPr>
        <w:t>Database</w:t>
      </w:r>
      <w:proofErr w:type="spellEnd"/>
      <w:r w:rsidRPr="00F025BB">
        <w:rPr>
          <w:rFonts w:cs="Times New Roman"/>
          <w:i/>
          <w:lang w:val="pt-PT"/>
        </w:rPr>
        <w:t xml:space="preserve">, </w:t>
      </w:r>
      <w:proofErr w:type="spellStart"/>
      <w:r w:rsidRPr="00F025BB">
        <w:rPr>
          <w:rFonts w:cs="Times New Roman"/>
          <w:i/>
          <w:lang w:val="pt-PT"/>
        </w:rPr>
        <w:t>Regions</w:t>
      </w:r>
      <w:proofErr w:type="spellEnd"/>
      <w:r w:rsidRPr="00F025BB">
        <w:rPr>
          <w:rFonts w:cs="Times New Roman"/>
          <w:i/>
          <w:lang w:val="pt-PT"/>
        </w:rPr>
        <w:t xml:space="preserve"> </w:t>
      </w:r>
      <w:proofErr w:type="spellStart"/>
      <w:r w:rsidRPr="00F025BB">
        <w:rPr>
          <w:rFonts w:cs="Times New Roman"/>
          <w:i/>
          <w:lang w:val="pt-PT"/>
        </w:rPr>
        <w:t>Definitions</w:t>
      </w:r>
      <w:proofErr w:type="spellEnd"/>
      <w:r w:rsidRPr="00F025BB">
        <w:rPr>
          <w:rFonts w:cs="Times New Roman"/>
          <w:i/>
          <w:lang w:val="pt-PT"/>
        </w:rPr>
        <w:t>, EU FP7</w:t>
      </w:r>
      <w:r w:rsidRPr="00F025BB">
        <w:rPr>
          <w:rFonts w:cs="Times New Roman"/>
          <w:lang w:val="pt-PT"/>
        </w:rPr>
        <w:t xml:space="preserve">. </w:t>
      </w:r>
      <w:r w:rsidRPr="0021252A">
        <w:rPr>
          <w:rFonts w:cs="Times New Roman"/>
        </w:rPr>
        <w:t>AMPERE Project. Retrieved from: https://secure.iiasa.ac.at/web-apps/ene/AMPEREDB/dsd?Action=htmlpage&amp;page=about#regiondefs</w:t>
      </w:r>
    </w:p>
    <w:p w14:paraId="6B6695F0" w14:textId="77777777" w:rsidR="006B01C8" w:rsidRPr="0021252A" w:rsidRDefault="006B01C8" w:rsidP="007C5C1A">
      <w:pPr>
        <w:ind w:right="340"/>
        <w:rPr>
          <w:rFonts w:cs="Times New Roman"/>
        </w:rPr>
      </w:pPr>
      <w:r w:rsidRPr="0021252A">
        <w:rPr>
          <w:rFonts w:cs="Times New Roman"/>
        </w:rPr>
        <w:t>Black &amp; Veatch. (2012</w:t>
      </w:r>
      <w:r w:rsidRPr="0021252A">
        <w:rPr>
          <w:rFonts w:cs="Times New Roman"/>
          <w:i/>
        </w:rPr>
        <w:t>). Cost and Performance Data for Power Generation Technologies</w:t>
      </w:r>
      <w:r w:rsidRPr="0021252A">
        <w:rPr>
          <w:rFonts w:cs="Times New Roman"/>
        </w:rPr>
        <w:t>. Prepared for the National Renewable Energy Laboratory. Black &amp; Veatch Holding Company. Retrieved from https://www.bv.com/docs/reports-studies/nrel-cost-report.pdf</w:t>
      </w:r>
    </w:p>
    <w:p w14:paraId="5992FFE3" w14:textId="7F787E7F" w:rsidR="006B01C8" w:rsidRPr="0021252A" w:rsidRDefault="006B01C8" w:rsidP="007C5C1A">
      <w:pPr>
        <w:ind w:right="340"/>
        <w:rPr>
          <w:rFonts w:cs="Times New Roman"/>
        </w:rPr>
      </w:pPr>
      <w:r w:rsidRPr="0021252A">
        <w:rPr>
          <w:rFonts w:cs="Times New Roman"/>
        </w:rPr>
        <w:t xml:space="preserve">Blok, K., </w:t>
      </w:r>
      <w:proofErr w:type="spellStart"/>
      <w:r w:rsidRPr="0021252A">
        <w:rPr>
          <w:rFonts w:cs="Times New Roman"/>
        </w:rPr>
        <w:t>Exter</w:t>
      </w:r>
      <w:proofErr w:type="spellEnd"/>
      <w:r w:rsidRPr="0021252A">
        <w:rPr>
          <w:rFonts w:cs="Times New Roman"/>
        </w:rPr>
        <w:t xml:space="preserve">, </w:t>
      </w:r>
      <w:proofErr w:type="spellStart"/>
      <w:r w:rsidRPr="0021252A">
        <w:rPr>
          <w:rFonts w:cs="Times New Roman"/>
        </w:rPr>
        <w:t>P.v</w:t>
      </w:r>
      <w:proofErr w:type="spellEnd"/>
      <w:r w:rsidRPr="0021252A">
        <w:rPr>
          <w:rFonts w:cs="Times New Roman"/>
        </w:rPr>
        <w:t xml:space="preserve">. &amp; </w:t>
      </w:r>
      <w:proofErr w:type="spellStart"/>
      <w:r w:rsidRPr="0021252A">
        <w:rPr>
          <w:rFonts w:cs="Times New Roman"/>
        </w:rPr>
        <w:t>Terlouw</w:t>
      </w:r>
      <w:proofErr w:type="spellEnd"/>
      <w:r w:rsidRPr="0021252A">
        <w:rPr>
          <w:rFonts w:cs="Times New Roman"/>
        </w:rPr>
        <w:t xml:space="preserve">, W. (2018). </w:t>
      </w:r>
      <w:r w:rsidRPr="0021252A">
        <w:rPr>
          <w:rFonts w:cs="Times New Roman"/>
          <w:i/>
        </w:rPr>
        <w:t>Energy Transition within 1.5º</w:t>
      </w:r>
      <w:r w:rsidR="00E43DF0">
        <w:rPr>
          <w:rFonts w:cs="Times New Roman"/>
          <w:i/>
        </w:rPr>
        <w:t>C</w:t>
      </w:r>
      <w:r w:rsidRPr="0021252A">
        <w:rPr>
          <w:rFonts w:cs="Times New Roman"/>
          <w:i/>
        </w:rPr>
        <w:t xml:space="preserve">: A disruptive approach to 100% </w:t>
      </w:r>
      <w:proofErr w:type="spellStart"/>
      <w:r w:rsidRPr="0021252A">
        <w:rPr>
          <w:rFonts w:cs="Times New Roman"/>
          <w:i/>
        </w:rPr>
        <w:t>decarbonisation</w:t>
      </w:r>
      <w:proofErr w:type="spellEnd"/>
      <w:r w:rsidRPr="0021252A">
        <w:rPr>
          <w:rFonts w:cs="Times New Roman"/>
          <w:i/>
        </w:rPr>
        <w:t xml:space="preserve"> of the global energy system by 2050</w:t>
      </w:r>
      <w:r w:rsidRPr="0021252A">
        <w:rPr>
          <w:rFonts w:cs="Times New Roman"/>
        </w:rPr>
        <w:t xml:space="preserve">. Utrecht: </w:t>
      </w:r>
      <w:proofErr w:type="spellStart"/>
      <w:r w:rsidRPr="0021252A">
        <w:rPr>
          <w:rFonts w:cs="Times New Roman"/>
        </w:rPr>
        <w:t>Ecofys</w:t>
      </w:r>
      <w:proofErr w:type="spellEnd"/>
    </w:p>
    <w:p w14:paraId="776F9049" w14:textId="77777777" w:rsidR="006B01C8" w:rsidRPr="0021252A" w:rsidRDefault="006B01C8" w:rsidP="007C5C1A">
      <w:pPr>
        <w:ind w:right="340"/>
        <w:rPr>
          <w:rFonts w:eastAsia="SimSun" w:cs="Arial"/>
          <w:noProof/>
        </w:rPr>
      </w:pPr>
      <w:r w:rsidRPr="0021252A">
        <w:rPr>
          <w:rFonts w:eastAsia="SimSun" w:cs="Arial"/>
          <w:noProof/>
        </w:rPr>
        <w:t xml:space="preserve">Bolinger, M., &amp; Seel, J. (2015). </w:t>
      </w:r>
      <w:r w:rsidRPr="0021252A">
        <w:rPr>
          <w:rFonts w:eastAsia="SimSun" w:cs="Arial"/>
          <w:i/>
          <w:noProof/>
        </w:rPr>
        <w:t>Utility-scale Solar 2014 (No. LBNL-1000917)</w:t>
      </w:r>
      <w:r w:rsidRPr="0021252A">
        <w:rPr>
          <w:rFonts w:eastAsia="SimSun" w:cs="Arial"/>
          <w:noProof/>
        </w:rPr>
        <w:t xml:space="preserve"> (pp. 1–43). Lawrence Berkeley National Laboratory. Retrieved from https://emp.lbl.gov/sites/all/files/lbnl-1000917.pdf</w:t>
      </w:r>
    </w:p>
    <w:p w14:paraId="0DFF4525" w14:textId="77777777" w:rsidR="006B01C8" w:rsidRPr="0021252A" w:rsidRDefault="006B01C8" w:rsidP="007C5C1A">
      <w:pPr>
        <w:ind w:right="340"/>
        <w:rPr>
          <w:rFonts w:eastAsia="SimSun" w:cs="Arial"/>
          <w:noProof/>
        </w:rPr>
      </w:pPr>
      <w:r w:rsidRPr="0021252A">
        <w:rPr>
          <w:rFonts w:eastAsia="SimSun" w:cs="Arial"/>
          <w:noProof/>
        </w:rPr>
        <w:t>Bolinger, M., Seel,J. &amp; LaCommare, H. (2017</w:t>
      </w:r>
      <w:r w:rsidRPr="0021252A">
        <w:rPr>
          <w:rFonts w:eastAsia="SimSun" w:cs="Arial"/>
          <w:i/>
          <w:noProof/>
        </w:rPr>
        <w:t>). Utility-Scale Solar 2016 : An Empirical Analysis of Project Cost, Performance, and Pricing Trends in the United States</w:t>
      </w:r>
      <w:r w:rsidRPr="0021252A">
        <w:rPr>
          <w:rFonts w:eastAsia="SimSun" w:cs="Arial"/>
          <w:noProof/>
        </w:rPr>
        <w:t xml:space="preserve">. Lawrence Berkeley National Laboratory </w:t>
      </w:r>
    </w:p>
    <w:p w14:paraId="150C6367" w14:textId="77777777" w:rsidR="006B01C8" w:rsidRPr="0021252A" w:rsidRDefault="006B01C8" w:rsidP="007C5C1A">
      <w:pPr>
        <w:ind w:right="340"/>
        <w:rPr>
          <w:rFonts w:cs="Times New Roman"/>
        </w:rPr>
      </w:pPr>
      <w:r w:rsidRPr="0021252A">
        <w:rPr>
          <w:rFonts w:cs="Times New Roman"/>
        </w:rPr>
        <w:lastRenderedPageBreak/>
        <w:t xml:space="preserve">Bolton, D. (2016). </w:t>
      </w:r>
      <w:r w:rsidRPr="0021252A">
        <w:rPr>
          <w:rFonts w:cs="Times New Roman"/>
          <w:i/>
        </w:rPr>
        <w:t>Germany has so much renewable energy that people are being paid to consume electricity</w:t>
      </w:r>
      <w:r w:rsidRPr="0021252A">
        <w:rPr>
          <w:rFonts w:cs="Times New Roman"/>
        </w:rPr>
        <w:t>. Retrieved July 21, 2016, from http://www.independent.co.uk/environment/renewable-energy-germany-negative-prices-electricity-wind-solar-a7024716.html</w:t>
      </w:r>
    </w:p>
    <w:p w14:paraId="174E1A6C" w14:textId="16E8E3D1" w:rsidR="006B01C8" w:rsidRPr="0021252A" w:rsidRDefault="006B01C8" w:rsidP="007C5C1A">
      <w:pPr>
        <w:ind w:right="340"/>
        <w:rPr>
          <w:rFonts w:eastAsia="SimSun" w:cs="Arial"/>
          <w:noProof/>
        </w:rPr>
      </w:pPr>
      <w:r w:rsidRPr="0021252A">
        <w:rPr>
          <w:rFonts w:eastAsia="SimSun" w:cs="Arial"/>
          <w:noProof/>
        </w:rPr>
        <w:t xml:space="preserve">BP. (2018). </w:t>
      </w:r>
      <w:r w:rsidRPr="0021252A">
        <w:rPr>
          <w:rFonts w:eastAsia="SimSun" w:cs="Arial"/>
          <w:i/>
          <w:noProof/>
        </w:rPr>
        <w:t>BP Statistical Review of World Energy 2018</w:t>
      </w:r>
      <w:r w:rsidRPr="0021252A">
        <w:rPr>
          <w:rFonts w:eastAsia="SimSun" w:cs="Arial"/>
          <w:noProof/>
        </w:rPr>
        <w:t>.</w:t>
      </w:r>
      <w:r w:rsidR="00E43DF0">
        <w:rPr>
          <w:rFonts w:eastAsia="SimSun" w:cs="Arial"/>
          <w:noProof/>
        </w:rPr>
        <w:t xml:space="preserve"> </w:t>
      </w:r>
      <w:r w:rsidRPr="0021252A">
        <w:rPr>
          <w:rFonts w:eastAsia="SimSun" w:cs="Arial"/>
          <w:noProof/>
        </w:rPr>
        <w:t>British Petroleum. London</w:t>
      </w:r>
    </w:p>
    <w:p w14:paraId="2A5856F6" w14:textId="77777777" w:rsidR="006B01C8" w:rsidRPr="0021252A" w:rsidRDefault="006B01C8" w:rsidP="007C5C1A">
      <w:pPr>
        <w:ind w:right="340"/>
        <w:rPr>
          <w:rFonts w:cs="Times New Roman"/>
        </w:rPr>
      </w:pPr>
      <w:r w:rsidRPr="0021252A">
        <w:rPr>
          <w:rFonts w:cs="Times New Roman"/>
        </w:rPr>
        <w:t xml:space="preserve">Castillo-Ramírez, A., </w:t>
      </w:r>
      <w:proofErr w:type="spellStart"/>
      <w:r w:rsidRPr="0021252A">
        <w:rPr>
          <w:rFonts w:cs="Times New Roman"/>
        </w:rPr>
        <w:t>Meija-Giraldo</w:t>
      </w:r>
      <w:proofErr w:type="spellEnd"/>
      <w:r w:rsidRPr="0021252A">
        <w:rPr>
          <w:rFonts w:cs="Times New Roman"/>
        </w:rPr>
        <w:t xml:space="preserve"> &amp; </w:t>
      </w:r>
      <w:proofErr w:type="spellStart"/>
      <w:r w:rsidRPr="0021252A">
        <w:rPr>
          <w:rFonts w:cs="Times New Roman"/>
        </w:rPr>
        <w:t>Munzo-Galeano</w:t>
      </w:r>
      <w:proofErr w:type="spellEnd"/>
      <w:r w:rsidRPr="0021252A">
        <w:rPr>
          <w:rFonts w:cs="Times New Roman"/>
        </w:rPr>
        <w:t xml:space="preserve">, N. (2017). </w:t>
      </w:r>
      <w:r w:rsidRPr="0007144C">
        <w:rPr>
          <w:rFonts w:cs="Times New Roman"/>
        </w:rPr>
        <w:t xml:space="preserve">Large-Scale Solar PV LCOE Comprehensive Breakdown Methodology. </w:t>
      </w:r>
      <w:r w:rsidRPr="0007144C">
        <w:rPr>
          <w:rFonts w:cs="Times New Roman"/>
          <w:i/>
        </w:rPr>
        <w:t xml:space="preserve">CT &amp; F - </w:t>
      </w:r>
      <w:proofErr w:type="spellStart"/>
      <w:r w:rsidRPr="0007144C">
        <w:rPr>
          <w:rFonts w:cs="Times New Roman"/>
          <w:i/>
        </w:rPr>
        <w:t>Ciencia</w:t>
      </w:r>
      <w:proofErr w:type="spellEnd"/>
      <w:r w:rsidRPr="0007144C">
        <w:rPr>
          <w:rFonts w:cs="Times New Roman"/>
          <w:i/>
        </w:rPr>
        <w:t xml:space="preserve">, </w:t>
      </w:r>
      <w:proofErr w:type="spellStart"/>
      <w:r w:rsidRPr="0007144C">
        <w:rPr>
          <w:rFonts w:cs="Times New Roman"/>
          <w:i/>
        </w:rPr>
        <w:t>Tecnologia</w:t>
      </w:r>
      <w:proofErr w:type="spellEnd"/>
      <w:r w:rsidRPr="0007144C">
        <w:rPr>
          <w:rFonts w:cs="Times New Roman"/>
          <w:i/>
        </w:rPr>
        <w:t xml:space="preserve"> y </w:t>
      </w:r>
      <w:proofErr w:type="spellStart"/>
      <w:r w:rsidRPr="0007144C">
        <w:rPr>
          <w:rFonts w:cs="Times New Roman"/>
          <w:i/>
        </w:rPr>
        <w:t>Futuro</w:t>
      </w:r>
      <w:proofErr w:type="spellEnd"/>
      <w:r w:rsidRPr="0007144C">
        <w:rPr>
          <w:rFonts w:cs="Times New Roman"/>
          <w:i/>
        </w:rPr>
        <w:t>, pp. 117-136.</w:t>
      </w:r>
      <w:r w:rsidRPr="0021252A">
        <w:rPr>
          <w:rFonts w:cs="Times New Roman"/>
        </w:rPr>
        <w:t xml:space="preserve"> Retrieved November 25, 2018, from http://www.scielo.org.co/pdf/ctyf/v7n1/0122-5383-ctyf-7-01-00117.pdf</w:t>
      </w:r>
    </w:p>
    <w:p w14:paraId="1A0CD7E9" w14:textId="77777777" w:rsidR="006B01C8" w:rsidRPr="0021252A" w:rsidRDefault="006B01C8" w:rsidP="007C5C1A">
      <w:pPr>
        <w:ind w:right="340"/>
        <w:rPr>
          <w:rFonts w:cs="Times New Roman"/>
        </w:rPr>
      </w:pPr>
      <w:r w:rsidRPr="0021252A">
        <w:rPr>
          <w:rFonts w:cs="Times New Roman"/>
        </w:rPr>
        <w:t xml:space="preserve">CPUC (2015). </w:t>
      </w:r>
      <w:r w:rsidRPr="0021252A">
        <w:rPr>
          <w:rFonts w:cs="Times New Roman"/>
          <w:i/>
        </w:rPr>
        <w:t>California Renewables Portfolio Standard (RPS)</w:t>
      </w:r>
      <w:r w:rsidRPr="0021252A">
        <w:rPr>
          <w:rFonts w:cs="Times New Roman"/>
        </w:rPr>
        <w:t xml:space="preserve">. California Public Utilities Commission. San Francisco. Retrieved July 21, 2016, from http://www.cpuc.ca.gov/RPS_Homepage/. </w:t>
      </w:r>
    </w:p>
    <w:p w14:paraId="79C3D67D" w14:textId="77777777" w:rsidR="006B01C8" w:rsidRPr="0021252A" w:rsidRDefault="006B01C8" w:rsidP="007C5C1A">
      <w:pPr>
        <w:ind w:right="340"/>
        <w:rPr>
          <w:rFonts w:cs="Times New Roman"/>
        </w:rPr>
      </w:pPr>
      <w:r w:rsidRPr="0021252A">
        <w:rPr>
          <w:rFonts w:cs="Times New Roman"/>
        </w:rPr>
        <w:t xml:space="preserve">de Moor, H., Schaeffer, G.K., </w:t>
      </w:r>
      <w:proofErr w:type="spellStart"/>
      <w:r w:rsidRPr="0021252A">
        <w:rPr>
          <w:rFonts w:cs="Times New Roman"/>
        </w:rPr>
        <w:t>Seebregts</w:t>
      </w:r>
      <w:proofErr w:type="spellEnd"/>
      <w:r w:rsidRPr="0021252A">
        <w:rPr>
          <w:rFonts w:cs="Times New Roman"/>
        </w:rPr>
        <w:t xml:space="preserve">, A. et al. (2003). </w:t>
      </w:r>
      <w:r w:rsidRPr="0021252A">
        <w:rPr>
          <w:rFonts w:cs="Times New Roman"/>
          <w:i/>
        </w:rPr>
        <w:t>Experience curve approach for more effective policy instruments.</w:t>
      </w:r>
      <w:r w:rsidRPr="0021252A">
        <w:rPr>
          <w:rFonts w:cs="Times New Roman"/>
        </w:rPr>
        <w:t xml:space="preserve"> Photovoltaic Energy Conversion, 2003. Proceedings of 3rd World Conference on. Vol. 3. IEEE.</w:t>
      </w:r>
    </w:p>
    <w:p w14:paraId="6908793C" w14:textId="77777777" w:rsidR="006B01C8" w:rsidRPr="0021252A" w:rsidRDefault="006B01C8" w:rsidP="007C5C1A">
      <w:pPr>
        <w:ind w:right="340"/>
        <w:rPr>
          <w:rFonts w:cs="Times New Roman"/>
        </w:rPr>
      </w:pPr>
      <w:r w:rsidRPr="0021252A">
        <w:rPr>
          <w:rFonts w:cs="Times New Roman"/>
        </w:rPr>
        <w:t xml:space="preserve">DEA (2012). </w:t>
      </w:r>
      <w:r w:rsidRPr="0021252A">
        <w:rPr>
          <w:rFonts w:cs="Times New Roman"/>
          <w:i/>
        </w:rPr>
        <w:t>Technology Data for Energy Plants Generation of Electricity and District Heating, Energy Storage and Energy Carrier Generation and Conversion</w:t>
      </w:r>
      <w:r w:rsidRPr="0021252A">
        <w:rPr>
          <w:rFonts w:cs="Times New Roman"/>
        </w:rPr>
        <w:t xml:space="preserve">. Danish Energy Agency and </w:t>
      </w:r>
      <w:proofErr w:type="spellStart"/>
      <w:r w:rsidRPr="0021252A">
        <w:rPr>
          <w:rFonts w:cs="Times New Roman"/>
        </w:rPr>
        <w:t>Energinet</w:t>
      </w:r>
      <w:proofErr w:type="spellEnd"/>
      <w:r w:rsidRPr="0021252A">
        <w:rPr>
          <w:rFonts w:cs="Times New Roman"/>
        </w:rPr>
        <w:t>, Denmark. Retrieved from: https://www.energinet.dk/SiteCollectionDocuments/Danske%20dokumenter/Forskning/Technology_data_for_energy_plants.pdf</w:t>
      </w:r>
    </w:p>
    <w:p w14:paraId="051FEE82" w14:textId="77777777" w:rsidR="006B01C8" w:rsidRPr="0021252A" w:rsidRDefault="006B01C8" w:rsidP="007C5C1A">
      <w:pPr>
        <w:ind w:right="340"/>
        <w:rPr>
          <w:rFonts w:eastAsia="SimSun" w:cs="Arial"/>
          <w:noProof/>
        </w:rPr>
      </w:pPr>
      <w:r w:rsidRPr="0021252A">
        <w:rPr>
          <w:rFonts w:eastAsia="SimSun" w:cs="Arial"/>
          <w:noProof/>
        </w:rPr>
        <w:t xml:space="preserve">Denholm, P., Clark, K., &amp; O’Connell, M. (2016). </w:t>
      </w:r>
      <w:r w:rsidRPr="0021252A">
        <w:rPr>
          <w:rFonts w:eastAsia="SimSun" w:cs="Arial"/>
          <w:i/>
          <w:noProof/>
        </w:rPr>
        <w:t>On the path to sunshot: emerging issues and challenges in integrating high levels of solar into the electrical generation and transmission system</w:t>
      </w:r>
      <w:r w:rsidRPr="0021252A">
        <w:rPr>
          <w:rFonts w:eastAsia="SimSun" w:cs="Arial"/>
          <w:noProof/>
        </w:rPr>
        <w:t>. NREL (National Renewable Energy Laboratory (NREL), Golden, CO (United States)). Retrieved from http://www.osti.gov/scitech/biblio/1253978</w:t>
      </w:r>
    </w:p>
    <w:p w14:paraId="350DA06F" w14:textId="77777777" w:rsidR="006B01C8" w:rsidRPr="006B01C8" w:rsidRDefault="006B01C8" w:rsidP="007C5C1A">
      <w:pPr>
        <w:ind w:right="340"/>
        <w:rPr>
          <w:rFonts w:eastAsia="SimSun" w:cs="Arial"/>
          <w:noProof/>
        </w:rPr>
      </w:pPr>
      <w:r w:rsidRPr="0021252A">
        <w:rPr>
          <w:rFonts w:eastAsia="SimSun" w:cs="Arial"/>
          <w:noProof/>
        </w:rPr>
        <w:t xml:space="preserve">Dominguez-Ramos, A., M. Held, R. Aldaco, M. Fischer, and A. Irabien. </w:t>
      </w:r>
      <w:r>
        <w:rPr>
          <w:rFonts w:eastAsia="SimSun" w:cs="Arial"/>
          <w:noProof/>
        </w:rPr>
        <w:t>(</w:t>
      </w:r>
      <w:r w:rsidRPr="0021252A">
        <w:rPr>
          <w:rFonts w:eastAsia="SimSun" w:cs="Arial"/>
          <w:noProof/>
        </w:rPr>
        <w:t>2010</w:t>
      </w:r>
      <w:r>
        <w:rPr>
          <w:rFonts w:eastAsia="SimSun" w:cs="Arial"/>
          <w:noProof/>
        </w:rPr>
        <w:t>)</w:t>
      </w:r>
      <w:r w:rsidRPr="0021252A">
        <w:rPr>
          <w:rFonts w:eastAsia="SimSun" w:cs="Arial"/>
          <w:noProof/>
        </w:rPr>
        <w:t xml:space="preserve">. </w:t>
      </w:r>
      <w:r w:rsidRPr="0007144C">
        <w:rPr>
          <w:rFonts w:eastAsia="SimSun" w:cs="Arial"/>
          <w:noProof/>
        </w:rPr>
        <w:t>Prospective CO</w:t>
      </w:r>
      <w:r w:rsidRPr="0007144C">
        <w:rPr>
          <w:rFonts w:eastAsia="SimSun" w:cs="Arial"/>
          <w:noProof/>
          <w:vertAlign w:val="subscript"/>
        </w:rPr>
        <w:t xml:space="preserve">2 </w:t>
      </w:r>
      <w:r w:rsidRPr="0007144C">
        <w:rPr>
          <w:rFonts w:eastAsia="SimSun" w:cs="Arial"/>
          <w:noProof/>
        </w:rPr>
        <w:t xml:space="preserve">emissions from energy supplying systems: Photovoltaic systems and conventional grid within Spanish </w:t>
      </w:r>
      <w:r w:rsidRPr="006B01C8">
        <w:rPr>
          <w:rFonts w:eastAsia="SimSun" w:cs="Arial"/>
          <w:noProof/>
        </w:rPr>
        <w:t xml:space="preserve">frame conditions. </w:t>
      </w:r>
      <w:r w:rsidRPr="006B01C8">
        <w:rPr>
          <w:rFonts w:eastAsia="SimSun" w:cs="Arial"/>
          <w:i/>
          <w:noProof/>
        </w:rPr>
        <w:t>International Journal of Life Cycle Assessment 15(6): 557–566.</w:t>
      </w:r>
      <w:r w:rsidRPr="006B01C8">
        <w:rPr>
          <w:rFonts w:eastAsia="SimSun" w:cs="Arial"/>
          <w:noProof/>
        </w:rPr>
        <w:t xml:space="preserve"> </w:t>
      </w:r>
    </w:p>
    <w:p w14:paraId="66D0866F" w14:textId="77777777" w:rsidR="006B01C8" w:rsidRPr="006B01C8" w:rsidRDefault="006B01C8" w:rsidP="006B01C8">
      <w:pPr>
        <w:rPr>
          <w:rFonts w:cs="Times New Roman"/>
        </w:rPr>
      </w:pPr>
      <w:proofErr w:type="spellStart"/>
      <w:r w:rsidRPr="006B01C8">
        <w:rPr>
          <w:rFonts w:cs="Times New Roman"/>
        </w:rPr>
        <w:t>Ecofys</w:t>
      </w:r>
      <w:proofErr w:type="spellEnd"/>
      <w:r w:rsidRPr="006B01C8">
        <w:rPr>
          <w:rFonts w:cs="Times New Roman"/>
        </w:rPr>
        <w:t xml:space="preserve"> (2018). </w:t>
      </w:r>
      <w:r w:rsidRPr="006B01C8">
        <w:rPr>
          <w:rFonts w:cs="Times New Roman"/>
          <w:i/>
        </w:rPr>
        <w:t>Energy transition within 1.5ºC.</w:t>
      </w:r>
      <w:r w:rsidRPr="006B01C8">
        <w:rPr>
          <w:rFonts w:cs="Times New Roman"/>
        </w:rPr>
        <w:t xml:space="preserve"> A disruptive approach to 100% decarbonization of the global energy system by 2050. </w:t>
      </w:r>
      <w:proofErr w:type="spellStart"/>
      <w:r w:rsidRPr="006B01C8">
        <w:rPr>
          <w:rFonts w:cs="Times New Roman"/>
        </w:rPr>
        <w:t>Ecofys</w:t>
      </w:r>
      <w:proofErr w:type="spellEnd"/>
      <w:r w:rsidRPr="006B01C8">
        <w:rPr>
          <w:rFonts w:cs="Times New Roman"/>
        </w:rPr>
        <w:t xml:space="preserve">- A Navigant Company. Retrieved from: </w:t>
      </w:r>
      <w:hyperlink r:id="rId22" w:history="1">
        <w:r w:rsidRPr="006B01C8">
          <w:rPr>
            <w:rStyle w:val="Hyperlink"/>
            <w:rFonts w:cs="Times New Roman"/>
          </w:rPr>
          <w:t>https://www.navigant.com/-/media/www/site/downloads/energy/2018/navigant2018energytransitionwithin15c.pdf</w:t>
        </w:r>
      </w:hyperlink>
    </w:p>
    <w:p w14:paraId="68C22E6F" w14:textId="77777777" w:rsidR="006B01C8" w:rsidRPr="0021252A" w:rsidRDefault="006B01C8" w:rsidP="007C5C1A">
      <w:pPr>
        <w:ind w:right="340"/>
        <w:rPr>
          <w:rFonts w:eastAsia="SimSun" w:cs="Arial"/>
          <w:noProof/>
        </w:rPr>
      </w:pPr>
      <w:r w:rsidRPr="0021252A">
        <w:rPr>
          <w:rFonts w:eastAsia="SimSun" w:cs="Arial"/>
          <w:noProof/>
        </w:rPr>
        <w:t xml:space="preserve">Edenhofer, O., Pichs Madruga, R. &amp; Sokona, Y. United Nations Environment Programme, World Meteorological Organization, Intergovernmental Panel on Climate Change, &amp; Potsdam-Institut für Klimafolgenforschung (Eds.). (2012). </w:t>
      </w:r>
      <w:r w:rsidRPr="0021252A">
        <w:rPr>
          <w:rFonts w:eastAsia="SimSun" w:cs="Arial"/>
          <w:i/>
          <w:noProof/>
        </w:rPr>
        <w:t xml:space="preserve">Renewable energy sources and climate change mitigation: </w:t>
      </w:r>
      <w:r w:rsidRPr="0021252A">
        <w:rPr>
          <w:rFonts w:eastAsia="SimSun" w:cs="Arial"/>
          <w:i/>
          <w:noProof/>
        </w:rPr>
        <w:lastRenderedPageBreak/>
        <w:t>special report of the Intergovernmental Panel on Climate Change</w:t>
      </w:r>
      <w:r w:rsidRPr="0021252A">
        <w:rPr>
          <w:rFonts w:eastAsia="SimSun" w:cs="Arial"/>
          <w:noProof/>
        </w:rPr>
        <w:t>. New York: Cambridge University Press.</w:t>
      </w:r>
    </w:p>
    <w:p w14:paraId="7C7C378E" w14:textId="4E7C7031" w:rsidR="006B01C8" w:rsidRDefault="006B01C8" w:rsidP="00F025BB">
      <w:pPr>
        <w:ind w:right="340"/>
        <w:rPr>
          <w:rFonts w:cs="Times New Roman"/>
        </w:rPr>
      </w:pPr>
      <w:r w:rsidRPr="0021252A">
        <w:rPr>
          <w:rFonts w:cs="Times New Roman"/>
        </w:rPr>
        <w:t xml:space="preserve">EERE. (2016). </w:t>
      </w:r>
      <w:proofErr w:type="spellStart"/>
      <w:r w:rsidRPr="0021252A">
        <w:rPr>
          <w:rFonts w:cs="Times New Roman"/>
          <w:i/>
        </w:rPr>
        <w:t>Sunshot</w:t>
      </w:r>
      <w:proofErr w:type="spellEnd"/>
      <w:r w:rsidRPr="0021252A">
        <w:rPr>
          <w:rFonts w:cs="Times New Roman"/>
          <w:i/>
        </w:rPr>
        <w:t xml:space="preserve"> 2030</w:t>
      </w:r>
      <w:r w:rsidRPr="0021252A">
        <w:rPr>
          <w:rFonts w:cs="Times New Roman"/>
        </w:rPr>
        <w:t xml:space="preserve">; Washington: US Department of Energy. Retrieved from </w:t>
      </w:r>
      <w:hyperlink r:id="rId23" w:history="1">
        <w:r w:rsidRPr="004C39E5">
          <w:rPr>
            <w:rStyle w:val="Hyperlink"/>
            <w:rFonts w:cs="Times New Roman"/>
            <w:color w:val="000000" w:themeColor="text1"/>
            <w:u w:val="none"/>
          </w:rPr>
          <w:t>https://www.energy.gov/eere/solar/sunshot-2030</w:t>
        </w:r>
      </w:hyperlink>
    </w:p>
    <w:p w14:paraId="446C3D9E" w14:textId="77777777" w:rsidR="006B01C8" w:rsidRPr="00861739" w:rsidRDefault="006B01C8" w:rsidP="00F025BB">
      <w:pPr>
        <w:spacing w:after="160"/>
        <w:ind w:right="340"/>
        <w:rPr>
          <w:rFonts w:cs="Times New Roman"/>
        </w:rPr>
      </w:pPr>
      <w:r w:rsidRPr="00861739">
        <w:rPr>
          <w:rFonts w:cs="Times New Roman"/>
        </w:rPr>
        <w:t>EIA</w:t>
      </w:r>
      <w:r>
        <w:rPr>
          <w:rFonts w:cs="Times New Roman"/>
        </w:rPr>
        <w:t>, US</w:t>
      </w:r>
      <w:r w:rsidRPr="00861739">
        <w:rPr>
          <w:rFonts w:cs="Times New Roman"/>
        </w:rPr>
        <w:t xml:space="preserve">. (2015). </w:t>
      </w:r>
      <w:r w:rsidRPr="00861739">
        <w:rPr>
          <w:rFonts w:cs="Times New Roman"/>
          <w:i/>
        </w:rPr>
        <w:t>Updated capital cost estimates for utility scale electricity generating plants</w:t>
      </w:r>
      <w:r w:rsidRPr="00861739">
        <w:rPr>
          <w:rFonts w:cs="Times New Roman"/>
        </w:rPr>
        <w:t>. Washington: U.S. Energy Information Administration Retrieved from http://www.eia.gov/forecasts/capitalcost/</w:t>
      </w:r>
    </w:p>
    <w:p w14:paraId="0784BA22" w14:textId="61B0CA44" w:rsidR="006B01C8" w:rsidRPr="0021252A" w:rsidRDefault="006B01C8" w:rsidP="00F025BB">
      <w:pPr>
        <w:ind w:right="340"/>
        <w:rPr>
          <w:rFonts w:cs="Times New Roman"/>
        </w:rPr>
      </w:pPr>
      <w:r w:rsidRPr="0021252A">
        <w:rPr>
          <w:rFonts w:cs="Times New Roman"/>
        </w:rPr>
        <w:t xml:space="preserve">EIA, US. (2016). </w:t>
      </w:r>
      <w:r w:rsidRPr="0021252A">
        <w:rPr>
          <w:rFonts w:cs="Times New Roman"/>
          <w:i/>
        </w:rPr>
        <w:t>Capital Cost Estimates for Utility Scale Electricity Generating Plants</w:t>
      </w:r>
      <w:r w:rsidRPr="0021252A">
        <w:rPr>
          <w:rFonts w:cs="Times New Roman"/>
        </w:rPr>
        <w:t xml:space="preserve">. US DOE Energy Information Administration. Washington. Retrieved from https://www.eia.gov/analysis/studies/powerplants/capitalcost/pdf/capcost_assumption.pdf. </w:t>
      </w:r>
    </w:p>
    <w:p w14:paraId="09E554C4" w14:textId="77777777" w:rsidR="006B01C8" w:rsidRPr="0021252A" w:rsidRDefault="006B01C8" w:rsidP="00F025BB">
      <w:pPr>
        <w:ind w:right="340"/>
        <w:rPr>
          <w:rFonts w:cs="Times New Roman"/>
        </w:rPr>
      </w:pPr>
      <w:r w:rsidRPr="0021252A">
        <w:rPr>
          <w:rFonts w:cs="Times New Roman"/>
        </w:rPr>
        <w:t xml:space="preserve">EIA, US. (2018). </w:t>
      </w:r>
      <w:r w:rsidRPr="0021252A">
        <w:rPr>
          <w:rFonts w:cs="Times New Roman"/>
          <w:i/>
        </w:rPr>
        <w:t>Frequently Asked Questions</w:t>
      </w:r>
      <w:r w:rsidRPr="0021252A">
        <w:rPr>
          <w:rFonts w:cs="Times New Roman"/>
        </w:rPr>
        <w:t xml:space="preserve">. US DOE Energy Information Administration. Washington. Retrieved on 15 November from: https://www.eia.gov/tools/faqs/ </w:t>
      </w:r>
    </w:p>
    <w:p w14:paraId="3DF18F56" w14:textId="77777777" w:rsidR="006B01C8" w:rsidRPr="0021252A" w:rsidRDefault="006B01C8" w:rsidP="00F025BB">
      <w:pPr>
        <w:ind w:right="340"/>
        <w:rPr>
          <w:rFonts w:eastAsia="SimSun" w:cs="Arial"/>
          <w:noProof/>
        </w:rPr>
      </w:pPr>
      <w:r w:rsidRPr="0021252A">
        <w:rPr>
          <w:rFonts w:eastAsia="SimSun" w:cs="Arial"/>
          <w:noProof/>
        </w:rPr>
        <w:t xml:space="preserve">EIA. (2018). </w:t>
      </w:r>
      <w:r w:rsidRPr="0021252A">
        <w:rPr>
          <w:rFonts w:eastAsia="SimSun" w:cs="Arial"/>
          <w:i/>
          <w:noProof/>
        </w:rPr>
        <w:t>International Energy Outlook 2017</w:t>
      </w:r>
      <w:r w:rsidRPr="0021252A">
        <w:rPr>
          <w:rFonts w:eastAsia="SimSun" w:cs="Arial"/>
          <w:noProof/>
        </w:rPr>
        <w:t>. US Department of Energy. Energy Information Administration. Washington. Retrieved from: https://www.eia.gov/outlooks/ieo/pdf/0484(2017).pdf</w:t>
      </w:r>
    </w:p>
    <w:p w14:paraId="7714AF8E" w14:textId="77777777" w:rsidR="006B01C8" w:rsidRPr="0021252A" w:rsidRDefault="006B01C8" w:rsidP="007C5C1A">
      <w:pPr>
        <w:ind w:right="340"/>
        <w:rPr>
          <w:rFonts w:cs="Times New Roman"/>
        </w:rPr>
      </w:pPr>
      <w:proofErr w:type="spellStart"/>
      <w:r w:rsidRPr="0021252A">
        <w:rPr>
          <w:rFonts w:cs="Times New Roman"/>
        </w:rPr>
        <w:t>Elshurafa</w:t>
      </w:r>
      <w:bookmarkStart w:id="73" w:name="bau2"/>
      <w:proofErr w:type="spellEnd"/>
      <w:r w:rsidRPr="0021252A">
        <w:rPr>
          <w:rFonts w:cs="Times New Roman"/>
        </w:rPr>
        <w:t xml:space="preserve">, A.M., </w:t>
      </w:r>
      <w:hyperlink r:id="rId24" w:anchor="!" w:history="1">
        <w:proofErr w:type="spellStart"/>
        <w:r w:rsidRPr="0021252A">
          <w:rPr>
            <w:rStyle w:val="Hyperlink"/>
            <w:rFonts w:cs="Times New Roman"/>
            <w:color w:val="000000" w:themeColor="text1"/>
          </w:rPr>
          <w:t>Albardi</w:t>
        </w:r>
        <w:proofErr w:type="spellEnd"/>
      </w:hyperlink>
      <w:bookmarkStart w:id="74" w:name="bau3"/>
      <w:bookmarkEnd w:id="73"/>
      <w:r w:rsidRPr="0021252A">
        <w:rPr>
          <w:rFonts w:cs="Times New Roman"/>
          <w:color w:val="000000" w:themeColor="text1"/>
        </w:rPr>
        <w:t xml:space="preserve">, S.R., </w:t>
      </w:r>
      <w:hyperlink r:id="rId25" w:anchor="!" w:history="1">
        <w:proofErr w:type="spellStart"/>
        <w:r w:rsidRPr="0021252A">
          <w:rPr>
            <w:rStyle w:val="Hyperlink"/>
            <w:rFonts w:cs="Times New Roman"/>
            <w:color w:val="000000" w:themeColor="text1"/>
          </w:rPr>
          <w:t>Bigerna</w:t>
        </w:r>
      </w:hyperlink>
      <w:bookmarkStart w:id="75" w:name="bau4"/>
      <w:bookmarkEnd w:id="74"/>
      <w:r w:rsidRPr="0021252A">
        <w:rPr>
          <w:rFonts w:cs="Times New Roman"/>
          <w:color w:val="000000" w:themeColor="text1"/>
        </w:rPr>
        <w:t>,S</w:t>
      </w:r>
      <w:proofErr w:type="spellEnd"/>
      <w:r w:rsidRPr="0021252A">
        <w:rPr>
          <w:rFonts w:cs="Times New Roman"/>
          <w:color w:val="000000" w:themeColor="text1"/>
        </w:rPr>
        <w:t xml:space="preserve">. &amp; </w:t>
      </w:r>
      <w:hyperlink r:id="rId26" w:anchor="!" w:history="1">
        <w:proofErr w:type="spellStart"/>
        <w:r w:rsidRPr="0021252A">
          <w:rPr>
            <w:rStyle w:val="Hyperlink"/>
            <w:rFonts w:cs="Times New Roman"/>
            <w:color w:val="000000" w:themeColor="text1"/>
          </w:rPr>
          <w:t>Bollino</w:t>
        </w:r>
        <w:proofErr w:type="spellEnd"/>
      </w:hyperlink>
      <w:bookmarkEnd w:id="75"/>
      <w:r w:rsidRPr="0021252A">
        <w:rPr>
          <w:rFonts w:cs="Times New Roman"/>
        </w:rPr>
        <w:t xml:space="preserve">, C.A. (2018). </w:t>
      </w:r>
      <w:r w:rsidRPr="00F025BB">
        <w:rPr>
          <w:rFonts w:cs="Times New Roman"/>
        </w:rPr>
        <w:t xml:space="preserve">Estimating the learning curve of solar PV balance–of–system for over 20 countries: Implications and policy recommendations. </w:t>
      </w:r>
      <w:r w:rsidRPr="00F025BB">
        <w:rPr>
          <w:rFonts w:cs="Times New Roman"/>
          <w:i/>
        </w:rPr>
        <w:t>Journal of Cleaner Production, pp-122-134.</w:t>
      </w:r>
    </w:p>
    <w:p w14:paraId="6F9FC834" w14:textId="77777777" w:rsidR="006B01C8" w:rsidRPr="006B01C8" w:rsidRDefault="006B01C8" w:rsidP="007C5C1A">
      <w:pPr>
        <w:spacing w:after="0"/>
        <w:ind w:right="340"/>
        <w:rPr>
          <w:rFonts w:eastAsia="SimSun" w:cs="Arial"/>
          <w:noProof/>
        </w:rPr>
      </w:pPr>
      <w:r w:rsidRPr="0021252A">
        <w:rPr>
          <w:rFonts w:eastAsia="SimSun" w:cs="Arial"/>
          <w:noProof/>
        </w:rPr>
        <w:t xml:space="preserve">Energy and Environmenal Economics Inc (2014). </w:t>
      </w:r>
      <w:r w:rsidRPr="0021252A">
        <w:rPr>
          <w:rFonts w:eastAsia="SimSun" w:cs="Arial"/>
          <w:i/>
          <w:noProof/>
        </w:rPr>
        <w:t>Capital cost review of power generation technologies.</w:t>
      </w:r>
      <w:r w:rsidRPr="0021252A">
        <w:rPr>
          <w:rFonts w:eastAsia="SimSun" w:cs="Arial"/>
          <w:noProof/>
        </w:rPr>
        <w:t xml:space="preserve"> San Francisco. Retrieved </w:t>
      </w:r>
      <w:r w:rsidRPr="006B01C8">
        <w:rPr>
          <w:rFonts w:eastAsia="SimSun" w:cs="Arial"/>
          <w:noProof/>
        </w:rPr>
        <w:t>from https://www.wecc.biz/Reliability/2014_TEPPC_Generation_ CapCost_Report_E3.pdf. Energy and Environmental Economics, Inc.</w:t>
      </w:r>
    </w:p>
    <w:p w14:paraId="5FD06933" w14:textId="77777777" w:rsidR="006B01C8" w:rsidRPr="006B01C8" w:rsidRDefault="006B01C8" w:rsidP="006B01C8">
      <w:pPr>
        <w:rPr>
          <w:rFonts w:cs="Times New Roman"/>
        </w:rPr>
      </w:pPr>
      <w:proofErr w:type="spellStart"/>
      <w:r w:rsidRPr="006B01C8">
        <w:rPr>
          <w:rFonts w:cs="Times New Roman"/>
        </w:rPr>
        <w:t>Equinor</w:t>
      </w:r>
      <w:proofErr w:type="spellEnd"/>
      <w:r w:rsidRPr="006B01C8">
        <w:rPr>
          <w:rFonts w:cs="Times New Roman"/>
        </w:rPr>
        <w:t xml:space="preserve"> (2018). </w:t>
      </w:r>
      <w:r w:rsidRPr="006B01C8">
        <w:rPr>
          <w:rFonts w:cs="Times New Roman"/>
          <w:i/>
        </w:rPr>
        <w:t>Energy Perspectives 2018, Long-term macro and market outlook.</w:t>
      </w:r>
      <w:r w:rsidRPr="006B01C8">
        <w:rPr>
          <w:rFonts w:cs="Times New Roman"/>
        </w:rPr>
        <w:t xml:space="preserve"> </w:t>
      </w:r>
      <w:proofErr w:type="spellStart"/>
      <w:r w:rsidRPr="006B01C8">
        <w:rPr>
          <w:rFonts w:cs="Times New Roman"/>
        </w:rPr>
        <w:t>Equinor</w:t>
      </w:r>
      <w:proofErr w:type="spellEnd"/>
      <w:r w:rsidRPr="006B01C8">
        <w:rPr>
          <w:rFonts w:cs="Times New Roman"/>
        </w:rPr>
        <w:t xml:space="preserve">. Retrieved from: </w:t>
      </w:r>
      <w:hyperlink r:id="rId27" w:history="1">
        <w:r w:rsidRPr="006B01C8">
          <w:rPr>
            <w:rStyle w:val="Hyperlink"/>
            <w:rFonts w:cs="Times New Roman"/>
          </w:rPr>
          <w:t>https://www.equinor.com/en/news/07jun2018-energy-perspectives.html</w:t>
        </w:r>
      </w:hyperlink>
    </w:p>
    <w:p w14:paraId="5960C289" w14:textId="77777777" w:rsidR="006B01C8" w:rsidRPr="006B01C8" w:rsidRDefault="006B01C8" w:rsidP="007C5C1A">
      <w:pPr>
        <w:ind w:right="340"/>
        <w:rPr>
          <w:rFonts w:cs="Times New Roman"/>
        </w:rPr>
      </w:pPr>
      <w:r w:rsidRPr="006B01C8">
        <w:rPr>
          <w:rFonts w:cs="Times New Roman"/>
        </w:rPr>
        <w:t xml:space="preserve">Finnegan, S., Jones, C. &amp; Sharples, S. (2018). </w:t>
      </w:r>
      <w:r w:rsidRPr="006B01C8">
        <w:rPr>
          <w:rFonts w:cs="Times New Roman"/>
          <w:i/>
        </w:rPr>
        <w:t>The embodied CO</w:t>
      </w:r>
      <w:r w:rsidRPr="006B01C8">
        <w:rPr>
          <w:rFonts w:cs="Times New Roman"/>
          <w:i/>
          <w:vertAlign w:val="subscript"/>
        </w:rPr>
        <w:t>2</w:t>
      </w:r>
      <w:r w:rsidRPr="006B01C8">
        <w:rPr>
          <w:rFonts w:cs="Times New Roman"/>
          <w:i/>
        </w:rPr>
        <w:t>e of sustainable energy technologies used in buildings: A review article</w:t>
      </w:r>
      <w:r w:rsidRPr="006B01C8">
        <w:rPr>
          <w:rFonts w:cs="Times New Roman"/>
        </w:rPr>
        <w:t>. Energy and Buildings, Vol 181, 15 Dec, 2018. pp.50-61.</w:t>
      </w:r>
    </w:p>
    <w:p w14:paraId="7013E905" w14:textId="77777777" w:rsidR="006B01C8" w:rsidRPr="006B01C8" w:rsidRDefault="006B01C8" w:rsidP="007C5C1A">
      <w:pPr>
        <w:ind w:right="340"/>
        <w:rPr>
          <w:rFonts w:cs="Times New Roman"/>
        </w:rPr>
      </w:pPr>
      <w:r w:rsidRPr="006B01C8">
        <w:rPr>
          <w:rFonts w:cs="Times New Roman"/>
        </w:rPr>
        <w:t xml:space="preserve">Fraunhofer ISE. (2015). </w:t>
      </w:r>
      <w:r w:rsidRPr="006B01C8">
        <w:rPr>
          <w:rFonts w:cs="Times New Roman"/>
          <w:i/>
        </w:rPr>
        <w:t>Current and Future Cost of Photovoltaics. Long-term Scenarios for Market Development, System Prices and LCOE of Utility-Scale</w:t>
      </w:r>
      <w:r w:rsidRPr="006B01C8">
        <w:rPr>
          <w:rFonts w:cs="Times New Roman"/>
        </w:rPr>
        <w:t>. Fraunhofer ISE. Berlin.</w:t>
      </w:r>
    </w:p>
    <w:p w14:paraId="46DF4A32" w14:textId="1DE96753" w:rsidR="006B01C8" w:rsidRPr="0021252A" w:rsidRDefault="006B01C8" w:rsidP="007C5C1A">
      <w:pPr>
        <w:ind w:right="340"/>
        <w:rPr>
          <w:rFonts w:cs="Times New Roman"/>
        </w:rPr>
      </w:pPr>
      <w:r w:rsidRPr="006B01C8">
        <w:rPr>
          <w:rFonts w:cs="Times New Roman"/>
        </w:rPr>
        <w:t xml:space="preserve">Fraunhofer ISE. (2016). </w:t>
      </w:r>
      <w:r w:rsidRPr="006B01C8">
        <w:rPr>
          <w:rFonts w:cs="Times New Roman"/>
          <w:i/>
        </w:rPr>
        <w:t>Photovoltaics Report</w:t>
      </w:r>
      <w:r w:rsidRPr="006B01C8">
        <w:rPr>
          <w:rFonts w:cs="Times New Roman"/>
        </w:rPr>
        <w:t>. Fraunhofer, Institute</w:t>
      </w:r>
      <w:r w:rsidRPr="0021252A">
        <w:rPr>
          <w:rFonts w:cs="Times New Roman"/>
        </w:rPr>
        <w:t xml:space="preserve"> for Solar Energy. Berlin. Retrieved from https://issuu.com/kanagagnana/docs/2016-11-17_photovoltaics_report</w:t>
      </w:r>
    </w:p>
    <w:p w14:paraId="7F2E30DC" w14:textId="78F9B032" w:rsidR="006B01C8" w:rsidRPr="0021252A" w:rsidRDefault="006B01C8" w:rsidP="007C5C1A">
      <w:pPr>
        <w:ind w:right="340"/>
        <w:rPr>
          <w:rFonts w:cs="Times New Roman"/>
        </w:rPr>
      </w:pPr>
      <w:r w:rsidRPr="0021252A">
        <w:rPr>
          <w:rFonts w:cs="Times New Roman"/>
        </w:rPr>
        <w:lastRenderedPageBreak/>
        <w:t xml:space="preserve">Fraunhofer ISE. (2018, August 27). </w:t>
      </w:r>
      <w:r w:rsidRPr="0021252A">
        <w:rPr>
          <w:rFonts w:cs="Times New Roman"/>
          <w:i/>
        </w:rPr>
        <w:t>Photovoltaics Report</w:t>
      </w:r>
      <w:r w:rsidRPr="0021252A">
        <w:rPr>
          <w:rFonts w:cs="Times New Roman"/>
        </w:rPr>
        <w:t>. Fraunhofer, ISE. Berlin. Retrieved from https://www.ise.fraunhofer.de/content/dam/ise/de/documents/publications/studies/Photovoltaics-Report.pdf</w:t>
      </w:r>
    </w:p>
    <w:p w14:paraId="2A1559D1" w14:textId="4B304BBE" w:rsidR="006B01C8" w:rsidRPr="0021252A" w:rsidRDefault="006B01C8" w:rsidP="007C5C1A">
      <w:pPr>
        <w:ind w:right="340"/>
        <w:rPr>
          <w:rFonts w:cs="Times New Roman"/>
        </w:rPr>
      </w:pPr>
      <w:r w:rsidRPr="0021252A">
        <w:rPr>
          <w:rFonts w:cs="Times New Roman"/>
        </w:rPr>
        <w:t xml:space="preserve">Green, M. A., Emery, K., </w:t>
      </w:r>
      <w:proofErr w:type="spellStart"/>
      <w:r w:rsidRPr="0021252A">
        <w:rPr>
          <w:rFonts w:cs="Times New Roman"/>
        </w:rPr>
        <w:t>Hishikawa</w:t>
      </w:r>
      <w:proofErr w:type="spellEnd"/>
      <w:r w:rsidRPr="0021252A">
        <w:rPr>
          <w:rFonts w:cs="Times New Roman"/>
        </w:rPr>
        <w:t xml:space="preserve">, Y., Warta, W. &amp; Dunlop, E.D. (2014). </w:t>
      </w:r>
      <w:r w:rsidRPr="0021252A">
        <w:rPr>
          <w:rFonts w:cs="Times New Roman"/>
          <w:i/>
        </w:rPr>
        <w:t>Solar Cell Efficiency Tables (Version 45).</w:t>
      </w:r>
      <w:r w:rsidRPr="0021252A">
        <w:rPr>
          <w:rFonts w:cs="Times New Roman"/>
        </w:rPr>
        <w:t xml:space="preserve"> Wiley Online Library. </w:t>
      </w:r>
      <w:r w:rsidR="00E43DF0">
        <w:rPr>
          <w:rFonts w:cs="Times New Roman"/>
        </w:rPr>
        <w:t xml:space="preserve">Retrieved from: </w:t>
      </w:r>
      <w:r w:rsidRPr="0021252A">
        <w:rPr>
          <w:rFonts w:cs="Times New Roman"/>
        </w:rPr>
        <w:t>https://doi.org/10.1002/pip.2573</w:t>
      </w:r>
    </w:p>
    <w:p w14:paraId="10235E00" w14:textId="2307B00D" w:rsidR="006B01C8" w:rsidRPr="0021252A" w:rsidRDefault="006B01C8" w:rsidP="007C5C1A">
      <w:pPr>
        <w:ind w:right="340"/>
        <w:rPr>
          <w:rFonts w:eastAsia="SimSun" w:cs="Arial"/>
          <w:noProof/>
        </w:rPr>
      </w:pPr>
      <w:r w:rsidRPr="0021252A">
        <w:rPr>
          <w:rFonts w:eastAsia="SimSun" w:cs="Arial"/>
          <w:noProof/>
        </w:rPr>
        <w:t>Green, M. A., Ho-Baillie, A., &amp; Snaith, H. J. (2014</w:t>
      </w:r>
      <w:r>
        <w:rPr>
          <w:rFonts w:eastAsia="SimSun" w:cs="Arial"/>
          <w:noProof/>
        </w:rPr>
        <w:t>a</w:t>
      </w:r>
      <w:r w:rsidRPr="0021252A">
        <w:rPr>
          <w:rFonts w:eastAsia="SimSun" w:cs="Arial"/>
          <w:noProof/>
        </w:rPr>
        <w:t xml:space="preserve">). </w:t>
      </w:r>
      <w:r w:rsidRPr="0007144C">
        <w:rPr>
          <w:rFonts w:eastAsia="SimSun" w:cs="Arial"/>
          <w:noProof/>
        </w:rPr>
        <w:t xml:space="preserve">The emergence of perovskite solar cells. </w:t>
      </w:r>
      <w:r w:rsidRPr="0007144C">
        <w:rPr>
          <w:rFonts w:eastAsia="SimSun" w:cs="Arial"/>
          <w:i/>
          <w:noProof/>
        </w:rPr>
        <w:t>Nature Photonics, 8(7), 506–514.</w:t>
      </w:r>
      <w:r w:rsidR="00E43DF0">
        <w:rPr>
          <w:rFonts w:eastAsia="SimSun" w:cs="Arial"/>
          <w:i/>
          <w:noProof/>
        </w:rPr>
        <w:t xml:space="preserve"> </w:t>
      </w:r>
      <w:r w:rsidR="00E43DF0" w:rsidRPr="00E43DF0">
        <w:rPr>
          <w:rFonts w:eastAsia="SimSun" w:cs="Arial"/>
          <w:noProof/>
        </w:rPr>
        <w:t>Retrieved from</w:t>
      </w:r>
      <w:r w:rsidRPr="0007144C">
        <w:rPr>
          <w:rFonts w:eastAsia="SimSun" w:cs="Arial"/>
          <w:i/>
          <w:noProof/>
        </w:rPr>
        <w:t xml:space="preserve"> </w:t>
      </w:r>
      <w:r w:rsidRPr="0021252A">
        <w:rPr>
          <w:rFonts w:eastAsia="SimSun" w:cs="Arial"/>
          <w:noProof/>
        </w:rPr>
        <w:t>http://doi.org/10.1038/nphoton.2014.134</w:t>
      </w:r>
    </w:p>
    <w:p w14:paraId="37D9ECE2" w14:textId="74F3B3C8" w:rsidR="006B01C8" w:rsidRPr="0021252A" w:rsidRDefault="006B01C8" w:rsidP="007C5C1A">
      <w:pPr>
        <w:ind w:right="340"/>
        <w:rPr>
          <w:rFonts w:cs="Times New Roman"/>
        </w:rPr>
      </w:pPr>
      <w:r w:rsidRPr="0021252A">
        <w:rPr>
          <w:rFonts w:cs="Times New Roman"/>
        </w:rPr>
        <w:t xml:space="preserve">Greenpeace. (2015). </w:t>
      </w:r>
      <w:r w:rsidRPr="0021252A">
        <w:rPr>
          <w:rFonts w:cs="Times New Roman"/>
          <w:i/>
        </w:rPr>
        <w:t>World Energy [R]evolution, a sustainable world energy outlook</w:t>
      </w:r>
      <w:r w:rsidRPr="0021252A">
        <w:rPr>
          <w:rFonts w:cs="Times New Roman"/>
        </w:rPr>
        <w:t>. Retrieved from http://www.greenpeace.org/international/Global/international/publications/climate/2015/Energy-Revolution-2015-Full.pdf</w:t>
      </w:r>
    </w:p>
    <w:p w14:paraId="3AB28158" w14:textId="6D681026" w:rsidR="006B01C8" w:rsidRPr="0021252A" w:rsidRDefault="006B01C8" w:rsidP="007C5C1A">
      <w:pPr>
        <w:ind w:right="340"/>
        <w:rPr>
          <w:rFonts w:cs="Times New Roman"/>
        </w:rPr>
      </w:pPr>
      <w:r w:rsidRPr="0021252A">
        <w:rPr>
          <w:rFonts w:cs="Times New Roman"/>
        </w:rPr>
        <w:t xml:space="preserve">GTM Research, &amp; SEIA. (2015). </w:t>
      </w:r>
      <w:r w:rsidRPr="0021252A">
        <w:rPr>
          <w:rFonts w:cs="Times New Roman"/>
          <w:i/>
        </w:rPr>
        <w:t>US Solar Market Insight Report: 2014 Year in Review</w:t>
      </w:r>
      <w:r w:rsidRPr="0021252A">
        <w:rPr>
          <w:rFonts w:cs="Times New Roman"/>
        </w:rPr>
        <w:t>. Retrieved from</w:t>
      </w:r>
      <w:r w:rsidR="00E43DF0">
        <w:rPr>
          <w:rFonts w:cs="Times New Roman"/>
        </w:rPr>
        <w:t>:</w:t>
      </w:r>
      <w:r w:rsidRPr="0021252A">
        <w:rPr>
          <w:rFonts w:cs="Times New Roman"/>
        </w:rPr>
        <w:t xml:space="preserve"> www.seia.org/research-resources/solar-market-insight-report-2014-q4</w:t>
      </w:r>
    </w:p>
    <w:p w14:paraId="6D18EF7F" w14:textId="50E82581" w:rsidR="006B01C8" w:rsidRPr="0021252A" w:rsidRDefault="006B01C8" w:rsidP="00C3651B">
      <w:pPr>
        <w:ind w:right="340"/>
        <w:rPr>
          <w:rFonts w:eastAsia="SimSun" w:cs="Arial"/>
          <w:noProof/>
        </w:rPr>
      </w:pPr>
      <w:r w:rsidRPr="0021252A">
        <w:rPr>
          <w:rFonts w:eastAsia="SimSun" w:cs="Arial"/>
          <w:noProof/>
        </w:rPr>
        <w:t xml:space="preserve">Gunther, M. (2015). </w:t>
      </w:r>
      <w:r w:rsidRPr="0021252A">
        <w:rPr>
          <w:rFonts w:eastAsia="SimSun" w:cs="Arial"/>
          <w:i/>
          <w:noProof/>
        </w:rPr>
        <w:t>Meteroic rise of perovskite solar cells under scrutiny over efficiencies</w:t>
      </w:r>
      <w:r w:rsidRPr="0021252A">
        <w:rPr>
          <w:rFonts w:eastAsia="SimSun" w:cs="Arial"/>
          <w:noProof/>
        </w:rPr>
        <w:t>. Retrieved from The Royal Society of Chemistry (GB). Retrieved from https://www.chemistryworld.com/news/meteoric-rise-of-perovskite-solar-cells-under-scrutiny-over-efficiencies/8324.article</w:t>
      </w:r>
    </w:p>
    <w:p w14:paraId="33435BC8" w14:textId="425EFBA1" w:rsidR="00C3651B" w:rsidRDefault="00C3651B" w:rsidP="00C3651B">
      <w:pPr>
        <w:jc w:val="left"/>
        <w:rPr>
          <w:rFonts w:eastAsia="SimSun" w:cs="Arial"/>
          <w:noProof/>
        </w:rPr>
      </w:pPr>
      <w:r>
        <w:rPr>
          <w:rFonts w:eastAsia="SimSun" w:cs="Arial"/>
          <w:noProof/>
        </w:rPr>
        <w:t>Grantham Institute and Carbon Tracker (2017). Expect the Unexpected. The</w:t>
      </w:r>
      <w:r w:rsidRPr="00C3651B">
        <w:rPr>
          <w:rFonts w:eastAsia="SimSun" w:cs="Arial"/>
          <w:noProof/>
        </w:rPr>
        <w:t xml:space="preserve"> Disruptive Power</w:t>
      </w:r>
      <w:r>
        <w:rPr>
          <w:rFonts w:eastAsia="SimSun" w:cs="Arial"/>
          <w:noProof/>
        </w:rPr>
        <w:t xml:space="preserve"> </w:t>
      </w:r>
      <w:r w:rsidRPr="00C3651B">
        <w:rPr>
          <w:rFonts w:eastAsia="SimSun" w:cs="Arial"/>
          <w:noProof/>
        </w:rPr>
        <w:t>of Low-carbon</w:t>
      </w:r>
      <w:r>
        <w:rPr>
          <w:rFonts w:eastAsia="SimSun" w:cs="Arial"/>
          <w:noProof/>
        </w:rPr>
        <w:t xml:space="preserve"> </w:t>
      </w:r>
      <w:r w:rsidRPr="00C3651B">
        <w:rPr>
          <w:rFonts w:eastAsia="SimSun" w:cs="Arial"/>
          <w:noProof/>
        </w:rPr>
        <w:t>Technology</w:t>
      </w:r>
      <w:r>
        <w:rPr>
          <w:rFonts w:eastAsia="Times New Roman" w:cs="Times New Roman"/>
          <w:sz w:val="24"/>
          <w:szCs w:val="24"/>
          <w:lang w:eastAsia="en-US"/>
        </w:rPr>
        <w:t>.</w:t>
      </w:r>
      <w:r w:rsidRPr="00C3651B">
        <w:rPr>
          <w:rFonts w:eastAsia="SimSun" w:cs="Arial"/>
          <w:noProof/>
        </w:rPr>
        <w:t xml:space="preserve"> </w:t>
      </w:r>
      <w:r>
        <w:rPr>
          <w:rFonts w:eastAsia="SimSun" w:cs="Arial"/>
          <w:noProof/>
        </w:rPr>
        <w:t>Grantham Institute- Climate Change and the Environment and Carbon Tracker Initiative.</w:t>
      </w:r>
      <w:r>
        <w:rPr>
          <w:rFonts w:eastAsia="Times New Roman" w:cs="Times New Roman"/>
          <w:sz w:val="24"/>
          <w:szCs w:val="24"/>
          <w:lang w:eastAsia="en-US"/>
        </w:rPr>
        <w:t xml:space="preserve"> </w:t>
      </w:r>
      <w:r>
        <w:rPr>
          <w:rFonts w:eastAsia="SimSun" w:cs="Arial"/>
          <w:noProof/>
        </w:rPr>
        <w:t xml:space="preserve">Retrieved from </w:t>
      </w:r>
      <w:hyperlink r:id="rId28" w:history="1">
        <w:r w:rsidRPr="007C28AC">
          <w:rPr>
            <w:rStyle w:val="Hyperlink"/>
            <w:rFonts w:eastAsia="SimSun" w:cs="Arial"/>
            <w:noProof/>
          </w:rPr>
          <w:t>https://www.imperial.ac.uk/media/imperial-college/grantham-institute/public/publications/collaborative-publications/Expect-the-Unexpected_CTI_Imperial.pdf</w:t>
        </w:r>
      </w:hyperlink>
    </w:p>
    <w:p w14:paraId="70A8D5DE" w14:textId="2A344B8E" w:rsidR="006B01C8" w:rsidRPr="00F025BB" w:rsidRDefault="006B01C8" w:rsidP="00C3651B">
      <w:pPr>
        <w:ind w:right="340"/>
        <w:rPr>
          <w:rFonts w:eastAsia="SimSun" w:cs="Arial"/>
          <w:noProof/>
        </w:rPr>
      </w:pPr>
      <w:r w:rsidRPr="0021252A">
        <w:rPr>
          <w:rFonts w:eastAsia="SimSun" w:cs="Arial"/>
          <w:noProof/>
        </w:rPr>
        <w:t xml:space="preserve">Haas, R., Lettner, G., Auer, H., &amp; Duic, N. (2013). </w:t>
      </w:r>
      <w:r w:rsidRPr="00F025BB">
        <w:rPr>
          <w:rFonts w:eastAsia="SimSun" w:cs="Arial"/>
          <w:noProof/>
        </w:rPr>
        <w:t xml:space="preserve">The looming revolution: How photovoltaics will change electricity markets in Europe fundamentally. </w:t>
      </w:r>
      <w:r w:rsidRPr="00F025BB">
        <w:rPr>
          <w:rFonts w:eastAsia="SimSun" w:cs="Arial"/>
          <w:i/>
          <w:noProof/>
        </w:rPr>
        <w:t>Energy, 57, 38–43.</w:t>
      </w:r>
      <w:r w:rsidRPr="00F025BB">
        <w:rPr>
          <w:rFonts w:eastAsia="SimSun" w:cs="Arial"/>
          <w:noProof/>
        </w:rPr>
        <w:t xml:space="preserve"> http://doi.org/10.1016/</w:t>
      </w:r>
    </w:p>
    <w:p w14:paraId="182193DF" w14:textId="30D04E77" w:rsidR="006B01C8" w:rsidRPr="0021252A" w:rsidRDefault="006B01C8" w:rsidP="00C3651B">
      <w:pPr>
        <w:ind w:right="340"/>
        <w:rPr>
          <w:rFonts w:cs="Times New Roman"/>
        </w:rPr>
      </w:pPr>
      <w:r w:rsidRPr="0021252A">
        <w:rPr>
          <w:rFonts w:cs="Times New Roman"/>
        </w:rPr>
        <w:t>Hayward, J.</w:t>
      </w:r>
      <w:r>
        <w:rPr>
          <w:rFonts w:cs="Times New Roman"/>
        </w:rPr>
        <w:t>,</w:t>
      </w:r>
      <w:r w:rsidRPr="0021252A">
        <w:rPr>
          <w:rFonts w:cs="Times New Roman"/>
        </w:rPr>
        <w:t xml:space="preserve"> Graham,</w:t>
      </w:r>
      <w:r>
        <w:rPr>
          <w:rFonts w:cs="Times New Roman"/>
        </w:rPr>
        <w:t xml:space="preserve"> </w:t>
      </w:r>
      <w:r w:rsidRPr="0021252A">
        <w:rPr>
          <w:rFonts w:cs="Times New Roman"/>
        </w:rPr>
        <w:t xml:space="preserve">P.W. (2017). </w:t>
      </w:r>
      <w:r w:rsidRPr="0021252A">
        <w:rPr>
          <w:rFonts w:cs="Times New Roman"/>
          <w:i/>
        </w:rPr>
        <w:t>Electricity generation technology cost projections:</w:t>
      </w:r>
      <w:r w:rsidR="00E43DF0">
        <w:rPr>
          <w:rFonts w:cs="Times New Roman"/>
          <w:i/>
        </w:rPr>
        <w:t xml:space="preserve"> </w:t>
      </w:r>
      <w:r w:rsidRPr="0021252A">
        <w:rPr>
          <w:rFonts w:cs="Times New Roman"/>
          <w:i/>
        </w:rPr>
        <w:t>2017-2050</w:t>
      </w:r>
      <w:r w:rsidRPr="0021252A">
        <w:rPr>
          <w:rFonts w:cs="Times New Roman"/>
        </w:rPr>
        <w:t>. Newcastle,</w:t>
      </w:r>
      <w:r>
        <w:rPr>
          <w:rFonts w:cs="Times New Roman"/>
        </w:rPr>
        <w:t xml:space="preserve"> </w:t>
      </w:r>
      <w:r w:rsidRPr="0021252A">
        <w:rPr>
          <w:rFonts w:cs="Times New Roman"/>
        </w:rPr>
        <w:t>Australia</w:t>
      </w:r>
      <w:r>
        <w:rPr>
          <w:rFonts w:cs="Times New Roman"/>
        </w:rPr>
        <w:t>.</w:t>
      </w:r>
      <w:r w:rsidRPr="0021252A">
        <w:rPr>
          <w:rFonts w:cs="Times New Roman"/>
        </w:rPr>
        <w:t xml:space="preserve"> CSIRO. Retrieved from https://publications.csiro.au/rpr/pub?pid=csiro:EP178771</w:t>
      </w:r>
    </w:p>
    <w:p w14:paraId="5B328CFB" w14:textId="77777777" w:rsidR="006B01C8" w:rsidRPr="0021252A" w:rsidRDefault="006B01C8" w:rsidP="007C5C1A">
      <w:pPr>
        <w:ind w:right="340"/>
        <w:rPr>
          <w:rFonts w:cs="Times New Roman"/>
        </w:rPr>
      </w:pPr>
      <w:r w:rsidRPr="0021252A">
        <w:rPr>
          <w:rFonts w:cs="Times New Roman"/>
        </w:rPr>
        <w:t xml:space="preserve">Hayward, J., Graham, P.W. (2013). </w:t>
      </w:r>
      <w:r w:rsidRPr="0021252A">
        <w:rPr>
          <w:rFonts w:cs="Times New Roman"/>
          <w:i/>
        </w:rPr>
        <w:t>A global and local endogenous experience curve model for projecting future uptake and cost of electricity generation technologies</w:t>
      </w:r>
      <w:r w:rsidRPr="0021252A">
        <w:rPr>
          <w:rFonts w:cs="Times New Roman"/>
        </w:rPr>
        <w:t>. Energy Economics, 40, 537-548. https://doi.org/10.1016/j.eneco.2013.08.010</w:t>
      </w:r>
    </w:p>
    <w:p w14:paraId="3D575126" w14:textId="7769CC52" w:rsidR="006B01C8" w:rsidRPr="0021252A" w:rsidRDefault="006B01C8" w:rsidP="007C5C1A">
      <w:pPr>
        <w:ind w:right="340"/>
        <w:rPr>
          <w:rFonts w:cs="Times New Roman"/>
        </w:rPr>
      </w:pPr>
      <w:proofErr w:type="spellStart"/>
      <w:r w:rsidRPr="0021252A">
        <w:rPr>
          <w:rFonts w:cs="Times New Roman"/>
        </w:rPr>
        <w:t>Hertwich</w:t>
      </w:r>
      <w:proofErr w:type="spellEnd"/>
      <w:r w:rsidRPr="0021252A">
        <w:rPr>
          <w:rFonts w:cs="Times New Roman"/>
        </w:rPr>
        <w:t xml:space="preserve">, E.G., </w:t>
      </w:r>
      <w:proofErr w:type="spellStart"/>
      <w:r w:rsidRPr="0021252A">
        <w:rPr>
          <w:rFonts w:cs="Times New Roman"/>
        </w:rPr>
        <w:t>Gibon</w:t>
      </w:r>
      <w:proofErr w:type="spellEnd"/>
      <w:r w:rsidRPr="0021252A">
        <w:rPr>
          <w:rFonts w:cs="Times New Roman"/>
        </w:rPr>
        <w:t xml:space="preserve">, T., </w:t>
      </w:r>
      <w:proofErr w:type="spellStart"/>
      <w:r w:rsidRPr="0021252A">
        <w:rPr>
          <w:rFonts w:cs="Times New Roman"/>
        </w:rPr>
        <w:t>Bouman</w:t>
      </w:r>
      <w:proofErr w:type="spellEnd"/>
      <w:r w:rsidRPr="0021252A">
        <w:rPr>
          <w:rFonts w:cs="Times New Roman"/>
        </w:rPr>
        <w:t xml:space="preserve">, E.A., </w:t>
      </w:r>
      <w:proofErr w:type="spellStart"/>
      <w:r w:rsidRPr="0021252A">
        <w:rPr>
          <w:rFonts w:cs="Times New Roman"/>
        </w:rPr>
        <w:t>Arvesen</w:t>
      </w:r>
      <w:proofErr w:type="spellEnd"/>
      <w:r w:rsidRPr="0021252A">
        <w:rPr>
          <w:rFonts w:cs="Times New Roman"/>
        </w:rPr>
        <w:t xml:space="preserve">, A., Suh, S., Heath, G.A., </w:t>
      </w:r>
      <w:proofErr w:type="spellStart"/>
      <w:r w:rsidRPr="0021252A">
        <w:rPr>
          <w:rFonts w:cs="Times New Roman"/>
        </w:rPr>
        <w:t>Bergesen</w:t>
      </w:r>
      <w:proofErr w:type="spellEnd"/>
      <w:r w:rsidRPr="0021252A">
        <w:rPr>
          <w:rFonts w:cs="Times New Roman"/>
        </w:rPr>
        <w:t xml:space="preserve">, J.D., Ramirez, A., Vega, M.I. &amp; Shi, L. (2015). </w:t>
      </w:r>
      <w:r w:rsidRPr="0021252A">
        <w:rPr>
          <w:rFonts w:cs="Times New Roman"/>
          <w:i/>
        </w:rPr>
        <w:t>Integrated life-cycle assessment of electricity-supply scenarios confirms global environmental benefit of low-carbon technologies</w:t>
      </w:r>
      <w:r w:rsidRPr="0021252A">
        <w:rPr>
          <w:rFonts w:cs="Times New Roman"/>
        </w:rPr>
        <w:t xml:space="preserve">. In W. Clark (Ed.), Proceedings of </w:t>
      </w:r>
      <w:r w:rsidRPr="0021252A">
        <w:rPr>
          <w:rFonts w:cs="Times New Roman"/>
        </w:rPr>
        <w:lastRenderedPageBreak/>
        <w:t xml:space="preserve">the National Academy of Sciences of the United States of America. 112(20), pp. 6277-6282. Cambridge: PNAS. </w:t>
      </w:r>
      <w:r w:rsidR="00E43DF0">
        <w:rPr>
          <w:rFonts w:cs="Times New Roman"/>
        </w:rPr>
        <w:t xml:space="preserve">Retrieved from </w:t>
      </w:r>
      <w:r w:rsidRPr="0021252A">
        <w:rPr>
          <w:rFonts w:cs="Times New Roman"/>
        </w:rPr>
        <w:t>https://doi.org/10.1073/pnas.1312753111</w:t>
      </w:r>
    </w:p>
    <w:p w14:paraId="59D10215" w14:textId="77777777" w:rsidR="006B01C8" w:rsidRPr="00F025BB" w:rsidRDefault="006B01C8" w:rsidP="007C5C1A">
      <w:pPr>
        <w:ind w:right="340"/>
        <w:rPr>
          <w:rFonts w:cs="Times New Roman"/>
        </w:rPr>
      </w:pPr>
      <w:r w:rsidRPr="00F025BB">
        <w:rPr>
          <w:rFonts w:cs="Times New Roman"/>
        </w:rPr>
        <w:t xml:space="preserve">Hondo, H. (2005). Life cycle GHG emission analysis of power generation systems: Japanese case. </w:t>
      </w:r>
      <w:r w:rsidRPr="00F025BB">
        <w:rPr>
          <w:rFonts w:cs="Times New Roman"/>
          <w:i/>
        </w:rPr>
        <w:t>Energy 30 - 2042–2056.</w:t>
      </w:r>
      <w:r w:rsidRPr="00F025BB">
        <w:rPr>
          <w:rFonts w:cs="Times New Roman"/>
        </w:rPr>
        <w:t xml:space="preserve"> Retrieved from http://www.univie.ac.at/photovoltaik/umwelt/LCA_japanstudy.pdf</w:t>
      </w:r>
    </w:p>
    <w:p w14:paraId="4249D352" w14:textId="77777777" w:rsidR="006B01C8" w:rsidRPr="0021252A" w:rsidRDefault="006B01C8" w:rsidP="007C5C1A">
      <w:pPr>
        <w:ind w:right="340"/>
        <w:rPr>
          <w:rFonts w:eastAsia="SimSun" w:cs="Arial"/>
          <w:noProof/>
        </w:rPr>
      </w:pPr>
      <w:r w:rsidRPr="0021252A">
        <w:rPr>
          <w:rFonts w:eastAsia="SimSun" w:cs="Arial"/>
          <w:noProof/>
        </w:rPr>
        <w:t xml:space="preserve">Hou, G., Sun, H., Jiang, Z., Pan, Z., Wang, Y., Zhang, X., Zhao, Y. &amp; Yao, Q. (2016). </w:t>
      </w:r>
      <w:r w:rsidRPr="00F025BB">
        <w:rPr>
          <w:rFonts w:eastAsia="SimSun" w:cs="Arial"/>
          <w:noProof/>
        </w:rPr>
        <w:t xml:space="preserve">Life cycle assessment of grid-connected photovoltaic power generation from crystalline silicon solar modules in China. </w:t>
      </w:r>
      <w:r w:rsidRPr="00F025BB">
        <w:rPr>
          <w:rFonts w:eastAsia="SimSun" w:cs="Arial"/>
          <w:i/>
          <w:noProof/>
        </w:rPr>
        <w:t>Applied Energy, 164, 882–890.</w:t>
      </w:r>
      <w:r w:rsidRPr="00F025BB">
        <w:rPr>
          <w:rFonts w:eastAsia="SimSun" w:cs="Arial"/>
          <w:noProof/>
        </w:rPr>
        <w:t xml:space="preserve"> http://doi.org/10.1016/j.apenergy.2015.11.023</w:t>
      </w:r>
    </w:p>
    <w:p w14:paraId="253CB5A6" w14:textId="77777777" w:rsidR="006B01C8" w:rsidRPr="0021252A" w:rsidRDefault="006B01C8" w:rsidP="007C5C1A">
      <w:pPr>
        <w:ind w:right="340"/>
        <w:rPr>
          <w:rFonts w:eastAsia="SimSun" w:cs="Arial"/>
          <w:noProof/>
        </w:rPr>
      </w:pPr>
      <w:r w:rsidRPr="0021252A">
        <w:rPr>
          <w:rFonts w:eastAsia="SimSun" w:cs="Arial"/>
          <w:noProof/>
        </w:rPr>
        <w:t xml:space="preserve">Hsu, D., O’Donoughue, P., Fthenakis, V., Heath, G. A., Kim, H. C., Sawyer, P., Choi, J.K. &amp; Turney, D. E. (2012). </w:t>
      </w:r>
      <w:r w:rsidRPr="00F025BB">
        <w:rPr>
          <w:rFonts w:eastAsia="SimSun" w:cs="Arial"/>
          <w:noProof/>
        </w:rPr>
        <w:t xml:space="preserve">Life cycle greenhouse gas emissions of crystalline silicon photovoltaic electricity generation: systematic review and harmonization. </w:t>
      </w:r>
      <w:r w:rsidRPr="00F025BB">
        <w:rPr>
          <w:rFonts w:eastAsia="SimSun" w:cs="Arial"/>
          <w:i/>
          <w:noProof/>
        </w:rPr>
        <w:t>Journal of Industrial Ecology, 16, S122–S135.</w:t>
      </w:r>
      <w:r w:rsidRPr="00F025BB">
        <w:rPr>
          <w:rFonts w:eastAsia="SimSun" w:cs="Arial"/>
          <w:noProof/>
        </w:rPr>
        <w:t xml:space="preserve"> http://doi.org/10.1111/j.1530-9290.2011.00439.x</w:t>
      </w:r>
      <w:r w:rsidRPr="0021252A">
        <w:rPr>
          <w:rFonts w:eastAsia="SimSun" w:cs="Arial"/>
          <w:noProof/>
        </w:rPr>
        <w:t xml:space="preserve"> </w:t>
      </w:r>
    </w:p>
    <w:p w14:paraId="6CCEFEB7" w14:textId="77777777" w:rsidR="006B01C8" w:rsidRPr="0021252A" w:rsidRDefault="006B01C8" w:rsidP="007C5C1A">
      <w:pPr>
        <w:ind w:right="340"/>
        <w:rPr>
          <w:rFonts w:cs="Times New Roman"/>
        </w:rPr>
      </w:pPr>
      <w:r w:rsidRPr="0021252A">
        <w:rPr>
          <w:rFonts w:cs="Times New Roman"/>
        </w:rPr>
        <w:t xml:space="preserve">Ibn-Mohammed. T., Koh, S.C.L., </w:t>
      </w:r>
      <w:proofErr w:type="spellStart"/>
      <w:r w:rsidRPr="0021252A">
        <w:rPr>
          <w:rFonts w:cs="Times New Roman"/>
        </w:rPr>
        <w:t>Reaney</w:t>
      </w:r>
      <w:proofErr w:type="spellEnd"/>
      <w:r w:rsidRPr="0021252A">
        <w:rPr>
          <w:rFonts w:cs="Times New Roman"/>
        </w:rPr>
        <w:t xml:space="preserve">, I.M., </w:t>
      </w:r>
      <w:proofErr w:type="spellStart"/>
      <w:r w:rsidRPr="0021252A">
        <w:rPr>
          <w:rFonts w:cs="Times New Roman"/>
        </w:rPr>
        <w:t>Acquaye</w:t>
      </w:r>
      <w:proofErr w:type="spellEnd"/>
      <w:r w:rsidRPr="0021252A">
        <w:rPr>
          <w:rFonts w:cs="Times New Roman"/>
        </w:rPr>
        <w:t xml:space="preserve">, A., </w:t>
      </w:r>
      <w:proofErr w:type="spellStart"/>
      <w:r w:rsidRPr="0021252A">
        <w:rPr>
          <w:rFonts w:cs="Times New Roman"/>
        </w:rPr>
        <w:t>Schileo</w:t>
      </w:r>
      <w:proofErr w:type="spellEnd"/>
      <w:r w:rsidRPr="0021252A">
        <w:rPr>
          <w:rFonts w:cs="Times New Roman"/>
        </w:rPr>
        <w:t xml:space="preserve">, G., Mustapha, K.B. &amp; Greenough, R. (2017). </w:t>
      </w:r>
      <w:r w:rsidRPr="0007144C">
        <w:rPr>
          <w:rFonts w:cs="Times New Roman"/>
        </w:rPr>
        <w:t>Perovskite solar cells: An integrated hybrid lifecycle assessment and review in comparison with other photovoltaic technologies</w:t>
      </w:r>
      <w:r>
        <w:rPr>
          <w:rFonts w:cs="Times New Roman"/>
        </w:rPr>
        <w:t>.</w:t>
      </w:r>
      <w:r w:rsidRPr="0021252A">
        <w:rPr>
          <w:rFonts w:cs="Times New Roman"/>
        </w:rPr>
        <w:t xml:space="preserve"> </w:t>
      </w:r>
      <w:r w:rsidRPr="0007144C">
        <w:rPr>
          <w:rFonts w:cs="Times New Roman"/>
          <w:i/>
        </w:rPr>
        <w:t>Renewable and Sustainable Energy Reviews, 1321–1344.</w:t>
      </w:r>
      <w:r w:rsidRPr="0021252A">
        <w:rPr>
          <w:rFonts w:cs="Times New Roman"/>
        </w:rPr>
        <w:t xml:space="preserve"> doi:doi.org/10.1016/j.rser.2017.05.095</w:t>
      </w:r>
    </w:p>
    <w:p w14:paraId="5C0E947C" w14:textId="77777777" w:rsidR="006B01C8" w:rsidRPr="0021252A" w:rsidRDefault="006B01C8" w:rsidP="007C5C1A">
      <w:pPr>
        <w:ind w:right="340"/>
        <w:rPr>
          <w:rFonts w:cs="Times New Roman"/>
        </w:rPr>
      </w:pPr>
      <w:r w:rsidRPr="0021252A">
        <w:rPr>
          <w:rFonts w:cs="Times New Roman"/>
        </w:rPr>
        <w:t xml:space="preserve">IEA and NEA (2010). </w:t>
      </w:r>
      <w:r w:rsidRPr="0021252A">
        <w:rPr>
          <w:rFonts w:cs="Times New Roman"/>
          <w:i/>
        </w:rPr>
        <w:t>Projected Costs of Generating Electricity – edition 2010</w:t>
      </w:r>
      <w:r w:rsidRPr="0021252A">
        <w:rPr>
          <w:rFonts w:cs="Times New Roman"/>
        </w:rPr>
        <w:t xml:space="preserve">. </w:t>
      </w:r>
      <w:proofErr w:type="spellStart"/>
      <w:r w:rsidRPr="0021252A">
        <w:rPr>
          <w:rFonts w:cs="Times New Roman"/>
        </w:rPr>
        <w:t>Organisation</w:t>
      </w:r>
      <w:proofErr w:type="spellEnd"/>
      <w:r w:rsidRPr="0021252A">
        <w:rPr>
          <w:rFonts w:cs="Times New Roman"/>
        </w:rPr>
        <w:t xml:space="preserve"> for Economic Co-operation and Development - International Energy Agency and Nuclear Energy Agency. France. Retrieved from http://www.worldenergyoutlook.org/media/weowebsite/energymodel/ProjectedCostsofGeneratingElectricity2010.pdf</w:t>
      </w:r>
    </w:p>
    <w:p w14:paraId="3663495E" w14:textId="77777777" w:rsidR="006B01C8" w:rsidRPr="0021252A" w:rsidRDefault="006B01C8" w:rsidP="007C5C1A">
      <w:pPr>
        <w:ind w:right="340"/>
        <w:rPr>
          <w:rFonts w:cs="Times New Roman"/>
        </w:rPr>
      </w:pPr>
      <w:r w:rsidRPr="0021252A">
        <w:rPr>
          <w:rFonts w:cs="Times New Roman"/>
        </w:rPr>
        <w:t xml:space="preserve">IEA and NEA (2015). </w:t>
      </w:r>
      <w:r w:rsidRPr="0021252A">
        <w:rPr>
          <w:rFonts w:cs="Times New Roman"/>
          <w:i/>
        </w:rPr>
        <w:t>Projected Costs of Generating Electricity – edition 2015.</w:t>
      </w:r>
      <w:r w:rsidRPr="0021252A">
        <w:rPr>
          <w:rFonts w:cs="Times New Roman"/>
        </w:rPr>
        <w:t xml:space="preserve"> </w:t>
      </w:r>
      <w:proofErr w:type="spellStart"/>
      <w:r w:rsidRPr="0021252A">
        <w:rPr>
          <w:rFonts w:cs="Times New Roman"/>
        </w:rPr>
        <w:t>Organisation</w:t>
      </w:r>
      <w:proofErr w:type="spellEnd"/>
      <w:r w:rsidRPr="0021252A">
        <w:rPr>
          <w:rFonts w:cs="Times New Roman"/>
        </w:rPr>
        <w:t xml:space="preserve"> for Economic Co-operation and Development - International Energy Agency and Nuclear Energy Agency. France. Retrieved from https://www.oecd-nea.org/ndd/pubs/2015/7057-proj-costs-electricity-2015.pdf</w:t>
      </w:r>
    </w:p>
    <w:p w14:paraId="1A025957" w14:textId="77777777" w:rsidR="006B01C8" w:rsidRPr="0021252A" w:rsidRDefault="006B01C8" w:rsidP="007C5C1A">
      <w:pPr>
        <w:ind w:right="340"/>
        <w:rPr>
          <w:rFonts w:cs="Times New Roman"/>
        </w:rPr>
      </w:pPr>
      <w:r w:rsidRPr="0021252A">
        <w:rPr>
          <w:rFonts w:cs="Times New Roman"/>
        </w:rPr>
        <w:t xml:space="preserve">IEA ETSAP. (2010). </w:t>
      </w:r>
      <w:r w:rsidRPr="0021252A">
        <w:rPr>
          <w:rFonts w:cs="Times New Roman"/>
          <w:i/>
        </w:rPr>
        <w:t>Technology Brief E02 - Gas-fired Power</w:t>
      </w:r>
      <w:r w:rsidRPr="0021252A">
        <w:rPr>
          <w:rFonts w:cs="Times New Roman"/>
        </w:rPr>
        <w:t xml:space="preserve">. Paris: International Energy Agency Energy Technology Systems Analysis </w:t>
      </w:r>
      <w:proofErr w:type="spellStart"/>
      <w:r w:rsidRPr="0021252A">
        <w:rPr>
          <w:rFonts w:cs="Times New Roman"/>
        </w:rPr>
        <w:t>Programme</w:t>
      </w:r>
      <w:proofErr w:type="spellEnd"/>
      <w:r w:rsidRPr="0021252A">
        <w:rPr>
          <w:rFonts w:cs="Times New Roman"/>
        </w:rPr>
        <w:t>. Retrieved from http://www.iea-etsap.org/web/e-techds/pdf/e02-gas_fired_power-gs-ad-gct.pdf</w:t>
      </w:r>
    </w:p>
    <w:p w14:paraId="672A2F4D" w14:textId="77777777" w:rsidR="006B01C8" w:rsidRPr="0021252A" w:rsidRDefault="006B01C8" w:rsidP="007C5C1A">
      <w:pPr>
        <w:ind w:right="340"/>
        <w:rPr>
          <w:rFonts w:cs="Times New Roman"/>
        </w:rPr>
      </w:pPr>
      <w:r w:rsidRPr="0021252A">
        <w:rPr>
          <w:rFonts w:cs="Times New Roman"/>
        </w:rPr>
        <w:t xml:space="preserve">IEA PVPS. (2015a). </w:t>
      </w:r>
      <w:r w:rsidRPr="0021252A">
        <w:rPr>
          <w:rFonts w:cs="Times New Roman"/>
          <w:i/>
        </w:rPr>
        <w:t>A Snapshot of Global PV (1992-2014).</w:t>
      </w:r>
      <w:r w:rsidRPr="0021252A">
        <w:rPr>
          <w:rFonts w:cs="Times New Roman"/>
        </w:rPr>
        <w:t xml:space="preserve"> Paris: International Energy Agency Photovoltaic Power Systems </w:t>
      </w:r>
      <w:proofErr w:type="spellStart"/>
      <w:r w:rsidRPr="0021252A">
        <w:rPr>
          <w:rFonts w:cs="Times New Roman"/>
        </w:rPr>
        <w:t>Programme</w:t>
      </w:r>
      <w:proofErr w:type="spellEnd"/>
      <w:r w:rsidRPr="0021252A">
        <w:rPr>
          <w:rFonts w:cs="Times New Roman"/>
        </w:rPr>
        <w:t>. Retrieved from http://www.iea-pvps.org/fileadmin/dam/public</w:t>
      </w:r>
    </w:p>
    <w:p w14:paraId="58658EDD" w14:textId="77777777" w:rsidR="006B01C8" w:rsidRPr="0021252A" w:rsidRDefault="006B01C8" w:rsidP="007C5C1A">
      <w:pPr>
        <w:ind w:right="340"/>
        <w:rPr>
          <w:rFonts w:cs="Times New Roman"/>
        </w:rPr>
      </w:pPr>
      <w:r w:rsidRPr="0021252A">
        <w:rPr>
          <w:rFonts w:cs="Times New Roman"/>
        </w:rPr>
        <w:lastRenderedPageBreak/>
        <w:t xml:space="preserve">IEA PVPS. (2015b). </w:t>
      </w:r>
      <w:r w:rsidRPr="0021252A">
        <w:rPr>
          <w:rFonts w:cs="Times New Roman"/>
          <w:i/>
        </w:rPr>
        <w:t>Trends 2015 in Photovoltaic Applications (No. IEA-PVPS T1-27:2015).</w:t>
      </w:r>
      <w:r w:rsidRPr="0021252A">
        <w:rPr>
          <w:rFonts w:cs="Times New Roman"/>
        </w:rPr>
        <w:t xml:space="preserve"> Paris: International Energy Agency Photovoltaic Power Systems </w:t>
      </w:r>
      <w:proofErr w:type="spellStart"/>
      <w:r w:rsidRPr="0021252A">
        <w:rPr>
          <w:rFonts w:cs="Times New Roman"/>
        </w:rPr>
        <w:t>Programme</w:t>
      </w:r>
      <w:proofErr w:type="spellEnd"/>
      <w:r w:rsidRPr="0021252A">
        <w:rPr>
          <w:rFonts w:cs="Times New Roman"/>
        </w:rPr>
        <w:t>. Retrieved from http://www.iea-pvps.org/fileadmin/dam/public/report/national/IEA-PVPS_-_Trends_2015_-_MedRes.pdf</w:t>
      </w:r>
    </w:p>
    <w:p w14:paraId="4B2691B8" w14:textId="77777777" w:rsidR="006B01C8" w:rsidRPr="0021252A" w:rsidRDefault="006B01C8" w:rsidP="007C5C1A">
      <w:pPr>
        <w:ind w:right="340"/>
        <w:rPr>
          <w:rFonts w:cs="Times New Roman"/>
        </w:rPr>
      </w:pPr>
      <w:r w:rsidRPr="0021252A">
        <w:rPr>
          <w:rFonts w:cs="Times New Roman"/>
        </w:rPr>
        <w:t>IEA</w:t>
      </w:r>
      <w:r>
        <w:rPr>
          <w:rFonts w:cs="Times New Roman"/>
        </w:rPr>
        <w:t xml:space="preserve"> </w:t>
      </w:r>
      <w:r w:rsidRPr="0021252A">
        <w:rPr>
          <w:rFonts w:cs="Times New Roman"/>
        </w:rPr>
        <w:t xml:space="preserve">PVPS. (2015c). </w:t>
      </w:r>
      <w:r w:rsidRPr="0021252A">
        <w:rPr>
          <w:rFonts w:cs="Times New Roman"/>
          <w:i/>
        </w:rPr>
        <w:t>Life Cycle Inventories and Life Cycle Assessments of Photovoltaic Systems</w:t>
      </w:r>
      <w:r w:rsidRPr="0021252A">
        <w:rPr>
          <w:rFonts w:cs="Times New Roman"/>
        </w:rPr>
        <w:t xml:space="preserve">. </w:t>
      </w:r>
      <w:r w:rsidRPr="0021252A">
        <w:rPr>
          <w:rFonts w:eastAsia="SimSun" w:cs="Arial"/>
          <w:noProof/>
        </w:rPr>
        <w:t xml:space="preserve">Paris: International Energy Agency Photovoltaic Power Systems Programme. </w:t>
      </w:r>
      <w:r w:rsidRPr="0021252A">
        <w:rPr>
          <w:rFonts w:cs="Times New Roman"/>
        </w:rPr>
        <w:t>Retrieved from https://www.iea.org/renewables2018/.</w:t>
      </w:r>
    </w:p>
    <w:p w14:paraId="21B12D17" w14:textId="77777777" w:rsidR="006B01C8" w:rsidRPr="0021252A" w:rsidRDefault="006B01C8" w:rsidP="007C5C1A">
      <w:pPr>
        <w:ind w:right="340"/>
        <w:rPr>
          <w:rFonts w:eastAsia="SimSun" w:cs="Arial"/>
          <w:noProof/>
        </w:rPr>
      </w:pPr>
      <w:r w:rsidRPr="0021252A">
        <w:rPr>
          <w:rFonts w:eastAsia="SimSun" w:cs="Arial"/>
          <w:noProof/>
        </w:rPr>
        <w:t xml:space="preserve">IEA PVPS. (2016). </w:t>
      </w:r>
      <w:r w:rsidRPr="0021252A">
        <w:rPr>
          <w:rFonts w:eastAsia="SimSun" w:cs="Arial"/>
          <w:i/>
          <w:noProof/>
        </w:rPr>
        <w:t>Snapshot of global photovoltaic markets 2015</w:t>
      </w:r>
      <w:r w:rsidRPr="0021252A">
        <w:rPr>
          <w:rFonts w:eastAsia="SimSun" w:cs="Arial"/>
          <w:noProof/>
        </w:rPr>
        <w:t>. International Energy Agency Photovoltaic Power Systems Programme. Retrieved from http://www.iea-pvps.org/fileadmin/dam/public/</w:t>
      </w:r>
    </w:p>
    <w:p w14:paraId="251B9EC1" w14:textId="77777777" w:rsidR="006B01C8" w:rsidRPr="0021252A" w:rsidRDefault="006B01C8" w:rsidP="007C5C1A">
      <w:pPr>
        <w:ind w:right="340"/>
        <w:rPr>
          <w:rFonts w:cs="Times New Roman"/>
        </w:rPr>
      </w:pPr>
      <w:r w:rsidRPr="0021252A">
        <w:rPr>
          <w:rFonts w:cs="Times New Roman"/>
        </w:rPr>
        <w:t>IE</w:t>
      </w:r>
      <w:r>
        <w:rPr>
          <w:rFonts w:cs="Times New Roman"/>
        </w:rPr>
        <w:t xml:space="preserve">A </w:t>
      </w:r>
      <w:r w:rsidRPr="0021252A">
        <w:rPr>
          <w:rFonts w:cs="Times New Roman"/>
        </w:rPr>
        <w:t xml:space="preserve">PVPS. (2017). </w:t>
      </w:r>
      <w:r w:rsidRPr="0021252A">
        <w:rPr>
          <w:rFonts w:cs="Times New Roman"/>
          <w:i/>
        </w:rPr>
        <w:t>Trends 2016 in Photovoltaic Applications : Survey report of selected countries between 1992 and 2015</w:t>
      </w:r>
      <w:r w:rsidRPr="0021252A">
        <w:rPr>
          <w:rFonts w:cs="Times New Roman"/>
        </w:rPr>
        <w:t xml:space="preserve">. </w:t>
      </w:r>
      <w:r w:rsidRPr="0021252A">
        <w:rPr>
          <w:rFonts w:eastAsia="SimSun" w:cs="Arial"/>
          <w:noProof/>
        </w:rPr>
        <w:t xml:space="preserve">Paris: International Energy Agency Photovoltaic Power Systems Programme. </w:t>
      </w:r>
      <w:r w:rsidRPr="0021252A">
        <w:rPr>
          <w:rFonts w:cs="Times New Roman"/>
        </w:rPr>
        <w:t>Retrieved from https://www.cansia.ca/uploads/7/2/5/1/72513707/iea_pvps_trends_2016.pdf</w:t>
      </w:r>
    </w:p>
    <w:p w14:paraId="2FA60BF6" w14:textId="77777777" w:rsidR="006B01C8" w:rsidRPr="0021252A" w:rsidRDefault="006B01C8" w:rsidP="007C5C1A">
      <w:pPr>
        <w:ind w:right="340"/>
        <w:rPr>
          <w:rFonts w:cs="Times New Roman"/>
        </w:rPr>
      </w:pPr>
      <w:r w:rsidRPr="0021252A">
        <w:rPr>
          <w:rFonts w:cs="Times New Roman"/>
        </w:rPr>
        <w:t>IEA</w:t>
      </w:r>
      <w:r>
        <w:rPr>
          <w:rFonts w:cs="Times New Roman"/>
        </w:rPr>
        <w:t xml:space="preserve"> </w:t>
      </w:r>
      <w:r w:rsidRPr="0021252A">
        <w:rPr>
          <w:rFonts w:cs="Times New Roman"/>
        </w:rPr>
        <w:t xml:space="preserve">PVPS. (2018). </w:t>
      </w:r>
      <w:r w:rsidRPr="0021252A">
        <w:rPr>
          <w:rFonts w:cs="Times New Roman"/>
          <w:i/>
        </w:rPr>
        <w:t>Trends 2018 in Photovoltaic Applications : Survey report of selected IEA countries between 1992 and 2017</w:t>
      </w:r>
      <w:r w:rsidRPr="0021252A">
        <w:rPr>
          <w:rFonts w:cs="Times New Roman"/>
        </w:rPr>
        <w:t xml:space="preserve">. </w:t>
      </w:r>
      <w:r w:rsidRPr="0021252A">
        <w:rPr>
          <w:rFonts w:eastAsia="SimSun" w:cs="Arial"/>
          <w:noProof/>
        </w:rPr>
        <w:t>Paris: International Energy Agency Photovoltaic Power Systems Programme.</w:t>
      </w:r>
    </w:p>
    <w:p w14:paraId="1025988A" w14:textId="77777777" w:rsidR="006B01C8" w:rsidRPr="0021252A" w:rsidRDefault="006B01C8" w:rsidP="007C5C1A">
      <w:pPr>
        <w:ind w:right="340"/>
        <w:rPr>
          <w:rFonts w:eastAsia="SimSun" w:cs="Arial"/>
          <w:noProof/>
        </w:rPr>
      </w:pPr>
      <w:r w:rsidRPr="0021252A">
        <w:rPr>
          <w:rFonts w:eastAsia="SimSun" w:cs="Arial"/>
          <w:noProof/>
        </w:rPr>
        <w:t>IEA PVPS. (2018</w:t>
      </w:r>
      <w:r>
        <w:rPr>
          <w:rFonts w:eastAsia="SimSun" w:cs="Arial"/>
          <w:noProof/>
        </w:rPr>
        <w:t>a</w:t>
      </w:r>
      <w:r w:rsidRPr="0021252A">
        <w:rPr>
          <w:rFonts w:eastAsia="SimSun" w:cs="Arial"/>
          <w:noProof/>
        </w:rPr>
        <w:t xml:space="preserve">). </w:t>
      </w:r>
      <w:r w:rsidRPr="0021252A">
        <w:rPr>
          <w:rFonts w:eastAsia="SimSun" w:cs="Arial"/>
          <w:i/>
          <w:noProof/>
        </w:rPr>
        <w:t>2018: Snapshot of Global Photovoltaic Markets</w:t>
      </w:r>
      <w:r w:rsidRPr="0021252A">
        <w:rPr>
          <w:rFonts w:eastAsia="SimSun" w:cs="Arial"/>
          <w:noProof/>
        </w:rPr>
        <w:t>. Paris: International Energy Agency Photovoltaic Power Systems Programme.</w:t>
      </w:r>
    </w:p>
    <w:p w14:paraId="0D599424" w14:textId="77777777" w:rsidR="006B01C8" w:rsidRPr="0021252A" w:rsidRDefault="006B01C8" w:rsidP="007C5C1A">
      <w:pPr>
        <w:ind w:right="340"/>
        <w:rPr>
          <w:rFonts w:cs="Times New Roman"/>
        </w:rPr>
      </w:pPr>
      <w:r w:rsidRPr="0021252A">
        <w:rPr>
          <w:rFonts w:cs="Times New Roman"/>
        </w:rPr>
        <w:t xml:space="preserve">IEA. (2010). </w:t>
      </w:r>
      <w:r w:rsidRPr="0021252A">
        <w:rPr>
          <w:rFonts w:cs="Times New Roman"/>
          <w:i/>
        </w:rPr>
        <w:t>Technology Roadmap: Solar Photovoltaic Energy 2010</w:t>
      </w:r>
      <w:r w:rsidRPr="0021252A">
        <w:rPr>
          <w:rFonts w:cs="Times New Roman"/>
        </w:rPr>
        <w:t>. International Energy Agency. Paris, France</w:t>
      </w:r>
      <w:r>
        <w:rPr>
          <w:rFonts w:cs="Times New Roman"/>
        </w:rPr>
        <w:t xml:space="preserve">. </w:t>
      </w:r>
      <w:r w:rsidRPr="0021252A">
        <w:rPr>
          <w:rFonts w:cs="Times New Roman"/>
        </w:rPr>
        <w:t>Retrieved from http</w:t>
      </w:r>
      <w:r>
        <w:rPr>
          <w:rFonts w:cs="Times New Roman"/>
        </w:rPr>
        <w:t>.</w:t>
      </w:r>
      <w:r w:rsidRPr="0021252A">
        <w:rPr>
          <w:rFonts w:cs="Times New Roman"/>
        </w:rPr>
        <w:t>://www.iea.org/media/freepublications/technologyroadmaps/solar/</w:t>
      </w:r>
    </w:p>
    <w:p w14:paraId="4094F0C9" w14:textId="77777777" w:rsidR="006B01C8" w:rsidRPr="0021252A" w:rsidRDefault="006B01C8" w:rsidP="007C5C1A">
      <w:pPr>
        <w:ind w:right="340"/>
        <w:rPr>
          <w:rFonts w:cs="Times New Roman"/>
        </w:rPr>
      </w:pPr>
      <w:r w:rsidRPr="0021252A">
        <w:rPr>
          <w:rFonts w:cs="Times New Roman"/>
        </w:rPr>
        <w:t xml:space="preserve">IEA. (2012a). </w:t>
      </w:r>
      <w:r w:rsidRPr="0021252A">
        <w:rPr>
          <w:rFonts w:cs="Times New Roman"/>
          <w:i/>
        </w:rPr>
        <w:t>Technology Roadmap: High-Efficiency, Low-Emissions Coal-Fired Power Generation</w:t>
      </w:r>
      <w:r w:rsidRPr="0021252A">
        <w:rPr>
          <w:rFonts w:cs="Times New Roman"/>
        </w:rPr>
        <w:t>. International Energy Agency. Paris, France</w:t>
      </w:r>
      <w:r>
        <w:rPr>
          <w:rFonts w:cs="Times New Roman"/>
        </w:rPr>
        <w:t xml:space="preserve">. </w:t>
      </w:r>
      <w:r w:rsidRPr="0021252A">
        <w:rPr>
          <w:rFonts w:cs="Times New Roman"/>
        </w:rPr>
        <w:t>Retrieved from http://environmentportal.in/files/file/</w:t>
      </w:r>
    </w:p>
    <w:p w14:paraId="2CE62257" w14:textId="77777777" w:rsidR="006B01C8" w:rsidRPr="0021252A" w:rsidRDefault="006B01C8" w:rsidP="007C5C1A">
      <w:pPr>
        <w:ind w:right="340"/>
        <w:rPr>
          <w:rFonts w:cs="Times New Roman"/>
        </w:rPr>
      </w:pPr>
      <w:r w:rsidRPr="0021252A">
        <w:rPr>
          <w:rFonts w:cs="Times New Roman"/>
        </w:rPr>
        <w:t xml:space="preserve">IEA. (2012b). </w:t>
      </w:r>
      <w:r w:rsidRPr="0021252A">
        <w:rPr>
          <w:rFonts w:cs="Times New Roman"/>
          <w:i/>
        </w:rPr>
        <w:t>Energy Technology Perspectives 2012 – Pathways to a Clean Energy System</w:t>
      </w:r>
      <w:r w:rsidRPr="0021252A">
        <w:rPr>
          <w:rFonts w:cs="Times New Roman"/>
        </w:rPr>
        <w:t>. International Energy Agency. Paris, France</w:t>
      </w:r>
      <w:r>
        <w:rPr>
          <w:rFonts w:cs="Times New Roman"/>
        </w:rPr>
        <w:t>.</w:t>
      </w:r>
      <w:r w:rsidRPr="0021252A">
        <w:rPr>
          <w:rFonts w:cs="Times New Roman"/>
        </w:rPr>
        <w:t xml:space="preserve"> Retrieved from http://www.iea.org/publications/freepublications/publication/ETP2012_free.pdf</w:t>
      </w:r>
    </w:p>
    <w:p w14:paraId="13C03CD9" w14:textId="77777777" w:rsidR="006B01C8" w:rsidRPr="0021252A" w:rsidRDefault="006B01C8" w:rsidP="007C5C1A">
      <w:pPr>
        <w:ind w:right="340"/>
        <w:rPr>
          <w:rFonts w:cs="Times New Roman"/>
        </w:rPr>
      </w:pPr>
      <w:r w:rsidRPr="0021252A">
        <w:rPr>
          <w:rFonts w:cs="Times New Roman"/>
        </w:rPr>
        <w:t xml:space="preserve">IEA. (2014). </w:t>
      </w:r>
      <w:r w:rsidRPr="0021252A">
        <w:rPr>
          <w:rFonts w:cs="Times New Roman"/>
          <w:i/>
        </w:rPr>
        <w:t>Projected Costs of Generating Electricity – edition 2010</w:t>
      </w:r>
      <w:r w:rsidRPr="0021252A">
        <w:rPr>
          <w:rFonts w:cs="Times New Roman"/>
        </w:rPr>
        <w:t xml:space="preserve">. </w:t>
      </w:r>
      <w:proofErr w:type="spellStart"/>
      <w:r w:rsidRPr="0021252A">
        <w:rPr>
          <w:rFonts w:cs="Times New Roman"/>
        </w:rPr>
        <w:t>Organisation</w:t>
      </w:r>
      <w:proofErr w:type="spellEnd"/>
      <w:r w:rsidRPr="0021252A">
        <w:rPr>
          <w:rFonts w:cs="Times New Roman"/>
        </w:rPr>
        <w:t xml:space="preserve"> for Economic Co-operation and Development - International Energy Agency and Nuclear Energy Agency. France. Retrieved from http://www.worldenergyoutlook.org/media/weowebsite/energymodel. </w:t>
      </w:r>
    </w:p>
    <w:p w14:paraId="50EB111F" w14:textId="77777777" w:rsidR="006B01C8" w:rsidRPr="00861739" w:rsidRDefault="006B01C8" w:rsidP="007C5C1A">
      <w:pPr>
        <w:ind w:right="340"/>
        <w:rPr>
          <w:rFonts w:cs="Times New Roman"/>
        </w:rPr>
      </w:pPr>
      <w:r w:rsidRPr="00861739">
        <w:rPr>
          <w:rFonts w:cs="Times New Roman"/>
        </w:rPr>
        <w:t>IEA.</w:t>
      </w:r>
      <w:r>
        <w:rPr>
          <w:rFonts w:cs="Times New Roman"/>
        </w:rPr>
        <w:t xml:space="preserve"> </w:t>
      </w:r>
      <w:r w:rsidRPr="00861739">
        <w:rPr>
          <w:rFonts w:cs="Times New Roman"/>
        </w:rPr>
        <w:t xml:space="preserve">(2014a). </w:t>
      </w:r>
      <w:r w:rsidRPr="00861739">
        <w:rPr>
          <w:rFonts w:cs="Times New Roman"/>
          <w:i/>
        </w:rPr>
        <w:t>Technology Roadmap: Solar Photovoltaic Energy</w:t>
      </w:r>
      <w:r w:rsidRPr="00861739">
        <w:rPr>
          <w:rFonts w:cs="Times New Roman"/>
        </w:rPr>
        <w:t xml:space="preserve">. </w:t>
      </w:r>
      <w:r w:rsidRPr="0021252A">
        <w:rPr>
          <w:rFonts w:cs="Times New Roman"/>
        </w:rPr>
        <w:t>International Energy Agency. Paris, France</w:t>
      </w:r>
      <w:r>
        <w:rPr>
          <w:rFonts w:cs="Times New Roman"/>
        </w:rPr>
        <w:t xml:space="preserve">. </w:t>
      </w:r>
      <w:r w:rsidRPr="00861739">
        <w:rPr>
          <w:rFonts w:cs="Times New Roman"/>
        </w:rPr>
        <w:t xml:space="preserve">Retrieved from http://www.iea.org/publications/freepublications/publication/TechnologyRoadmapSolarPhotovoltaicEnergy_2014edition.pdf. </w:t>
      </w:r>
    </w:p>
    <w:p w14:paraId="64FCA641" w14:textId="77777777" w:rsidR="006B01C8" w:rsidRPr="0021252A" w:rsidRDefault="006B01C8" w:rsidP="007C5C1A">
      <w:pPr>
        <w:ind w:right="340"/>
        <w:rPr>
          <w:rFonts w:cs="Times New Roman"/>
        </w:rPr>
      </w:pPr>
      <w:r w:rsidRPr="0021252A">
        <w:rPr>
          <w:rFonts w:cs="Times New Roman"/>
        </w:rPr>
        <w:lastRenderedPageBreak/>
        <w:t xml:space="preserve">IEA. (2014b). </w:t>
      </w:r>
      <w:r w:rsidRPr="0021252A">
        <w:rPr>
          <w:rFonts w:cs="Times New Roman"/>
          <w:i/>
        </w:rPr>
        <w:t>Energy Technology Perspectives 2014 - Harnessing Electricity’s Potential</w:t>
      </w:r>
      <w:r w:rsidRPr="0021252A">
        <w:rPr>
          <w:rFonts w:cs="Times New Roman"/>
        </w:rPr>
        <w:t>. International Energy Agency. Paris, France</w:t>
      </w:r>
      <w:r>
        <w:rPr>
          <w:rFonts w:cs="Times New Roman"/>
        </w:rPr>
        <w:t>.</w:t>
      </w:r>
      <w:r w:rsidRPr="0021252A">
        <w:rPr>
          <w:rFonts w:cs="Times New Roman"/>
        </w:rPr>
        <w:t xml:space="preserve"> Retrieved from http://www.iea.org/etp/etp2014/</w:t>
      </w:r>
    </w:p>
    <w:p w14:paraId="4B82FD34" w14:textId="77777777" w:rsidR="006B01C8" w:rsidRDefault="006B01C8" w:rsidP="007C5C1A">
      <w:pPr>
        <w:ind w:right="340"/>
        <w:rPr>
          <w:rFonts w:cs="Times New Roman"/>
        </w:rPr>
      </w:pPr>
      <w:r w:rsidRPr="0021252A">
        <w:rPr>
          <w:rFonts w:cs="Times New Roman"/>
        </w:rPr>
        <w:t xml:space="preserve">IEA. (2016a). </w:t>
      </w:r>
      <w:r w:rsidRPr="0021252A">
        <w:rPr>
          <w:rFonts w:cs="Times New Roman"/>
          <w:i/>
        </w:rPr>
        <w:t>Energy Prices and Taxes – Third quarter 2016</w:t>
      </w:r>
      <w:r w:rsidRPr="0021252A">
        <w:rPr>
          <w:rFonts w:cs="Times New Roman"/>
        </w:rPr>
        <w:t>. Quarterly Statistics. International Energy Agency. Paris, France</w:t>
      </w:r>
      <w:r>
        <w:rPr>
          <w:rFonts w:cs="Times New Roman"/>
        </w:rPr>
        <w:t>.</w:t>
      </w:r>
    </w:p>
    <w:p w14:paraId="7B389BD0" w14:textId="77777777" w:rsidR="006B01C8" w:rsidRPr="006B01C8" w:rsidRDefault="006B01C8" w:rsidP="007C5C1A">
      <w:pPr>
        <w:ind w:right="340"/>
        <w:rPr>
          <w:rFonts w:cs="Times New Roman"/>
        </w:rPr>
      </w:pPr>
      <w:r w:rsidRPr="0021252A">
        <w:rPr>
          <w:rFonts w:cs="Times New Roman"/>
        </w:rPr>
        <w:t xml:space="preserve">IEA. (2016b). </w:t>
      </w:r>
      <w:r w:rsidRPr="0021252A">
        <w:rPr>
          <w:rFonts w:cs="Times New Roman"/>
          <w:i/>
        </w:rPr>
        <w:t>Energy Technology Perspectives 2016 - Towards Sustainable Urban Energy Systems</w:t>
      </w:r>
      <w:r w:rsidRPr="0021252A">
        <w:rPr>
          <w:rFonts w:cs="Times New Roman"/>
        </w:rPr>
        <w:t xml:space="preserve">. </w:t>
      </w:r>
      <w:r w:rsidRPr="006B01C8">
        <w:rPr>
          <w:rFonts w:cs="Times New Roman"/>
        </w:rPr>
        <w:t>International Energy Agency. Paris, France. Retrieved from http://www.iea.org/etp/etp2016/</w:t>
      </w:r>
    </w:p>
    <w:p w14:paraId="3719A74B" w14:textId="77777777" w:rsidR="006B01C8" w:rsidRPr="006B01C8" w:rsidRDefault="006B01C8" w:rsidP="007C5C1A">
      <w:pPr>
        <w:ind w:right="340"/>
        <w:rPr>
          <w:rFonts w:cs="Times New Roman"/>
        </w:rPr>
      </w:pPr>
      <w:r w:rsidRPr="006B01C8">
        <w:rPr>
          <w:rFonts w:cs="Times New Roman"/>
        </w:rPr>
        <w:t xml:space="preserve">IEA. (2017). </w:t>
      </w:r>
      <w:r w:rsidRPr="006B01C8">
        <w:rPr>
          <w:rFonts w:cs="Times New Roman"/>
          <w:i/>
        </w:rPr>
        <w:t xml:space="preserve">Energy Technology Perspectives 2017 : </w:t>
      </w:r>
      <w:proofErr w:type="spellStart"/>
      <w:r w:rsidRPr="006B01C8">
        <w:rPr>
          <w:rFonts w:cs="Times New Roman"/>
          <w:i/>
        </w:rPr>
        <w:t>Catalysing</w:t>
      </w:r>
      <w:proofErr w:type="spellEnd"/>
      <w:r w:rsidRPr="006B01C8">
        <w:rPr>
          <w:rFonts w:cs="Times New Roman"/>
          <w:i/>
        </w:rPr>
        <w:t xml:space="preserve"> energy technology transformations</w:t>
      </w:r>
      <w:r w:rsidRPr="006B01C8">
        <w:rPr>
          <w:rFonts w:cs="Times New Roman"/>
        </w:rPr>
        <w:t>. International Energy Agency. Paris, France. Retrieved from : https://www.iea.org/etp2017/.</w:t>
      </w:r>
    </w:p>
    <w:p w14:paraId="52113E84" w14:textId="77777777" w:rsidR="006B01C8" w:rsidRPr="006B01C8" w:rsidRDefault="006B01C8" w:rsidP="007C5C1A">
      <w:pPr>
        <w:ind w:right="340"/>
        <w:rPr>
          <w:rFonts w:cs="Times New Roman"/>
        </w:rPr>
      </w:pPr>
      <w:r w:rsidRPr="006B01C8">
        <w:rPr>
          <w:rFonts w:cs="Times New Roman"/>
        </w:rPr>
        <w:t xml:space="preserve">IEA. (2018a). </w:t>
      </w:r>
      <w:r w:rsidRPr="006B01C8">
        <w:rPr>
          <w:rFonts w:cs="Times New Roman"/>
          <w:i/>
        </w:rPr>
        <w:t>World Energy Outlook 2018</w:t>
      </w:r>
      <w:r w:rsidRPr="006B01C8">
        <w:rPr>
          <w:rFonts w:cs="Times New Roman"/>
        </w:rPr>
        <w:t>. International Energy Agency. Paris, France. Retrieved from : https://www.iea.org/weo/</w:t>
      </w:r>
    </w:p>
    <w:p w14:paraId="7A984204" w14:textId="77777777" w:rsidR="006B01C8" w:rsidRPr="006B01C8" w:rsidRDefault="006B01C8" w:rsidP="007C5C1A">
      <w:pPr>
        <w:ind w:right="340"/>
        <w:rPr>
          <w:rFonts w:cs="Times New Roman"/>
        </w:rPr>
      </w:pPr>
      <w:r w:rsidRPr="006B01C8">
        <w:rPr>
          <w:rFonts w:cs="Times New Roman"/>
        </w:rPr>
        <w:t xml:space="preserve">IEA. (2018b). </w:t>
      </w:r>
      <w:r w:rsidRPr="006B01C8">
        <w:rPr>
          <w:rFonts w:cs="Times New Roman"/>
          <w:i/>
        </w:rPr>
        <w:t>TRENDS 2018: Snapshot of Global Photovoltaic markets</w:t>
      </w:r>
      <w:r w:rsidRPr="006B01C8">
        <w:rPr>
          <w:rFonts w:cs="Times New Roman"/>
        </w:rPr>
        <w:t>. International Energy Agency. Paris, France.</w:t>
      </w:r>
    </w:p>
    <w:p w14:paraId="3E297B28" w14:textId="77777777" w:rsidR="006B01C8" w:rsidRPr="006B01C8" w:rsidRDefault="006B01C8" w:rsidP="007C5C1A">
      <w:pPr>
        <w:ind w:right="340"/>
        <w:rPr>
          <w:rFonts w:cs="Times New Roman"/>
        </w:rPr>
      </w:pPr>
      <w:r w:rsidRPr="006B01C8">
        <w:rPr>
          <w:rFonts w:cs="Times New Roman"/>
        </w:rPr>
        <w:t xml:space="preserve">IEA. (2018c). </w:t>
      </w:r>
      <w:r w:rsidRPr="006B01C8">
        <w:rPr>
          <w:rFonts w:cs="Times New Roman"/>
          <w:i/>
        </w:rPr>
        <w:t>Renewables 2018</w:t>
      </w:r>
      <w:r w:rsidRPr="006B01C8">
        <w:rPr>
          <w:rFonts w:cs="Times New Roman"/>
        </w:rPr>
        <w:t>. International Energy Agency. Paris, France. Retrieved from: https://www.iea.org/renewables</w:t>
      </w:r>
      <w:r w:rsidRPr="006B01C8">
        <w:rPr>
          <w:rFonts w:cs="Times New Roman"/>
          <w:bCs/>
        </w:rPr>
        <w:t>2018</w:t>
      </w:r>
      <w:r w:rsidRPr="006B01C8">
        <w:rPr>
          <w:rFonts w:cs="Times New Roman"/>
        </w:rPr>
        <w:t>/</w:t>
      </w:r>
    </w:p>
    <w:p w14:paraId="0FC399D0" w14:textId="77777777" w:rsidR="004E6D9C" w:rsidRDefault="004E6D9C" w:rsidP="004E6D9C">
      <w:pPr>
        <w:rPr>
          <w:rFonts w:cs="Times New Roman"/>
        </w:rPr>
      </w:pPr>
      <w:r>
        <w:rPr>
          <w:rFonts w:cs="Times New Roman"/>
        </w:rPr>
        <w:t xml:space="preserve">IEA (2019). Energy Prices and Taxes – Quarterly Statistics – First Quarter 2019. International Energy Agency. </w:t>
      </w:r>
      <w:r w:rsidRPr="00EC195C">
        <w:rPr>
          <w:rFonts w:cs="Times New Roman"/>
        </w:rPr>
        <w:t>OECD/IEA, Paris.</w:t>
      </w:r>
    </w:p>
    <w:p w14:paraId="58666FFE" w14:textId="77777777" w:rsidR="006B01C8" w:rsidRPr="006B01C8" w:rsidRDefault="006B01C8" w:rsidP="006B01C8">
      <w:pPr>
        <w:rPr>
          <w:rFonts w:cs="Times New Roman"/>
        </w:rPr>
      </w:pPr>
      <w:r w:rsidRPr="006B01C8">
        <w:rPr>
          <w:rFonts w:cs="Times New Roman"/>
        </w:rPr>
        <w:t xml:space="preserve">IEEJ. (2018). </w:t>
      </w:r>
      <w:r w:rsidRPr="006B01C8">
        <w:rPr>
          <w:rFonts w:cs="Times New Roman"/>
          <w:i/>
        </w:rPr>
        <w:t>IEEJ Outlook 2019 – Energy transition and a thorny oath for 3E challenges.</w:t>
      </w:r>
      <w:r w:rsidRPr="006B01C8">
        <w:rPr>
          <w:rFonts w:cs="Times New Roman"/>
        </w:rPr>
        <w:t xml:space="preserve"> The Institute of Energy Economics Japan. Available at: </w:t>
      </w:r>
      <w:hyperlink r:id="rId29" w:history="1">
        <w:r w:rsidRPr="006B01C8">
          <w:rPr>
            <w:rStyle w:val="Hyperlink"/>
            <w:rFonts w:cs="Times New Roman"/>
          </w:rPr>
          <w:t>https://eneken.ieej.or.jp/data/8122.pdf</w:t>
        </w:r>
      </w:hyperlink>
    </w:p>
    <w:p w14:paraId="7A2F3BDB" w14:textId="77777777" w:rsidR="006B01C8" w:rsidRPr="0021252A" w:rsidRDefault="006B01C8" w:rsidP="007C5C1A">
      <w:pPr>
        <w:ind w:right="340"/>
        <w:rPr>
          <w:rFonts w:cs="Times New Roman"/>
        </w:rPr>
      </w:pPr>
      <w:r w:rsidRPr="006B01C8">
        <w:rPr>
          <w:rFonts w:cs="Times New Roman"/>
        </w:rPr>
        <w:t>IPCC. (2012</w:t>
      </w:r>
      <w:r w:rsidRPr="006B01C8">
        <w:rPr>
          <w:rFonts w:cs="Times New Roman"/>
          <w:i/>
        </w:rPr>
        <w:t>). Special Report on Renewable Energy Sources and Climate Change Mitigation (SRREN)</w:t>
      </w:r>
      <w:r w:rsidRPr="006B01C8">
        <w:rPr>
          <w:rFonts w:cs="Times New Roman"/>
        </w:rPr>
        <w:t>. New York, NY: Cambridge University Press. Retrieved from http://www</w:t>
      </w:r>
      <w:r w:rsidRPr="0021252A">
        <w:rPr>
          <w:rFonts w:cs="Times New Roman"/>
        </w:rPr>
        <w:t>.ipcc.ch/report/srren/</w:t>
      </w:r>
    </w:p>
    <w:p w14:paraId="011847E2" w14:textId="77777777" w:rsidR="006B01C8" w:rsidRPr="0021252A" w:rsidRDefault="006B01C8" w:rsidP="007C5C1A">
      <w:pPr>
        <w:ind w:right="340"/>
        <w:rPr>
          <w:rFonts w:cs="Times New Roman"/>
        </w:rPr>
      </w:pPr>
      <w:r w:rsidRPr="0021252A">
        <w:rPr>
          <w:rFonts w:cs="Times New Roman"/>
        </w:rPr>
        <w:t>IPCC. (2014</w:t>
      </w:r>
      <w:r w:rsidRPr="0021252A">
        <w:rPr>
          <w:rFonts w:cs="Times New Roman"/>
          <w:i/>
        </w:rPr>
        <w:t>). Climate Change 2014: Mitigation of Climate Change. Contribution of Working Group III to the Fifth Assessment Report of the Intergovernmental Panel on Climate Change</w:t>
      </w:r>
      <w:r w:rsidRPr="0021252A">
        <w:rPr>
          <w:rFonts w:cs="Times New Roman"/>
        </w:rPr>
        <w:t xml:space="preserve"> [</w:t>
      </w:r>
      <w:proofErr w:type="spellStart"/>
      <w:r w:rsidRPr="0021252A">
        <w:rPr>
          <w:rFonts w:cs="Times New Roman"/>
        </w:rPr>
        <w:t>Edenhofer</w:t>
      </w:r>
      <w:proofErr w:type="spellEnd"/>
      <w:r w:rsidRPr="0021252A">
        <w:rPr>
          <w:rFonts w:cs="Times New Roman"/>
        </w:rPr>
        <w:t xml:space="preserve">, O., R. </w:t>
      </w:r>
      <w:proofErr w:type="spellStart"/>
      <w:r w:rsidRPr="0021252A">
        <w:rPr>
          <w:rFonts w:cs="Times New Roman"/>
        </w:rPr>
        <w:t>Pichs-Madruga</w:t>
      </w:r>
      <w:proofErr w:type="spellEnd"/>
      <w:r w:rsidRPr="0021252A">
        <w:rPr>
          <w:rFonts w:cs="Times New Roman"/>
        </w:rPr>
        <w:t xml:space="preserve">, Y. </w:t>
      </w:r>
      <w:proofErr w:type="spellStart"/>
      <w:r w:rsidRPr="0021252A">
        <w:rPr>
          <w:rFonts w:cs="Times New Roman"/>
        </w:rPr>
        <w:t>Sokona</w:t>
      </w:r>
      <w:proofErr w:type="spellEnd"/>
      <w:r w:rsidRPr="0021252A">
        <w:rPr>
          <w:rFonts w:cs="Times New Roman"/>
        </w:rPr>
        <w:t xml:space="preserve">, E. </w:t>
      </w:r>
      <w:proofErr w:type="spellStart"/>
      <w:r w:rsidRPr="0021252A">
        <w:rPr>
          <w:rFonts w:cs="Times New Roman"/>
        </w:rPr>
        <w:t>Farahani</w:t>
      </w:r>
      <w:proofErr w:type="spellEnd"/>
      <w:r w:rsidRPr="0021252A">
        <w:rPr>
          <w:rFonts w:cs="Times New Roman"/>
        </w:rPr>
        <w:t xml:space="preserve">, S. </w:t>
      </w:r>
      <w:proofErr w:type="spellStart"/>
      <w:r w:rsidRPr="0021252A">
        <w:rPr>
          <w:rFonts w:cs="Times New Roman"/>
        </w:rPr>
        <w:t>Kadner</w:t>
      </w:r>
      <w:proofErr w:type="spellEnd"/>
      <w:r w:rsidRPr="0021252A">
        <w:rPr>
          <w:rFonts w:cs="Times New Roman"/>
        </w:rPr>
        <w:t xml:space="preserve">, K. </w:t>
      </w:r>
      <w:proofErr w:type="spellStart"/>
      <w:r w:rsidRPr="0021252A">
        <w:rPr>
          <w:rFonts w:cs="Times New Roman"/>
        </w:rPr>
        <w:t>Seyboth</w:t>
      </w:r>
      <w:proofErr w:type="spellEnd"/>
      <w:r w:rsidRPr="0021252A">
        <w:rPr>
          <w:rFonts w:cs="Times New Roman"/>
        </w:rPr>
        <w:t xml:space="preserve">, A. Adler, I. Baum, S. Brunner, P. </w:t>
      </w:r>
      <w:proofErr w:type="spellStart"/>
      <w:r w:rsidRPr="0021252A">
        <w:rPr>
          <w:rFonts w:cs="Times New Roman"/>
        </w:rPr>
        <w:t>Eickemeier</w:t>
      </w:r>
      <w:proofErr w:type="spellEnd"/>
      <w:r w:rsidRPr="0021252A">
        <w:rPr>
          <w:rFonts w:cs="Times New Roman"/>
        </w:rPr>
        <w:t xml:space="preserve">, B. </w:t>
      </w:r>
      <w:proofErr w:type="spellStart"/>
      <w:r w:rsidRPr="0021252A">
        <w:rPr>
          <w:rFonts w:cs="Times New Roman"/>
        </w:rPr>
        <w:t>Kriemann</w:t>
      </w:r>
      <w:proofErr w:type="spellEnd"/>
      <w:r w:rsidRPr="0021252A">
        <w:rPr>
          <w:rFonts w:cs="Times New Roman"/>
        </w:rPr>
        <w:t xml:space="preserve">, J. </w:t>
      </w:r>
      <w:proofErr w:type="spellStart"/>
      <w:r w:rsidRPr="0021252A">
        <w:rPr>
          <w:rFonts w:cs="Times New Roman"/>
        </w:rPr>
        <w:t>Savolainen</w:t>
      </w:r>
      <w:proofErr w:type="spellEnd"/>
      <w:r w:rsidRPr="0021252A">
        <w:rPr>
          <w:rFonts w:cs="Times New Roman"/>
        </w:rPr>
        <w:t xml:space="preserve">, S. </w:t>
      </w:r>
      <w:proofErr w:type="spellStart"/>
      <w:r w:rsidRPr="0021252A">
        <w:rPr>
          <w:rFonts w:cs="Times New Roman"/>
        </w:rPr>
        <w:t>Schlömer</w:t>
      </w:r>
      <w:proofErr w:type="spellEnd"/>
      <w:r w:rsidRPr="0021252A">
        <w:rPr>
          <w:rFonts w:cs="Times New Roman"/>
        </w:rPr>
        <w:t xml:space="preserve">, C. von </w:t>
      </w:r>
      <w:proofErr w:type="spellStart"/>
      <w:r w:rsidRPr="0021252A">
        <w:rPr>
          <w:rFonts w:cs="Times New Roman"/>
        </w:rPr>
        <w:t>Stechow</w:t>
      </w:r>
      <w:proofErr w:type="spellEnd"/>
      <w:r w:rsidRPr="0021252A">
        <w:rPr>
          <w:rFonts w:cs="Times New Roman"/>
        </w:rPr>
        <w:t xml:space="preserve">, T. </w:t>
      </w:r>
      <w:proofErr w:type="spellStart"/>
      <w:r w:rsidRPr="0021252A">
        <w:rPr>
          <w:rFonts w:cs="Times New Roman"/>
        </w:rPr>
        <w:t>Zwickel</w:t>
      </w:r>
      <w:proofErr w:type="spellEnd"/>
      <w:r w:rsidRPr="0021252A">
        <w:rPr>
          <w:rFonts w:cs="Times New Roman"/>
        </w:rPr>
        <w:t xml:space="preserve"> and J.C. Minx (eds.)]. Cambridge University Press, Cambridge, United Kingdom and New York, NY, USA Retrieved from: https://www.ipcc.ch/pdf/assessment-report/ar5/wg3/ipcc_wg3_ar5_full.pdf</w:t>
      </w:r>
    </w:p>
    <w:p w14:paraId="1B8A5E61" w14:textId="77777777" w:rsidR="006B01C8" w:rsidRPr="00F025BB" w:rsidRDefault="006B01C8" w:rsidP="00F025BB">
      <w:pPr>
        <w:ind w:right="340"/>
        <w:rPr>
          <w:rFonts w:eastAsia="SimSun" w:cs="Arial"/>
          <w:noProof/>
        </w:rPr>
      </w:pPr>
      <w:r w:rsidRPr="00771051">
        <w:rPr>
          <w:rFonts w:eastAsia="SimSun" w:cs="Arial"/>
          <w:noProof/>
        </w:rPr>
        <w:t xml:space="preserve">IRENA. (2015). </w:t>
      </w:r>
      <w:r w:rsidRPr="00771051">
        <w:rPr>
          <w:rFonts w:eastAsia="SimSun" w:cs="Arial"/>
          <w:i/>
          <w:iCs/>
          <w:noProof/>
        </w:rPr>
        <w:t>Renewable Power Generation Costs in 2014</w:t>
      </w:r>
      <w:r>
        <w:rPr>
          <w:rFonts w:eastAsia="SimSun" w:cs="Arial"/>
          <w:i/>
          <w:iCs/>
          <w:noProof/>
        </w:rPr>
        <w:t xml:space="preserve">. </w:t>
      </w:r>
      <w:r w:rsidRPr="0021252A">
        <w:rPr>
          <w:rFonts w:eastAsia="SimSun" w:cs="Arial"/>
          <w:noProof/>
        </w:rPr>
        <w:t>International Renewable Energy Agency, Abu Dhabi</w:t>
      </w:r>
      <w:r>
        <w:rPr>
          <w:rFonts w:eastAsia="SimSun" w:cs="Arial"/>
          <w:noProof/>
        </w:rPr>
        <w:t xml:space="preserve">. </w:t>
      </w:r>
      <w:r w:rsidRPr="00771051">
        <w:rPr>
          <w:rFonts w:eastAsia="SimSun" w:cs="Arial"/>
          <w:iCs/>
          <w:noProof/>
        </w:rPr>
        <w:t>Retreived on 10 November 2018 from https://www.irena.org/publications/2015/Jan/Renewable-Power-Generation-Costs-in-2014.</w:t>
      </w:r>
      <w:r w:rsidRPr="00771051">
        <w:rPr>
          <w:rFonts w:eastAsia="SimSun" w:cs="Arial"/>
          <w:noProof/>
        </w:rPr>
        <w:t xml:space="preserve"> </w:t>
      </w:r>
    </w:p>
    <w:p w14:paraId="26536856" w14:textId="77777777" w:rsidR="006B01C8" w:rsidRPr="00F025BB" w:rsidRDefault="006B01C8" w:rsidP="007C5C1A">
      <w:pPr>
        <w:ind w:right="340"/>
        <w:rPr>
          <w:rFonts w:eastAsia="SimSun" w:cs="Arial"/>
          <w:noProof/>
        </w:rPr>
      </w:pPr>
      <w:r w:rsidRPr="0021252A">
        <w:rPr>
          <w:rFonts w:cs="Times New Roman"/>
        </w:rPr>
        <w:lastRenderedPageBreak/>
        <w:t xml:space="preserve">IRENA. (2016). </w:t>
      </w:r>
      <w:r w:rsidRPr="0021252A">
        <w:rPr>
          <w:rFonts w:cs="Times New Roman"/>
          <w:i/>
        </w:rPr>
        <w:t>The Power to Change: Solar and Wind Cost Reduction Potential to 2025</w:t>
      </w:r>
      <w:r>
        <w:rPr>
          <w:rFonts w:cs="Times New Roman"/>
        </w:rPr>
        <w:t xml:space="preserve">. </w:t>
      </w:r>
      <w:r w:rsidRPr="0021252A">
        <w:rPr>
          <w:rFonts w:eastAsia="SimSun" w:cs="Arial"/>
          <w:noProof/>
        </w:rPr>
        <w:t>International Renewable Energy Agency, Abu Dhabi</w:t>
      </w:r>
      <w:r w:rsidRPr="0021252A">
        <w:rPr>
          <w:rFonts w:cs="Times New Roman"/>
        </w:rPr>
        <w:t xml:space="preserve">. Retrieved on 20 November 2018 from https://www.irena.org/publications/2016/Jun/The-Power-to-Change-Solar-and-Wind-Cost-Reduction-Potential-to-2025. </w:t>
      </w:r>
    </w:p>
    <w:p w14:paraId="68D679F4" w14:textId="77777777" w:rsidR="006B01C8" w:rsidRPr="0021252A" w:rsidRDefault="006B01C8" w:rsidP="007C5C1A">
      <w:pPr>
        <w:ind w:right="340"/>
        <w:rPr>
          <w:rFonts w:eastAsia="SimSun" w:cs="Arial"/>
          <w:noProof/>
        </w:rPr>
      </w:pPr>
      <w:r w:rsidRPr="0021252A">
        <w:rPr>
          <w:rFonts w:eastAsia="SimSun" w:cs="Arial"/>
          <w:noProof/>
        </w:rPr>
        <w:t xml:space="preserve">IRENA. (2016a). </w:t>
      </w:r>
      <w:r w:rsidRPr="0021252A">
        <w:rPr>
          <w:rFonts w:eastAsia="SimSun" w:cs="Arial"/>
          <w:i/>
          <w:noProof/>
        </w:rPr>
        <w:t>Renewable Energy Statistics 2016</w:t>
      </w:r>
      <w:r w:rsidRPr="0021252A">
        <w:rPr>
          <w:rFonts w:eastAsia="SimSun" w:cs="Arial"/>
          <w:noProof/>
        </w:rPr>
        <w:t>. International Renewable Energy Agency, Abu Dhabi</w:t>
      </w:r>
      <w:r>
        <w:rPr>
          <w:rFonts w:eastAsia="SimSun" w:cs="Arial"/>
          <w:noProof/>
        </w:rPr>
        <w:t xml:space="preserve">. </w:t>
      </w:r>
      <w:r w:rsidRPr="0021252A">
        <w:rPr>
          <w:rFonts w:eastAsia="SimSun" w:cs="Arial"/>
          <w:noProof/>
        </w:rPr>
        <w:t>Retrieved from http://www.irena.org/DocumentDownloads/Publications/IRENA_RE_Capacity_Statistics_2016.pdf</w:t>
      </w:r>
    </w:p>
    <w:p w14:paraId="07116B82" w14:textId="77777777" w:rsidR="006B01C8" w:rsidRPr="0021252A" w:rsidRDefault="006B01C8" w:rsidP="007C5C1A">
      <w:pPr>
        <w:ind w:right="340"/>
        <w:rPr>
          <w:rFonts w:eastAsia="SimSun" w:cs="Arial"/>
          <w:noProof/>
        </w:rPr>
      </w:pPr>
      <w:r w:rsidRPr="0021252A">
        <w:rPr>
          <w:rFonts w:eastAsia="SimSun" w:cs="Arial"/>
          <w:noProof/>
        </w:rPr>
        <w:t xml:space="preserve">IRENA. (2017). </w:t>
      </w:r>
      <w:r w:rsidRPr="0021252A">
        <w:rPr>
          <w:rFonts w:eastAsia="SimSun" w:cs="Arial"/>
          <w:i/>
          <w:noProof/>
        </w:rPr>
        <w:t>IRENA:  Cost and Competitiveness Indicators: Rooftop Solar PV</w:t>
      </w:r>
      <w:r w:rsidRPr="0021252A">
        <w:rPr>
          <w:rFonts w:eastAsia="SimSun" w:cs="Arial"/>
          <w:noProof/>
        </w:rPr>
        <w:t>.  International Renewable Energy Agency, Abu Dhabi</w:t>
      </w:r>
      <w:r>
        <w:rPr>
          <w:rFonts w:eastAsia="SimSun" w:cs="Arial"/>
          <w:noProof/>
        </w:rPr>
        <w:t>.</w:t>
      </w:r>
    </w:p>
    <w:p w14:paraId="42561E90" w14:textId="77777777" w:rsidR="006B01C8" w:rsidRPr="00771051" w:rsidRDefault="006B01C8" w:rsidP="00F025BB">
      <w:pPr>
        <w:ind w:right="340"/>
        <w:rPr>
          <w:rFonts w:eastAsia="SimSun" w:cs="Arial"/>
          <w:noProof/>
        </w:rPr>
      </w:pPr>
      <w:r w:rsidRPr="00771051">
        <w:rPr>
          <w:rFonts w:eastAsia="SimSun" w:cs="Arial"/>
          <w:noProof/>
        </w:rPr>
        <w:t xml:space="preserve">IRENA. (2018). </w:t>
      </w:r>
      <w:r w:rsidRPr="00771051">
        <w:rPr>
          <w:rFonts w:eastAsia="SimSun" w:cs="Arial"/>
          <w:i/>
          <w:iCs/>
          <w:noProof/>
        </w:rPr>
        <w:t>Renewable Energy Statistics 2018;</w:t>
      </w:r>
      <w:r w:rsidRPr="00771051">
        <w:rPr>
          <w:rFonts w:eastAsia="SimSun" w:cs="Arial"/>
          <w:noProof/>
        </w:rPr>
        <w:t xml:space="preserve"> </w:t>
      </w:r>
      <w:r w:rsidRPr="0021252A">
        <w:rPr>
          <w:rFonts w:eastAsia="SimSun" w:cs="Arial"/>
          <w:noProof/>
        </w:rPr>
        <w:t>International Renewable Energy Agency, Abu Dhabi</w:t>
      </w:r>
      <w:r>
        <w:rPr>
          <w:rFonts w:eastAsia="SimSun" w:cs="Arial"/>
          <w:noProof/>
        </w:rPr>
        <w:t>.</w:t>
      </w:r>
      <w:r w:rsidRPr="00771051">
        <w:rPr>
          <w:rFonts w:eastAsia="SimSun" w:cs="Arial"/>
          <w:i/>
          <w:iCs/>
          <w:noProof/>
        </w:rPr>
        <w:t xml:space="preserve"> </w:t>
      </w:r>
      <w:r>
        <w:rPr>
          <w:rFonts w:eastAsia="SimSun" w:cs="Arial"/>
          <w:iCs/>
          <w:noProof/>
        </w:rPr>
        <w:t>R</w:t>
      </w:r>
      <w:r w:rsidRPr="00771051">
        <w:rPr>
          <w:rFonts w:eastAsia="SimSun" w:cs="Arial"/>
          <w:iCs/>
          <w:noProof/>
        </w:rPr>
        <w:t>etrieved on 15 November 2018 from https://www.irena.org/publications/2018/Jul/Renewable-Energy-Statistics-2018.</w:t>
      </w:r>
      <w:r w:rsidRPr="00771051">
        <w:rPr>
          <w:rFonts w:eastAsia="SimSun" w:cs="Arial"/>
          <w:noProof/>
        </w:rPr>
        <w:t xml:space="preserve"> </w:t>
      </w:r>
    </w:p>
    <w:p w14:paraId="7CDF46F6" w14:textId="77777777" w:rsidR="006B01C8" w:rsidRPr="00F025BB" w:rsidRDefault="006B01C8" w:rsidP="007C5C1A">
      <w:pPr>
        <w:ind w:right="340"/>
        <w:rPr>
          <w:rFonts w:eastAsia="SimSun" w:cs="Arial"/>
          <w:noProof/>
        </w:rPr>
      </w:pPr>
      <w:r w:rsidRPr="0021252A">
        <w:rPr>
          <w:rFonts w:cs="Times New Roman"/>
        </w:rPr>
        <w:t xml:space="preserve">IRENA. (2018a). </w:t>
      </w:r>
      <w:r w:rsidRPr="0021252A">
        <w:rPr>
          <w:rFonts w:cs="Times New Roman"/>
          <w:i/>
        </w:rPr>
        <w:t>Global Trends in Renewable Energy Costs</w:t>
      </w:r>
      <w:r w:rsidRPr="0021252A">
        <w:rPr>
          <w:rFonts w:cs="Times New Roman"/>
        </w:rPr>
        <w:t xml:space="preserve">. </w:t>
      </w:r>
      <w:r w:rsidRPr="0021252A">
        <w:rPr>
          <w:rFonts w:eastAsia="SimSun" w:cs="Arial"/>
          <w:noProof/>
        </w:rPr>
        <w:t>International Renewable Energy Agency, Abu Dhabi</w:t>
      </w:r>
    </w:p>
    <w:p w14:paraId="1CB2449B" w14:textId="77777777" w:rsidR="006B01C8" w:rsidRPr="006B01C8" w:rsidRDefault="006B01C8" w:rsidP="007C5C1A">
      <w:pPr>
        <w:ind w:right="340"/>
        <w:rPr>
          <w:rFonts w:eastAsia="SimSun" w:cs="Arial"/>
          <w:noProof/>
        </w:rPr>
      </w:pPr>
      <w:r w:rsidRPr="00537FD9">
        <w:rPr>
          <w:rFonts w:cs="Times New Roman"/>
        </w:rPr>
        <w:t xml:space="preserve">IRENA. (2018b). </w:t>
      </w:r>
      <w:r w:rsidRPr="0021252A">
        <w:rPr>
          <w:rFonts w:cs="Times New Roman"/>
          <w:i/>
        </w:rPr>
        <w:t>Renewable Power Generation Costs in 2017</w:t>
      </w:r>
      <w:r w:rsidRPr="0021252A">
        <w:rPr>
          <w:rFonts w:cs="Times New Roman"/>
        </w:rPr>
        <w:t xml:space="preserve">; </w:t>
      </w:r>
      <w:r w:rsidRPr="0021252A">
        <w:rPr>
          <w:rFonts w:eastAsia="SimSun" w:cs="Arial"/>
          <w:noProof/>
        </w:rPr>
        <w:t>International Renewable Energy Agency, Abu Dhab</w:t>
      </w:r>
      <w:r>
        <w:rPr>
          <w:rFonts w:eastAsia="SimSun" w:cs="Arial"/>
          <w:noProof/>
        </w:rPr>
        <w:t xml:space="preserve">i. </w:t>
      </w:r>
      <w:r w:rsidRPr="0021252A">
        <w:rPr>
          <w:rFonts w:cs="Times New Roman"/>
        </w:rPr>
        <w:t>Retrieved on 25 November 2018 from https://www.irena.org/publications/</w:t>
      </w:r>
      <w:r w:rsidRPr="006B01C8">
        <w:rPr>
          <w:rFonts w:cs="Times New Roman"/>
        </w:rPr>
        <w:t xml:space="preserve">2018/Jan/Renewable-power-generation-costs-in-2017. </w:t>
      </w:r>
    </w:p>
    <w:p w14:paraId="7DFE9DE2" w14:textId="77777777" w:rsidR="006B01C8" w:rsidRPr="006B01C8" w:rsidRDefault="006B01C8" w:rsidP="007C5C1A">
      <w:pPr>
        <w:ind w:right="340"/>
        <w:rPr>
          <w:rFonts w:eastAsia="SimSun" w:cs="Arial"/>
          <w:noProof/>
        </w:rPr>
      </w:pPr>
      <w:r w:rsidRPr="006B01C8">
        <w:rPr>
          <w:rFonts w:cs="Times New Roman"/>
        </w:rPr>
        <w:t xml:space="preserve">IRENA. (2018c). </w:t>
      </w:r>
      <w:r w:rsidRPr="006B01C8">
        <w:rPr>
          <w:rFonts w:cs="Times New Roman"/>
          <w:i/>
        </w:rPr>
        <w:t>Renewable Energy Topic; featured Dashboard.</w:t>
      </w:r>
      <w:r w:rsidRPr="006B01C8">
        <w:rPr>
          <w:rFonts w:cs="Times New Roman"/>
        </w:rPr>
        <w:t xml:space="preserve"> </w:t>
      </w:r>
      <w:r w:rsidRPr="006B01C8">
        <w:rPr>
          <w:rFonts w:eastAsia="SimSun" w:cs="Arial"/>
          <w:noProof/>
        </w:rPr>
        <w:t xml:space="preserve">International Renewable Energy Agency, Abu Dhabi. </w:t>
      </w:r>
      <w:r w:rsidRPr="006B01C8">
        <w:rPr>
          <w:rFonts w:cs="Times New Roman"/>
        </w:rPr>
        <w:t>Retrieved from http://resourceirena.irena.org/gateway/dashboard/</w:t>
      </w:r>
    </w:p>
    <w:p w14:paraId="2BFBF46B" w14:textId="6555EB93" w:rsidR="006B01C8" w:rsidRPr="006B01C8" w:rsidRDefault="006B01C8" w:rsidP="00F025BB">
      <w:pPr>
        <w:ind w:right="340"/>
        <w:rPr>
          <w:rFonts w:eastAsia="SimSun" w:cs="Arial"/>
          <w:noProof/>
        </w:rPr>
      </w:pPr>
      <w:r w:rsidRPr="006B01C8">
        <w:rPr>
          <w:rFonts w:eastAsia="SimSun" w:cs="Arial"/>
          <w:noProof/>
        </w:rPr>
        <w:t xml:space="preserve">IRENA. (2018d). </w:t>
      </w:r>
      <w:r w:rsidRPr="006B01C8">
        <w:rPr>
          <w:rFonts w:eastAsia="SimSun" w:cs="Arial"/>
          <w:i/>
          <w:iCs/>
          <w:noProof/>
        </w:rPr>
        <w:t xml:space="preserve">Global Energy Transformation: A Roadmap to 2050. </w:t>
      </w:r>
      <w:r w:rsidRPr="006B01C8">
        <w:rPr>
          <w:rFonts w:eastAsia="SimSun" w:cs="Arial"/>
          <w:noProof/>
        </w:rPr>
        <w:t>International Renewable Energy Agency, Abu Dhabi. R</w:t>
      </w:r>
      <w:r w:rsidRPr="006B01C8">
        <w:rPr>
          <w:rFonts w:eastAsia="SimSun" w:cs="Arial"/>
          <w:iCs/>
          <w:noProof/>
        </w:rPr>
        <w:t>etrieved on 15 November 2018 from https://www.irena.org/-/media/Files/IRENA/Agency/Publication/2018/Apr/IRENA_Report_GET_2018.pdf.</w:t>
      </w:r>
      <w:r w:rsidRPr="006B01C8">
        <w:rPr>
          <w:rFonts w:eastAsia="SimSun" w:cs="Arial"/>
          <w:noProof/>
        </w:rPr>
        <w:t xml:space="preserve"> </w:t>
      </w:r>
    </w:p>
    <w:p w14:paraId="7BDC7686" w14:textId="5E1F889D" w:rsidR="006B01C8" w:rsidRPr="006B01C8" w:rsidRDefault="006B01C8" w:rsidP="006B01C8">
      <w:pPr>
        <w:rPr>
          <w:rFonts w:cs="Times New Roman"/>
        </w:rPr>
      </w:pPr>
      <w:r w:rsidRPr="006B01C8">
        <w:rPr>
          <w:rFonts w:cs="Times New Roman"/>
        </w:rPr>
        <w:t>IRENA. (2019).</w:t>
      </w:r>
      <w:r w:rsidRPr="006B01C8">
        <w:rPr>
          <w:rFonts w:cs="Times New Roman"/>
          <w:i/>
        </w:rPr>
        <w:t xml:space="preserve"> Global energy transformation: </w:t>
      </w:r>
      <w:r w:rsidRPr="006B01C8">
        <w:rPr>
          <w:rFonts w:cs="Times New Roman"/>
        </w:rPr>
        <w:t xml:space="preserve">The </w:t>
      </w:r>
      <w:proofErr w:type="spellStart"/>
      <w:r w:rsidRPr="006B01C8">
        <w:rPr>
          <w:rFonts w:cs="Times New Roman"/>
        </w:rPr>
        <w:t>REmap</w:t>
      </w:r>
      <w:proofErr w:type="spellEnd"/>
      <w:r w:rsidRPr="006B01C8">
        <w:rPr>
          <w:rFonts w:cs="Times New Roman"/>
        </w:rPr>
        <w:t xml:space="preserve"> transition pathway (Background report to 2019 edition), International Renewable Energy Agency, Abu Dhabi.</w:t>
      </w:r>
    </w:p>
    <w:p w14:paraId="53BBE1B9" w14:textId="77777777" w:rsidR="006B01C8" w:rsidRPr="0021252A" w:rsidRDefault="006B01C8" w:rsidP="007C5C1A">
      <w:pPr>
        <w:ind w:right="340"/>
        <w:rPr>
          <w:rFonts w:cs="Times New Roman"/>
        </w:rPr>
      </w:pPr>
      <w:r w:rsidRPr="0021252A">
        <w:rPr>
          <w:rFonts w:cs="Times New Roman"/>
        </w:rPr>
        <w:t xml:space="preserve">ITRPV. (2015). </w:t>
      </w:r>
      <w:r w:rsidRPr="0021252A">
        <w:rPr>
          <w:rFonts w:cs="Times New Roman"/>
          <w:i/>
        </w:rPr>
        <w:t>International Technology Roadmap for Photovoltaic: 2014 Results.</w:t>
      </w:r>
      <w:r w:rsidRPr="0021252A">
        <w:rPr>
          <w:rFonts w:cs="Times New Roman"/>
        </w:rPr>
        <w:t xml:space="preserve"> International Technology Roadmap for Photovoltaics (PV). </w:t>
      </w:r>
      <w:bookmarkStart w:id="76" w:name="_Hlk534445685"/>
      <w:r w:rsidRPr="0021252A">
        <w:rPr>
          <w:rFonts w:cs="Times New Roman"/>
        </w:rPr>
        <w:t>Retrieved from http://www.itrpv.net/Reports/Downloads/</w:t>
      </w:r>
    </w:p>
    <w:bookmarkEnd w:id="76"/>
    <w:p w14:paraId="69CF5789" w14:textId="77777777" w:rsidR="006B01C8" w:rsidRPr="0021252A" w:rsidRDefault="006B01C8" w:rsidP="007C5C1A">
      <w:pPr>
        <w:ind w:right="340"/>
        <w:rPr>
          <w:rFonts w:cs="Times New Roman"/>
        </w:rPr>
      </w:pPr>
      <w:r w:rsidRPr="0021252A">
        <w:rPr>
          <w:rFonts w:cs="Times New Roman"/>
        </w:rPr>
        <w:t xml:space="preserve">ITRPV. (2016). </w:t>
      </w:r>
      <w:r w:rsidRPr="0021252A">
        <w:rPr>
          <w:rFonts w:cs="Times New Roman"/>
          <w:i/>
        </w:rPr>
        <w:t>International Technology Roadmap for Photovoltaics: 2015 Results</w:t>
      </w:r>
      <w:r w:rsidRPr="0021252A">
        <w:rPr>
          <w:rFonts w:cs="Times New Roman"/>
        </w:rPr>
        <w:t xml:space="preserve"> (pp. 40–41). International Technology Roadmap for Photovoltaics (PV). Retrieved from http://www.itrpv.net/Reports/</w:t>
      </w:r>
    </w:p>
    <w:p w14:paraId="525E2119" w14:textId="77777777" w:rsidR="006B01C8" w:rsidRPr="0021252A" w:rsidRDefault="006B01C8" w:rsidP="007C5C1A">
      <w:pPr>
        <w:ind w:right="340"/>
        <w:rPr>
          <w:rFonts w:cs="Times New Roman"/>
        </w:rPr>
      </w:pPr>
      <w:r w:rsidRPr="0021252A">
        <w:rPr>
          <w:rFonts w:cs="Times New Roman"/>
        </w:rPr>
        <w:lastRenderedPageBreak/>
        <w:t xml:space="preserve">ITRPV. (2017). </w:t>
      </w:r>
      <w:r w:rsidRPr="0021252A">
        <w:rPr>
          <w:rFonts w:cs="Times New Roman"/>
          <w:i/>
        </w:rPr>
        <w:t>International technology Roadmap for Photovoltaic : Results 2017 including maturity report 2017.</w:t>
      </w:r>
      <w:r w:rsidRPr="0021252A">
        <w:rPr>
          <w:rFonts w:cs="Times New Roman"/>
        </w:rPr>
        <w:t xml:space="preserve"> </w:t>
      </w:r>
      <w:proofErr w:type="spellStart"/>
      <w:r w:rsidRPr="0021252A">
        <w:rPr>
          <w:rFonts w:cs="Times New Roman"/>
        </w:rPr>
        <w:t>VDMAe.V</w:t>
      </w:r>
      <w:proofErr w:type="spellEnd"/>
      <w:r w:rsidRPr="0021252A">
        <w:rPr>
          <w:rFonts w:cs="Times New Roman"/>
        </w:rPr>
        <w:t>. Frankfurt. Retrieved from http://www.itrpv.net/Reports/Downloads/</w:t>
      </w:r>
    </w:p>
    <w:p w14:paraId="00289F5E" w14:textId="77777777" w:rsidR="006B01C8" w:rsidRPr="0021252A" w:rsidRDefault="006B01C8" w:rsidP="007C5C1A">
      <w:pPr>
        <w:ind w:right="340"/>
        <w:rPr>
          <w:rFonts w:cs="Times New Roman"/>
        </w:rPr>
      </w:pPr>
      <w:r w:rsidRPr="0021252A">
        <w:rPr>
          <w:rFonts w:cs="Times New Roman"/>
        </w:rPr>
        <w:t xml:space="preserve">ITRPV. (2018). </w:t>
      </w:r>
      <w:r w:rsidRPr="0021252A">
        <w:rPr>
          <w:rFonts w:cs="Times New Roman"/>
          <w:i/>
        </w:rPr>
        <w:t>International technology roadmap for Photovoltaic : Results 2018</w:t>
      </w:r>
      <w:r w:rsidRPr="0021252A">
        <w:rPr>
          <w:rFonts w:cs="Times New Roman"/>
        </w:rPr>
        <w:t xml:space="preserve">. </w:t>
      </w:r>
      <w:proofErr w:type="spellStart"/>
      <w:r w:rsidRPr="0021252A">
        <w:rPr>
          <w:rFonts w:cs="Times New Roman"/>
        </w:rPr>
        <w:t>VDMAe.V</w:t>
      </w:r>
      <w:proofErr w:type="spellEnd"/>
      <w:r w:rsidRPr="0021252A">
        <w:rPr>
          <w:rFonts w:cs="Times New Roman"/>
        </w:rPr>
        <w:t>. Frankfurt. Retrieved from http://www.itrpv.net/Reports/Downloads/</w:t>
      </w:r>
    </w:p>
    <w:p w14:paraId="3176801D" w14:textId="77777777" w:rsidR="006B01C8" w:rsidRPr="00F025BB" w:rsidRDefault="006B01C8" w:rsidP="007C5C1A">
      <w:pPr>
        <w:ind w:right="340"/>
        <w:rPr>
          <w:rFonts w:eastAsia="SimSun" w:cs="Arial"/>
          <w:noProof/>
        </w:rPr>
      </w:pPr>
      <w:r w:rsidRPr="00F025BB">
        <w:rPr>
          <w:rFonts w:eastAsia="SimSun" w:cs="Arial"/>
          <w:noProof/>
        </w:rPr>
        <w:t>j.energy.2013.04.034</w:t>
      </w:r>
    </w:p>
    <w:p w14:paraId="2A1D9D66" w14:textId="77777777" w:rsidR="006B01C8" w:rsidRPr="0021252A" w:rsidRDefault="006B01C8" w:rsidP="007C5C1A">
      <w:pPr>
        <w:ind w:right="340"/>
        <w:rPr>
          <w:rFonts w:eastAsia="SimSun" w:cs="Arial"/>
          <w:noProof/>
        </w:rPr>
      </w:pPr>
      <w:r w:rsidRPr="0021252A">
        <w:rPr>
          <w:rFonts w:eastAsia="SimSun" w:cs="Arial"/>
          <w:noProof/>
        </w:rPr>
        <w:t xml:space="preserve">Kim, H. C., Fthenakis, V., Choi, J.-K., &amp; Turney, D. E. (2012). </w:t>
      </w:r>
      <w:r w:rsidRPr="00F025BB">
        <w:rPr>
          <w:rFonts w:eastAsia="SimSun" w:cs="Arial"/>
          <w:noProof/>
        </w:rPr>
        <w:t xml:space="preserve">Life Cycle Greenhouse Gas Emissions of Thin-film Photovoltaic Electricity Generation: Systematic Review and Harmonization. </w:t>
      </w:r>
      <w:r w:rsidRPr="00F025BB">
        <w:rPr>
          <w:rFonts w:eastAsia="SimSun" w:cs="Arial"/>
          <w:i/>
          <w:noProof/>
        </w:rPr>
        <w:t>Journal of Industrial Ecology, 16, S110–S121.</w:t>
      </w:r>
      <w:r w:rsidRPr="00F025BB">
        <w:rPr>
          <w:rFonts w:eastAsia="SimSun" w:cs="Arial"/>
          <w:noProof/>
        </w:rPr>
        <w:t xml:space="preserve"> http://doi.org/10.1111/j.1530-9290.2011.00423.x.</w:t>
      </w:r>
      <w:r w:rsidRPr="0021252A">
        <w:rPr>
          <w:rFonts w:eastAsia="SimSun" w:cs="Arial"/>
          <w:noProof/>
        </w:rPr>
        <w:t xml:space="preserve"> </w:t>
      </w:r>
    </w:p>
    <w:p w14:paraId="4D2C1125" w14:textId="77777777" w:rsidR="006B01C8" w:rsidRPr="0021252A" w:rsidRDefault="006B01C8" w:rsidP="007C5C1A">
      <w:pPr>
        <w:ind w:right="340"/>
        <w:rPr>
          <w:rFonts w:eastAsia="SimSun" w:cs="Arial"/>
          <w:noProof/>
        </w:rPr>
      </w:pPr>
      <w:r w:rsidRPr="0021252A">
        <w:rPr>
          <w:rFonts w:eastAsia="SimSun" w:cs="Arial"/>
          <w:noProof/>
        </w:rPr>
        <w:t xml:space="preserve">Kriegler, E., Riahi, K., Bauer, N., Schwanitz, V. J., Petermann, N., Bosetti, V., … Edenhofer, O. (2015). </w:t>
      </w:r>
      <w:r w:rsidRPr="00F025BB">
        <w:rPr>
          <w:rFonts w:eastAsia="SimSun" w:cs="Arial"/>
          <w:noProof/>
        </w:rPr>
        <w:t xml:space="preserve">Making or breaking climate targets: The AMPERE study on staged accession scenarios for climate policy. </w:t>
      </w:r>
      <w:r w:rsidRPr="0021252A">
        <w:rPr>
          <w:rFonts w:eastAsia="SimSun" w:cs="Arial"/>
          <w:i/>
          <w:noProof/>
        </w:rPr>
        <w:t>Technological Forecasting and Social Change,</w:t>
      </w:r>
      <w:r w:rsidRPr="0021252A">
        <w:rPr>
          <w:rFonts w:eastAsia="SimSun" w:cs="Arial"/>
          <w:noProof/>
        </w:rPr>
        <w:t xml:space="preserve"> 90, 24–44. http://doi.org/10.1016/j.techfore.2013.09.021</w:t>
      </w:r>
    </w:p>
    <w:p w14:paraId="2E9A9009" w14:textId="77777777" w:rsidR="006B01C8" w:rsidRPr="0021252A" w:rsidRDefault="006B01C8" w:rsidP="007C5C1A">
      <w:pPr>
        <w:ind w:right="340"/>
        <w:rPr>
          <w:rFonts w:cs="Times New Roman"/>
        </w:rPr>
      </w:pPr>
      <w:r w:rsidRPr="0021252A">
        <w:rPr>
          <w:rFonts w:cs="Times New Roman"/>
        </w:rPr>
        <w:t xml:space="preserve">Lazard. (2015). </w:t>
      </w:r>
      <w:r w:rsidRPr="0021252A">
        <w:rPr>
          <w:rFonts w:cs="Times New Roman"/>
          <w:i/>
        </w:rPr>
        <w:t>Lazard’s Levelized Cost of Energy Analysis – Version 9.0</w:t>
      </w:r>
      <w:r w:rsidRPr="0021252A">
        <w:rPr>
          <w:rFonts w:cs="Times New Roman"/>
        </w:rPr>
        <w:t>. New York: Lazard. Retrieved from https://www.lazard.com/media/2390/lazards-levelized-cost-of-energy-analysis-90.pdf</w:t>
      </w:r>
    </w:p>
    <w:p w14:paraId="7A9469B4" w14:textId="77777777" w:rsidR="006B01C8" w:rsidRPr="0021252A" w:rsidRDefault="006B01C8" w:rsidP="007C5C1A">
      <w:pPr>
        <w:ind w:right="340"/>
        <w:rPr>
          <w:rFonts w:cs="Times New Roman"/>
        </w:rPr>
      </w:pPr>
      <w:r w:rsidRPr="0021252A">
        <w:rPr>
          <w:rFonts w:cs="Times New Roman"/>
        </w:rPr>
        <w:t xml:space="preserve">Lazard. (2016). </w:t>
      </w:r>
      <w:r w:rsidRPr="0021252A">
        <w:rPr>
          <w:rFonts w:cs="Times New Roman"/>
          <w:i/>
        </w:rPr>
        <w:t>Lazard's Levelized Cost of Energy Analysis - Version 10.0</w:t>
      </w:r>
      <w:r w:rsidRPr="0021252A">
        <w:rPr>
          <w:rFonts w:cs="Times New Roman"/>
        </w:rPr>
        <w:t>; New York: Lazard. Retrieved on 10 November 2018 from https://www.lazard.com/media/438038/levelized-cost-of-energy-v100.pdf..</w:t>
      </w:r>
    </w:p>
    <w:p w14:paraId="2AA826B0" w14:textId="77777777" w:rsidR="006B01C8" w:rsidRPr="0021252A" w:rsidRDefault="006B01C8" w:rsidP="007C5C1A">
      <w:pPr>
        <w:ind w:right="340"/>
        <w:rPr>
          <w:rFonts w:cs="Times New Roman"/>
        </w:rPr>
      </w:pPr>
      <w:r w:rsidRPr="0021252A">
        <w:rPr>
          <w:rFonts w:cs="Times New Roman"/>
        </w:rPr>
        <w:t xml:space="preserve">Lazard. (2017). </w:t>
      </w:r>
      <w:r w:rsidRPr="0021252A">
        <w:rPr>
          <w:rFonts w:cs="Times New Roman"/>
          <w:i/>
        </w:rPr>
        <w:t>Lazard's Levelized Cost of Energy Analysis - Version 11.0</w:t>
      </w:r>
      <w:r w:rsidRPr="0021252A">
        <w:rPr>
          <w:rFonts w:cs="Times New Roman"/>
        </w:rPr>
        <w:t xml:space="preserve">; New York: Lazard. </w:t>
      </w:r>
      <w:r>
        <w:rPr>
          <w:rFonts w:cs="Times New Roman"/>
        </w:rPr>
        <w:t>R</w:t>
      </w:r>
      <w:r w:rsidRPr="0021252A">
        <w:rPr>
          <w:rFonts w:cs="Times New Roman"/>
        </w:rPr>
        <w:t xml:space="preserve">etrieved on 11 November 2018 from https://www.lazard.com/media/450337/lazard-levelized-cost-of-energy-version-110.pdf. </w:t>
      </w:r>
    </w:p>
    <w:p w14:paraId="0FE0F100" w14:textId="77777777" w:rsidR="006B01C8" w:rsidRPr="0021252A" w:rsidRDefault="006B01C8" w:rsidP="007C5C1A">
      <w:pPr>
        <w:ind w:right="340"/>
        <w:rPr>
          <w:rFonts w:cs="Times New Roman"/>
        </w:rPr>
      </w:pPr>
      <w:r w:rsidRPr="0021252A">
        <w:rPr>
          <w:rFonts w:cs="Times New Roman"/>
        </w:rPr>
        <w:t xml:space="preserve">Lazard. (2018). </w:t>
      </w:r>
      <w:r w:rsidRPr="0021252A">
        <w:rPr>
          <w:rFonts w:cs="Times New Roman"/>
          <w:i/>
        </w:rPr>
        <w:t>Lazard's Levelized Cost of Energy Analysis - Version 12.0</w:t>
      </w:r>
      <w:r w:rsidRPr="0021252A">
        <w:rPr>
          <w:rFonts w:cs="Times New Roman"/>
        </w:rPr>
        <w:t>; New York: Lazard.</w:t>
      </w:r>
      <w:r w:rsidRPr="0021252A">
        <w:t xml:space="preserve"> </w:t>
      </w:r>
      <w:r w:rsidRPr="0021252A">
        <w:rPr>
          <w:rFonts w:cs="Times New Roman"/>
        </w:rPr>
        <w:t>Retrieved from</w:t>
      </w:r>
      <w:r w:rsidRPr="0021252A">
        <w:t xml:space="preserve"> : </w:t>
      </w:r>
      <w:r w:rsidRPr="0021252A">
        <w:rPr>
          <w:rFonts w:cs="Times New Roman"/>
        </w:rPr>
        <w:t>https://www.lazard.com/media/450773/lazards-levelized-cost-of-energy-version-120-vfinal.pdf</w:t>
      </w:r>
    </w:p>
    <w:p w14:paraId="438A5648" w14:textId="77777777" w:rsidR="006B01C8" w:rsidRPr="0021252A" w:rsidRDefault="006B01C8" w:rsidP="007C5C1A">
      <w:pPr>
        <w:ind w:right="340"/>
        <w:rPr>
          <w:rFonts w:cs="Times New Roman"/>
        </w:rPr>
      </w:pPr>
      <w:proofErr w:type="spellStart"/>
      <w:r w:rsidRPr="0021252A">
        <w:rPr>
          <w:rFonts w:cs="Times New Roman"/>
        </w:rPr>
        <w:t>Leun</w:t>
      </w:r>
      <w:proofErr w:type="spellEnd"/>
      <w:r>
        <w:rPr>
          <w:rFonts w:cs="Times New Roman"/>
        </w:rPr>
        <w:t>,</w:t>
      </w:r>
      <w:r w:rsidRPr="0021252A">
        <w:rPr>
          <w:rFonts w:cs="Times New Roman"/>
        </w:rPr>
        <w:t xml:space="preserve"> K</w:t>
      </w:r>
      <w:r>
        <w:rPr>
          <w:rFonts w:cs="Times New Roman"/>
        </w:rPr>
        <w:t>.</w:t>
      </w:r>
      <w:r w:rsidRPr="0021252A">
        <w:rPr>
          <w:rFonts w:cs="Times New Roman"/>
        </w:rPr>
        <w:t xml:space="preserve"> v</w:t>
      </w:r>
      <w:r>
        <w:rPr>
          <w:rFonts w:cs="Times New Roman"/>
        </w:rPr>
        <w:t>.</w:t>
      </w:r>
      <w:r w:rsidRPr="0021252A">
        <w:rPr>
          <w:rFonts w:cs="Times New Roman"/>
        </w:rPr>
        <w:t xml:space="preserve"> d. (2018</w:t>
      </w:r>
      <w:r w:rsidRPr="0021252A">
        <w:rPr>
          <w:rFonts w:cs="Times New Roman"/>
          <w:i/>
        </w:rPr>
        <w:t>). Solar PV shows a record learning rate.</w:t>
      </w:r>
      <w:r w:rsidRPr="0021252A">
        <w:rPr>
          <w:rFonts w:cs="Times New Roman"/>
        </w:rPr>
        <w:t xml:space="preserve"> </w:t>
      </w:r>
      <w:proofErr w:type="spellStart"/>
      <w:r w:rsidRPr="0021252A">
        <w:rPr>
          <w:rFonts w:cs="Times New Roman"/>
        </w:rPr>
        <w:t>Rapidshift</w:t>
      </w:r>
      <w:proofErr w:type="spellEnd"/>
      <w:r w:rsidRPr="0021252A">
        <w:rPr>
          <w:rFonts w:cs="Times New Roman"/>
        </w:rPr>
        <w:t>. Retrieved from http://www.rapidshift.net/category/solar/</w:t>
      </w:r>
    </w:p>
    <w:p w14:paraId="2D1CD45C" w14:textId="77777777" w:rsidR="006B01C8" w:rsidRPr="0021252A" w:rsidRDefault="006B01C8" w:rsidP="007C5C1A">
      <w:pPr>
        <w:ind w:right="340"/>
        <w:rPr>
          <w:rFonts w:eastAsia="SimSun" w:cs="Times New Roman"/>
        </w:rPr>
      </w:pPr>
      <w:r w:rsidRPr="0021252A">
        <w:rPr>
          <w:rFonts w:eastAsia="SimSun" w:cs="Times New Roman"/>
        </w:rPr>
        <w:t xml:space="preserve">Lo, C. (2014). </w:t>
      </w:r>
      <w:r w:rsidRPr="0021252A">
        <w:rPr>
          <w:rFonts w:eastAsia="SimSun" w:cs="Times New Roman"/>
          <w:i/>
        </w:rPr>
        <w:t>Power plant O&amp;M: how does the industry stack up on cost</w:t>
      </w:r>
      <w:r w:rsidRPr="0021252A">
        <w:rPr>
          <w:rFonts w:eastAsia="SimSun" w:cs="Times New Roman"/>
        </w:rPr>
        <w:t>? Retrieved July 30, 2016, from</w:t>
      </w:r>
      <w:r>
        <w:rPr>
          <w:rFonts w:eastAsia="SimSun" w:cs="Times New Roman"/>
        </w:rPr>
        <w:t xml:space="preserve">: </w:t>
      </w:r>
      <w:r w:rsidRPr="0021252A">
        <w:rPr>
          <w:rFonts w:eastAsia="SimSun" w:cs="Times New Roman"/>
        </w:rPr>
        <w:t>http://www.power-technology.com/features/featurepower-plant-om-how-does-the-industry-stack-up-on-cost-4417756/</w:t>
      </w:r>
    </w:p>
    <w:p w14:paraId="460B9CD9" w14:textId="77777777" w:rsidR="006B01C8" w:rsidRPr="00F025BB" w:rsidRDefault="006B01C8" w:rsidP="007C5C1A">
      <w:pPr>
        <w:ind w:right="340"/>
        <w:rPr>
          <w:rFonts w:cs="Times New Roman"/>
        </w:rPr>
      </w:pPr>
      <w:proofErr w:type="spellStart"/>
      <w:r w:rsidRPr="0021252A">
        <w:rPr>
          <w:rFonts w:cs="Times New Roman"/>
        </w:rPr>
        <w:lastRenderedPageBreak/>
        <w:t>Masanet</w:t>
      </w:r>
      <w:proofErr w:type="spellEnd"/>
      <w:r w:rsidRPr="0021252A">
        <w:rPr>
          <w:rFonts w:cs="Times New Roman"/>
        </w:rPr>
        <w:t xml:space="preserve">, E, </w:t>
      </w:r>
      <w:proofErr w:type="spellStart"/>
      <w:r w:rsidRPr="0021252A">
        <w:rPr>
          <w:rFonts w:cs="Times New Roman"/>
        </w:rPr>
        <w:t>Chag</w:t>
      </w:r>
      <w:proofErr w:type="spellEnd"/>
      <w:r w:rsidRPr="0021252A">
        <w:rPr>
          <w:rFonts w:cs="Times New Roman"/>
        </w:rPr>
        <w:t xml:space="preserve">, Y., Gopal, A., Larsen, P., Morrow III, W., </w:t>
      </w:r>
      <w:proofErr w:type="spellStart"/>
      <w:r w:rsidRPr="0021252A">
        <w:rPr>
          <w:rFonts w:cs="Times New Roman"/>
        </w:rPr>
        <w:t>Sathre</w:t>
      </w:r>
      <w:proofErr w:type="spellEnd"/>
      <w:r w:rsidRPr="0021252A">
        <w:rPr>
          <w:rFonts w:cs="Times New Roman"/>
        </w:rPr>
        <w:t xml:space="preserve">, R., </w:t>
      </w:r>
      <w:proofErr w:type="spellStart"/>
      <w:r w:rsidRPr="0021252A">
        <w:rPr>
          <w:rFonts w:cs="Times New Roman"/>
        </w:rPr>
        <w:t>Shehabi</w:t>
      </w:r>
      <w:proofErr w:type="spellEnd"/>
      <w:r w:rsidRPr="0021252A">
        <w:rPr>
          <w:rFonts w:cs="Times New Roman"/>
        </w:rPr>
        <w:t xml:space="preserve">, A. &amp; </w:t>
      </w:r>
      <w:proofErr w:type="spellStart"/>
      <w:r w:rsidRPr="0021252A">
        <w:rPr>
          <w:rFonts w:cs="Times New Roman"/>
        </w:rPr>
        <w:t>Zhai</w:t>
      </w:r>
      <w:proofErr w:type="spellEnd"/>
      <w:r w:rsidRPr="0021252A">
        <w:rPr>
          <w:rFonts w:cs="Times New Roman"/>
        </w:rPr>
        <w:t xml:space="preserve">, P. (2013). </w:t>
      </w:r>
      <w:r w:rsidRPr="00F025BB">
        <w:rPr>
          <w:rFonts w:cs="Times New Roman"/>
        </w:rPr>
        <w:t xml:space="preserve">Life cycle assessment of electric power systems. </w:t>
      </w:r>
      <w:r w:rsidRPr="00F025BB">
        <w:rPr>
          <w:rFonts w:cs="Times New Roman"/>
          <w:i/>
        </w:rPr>
        <w:t xml:space="preserve">Annual Review of Environmental Resources, 38:107–36. </w:t>
      </w:r>
      <w:proofErr w:type="spellStart"/>
      <w:r w:rsidRPr="00F025BB">
        <w:rPr>
          <w:rFonts w:cs="Times New Roman"/>
        </w:rPr>
        <w:t>Doi</w:t>
      </w:r>
      <w:proofErr w:type="spellEnd"/>
      <w:r w:rsidRPr="00F025BB">
        <w:rPr>
          <w:rFonts w:cs="Times New Roman"/>
        </w:rPr>
        <w:t xml:space="preserve">: 10.1146/annurev-environ-010710-100408  </w:t>
      </w:r>
    </w:p>
    <w:p w14:paraId="468CF8FD" w14:textId="77777777" w:rsidR="006B01C8" w:rsidRPr="0021252A" w:rsidRDefault="006B01C8" w:rsidP="007C5C1A">
      <w:pPr>
        <w:ind w:right="340"/>
        <w:rPr>
          <w:rFonts w:eastAsia="SimSun" w:cs="Arial"/>
          <w:noProof/>
        </w:rPr>
      </w:pPr>
      <w:r w:rsidRPr="0021252A">
        <w:rPr>
          <w:rFonts w:eastAsia="SimSun" w:cs="Arial"/>
          <w:noProof/>
        </w:rPr>
        <w:t xml:space="preserve">MIT. (2015). </w:t>
      </w:r>
      <w:r w:rsidRPr="0021252A">
        <w:rPr>
          <w:rFonts w:eastAsia="SimSun" w:cs="Arial"/>
          <w:i/>
          <w:noProof/>
        </w:rPr>
        <w:t>The future of solar energy: an interdisciplinary MIT study</w:t>
      </w:r>
      <w:r w:rsidRPr="0021252A">
        <w:rPr>
          <w:rFonts w:eastAsia="SimSun" w:cs="Arial"/>
          <w:noProof/>
        </w:rPr>
        <w:t>. Retrieved from http://energy.mit.edu/publication/future-solar-energy/</w:t>
      </w:r>
    </w:p>
    <w:p w14:paraId="2938D8AE" w14:textId="77777777" w:rsidR="006B01C8" w:rsidRPr="0021252A" w:rsidRDefault="006B01C8" w:rsidP="007C5C1A">
      <w:pPr>
        <w:ind w:right="340"/>
        <w:rPr>
          <w:rFonts w:cs="Times New Roman"/>
        </w:rPr>
      </w:pPr>
      <w:r w:rsidRPr="0021252A">
        <w:rPr>
          <w:rFonts w:cs="Times New Roman"/>
        </w:rPr>
        <w:t xml:space="preserve">MNRE. (2016). </w:t>
      </w:r>
      <w:r w:rsidRPr="0021252A">
        <w:rPr>
          <w:rFonts w:cs="Times New Roman"/>
          <w:i/>
        </w:rPr>
        <w:t>Solar-Park-Guidelines</w:t>
      </w:r>
      <w:r w:rsidRPr="0021252A">
        <w:rPr>
          <w:rFonts w:cs="Times New Roman"/>
        </w:rPr>
        <w:t>. Retrieved from www.mnre.gov.in: https://mnre.gov.in/file-manager/UserFiles/Solar-Park-Guidelines.pdf</w:t>
      </w:r>
    </w:p>
    <w:p w14:paraId="04DD4BBA" w14:textId="77777777" w:rsidR="006B01C8" w:rsidRPr="0021252A" w:rsidRDefault="006B01C8" w:rsidP="007C5C1A">
      <w:pPr>
        <w:ind w:right="340"/>
        <w:rPr>
          <w:rFonts w:cs="Times New Roman"/>
        </w:rPr>
      </w:pPr>
      <w:r w:rsidRPr="0021252A">
        <w:rPr>
          <w:rFonts w:cs="Times New Roman"/>
        </w:rPr>
        <w:t xml:space="preserve">Newbery D. (2017). </w:t>
      </w:r>
      <w:r w:rsidRPr="0021252A">
        <w:rPr>
          <w:rFonts w:cs="Times New Roman"/>
          <w:i/>
        </w:rPr>
        <w:t>How to judge whether supporting solar PV is justified</w:t>
      </w:r>
      <w:r w:rsidRPr="0021252A">
        <w:rPr>
          <w:rFonts w:cs="Times New Roman"/>
        </w:rPr>
        <w:t>. Cambridge Working Paper Economics. University of Cambridge. Retrieved from: http://www.econ.cam.ac.uk/research-files/repec/cam/pdf/cwpe1715.pdf</w:t>
      </w:r>
    </w:p>
    <w:p w14:paraId="38AEE11B" w14:textId="77777777" w:rsidR="006B01C8" w:rsidRPr="00F025BB" w:rsidRDefault="006B01C8" w:rsidP="007C5C1A">
      <w:pPr>
        <w:ind w:right="340"/>
        <w:rPr>
          <w:rFonts w:eastAsia="SimSun" w:cs="Arial"/>
          <w:i/>
          <w:noProof/>
        </w:rPr>
      </w:pPr>
      <w:r w:rsidRPr="0021252A">
        <w:rPr>
          <w:rFonts w:eastAsia="SimSun" w:cs="Arial"/>
          <w:noProof/>
        </w:rPr>
        <w:t xml:space="preserve">Nikolakakis, T. &amp; Fthenakis, V.  (2011). </w:t>
      </w:r>
      <w:r w:rsidRPr="00F025BB">
        <w:rPr>
          <w:rFonts w:eastAsia="SimSun" w:cs="Arial"/>
          <w:noProof/>
        </w:rPr>
        <w:t xml:space="preserve">The optimum mix of electricity from wind- and solar-sources in conventional power systems: Evaluating the case for New York State. </w:t>
      </w:r>
      <w:r w:rsidRPr="00F025BB">
        <w:rPr>
          <w:rFonts w:eastAsia="SimSun" w:cs="Arial"/>
          <w:i/>
          <w:noProof/>
        </w:rPr>
        <w:t>Energy Policy, 39(11), 6972–6980</w:t>
      </w:r>
    </w:p>
    <w:p w14:paraId="27FEAE0A" w14:textId="77777777" w:rsidR="006B01C8" w:rsidRPr="0021252A" w:rsidRDefault="006B01C8" w:rsidP="007C5C1A">
      <w:pPr>
        <w:ind w:right="340"/>
        <w:rPr>
          <w:rFonts w:cs="Times New Roman"/>
          <w:color w:val="000000" w:themeColor="text1"/>
        </w:rPr>
      </w:pPr>
      <w:r w:rsidRPr="0021252A">
        <w:rPr>
          <w:rFonts w:cs="Times New Roman"/>
        </w:rPr>
        <w:t xml:space="preserve">Nils, M. &amp; </w:t>
      </w:r>
      <w:proofErr w:type="spellStart"/>
      <w:r w:rsidRPr="0021252A">
        <w:rPr>
          <w:rFonts w:cs="Times New Roman"/>
        </w:rPr>
        <w:t>Tedin</w:t>
      </w:r>
      <w:proofErr w:type="spellEnd"/>
      <w:r w:rsidRPr="0021252A">
        <w:rPr>
          <w:rFonts w:cs="Times New Roman"/>
        </w:rPr>
        <w:t xml:space="preserve">, H.O.(2016). </w:t>
      </w:r>
      <w:r w:rsidRPr="0021252A">
        <w:rPr>
          <w:rFonts w:cs="Times New Roman"/>
          <w:i/>
        </w:rPr>
        <w:t>Greenhouse Gas Emissions and Energy Payback Time for multi- and mono-Si Photovoltaic Systems -</w:t>
      </w:r>
      <w:r w:rsidRPr="0021252A">
        <w:rPr>
          <w:rFonts w:cs="Times New Roman"/>
        </w:rPr>
        <w:t xml:space="preserve"> A Study on Solar Energy from Photovoltaic Systems Located in Sweden. LUP Student papers. Retrieved from:</w:t>
      </w:r>
      <w:r w:rsidRPr="0021252A">
        <w:t xml:space="preserve"> </w:t>
      </w:r>
      <w:hyperlink r:id="rId30" w:history="1">
        <w:r w:rsidRPr="00F025BB">
          <w:rPr>
            <w:rStyle w:val="Hyperlink"/>
            <w:rFonts w:cs="Times New Roman"/>
            <w:color w:val="000000" w:themeColor="text1"/>
            <w:u w:val="none"/>
          </w:rPr>
          <w:t>http://lup.lub.lu.se/luur/download?func=downloadFile&amp;recordOId=8879209&amp;fileOId=8879218</w:t>
        </w:r>
      </w:hyperlink>
    </w:p>
    <w:p w14:paraId="70677851" w14:textId="77777777" w:rsidR="006B01C8" w:rsidRPr="0021252A" w:rsidRDefault="006B01C8" w:rsidP="007C5C1A">
      <w:pPr>
        <w:ind w:right="340"/>
        <w:rPr>
          <w:rFonts w:cs="Times New Roman"/>
        </w:rPr>
      </w:pPr>
      <w:r w:rsidRPr="0021252A">
        <w:rPr>
          <w:rFonts w:cs="Times New Roman"/>
        </w:rPr>
        <w:t xml:space="preserve">NREL (2016a). </w:t>
      </w:r>
      <w:r w:rsidRPr="0021252A">
        <w:rPr>
          <w:rFonts w:cs="Times New Roman"/>
          <w:i/>
        </w:rPr>
        <w:t xml:space="preserve">On the Path to </w:t>
      </w:r>
      <w:proofErr w:type="spellStart"/>
      <w:r w:rsidRPr="0021252A">
        <w:rPr>
          <w:rFonts w:cs="Times New Roman"/>
          <w:i/>
        </w:rPr>
        <w:t>Sunshot</w:t>
      </w:r>
      <w:proofErr w:type="spellEnd"/>
      <w:r w:rsidRPr="0021252A">
        <w:rPr>
          <w:rFonts w:cs="Times New Roman"/>
          <w:i/>
        </w:rPr>
        <w:t xml:space="preserve"> : The role of Advancements in Solar Photovoltaic Efficiency, Reliability and Costs</w:t>
      </w:r>
      <w:r w:rsidRPr="0021252A">
        <w:rPr>
          <w:rFonts w:cs="Times New Roman"/>
        </w:rPr>
        <w:t>. National Renewable Energy Laboratory, US DOE. Golden.</w:t>
      </w:r>
    </w:p>
    <w:p w14:paraId="4C7FAE97" w14:textId="77777777" w:rsidR="006B01C8" w:rsidRPr="0021252A" w:rsidRDefault="006B01C8" w:rsidP="007C5C1A">
      <w:pPr>
        <w:ind w:right="340"/>
        <w:rPr>
          <w:rFonts w:eastAsia="SimSun" w:cs="Arial"/>
          <w:noProof/>
          <w:color w:val="000000" w:themeColor="text1"/>
        </w:rPr>
      </w:pPr>
      <w:r w:rsidRPr="0021252A">
        <w:rPr>
          <w:rFonts w:eastAsia="SimSun" w:cs="Arial"/>
          <w:noProof/>
        </w:rPr>
        <w:t xml:space="preserve">NREL. (2013). </w:t>
      </w:r>
      <w:r w:rsidRPr="0021252A">
        <w:rPr>
          <w:rFonts w:eastAsia="SimSun" w:cs="Arial"/>
          <w:i/>
          <w:noProof/>
        </w:rPr>
        <w:t>Solar energy and capacity value.</w:t>
      </w:r>
      <w:r w:rsidRPr="0021252A">
        <w:rPr>
          <w:rFonts w:eastAsia="SimSun" w:cs="Arial"/>
          <w:noProof/>
        </w:rPr>
        <w:t xml:space="preserve"> National Renewable Energy Laboratory. Retrieved from</w:t>
      </w:r>
      <w:r w:rsidRPr="00F025BB">
        <w:rPr>
          <w:rFonts w:eastAsia="SimSun" w:cs="Arial"/>
          <w:noProof/>
        </w:rPr>
        <w:t xml:space="preserve"> </w:t>
      </w:r>
      <w:hyperlink r:id="rId31" w:history="1">
        <w:r w:rsidRPr="00F025BB">
          <w:rPr>
            <w:rStyle w:val="Hyperlink"/>
            <w:rFonts w:eastAsia="SimSun" w:cs="Arial"/>
            <w:noProof/>
            <w:color w:val="000000" w:themeColor="text1"/>
            <w:u w:val="none"/>
          </w:rPr>
          <w:t>http://www.nrel.gov/docs/fy13osti/57582.pdf</w:t>
        </w:r>
      </w:hyperlink>
    </w:p>
    <w:p w14:paraId="5959B7BD" w14:textId="77777777" w:rsidR="006B01C8" w:rsidRPr="0021252A" w:rsidRDefault="006B01C8" w:rsidP="007C5C1A">
      <w:pPr>
        <w:ind w:right="340"/>
        <w:rPr>
          <w:rFonts w:eastAsia="SimSun" w:cs="Arial"/>
          <w:noProof/>
        </w:rPr>
      </w:pPr>
      <w:r w:rsidRPr="0021252A">
        <w:rPr>
          <w:rFonts w:eastAsia="SimSun" w:cs="Arial"/>
          <w:noProof/>
        </w:rPr>
        <w:t>NREL. (2016</w:t>
      </w:r>
      <w:r w:rsidRPr="0021252A">
        <w:rPr>
          <w:rFonts w:eastAsia="SimSun" w:cs="Arial"/>
          <w:i/>
          <w:noProof/>
        </w:rPr>
        <w:t>). Research Cell Efficiency Records</w:t>
      </w:r>
      <w:r w:rsidRPr="0021252A">
        <w:rPr>
          <w:rFonts w:eastAsia="SimSun" w:cs="Arial"/>
          <w:noProof/>
        </w:rPr>
        <w:t>. Retrieved July 20, 2016, from http://www.nrel.gov/ncpv/</w:t>
      </w:r>
    </w:p>
    <w:p w14:paraId="61EAA22D" w14:textId="77777777" w:rsidR="006B01C8" w:rsidRPr="0021252A" w:rsidRDefault="006B01C8" w:rsidP="007C5C1A">
      <w:pPr>
        <w:ind w:right="340"/>
        <w:rPr>
          <w:rFonts w:cs="Times New Roman"/>
        </w:rPr>
      </w:pPr>
      <w:r w:rsidRPr="0021252A">
        <w:rPr>
          <w:rFonts w:cs="Times New Roman"/>
        </w:rPr>
        <w:t xml:space="preserve">NREL. (2017). </w:t>
      </w:r>
      <w:r w:rsidRPr="0021252A">
        <w:rPr>
          <w:rFonts w:cs="Times New Roman"/>
          <w:i/>
        </w:rPr>
        <w:t>SPV O &amp; M Cost Model and Cost Reduction</w:t>
      </w:r>
      <w:r w:rsidRPr="0021252A">
        <w:rPr>
          <w:rFonts w:cs="Times New Roman"/>
        </w:rPr>
        <w:t>. National Renewable Energy Laboratory, US DOE. Golden.</w:t>
      </w:r>
    </w:p>
    <w:p w14:paraId="015C945C" w14:textId="77777777" w:rsidR="006B01C8" w:rsidRPr="0021252A" w:rsidRDefault="006B01C8" w:rsidP="007C5C1A">
      <w:pPr>
        <w:ind w:right="340"/>
        <w:rPr>
          <w:rFonts w:eastAsia="SimSun" w:cs="Arial"/>
          <w:noProof/>
        </w:rPr>
      </w:pPr>
      <w:r w:rsidRPr="0021252A">
        <w:rPr>
          <w:rFonts w:cs="Times New Roman"/>
        </w:rPr>
        <w:t>NREL. (2017a</w:t>
      </w:r>
      <w:r>
        <w:rPr>
          <w:rFonts w:cs="Times New Roman"/>
        </w:rPr>
        <w:t>)( September 12</w:t>
      </w:r>
      <w:r w:rsidRPr="0021252A">
        <w:rPr>
          <w:rFonts w:cs="Times New Roman"/>
        </w:rPr>
        <w:t xml:space="preserve">). </w:t>
      </w:r>
      <w:r w:rsidRPr="0021252A">
        <w:rPr>
          <w:rFonts w:cs="Times New Roman"/>
          <w:i/>
        </w:rPr>
        <w:t>NREL Report Shows Utility-Scale Solar PV System Cost Fell Nearly 30% Last Year</w:t>
      </w:r>
      <w:r w:rsidRPr="0021252A">
        <w:rPr>
          <w:rFonts w:cs="Times New Roman"/>
        </w:rPr>
        <w:t xml:space="preserve">. NREL News. National Renewable Energy Laboratory, US DOE. Golden. </w:t>
      </w:r>
      <w:r w:rsidRPr="0021252A">
        <w:rPr>
          <w:rFonts w:eastAsia="SimSun" w:cs="Arial"/>
          <w:noProof/>
        </w:rPr>
        <w:t>Retrieved November 20, 2018, from https://www.nrel.gov/news/press/2017/nrel-report-utility-scale-solar-pv-system-cost-fell-last-year.html</w:t>
      </w:r>
    </w:p>
    <w:p w14:paraId="57B43223" w14:textId="77777777" w:rsidR="006B01C8" w:rsidRPr="0021252A" w:rsidRDefault="006B01C8" w:rsidP="007C5C1A">
      <w:pPr>
        <w:ind w:right="340"/>
        <w:rPr>
          <w:rFonts w:cs="Times New Roman"/>
        </w:rPr>
      </w:pPr>
      <w:r w:rsidRPr="0021252A">
        <w:rPr>
          <w:rFonts w:cs="Times New Roman"/>
        </w:rPr>
        <w:lastRenderedPageBreak/>
        <w:t>NREL. (2017b</w:t>
      </w:r>
      <w:r w:rsidRPr="0021252A">
        <w:rPr>
          <w:rFonts w:cs="Times New Roman"/>
          <w:i/>
        </w:rPr>
        <w:t>). US Solar Photovoltaic System Cost Benchmark : Q1 2017</w:t>
      </w:r>
      <w:r w:rsidRPr="0021252A">
        <w:rPr>
          <w:rFonts w:cs="Times New Roman"/>
        </w:rPr>
        <w:t xml:space="preserve">. National Renewable Energy Laboratory, US DOE. Golden </w:t>
      </w:r>
    </w:p>
    <w:p w14:paraId="36F442B5" w14:textId="77777777" w:rsidR="006B01C8" w:rsidRPr="0021252A" w:rsidRDefault="006B01C8" w:rsidP="007C5C1A">
      <w:pPr>
        <w:ind w:right="340"/>
        <w:rPr>
          <w:rFonts w:cs="Times New Roman"/>
        </w:rPr>
      </w:pPr>
      <w:r w:rsidRPr="0021252A">
        <w:rPr>
          <w:rFonts w:cs="Times New Roman"/>
        </w:rPr>
        <w:t xml:space="preserve">NREL. (2018). </w:t>
      </w:r>
      <w:r w:rsidRPr="0021252A">
        <w:rPr>
          <w:rFonts w:cs="Times New Roman"/>
          <w:i/>
        </w:rPr>
        <w:t>Annual Technology Baseline</w:t>
      </w:r>
      <w:r w:rsidRPr="0021252A">
        <w:rPr>
          <w:rFonts w:cs="Times New Roman"/>
        </w:rPr>
        <w:t>. National Renewable Energy Laboratory, US DOE. Golden . Retrieved from: https://atb.nrel.gov/</w:t>
      </w:r>
    </w:p>
    <w:p w14:paraId="53AFDE76" w14:textId="77777777" w:rsidR="006B01C8" w:rsidRPr="0021252A" w:rsidRDefault="006B01C8" w:rsidP="007C5C1A">
      <w:pPr>
        <w:ind w:right="340"/>
        <w:rPr>
          <w:rFonts w:cs="Times New Roman"/>
        </w:rPr>
      </w:pPr>
      <w:r w:rsidRPr="0021252A">
        <w:rPr>
          <w:rFonts w:cs="Times New Roman"/>
        </w:rPr>
        <w:t xml:space="preserve">Nugent, D. &amp; </w:t>
      </w:r>
      <w:proofErr w:type="spellStart"/>
      <w:r w:rsidRPr="0021252A">
        <w:rPr>
          <w:rFonts w:cs="Times New Roman"/>
        </w:rPr>
        <w:t>Sovacool</w:t>
      </w:r>
      <w:proofErr w:type="spellEnd"/>
      <w:r w:rsidRPr="0021252A">
        <w:rPr>
          <w:rFonts w:cs="Times New Roman"/>
        </w:rPr>
        <w:t xml:space="preserve">, B.K.(2014). </w:t>
      </w:r>
      <w:r w:rsidRPr="00F025BB">
        <w:rPr>
          <w:rFonts w:cs="Times New Roman"/>
        </w:rPr>
        <w:t xml:space="preserve">Assessing the lifecycle greenhouse gas emissions from solar PV and wind energy: A critical meta-survey. </w:t>
      </w:r>
      <w:r w:rsidRPr="00F025BB">
        <w:rPr>
          <w:rFonts w:cs="Times New Roman"/>
          <w:i/>
        </w:rPr>
        <w:t>Energy Policy. pp. 229-244.</w:t>
      </w:r>
      <w:r w:rsidRPr="0021252A">
        <w:rPr>
          <w:rFonts w:cs="Times New Roman"/>
        </w:rPr>
        <w:t xml:space="preserve"> </w:t>
      </w:r>
    </w:p>
    <w:p w14:paraId="1CF6445D" w14:textId="77777777" w:rsidR="006B01C8" w:rsidRPr="0021252A" w:rsidRDefault="006B01C8" w:rsidP="007C5C1A">
      <w:pPr>
        <w:ind w:right="340"/>
        <w:rPr>
          <w:rFonts w:cs="Times New Roman"/>
        </w:rPr>
      </w:pPr>
      <w:r w:rsidRPr="004E6D9C">
        <w:rPr>
          <w:rFonts w:cs="Times New Roman"/>
        </w:rPr>
        <w:t xml:space="preserve">Pacca, S., </w:t>
      </w:r>
      <w:proofErr w:type="spellStart"/>
      <w:r w:rsidRPr="004E6D9C">
        <w:rPr>
          <w:rFonts w:cs="Times New Roman"/>
        </w:rPr>
        <w:t>Sivaraman</w:t>
      </w:r>
      <w:proofErr w:type="spellEnd"/>
      <w:r w:rsidRPr="004E6D9C">
        <w:rPr>
          <w:rFonts w:cs="Times New Roman"/>
        </w:rPr>
        <w:t xml:space="preserve">, D &amp; </w:t>
      </w:r>
      <w:proofErr w:type="spellStart"/>
      <w:r w:rsidRPr="004E6D9C">
        <w:rPr>
          <w:rFonts w:cs="Times New Roman"/>
        </w:rPr>
        <w:t>Keoleian</w:t>
      </w:r>
      <w:proofErr w:type="spellEnd"/>
      <w:r w:rsidRPr="004E6D9C">
        <w:rPr>
          <w:rFonts w:cs="Times New Roman"/>
        </w:rPr>
        <w:t xml:space="preserve">, G.A. (2007). </w:t>
      </w:r>
      <w:r w:rsidRPr="00F025BB">
        <w:rPr>
          <w:rFonts w:cs="Times New Roman"/>
        </w:rPr>
        <w:t xml:space="preserve">Parameters affecting the life cycle performance of PV technologies and systems. </w:t>
      </w:r>
      <w:r w:rsidRPr="00F025BB">
        <w:rPr>
          <w:rFonts w:cs="Times New Roman"/>
          <w:i/>
        </w:rPr>
        <w:t>Energy Policy, 3316-3326.</w:t>
      </w:r>
    </w:p>
    <w:p w14:paraId="2EA9620D" w14:textId="77777777" w:rsidR="006B01C8" w:rsidRPr="0021252A" w:rsidRDefault="006B01C8" w:rsidP="007C5C1A">
      <w:pPr>
        <w:ind w:right="340"/>
        <w:rPr>
          <w:rFonts w:cs="Times New Roman"/>
        </w:rPr>
      </w:pPr>
      <w:r w:rsidRPr="0021252A">
        <w:rPr>
          <w:rFonts w:cs="Times New Roman"/>
        </w:rPr>
        <w:t xml:space="preserve">Perlin, J. (2004). </w:t>
      </w:r>
      <w:r w:rsidRPr="0021252A">
        <w:rPr>
          <w:rFonts w:cs="Times New Roman"/>
          <w:i/>
        </w:rPr>
        <w:t>The Silicon solar cell turns 50</w:t>
      </w:r>
      <w:r w:rsidRPr="0021252A">
        <w:rPr>
          <w:rFonts w:cs="Times New Roman"/>
        </w:rPr>
        <w:t xml:space="preserve">. National Renewable Energy Laboratory, Golden, CO (US). Retrieved from </w:t>
      </w:r>
      <w:hyperlink r:id="rId32" w:history="1">
        <w:r w:rsidRPr="004C39E5">
          <w:rPr>
            <w:rStyle w:val="Hyperlink"/>
            <w:rFonts w:cs="Times New Roman"/>
            <w:color w:val="000000" w:themeColor="text1"/>
            <w:u w:val="none"/>
          </w:rPr>
          <w:t>https://www.nrel.gov/docs/fy04osti/33947.pdf</w:t>
        </w:r>
      </w:hyperlink>
    </w:p>
    <w:p w14:paraId="33236464" w14:textId="77777777" w:rsidR="006B01C8" w:rsidRPr="0021252A" w:rsidRDefault="006B01C8" w:rsidP="007C5C1A">
      <w:pPr>
        <w:ind w:right="340"/>
        <w:rPr>
          <w:rFonts w:cs="Times New Roman"/>
        </w:rPr>
      </w:pPr>
      <w:r w:rsidRPr="0021252A">
        <w:rPr>
          <w:rFonts w:cs="Times New Roman"/>
        </w:rPr>
        <w:t xml:space="preserve">Philipps, D. et al. (2015). </w:t>
      </w:r>
      <w:r w:rsidRPr="0021252A">
        <w:rPr>
          <w:rFonts w:cs="Times New Roman"/>
          <w:i/>
        </w:rPr>
        <w:t>Photovoltaics Report 47</w:t>
      </w:r>
      <w:r w:rsidRPr="0021252A">
        <w:rPr>
          <w:rFonts w:cs="Times New Roman"/>
        </w:rPr>
        <w:t>. Fraunhofer Institute for Solar Energy Systems ISE, Freiburg.</w:t>
      </w:r>
    </w:p>
    <w:p w14:paraId="6FCF17BB" w14:textId="77777777" w:rsidR="006B01C8" w:rsidRPr="00131589" w:rsidRDefault="006B01C8" w:rsidP="005E6D24">
      <w:pPr>
        <w:ind w:right="340"/>
        <w:rPr>
          <w:rFonts w:cs="Times New Roman"/>
        </w:rPr>
      </w:pPr>
      <w:r w:rsidRPr="00131589">
        <w:rPr>
          <w:rFonts w:eastAsia="SimSun" w:cs="Arial"/>
          <w:noProof/>
        </w:rPr>
        <w:t xml:space="preserve">Quandl. (2016). </w:t>
      </w:r>
      <w:r w:rsidRPr="00131589">
        <w:rPr>
          <w:rFonts w:eastAsia="SimSun" w:cs="Arial"/>
          <w:i/>
          <w:noProof/>
        </w:rPr>
        <w:t>Coal prices and charts</w:t>
      </w:r>
      <w:r w:rsidRPr="00131589">
        <w:rPr>
          <w:rFonts w:eastAsia="SimSun" w:cs="Arial"/>
          <w:noProof/>
        </w:rPr>
        <w:t>. Retrieved July 31, 2016, from: https://www.quandl.</w:t>
      </w:r>
      <w:r w:rsidRPr="00131589">
        <w:rPr>
          <w:rFonts w:cs="Times New Roman"/>
        </w:rPr>
        <w:t>com/collections/markets/coal</w:t>
      </w:r>
    </w:p>
    <w:p w14:paraId="76CE651B" w14:textId="77777777" w:rsidR="006B01C8" w:rsidRPr="00131589" w:rsidRDefault="006B01C8" w:rsidP="006B01C8">
      <w:pPr>
        <w:rPr>
          <w:rStyle w:val="Hyperlink"/>
          <w:rFonts w:cs="Times New Roman"/>
          <w:color w:val="auto"/>
          <w:u w:val="none"/>
        </w:rPr>
      </w:pPr>
      <w:r w:rsidRPr="00131589">
        <w:rPr>
          <w:rFonts w:cs="Times New Roman"/>
        </w:rPr>
        <w:t xml:space="preserve">Ram M., </w:t>
      </w:r>
      <w:proofErr w:type="spellStart"/>
      <w:r w:rsidRPr="00131589">
        <w:rPr>
          <w:rFonts w:cs="Times New Roman"/>
        </w:rPr>
        <w:t>Bogdanov</w:t>
      </w:r>
      <w:proofErr w:type="spellEnd"/>
      <w:r w:rsidRPr="00131589">
        <w:rPr>
          <w:rFonts w:cs="Times New Roman"/>
        </w:rPr>
        <w:t xml:space="preserve"> D., </w:t>
      </w:r>
      <w:proofErr w:type="spellStart"/>
      <w:r w:rsidRPr="00131589">
        <w:rPr>
          <w:rFonts w:cs="Times New Roman"/>
        </w:rPr>
        <w:t>Aghahosseini</w:t>
      </w:r>
      <w:proofErr w:type="spellEnd"/>
      <w:r w:rsidRPr="00131589">
        <w:rPr>
          <w:rFonts w:cs="Times New Roman"/>
        </w:rPr>
        <w:t xml:space="preserve"> A., </w:t>
      </w:r>
      <w:proofErr w:type="spellStart"/>
      <w:r w:rsidRPr="00131589">
        <w:rPr>
          <w:rFonts w:cs="Times New Roman"/>
        </w:rPr>
        <w:t>Gulagi</w:t>
      </w:r>
      <w:proofErr w:type="spellEnd"/>
      <w:r w:rsidRPr="00131589">
        <w:rPr>
          <w:rFonts w:cs="Times New Roman"/>
        </w:rPr>
        <w:t xml:space="preserve"> A., </w:t>
      </w:r>
      <w:proofErr w:type="spellStart"/>
      <w:r w:rsidRPr="00131589">
        <w:rPr>
          <w:rFonts w:cs="Times New Roman"/>
        </w:rPr>
        <w:t>Oyewo</w:t>
      </w:r>
      <w:proofErr w:type="spellEnd"/>
      <w:r w:rsidRPr="00131589">
        <w:rPr>
          <w:rFonts w:cs="Times New Roman"/>
        </w:rPr>
        <w:t xml:space="preserve"> A.S., Child M., Caldera U., </w:t>
      </w:r>
      <w:proofErr w:type="spellStart"/>
      <w:r w:rsidRPr="00131589">
        <w:rPr>
          <w:rFonts w:cs="Times New Roman"/>
        </w:rPr>
        <w:t>Sadovskaia</w:t>
      </w:r>
      <w:proofErr w:type="spellEnd"/>
      <w:r w:rsidRPr="00131589">
        <w:rPr>
          <w:rFonts w:cs="Times New Roman"/>
        </w:rPr>
        <w:t xml:space="preserve"> K., </w:t>
      </w:r>
      <w:proofErr w:type="spellStart"/>
      <w:r w:rsidRPr="00131589">
        <w:rPr>
          <w:rFonts w:cs="Times New Roman"/>
        </w:rPr>
        <w:t>Farfan</w:t>
      </w:r>
      <w:proofErr w:type="spellEnd"/>
      <w:r w:rsidRPr="00131589">
        <w:rPr>
          <w:rFonts w:cs="Times New Roman"/>
        </w:rPr>
        <w:t xml:space="preserve"> J., Barbosa LSNS., </w:t>
      </w:r>
      <w:proofErr w:type="spellStart"/>
      <w:r w:rsidRPr="00131589">
        <w:rPr>
          <w:rFonts w:cs="Times New Roman"/>
        </w:rPr>
        <w:t>Fasihi</w:t>
      </w:r>
      <w:proofErr w:type="spellEnd"/>
      <w:r w:rsidRPr="00131589">
        <w:rPr>
          <w:rFonts w:cs="Times New Roman"/>
        </w:rPr>
        <w:t xml:space="preserve"> M., Khalili S., </w:t>
      </w:r>
      <w:proofErr w:type="spellStart"/>
      <w:r w:rsidRPr="00131589">
        <w:rPr>
          <w:rFonts w:cs="Times New Roman"/>
        </w:rPr>
        <w:t>Dalheimer</w:t>
      </w:r>
      <w:proofErr w:type="spellEnd"/>
      <w:r w:rsidRPr="00131589">
        <w:rPr>
          <w:rFonts w:cs="Times New Roman"/>
        </w:rPr>
        <w:t xml:space="preserve"> </w:t>
      </w:r>
      <w:proofErr w:type="spellStart"/>
      <w:r w:rsidRPr="00131589">
        <w:rPr>
          <w:rFonts w:cs="Times New Roman"/>
        </w:rPr>
        <w:t>B.,Gruber</w:t>
      </w:r>
      <w:proofErr w:type="spellEnd"/>
      <w:r w:rsidRPr="00131589">
        <w:rPr>
          <w:rFonts w:cs="Times New Roman"/>
        </w:rPr>
        <w:t xml:space="preserve"> G., Traber T., De </w:t>
      </w:r>
      <w:proofErr w:type="spellStart"/>
      <w:r w:rsidRPr="00131589">
        <w:rPr>
          <w:rFonts w:cs="Times New Roman"/>
        </w:rPr>
        <w:t>Caluwe</w:t>
      </w:r>
      <w:proofErr w:type="spellEnd"/>
      <w:r w:rsidRPr="00131589">
        <w:rPr>
          <w:rFonts w:cs="Times New Roman"/>
        </w:rPr>
        <w:t xml:space="preserve"> F., Fell H.-J., Breyer C. (2019). </w:t>
      </w:r>
      <w:r w:rsidRPr="00131589">
        <w:rPr>
          <w:rFonts w:cs="Times New Roman"/>
          <w:i/>
        </w:rPr>
        <w:t xml:space="preserve">Global Energy System based on 100% Renewable Energy –Power, Heat, Transport and Desalination Sectors. </w:t>
      </w:r>
      <w:r w:rsidRPr="00131589">
        <w:rPr>
          <w:rFonts w:cs="Times New Roman"/>
        </w:rPr>
        <w:t xml:space="preserve">Study by Lappeenranta University of Technology and Energy Watch Group, Lappeenranta, Berlin, March 2019. Retrieved from: </w:t>
      </w:r>
      <w:hyperlink r:id="rId33" w:history="1">
        <w:r w:rsidRPr="00131589">
          <w:rPr>
            <w:rStyle w:val="Hyperlink"/>
            <w:rFonts w:cs="Times New Roman"/>
          </w:rPr>
          <w:t>http://energywatchgroup.org/wp-content/uploads/EWG_LUT_100RE_All_Sectors_Global_Report_2019.pdf</w:t>
        </w:r>
      </w:hyperlink>
    </w:p>
    <w:p w14:paraId="6709A688" w14:textId="77777777" w:rsidR="006B01C8" w:rsidRDefault="006B01C8" w:rsidP="005E6D24">
      <w:pPr>
        <w:pStyle w:val="Bibliography"/>
        <w:spacing w:after="120" w:line="360" w:lineRule="auto"/>
        <w:ind w:left="0" w:firstLine="0"/>
        <w:rPr>
          <w:noProof/>
        </w:rPr>
      </w:pPr>
      <w:r w:rsidRPr="00131589">
        <w:rPr>
          <w:rFonts w:cs="Times New Roman"/>
        </w:rPr>
        <w:t xml:space="preserve">Ram M., </w:t>
      </w:r>
      <w:proofErr w:type="spellStart"/>
      <w:r w:rsidRPr="00131589">
        <w:rPr>
          <w:rFonts w:cs="Times New Roman"/>
        </w:rPr>
        <w:t>Bogdanov</w:t>
      </w:r>
      <w:proofErr w:type="spellEnd"/>
      <w:r w:rsidRPr="00131589">
        <w:rPr>
          <w:rFonts w:cs="Times New Roman"/>
        </w:rPr>
        <w:t xml:space="preserve">, D., </w:t>
      </w:r>
      <w:proofErr w:type="spellStart"/>
      <w:r w:rsidRPr="00131589">
        <w:rPr>
          <w:rFonts w:cs="Times New Roman"/>
        </w:rPr>
        <w:t>Aghahosseiniu</w:t>
      </w:r>
      <w:proofErr w:type="spellEnd"/>
      <w:r w:rsidRPr="00131589">
        <w:rPr>
          <w:rFonts w:cs="Times New Roman"/>
        </w:rPr>
        <w:t xml:space="preserve">, A., </w:t>
      </w:r>
      <w:proofErr w:type="spellStart"/>
      <w:r w:rsidRPr="00131589">
        <w:rPr>
          <w:rFonts w:cs="Times New Roman"/>
        </w:rPr>
        <w:t>Oyewo</w:t>
      </w:r>
      <w:proofErr w:type="spellEnd"/>
      <w:r w:rsidRPr="00131589">
        <w:rPr>
          <w:rFonts w:cs="Times New Roman"/>
        </w:rPr>
        <w:t xml:space="preserve">, A.S., </w:t>
      </w:r>
      <w:proofErr w:type="spellStart"/>
      <w:r w:rsidRPr="00131589">
        <w:rPr>
          <w:rFonts w:cs="Times New Roman"/>
        </w:rPr>
        <w:t>Gulagi</w:t>
      </w:r>
      <w:proofErr w:type="spellEnd"/>
      <w:r w:rsidRPr="00131589">
        <w:rPr>
          <w:rFonts w:cs="Times New Roman"/>
        </w:rPr>
        <w:t>, A., Child, M</w:t>
      </w:r>
      <w:r w:rsidRPr="005E6D24">
        <w:rPr>
          <w:rFonts w:cs="Times New Roman"/>
        </w:rPr>
        <w:t>., Fell, H.K., Breyer, C. (2017). Global Energy System based on 100% Renewable Energy – Power Sector., Study by Lappeenranta University of Technology</w:t>
      </w:r>
      <w:r>
        <w:rPr>
          <w:noProof/>
        </w:rPr>
        <w:t xml:space="preserve"> and Energy Watch Group. Lappeenranta, Berlin, November 2017.</w:t>
      </w:r>
    </w:p>
    <w:p w14:paraId="784694A2" w14:textId="77777777" w:rsidR="006B01C8" w:rsidRPr="0021252A" w:rsidRDefault="006B01C8" w:rsidP="005E6D24">
      <w:pPr>
        <w:ind w:right="340"/>
        <w:rPr>
          <w:rFonts w:cs="Times New Roman"/>
        </w:rPr>
      </w:pPr>
      <w:proofErr w:type="spellStart"/>
      <w:r w:rsidRPr="004E6D9C">
        <w:rPr>
          <w:rFonts w:cs="Times New Roman"/>
        </w:rPr>
        <w:t>Raugei</w:t>
      </w:r>
      <w:proofErr w:type="spellEnd"/>
      <w:r w:rsidRPr="004E6D9C">
        <w:rPr>
          <w:rFonts w:cs="Times New Roman"/>
        </w:rPr>
        <w:t xml:space="preserve">, M., </w:t>
      </w:r>
      <w:proofErr w:type="spellStart"/>
      <w:r w:rsidRPr="004E6D9C">
        <w:rPr>
          <w:rFonts w:cs="Times New Roman"/>
        </w:rPr>
        <w:t>Fullana</w:t>
      </w:r>
      <w:proofErr w:type="spellEnd"/>
      <w:r w:rsidRPr="004E6D9C">
        <w:rPr>
          <w:rFonts w:cs="Times New Roman"/>
        </w:rPr>
        <w:t>-</w:t>
      </w:r>
      <w:proofErr w:type="spellStart"/>
      <w:r w:rsidRPr="004E6D9C">
        <w:rPr>
          <w:rFonts w:cs="Times New Roman"/>
        </w:rPr>
        <w:t>i</w:t>
      </w:r>
      <w:proofErr w:type="spellEnd"/>
      <w:r w:rsidRPr="004E6D9C">
        <w:rPr>
          <w:rFonts w:cs="Times New Roman"/>
        </w:rPr>
        <w:t xml:space="preserve">-Palmer, P., &amp; </w:t>
      </w:r>
      <w:proofErr w:type="spellStart"/>
      <w:r w:rsidRPr="004E6D9C">
        <w:rPr>
          <w:rFonts w:cs="Times New Roman"/>
        </w:rPr>
        <w:t>Fthenakis</w:t>
      </w:r>
      <w:proofErr w:type="spellEnd"/>
      <w:r w:rsidRPr="004E6D9C">
        <w:rPr>
          <w:rFonts w:cs="Times New Roman"/>
        </w:rPr>
        <w:t xml:space="preserve">, V. (2012). </w:t>
      </w:r>
      <w:r w:rsidRPr="00F025BB">
        <w:rPr>
          <w:rFonts w:cs="Times New Roman"/>
        </w:rPr>
        <w:t xml:space="preserve">The energy return on energy investment (EROI) of photovoltaics: Methodology and comparisons with fossil fuel life cycles. </w:t>
      </w:r>
      <w:r w:rsidRPr="00F025BB">
        <w:rPr>
          <w:rFonts w:cs="Times New Roman"/>
          <w:i/>
        </w:rPr>
        <w:t>Energy Policy, 45, 576–582.</w:t>
      </w:r>
      <w:r w:rsidRPr="00F025BB">
        <w:rPr>
          <w:rFonts w:cs="Times New Roman"/>
        </w:rPr>
        <w:t xml:space="preserve"> http://doi.org/10.1016/j.enpol.2012.03.008</w:t>
      </w:r>
    </w:p>
    <w:p w14:paraId="46C0F3E7" w14:textId="77777777" w:rsidR="006B01C8" w:rsidRPr="0021252A" w:rsidRDefault="006B01C8" w:rsidP="005E6D24">
      <w:pPr>
        <w:ind w:right="340"/>
        <w:rPr>
          <w:rFonts w:cs="Times New Roman"/>
        </w:rPr>
      </w:pPr>
      <w:r w:rsidRPr="0021252A">
        <w:rPr>
          <w:rFonts w:cs="Times New Roman"/>
        </w:rPr>
        <w:t xml:space="preserve">REN21. (2015). </w:t>
      </w:r>
      <w:r w:rsidRPr="0021252A">
        <w:rPr>
          <w:rFonts w:cs="Times New Roman"/>
          <w:i/>
        </w:rPr>
        <w:t>Renewables 2015: Global Status Report</w:t>
      </w:r>
      <w:r w:rsidRPr="0021252A">
        <w:rPr>
          <w:rFonts w:cs="Times New Roman"/>
        </w:rPr>
        <w:t>. Paris: REN21 Secretariat. Retrieved from http://www.ren21.net/wp-content/uploads/2015/07/REN12-GSR2015_Onlinebook_low1.pdf</w:t>
      </w:r>
    </w:p>
    <w:p w14:paraId="7359B1DE" w14:textId="77777777" w:rsidR="006B01C8" w:rsidRPr="0021252A" w:rsidRDefault="006B01C8" w:rsidP="005E6D24">
      <w:pPr>
        <w:ind w:right="340"/>
        <w:rPr>
          <w:rFonts w:cs="Times New Roman"/>
        </w:rPr>
      </w:pPr>
      <w:r w:rsidRPr="0021252A">
        <w:rPr>
          <w:rFonts w:cs="Times New Roman"/>
        </w:rPr>
        <w:t xml:space="preserve">REN21. (2016). </w:t>
      </w:r>
      <w:r w:rsidRPr="0021252A">
        <w:rPr>
          <w:rFonts w:cs="Times New Roman"/>
          <w:i/>
        </w:rPr>
        <w:t>Renewables 2016: Global Status Report</w:t>
      </w:r>
      <w:r w:rsidRPr="0021252A">
        <w:rPr>
          <w:rFonts w:cs="Times New Roman"/>
        </w:rPr>
        <w:t>. Paris: REN21 Secretariat. Retrieved from http://www.ren21.net/wp-content/uploads/2016/06/GSR_2016_Full_Report_REN21.pdf</w:t>
      </w:r>
    </w:p>
    <w:p w14:paraId="53098064" w14:textId="77777777" w:rsidR="006B01C8" w:rsidRPr="0021252A" w:rsidRDefault="006B01C8" w:rsidP="005E6D24">
      <w:pPr>
        <w:ind w:right="340"/>
        <w:rPr>
          <w:rFonts w:cs="Times New Roman"/>
        </w:rPr>
      </w:pPr>
      <w:r w:rsidRPr="0021252A">
        <w:rPr>
          <w:rFonts w:cs="Times New Roman"/>
        </w:rPr>
        <w:lastRenderedPageBreak/>
        <w:t xml:space="preserve">REN21. (2018). </w:t>
      </w:r>
      <w:r w:rsidRPr="0021252A">
        <w:rPr>
          <w:rFonts w:cs="Times New Roman"/>
          <w:i/>
        </w:rPr>
        <w:t>Renewables 2018: Global Status Report</w:t>
      </w:r>
      <w:r w:rsidRPr="0021252A">
        <w:rPr>
          <w:rFonts w:cs="Times New Roman"/>
        </w:rPr>
        <w:t>. Renewable Energy Policy Network for the 21st Century Paris.</w:t>
      </w:r>
    </w:p>
    <w:p w14:paraId="2E8F6827" w14:textId="77777777" w:rsidR="006B01C8" w:rsidRPr="0021252A" w:rsidRDefault="006B01C8" w:rsidP="007C5C1A">
      <w:pPr>
        <w:ind w:right="340"/>
        <w:rPr>
          <w:rFonts w:eastAsia="SimSun" w:cs="Arial"/>
          <w:noProof/>
        </w:rPr>
      </w:pPr>
      <w:r w:rsidRPr="0021252A">
        <w:rPr>
          <w:rFonts w:eastAsia="SimSun" w:cs="Arial"/>
          <w:noProof/>
        </w:rPr>
        <w:t>report/PICS/IEA-PVPS_-__A_Snapshot_of_Global_PV_-_1992-2015_-_Final_2_02.pdf</w:t>
      </w:r>
    </w:p>
    <w:p w14:paraId="4E9B6241" w14:textId="77777777" w:rsidR="006B01C8" w:rsidRPr="0021252A" w:rsidRDefault="006B01C8" w:rsidP="005E6D24">
      <w:pPr>
        <w:ind w:right="340"/>
        <w:rPr>
          <w:rFonts w:cs="Times New Roman"/>
        </w:rPr>
      </w:pPr>
      <w:r w:rsidRPr="0021252A">
        <w:rPr>
          <w:rFonts w:cs="Times New Roman"/>
        </w:rPr>
        <w:t>Rhyne, I., Klein, J. (2014). Estimated Cost of New Renewable and Fossil generation in California. California Energy Commission. Draft Staff Report. Retrieved from http://www.energy.ca.gov/2014publications/CEC-200-2014-003/CEC-200-2014-003-SD.pdf</w:t>
      </w:r>
    </w:p>
    <w:p w14:paraId="3A153965" w14:textId="77777777" w:rsidR="006B01C8" w:rsidRPr="0021252A" w:rsidRDefault="006B01C8" w:rsidP="007C5C1A">
      <w:pPr>
        <w:ind w:right="340"/>
        <w:rPr>
          <w:rFonts w:cs="Times New Roman"/>
        </w:rPr>
      </w:pPr>
      <w:r w:rsidRPr="0021252A">
        <w:rPr>
          <w:rFonts w:cs="Times New Roman"/>
        </w:rPr>
        <w:t xml:space="preserve">Schmidt T.  S., R.  Born, and M.  Schneider (2012). </w:t>
      </w:r>
      <w:r w:rsidRPr="00F025BB">
        <w:rPr>
          <w:rFonts w:cs="Times New Roman"/>
        </w:rPr>
        <w:t xml:space="preserve">Assessing the costs of photovoltaic and wind power in six developing countries. </w:t>
      </w:r>
      <w:r w:rsidRPr="00F025BB">
        <w:rPr>
          <w:rFonts w:cs="Times New Roman"/>
          <w:i/>
        </w:rPr>
        <w:t>Nature Climate Change 2, 548 – 553.</w:t>
      </w:r>
      <w:r w:rsidRPr="0021252A">
        <w:rPr>
          <w:rFonts w:cs="Times New Roman"/>
        </w:rPr>
        <w:t xml:space="preserve">  </w:t>
      </w:r>
    </w:p>
    <w:p w14:paraId="5B47B31A" w14:textId="77777777" w:rsidR="006B01C8" w:rsidRPr="0021252A" w:rsidRDefault="006B01C8" w:rsidP="007C5C1A">
      <w:pPr>
        <w:ind w:right="340"/>
        <w:rPr>
          <w:rFonts w:cs="Times New Roman"/>
        </w:rPr>
      </w:pPr>
      <w:proofErr w:type="spellStart"/>
      <w:r w:rsidRPr="0021252A">
        <w:rPr>
          <w:rFonts w:cs="Times New Roman"/>
        </w:rPr>
        <w:t>Seel</w:t>
      </w:r>
      <w:proofErr w:type="spellEnd"/>
      <w:r w:rsidRPr="0021252A">
        <w:rPr>
          <w:rFonts w:cs="Times New Roman"/>
        </w:rPr>
        <w:t xml:space="preserve">, J., </w:t>
      </w:r>
      <w:proofErr w:type="spellStart"/>
      <w:r w:rsidRPr="0021252A">
        <w:rPr>
          <w:rFonts w:cs="Times New Roman"/>
        </w:rPr>
        <w:t>Barbose</w:t>
      </w:r>
      <w:proofErr w:type="spellEnd"/>
      <w:r w:rsidRPr="0021252A">
        <w:rPr>
          <w:rFonts w:cs="Times New Roman"/>
        </w:rPr>
        <w:t xml:space="preserve">, G., &amp; Wiser, R. (2013). </w:t>
      </w:r>
      <w:r w:rsidRPr="0021252A">
        <w:rPr>
          <w:rFonts w:cs="Times New Roman"/>
          <w:i/>
        </w:rPr>
        <w:t>Why are residential PV prices in Germany so much lower than in the United States. A Scoping Analysis Note for the February</w:t>
      </w:r>
      <w:r w:rsidRPr="0021252A">
        <w:rPr>
          <w:rFonts w:cs="Times New Roman"/>
        </w:rPr>
        <w:t>. Retrieved from http://energy.gov/sites/prod/files/2014/01/f6/sunshot_webinar_20130226.pdf</w:t>
      </w:r>
    </w:p>
    <w:p w14:paraId="68AEDD5C" w14:textId="77777777" w:rsidR="006B01C8" w:rsidRPr="00F025BB" w:rsidRDefault="006B01C8" w:rsidP="007C5C1A">
      <w:pPr>
        <w:ind w:right="340"/>
        <w:rPr>
          <w:rFonts w:cs="Times New Roman"/>
        </w:rPr>
      </w:pPr>
      <w:r w:rsidRPr="0021252A">
        <w:rPr>
          <w:rFonts w:cs="Times New Roman"/>
        </w:rPr>
        <w:t xml:space="preserve">Shell. (2018). </w:t>
      </w:r>
      <w:r w:rsidRPr="0021252A">
        <w:rPr>
          <w:rFonts w:cs="Times New Roman"/>
          <w:i/>
        </w:rPr>
        <w:t>Shell Scenarios - Sky: Meeting the goals of the Paris Agreement</w:t>
      </w:r>
      <w:r w:rsidRPr="0021252A">
        <w:rPr>
          <w:rFonts w:cs="Times New Roman"/>
        </w:rPr>
        <w:t>. Shell. Houston.</w:t>
      </w:r>
      <w:r>
        <w:rPr>
          <w:rFonts w:cs="Times New Roman"/>
        </w:rPr>
        <w:t xml:space="preserve"> </w:t>
      </w:r>
      <w:r w:rsidRPr="0021252A">
        <w:rPr>
          <w:rFonts w:cs="Times New Roman"/>
        </w:rPr>
        <w:t xml:space="preserve">Retrieved from : </w:t>
      </w:r>
      <w:r w:rsidRPr="0021252A">
        <w:rPr>
          <w:rFonts w:eastAsia="SimSun" w:cs="Arial"/>
          <w:noProof/>
        </w:rPr>
        <w:t>www.shell.com/skyscenario</w:t>
      </w:r>
    </w:p>
    <w:p w14:paraId="176F085D" w14:textId="77777777" w:rsidR="006B01C8" w:rsidRPr="0021252A" w:rsidRDefault="006B01C8" w:rsidP="007C5C1A">
      <w:pPr>
        <w:ind w:right="340"/>
        <w:rPr>
          <w:rFonts w:cs="Times New Roman"/>
        </w:rPr>
      </w:pPr>
      <w:proofErr w:type="spellStart"/>
      <w:r w:rsidRPr="0021252A">
        <w:rPr>
          <w:rFonts w:cs="Times New Roman"/>
        </w:rPr>
        <w:t>SolarGIS</w:t>
      </w:r>
      <w:proofErr w:type="spellEnd"/>
      <w:r w:rsidRPr="0021252A">
        <w:rPr>
          <w:rFonts w:cs="Times New Roman"/>
        </w:rPr>
        <w:t xml:space="preserve">. (2018). </w:t>
      </w:r>
      <w:r w:rsidRPr="0021252A">
        <w:rPr>
          <w:rFonts w:cs="Times New Roman"/>
          <w:i/>
        </w:rPr>
        <w:t>Maps of Global horizontal irradiation (GHI)</w:t>
      </w:r>
      <w:r w:rsidRPr="0021252A">
        <w:rPr>
          <w:rFonts w:cs="Times New Roman"/>
        </w:rPr>
        <w:t>. Retrieved from</w:t>
      </w:r>
      <w:r>
        <w:rPr>
          <w:rFonts w:cs="Times New Roman"/>
        </w:rPr>
        <w:t>:</w:t>
      </w:r>
      <w:r w:rsidRPr="0021252A">
        <w:rPr>
          <w:rFonts w:cs="Times New Roman"/>
        </w:rPr>
        <w:t xml:space="preserve"> http://solargis.info/doc/free-solar-radiation-maps-GHI</w:t>
      </w:r>
    </w:p>
    <w:p w14:paraId="19A08784" w14:textId="77777777" w:rsidR="006B01C8" w:rsidRPr="0021252A" w:rsidRDefault="006B01C8" w:rsidP="007C5C1A">
      <w:pPr>
        <w:ind w:right="340"/>
        <w:rPr>
          <w:rFonts w:cs="Times New Roman"/>
        </w:rPr>
      </w:pPr>
      <w:proofErr w:type="spellStart"/>
      <w:r w:rsidRPr="0021252A">
        <w:rPr>
          <w:rFonts w:cs="Times New Roman"/>
        </w:rPr>
        <w:t>SolarPower</w:t>
      </w:r>
      <w:proofErr w:type="spellEnd"/>
      <w:r w:rsidRPr="0021252A">
        <w:rPr>
          <w:rFonts w:cs="Times New Roman"/>
        </w:rPr>
        <w:t xml:space="preserve"> Europe. (2015). </w:t>
      </w:r>
      <w:r w:rsidRPr="0021252A">
        <w:rPr>
          <w:rFonts w:cs="Times New Roman"/>
          <w:i/>
        </w:rPr>
        <w:t>Global Market Outlook for Solar Power 2015-2019</w:t>
      </w:r>
      <w:r w:rsidRPr="0021252A">
        <w:rPr>
          <w:rFonts w:cs="Times New Roman"/>
        </w:rPr>
        <w:t xml:space="preserve">. </w:t>
      </w:r>
      <w:proofErr w:type="spellStart"/>
      <w:r w:rsidRPr="0021252A">
        <w:rPr>
          <w:rFonts w:cs="Times New Roman"/>
        </w:rPr>
        <w:t>SolarPower</w:t>
      </w:r>
      <w:proofErr w:type="spellEnd"/>
      <w:r w:rsidRPr="0021252A">
        <w:rPr>
          <w:rFonts w:cs="Times New Roman"/>
        </w:rPr>
        <w:t xml:space="preserve"> Europe. Retrieved from</w:t>
      </w:r>
      <w:r>
        <w:rPr>
          <w:rFonts w:cs="Times New Roman"/>
        </w:rPr>
        <w:t>:</w:t>
      </w:r>
      <w:r w:rsidRPr="0021252A">
        <w:rPr>
          <w:rFonts w:cs="Times New Roman"/>
        </w:rPr>
        <w:t xml:space="preserve"> http://resources.solarbusinesshub.com/images/reports/104.pdf</w:t>
      </w:r>
    </w:p>
    <w:p w14:paraId="3E7BA17A" w14:textId="77777777" w:rsidR="006B01C8" w:rsidRPr="0021252A" w:rsidRDefault="006B01C8" w:rsidP="007C5C1A">
      <w:pPr>
        <w:ind w:right="340"/>
        <w:rPr>
          <w:rFonts w:cs="Times New Roman"/>
        </w:rPr>
      </w:pPr>
      <w:proofErr w:type="spellStart"/>
      <w:r w:rsidRPr="0021252A">
        <w:rPr>
          <w:rFonts w:cs="Times New Roman"/>
        </w:rPr>
        <w:t>Sussams</w:t>
      </w:r>
      <w:proofErr w:type="spellEnd"/>
      <w:r>
        <w:rPr>
          <w:rFonts w:cs="Times New Roman"/>
        </w:rPr>
        <w:t>, L. et al</w:t>
      </w:r>
      <w:r w:rsidRPr="0021252A">
        <w:rPr>
          <w:rFonts w:cs="Times New Roman"/>
        </w:rPr>
        <w:t xml:space="preserve"> (2017). </w:t>
      </w:r>
      <w:r w:rsidRPr="0021252A">
        <w:rPr>
          <w:rFonts w:cs="Times New Roman"/>
          <w:i/>
        </w:rPr>
        <w:t>Expect the Unexpected : the Disruptive Power of Low-carbon Technology</w:t>
      </w:r>
      <w:r w:rsidRPr="0021252A">
        <w:rPr>
          <w:rFonts w:cs="Times New Roman"/>
        </w:rPr>
        <w:t>. London: Carbon Tracker Initiative.</w:t>
      </w:r>
    </w:p>
    <w:p w14:paraId="27EEACF3" w14:textId="77777777" w:rsidR="006B01C8" w:rsidRPr="0021252A" w:rsidRDefault="006B01C8" w:rsidP="007C5C1A">
      <w:pPr>
        <w:ind w:right="340"/>
        <w:rPr>
          <w:rFonts w:cs="Times New Roman"/>
        </w:rPr>
      </w:pPr>
      <w:proofErr w:type="spellStart"/>
      <w:r w:rsidRPr="0021252A">
        <w:rPr>
          <w:rFonts w:cs="Times New Roman"/>
        </w:rPr>
        <w:t>Teske</w:t>
      </w:r>
      <w:proofErr w:type="spellEnd"/>
      <w:r w:rsidRPr="0021252A">
        <w:rPr>
          <w:rFonts w:cs="Times New Roman"/>
        </w:rPr>
        <w:t xml:space="preserve">, S., Sawyer, S. &amp; Schafer, O. (2015). energy [R]evolution : </w:t>
      </w:r>
      <w:r w:rsidRPr="0021252A">
        <w:rPr>
          <w:rFonts w:cs="Times New Roman"/>
          <w:i/>
        </w:rPr>
        <w:t>A sustainable world energy outlook 2015; 100% Renewable Energy for All</w:t>
      </w:r>
      <w:r w:rsidRPr="0021252A">
        <w:rPr>
          <w:rFonts w:cs="Times New Roman"/>
        </w:rPr>
        <w:t>. Brussels: Greenpeace.</w:t>
      </w:r>
    </w:p>
    <w:p w14:paraId="0A6DA1C6" w14:textId="77777777" w:rsidR="006B01C8" w:rsidRPr="0021252A" w:rsidRDefault="006B01C8" w:rsidP="007C5C1A">
      <w:pPr>
        <w:ind w:right="340"/>
        <w:rPr>
          <w:rFonts w:cs="Times New Roman"/>
        </w:rPr>
      </w:pPr>
      <w:r w:rsidRPr="0021252A">
        <w:rPr>
          <w:rFonts w:cs="Times New Roman"/>
        </w:rPr>
        <w:t xml:space="preserve">Thomas </w:t>
      </w:r>
      <w:proofErr w:type="spellStart"/>
      <w:r w:rsidRPr="0021252A">
        <w:rPr>
          <w:rFonts w:cs="Times New Roman"/>
        </w:rPr>
        <w:t>Nikolakakis</w:t>
      </w:r>
      <w:proofErr w:type="spellEnd"/>
      <w:r w:rsidRPr="0021252A">
        <w:rPr>
          <w:rFonts w:cs="Times New Roman"/>
        </w:rPr>
        <w:t xml:space="preserve">, &amp; Vasilis </w:t>
      </w:r>
      <w:proofErr w:type="spellStart"/>
      <w:r w:rsidRPr="0021252A">
        <w:rPr>
          <w:rFonts w:cs="Times New Roman"/>
        </w:rPr>
        <w:t>Fthenakis</w:t>
      </w:r>
      <w:proofErr w:type="spellEnd"/>
      <w:r w:rsidRPr="0021252A">
        <w:rPr>
          <w:rFonts w:cs="Times New Roman"/>
        </w:rPr>
        <w:t xml:space="preserve">. (2011). </w:t>
      </w:r>
      <w:r w:rsidRPr="009C4565">
        <w:rPr>
          <w:rFonts w:cs="Times New Roman"/>
          <w:i/>
        </w:rPr>
        <w:t>The optimum mix of electricity from wind- and solar-sources in conventional power systems: Evaluating the case for New York State</w:t>
      </w:r>
      <w:r w:rsidRPr="0021252A">
        <w:rPr>
          <w:rFonts w:cs="Times New Roman"/>
        </w:rPr>
        <w:t>. Energy Policy, 39(11), 6972–6980.</w:t>
      </w:r>
    </w:p>
    <w:p w14:paraId="2AE3E4F3" w14:textId="77777777" w:rsidR="006B01C8" w:rsidRPr="0021252A" w:rsidRDefault="006B01C8" w:rsidP="007C5C1A">
      <w:pPr>
        <w:ind w:right="340"/>
        <w:rPr>
          <w:rFonts w:cs="Times New Roman"/>
        </w:rPr>
      </w:pPr>
      <w:r w:rsidRPr="0021252A">
        <w:rPr>
          <w:rFonts w:cs="Times New Roman"/>
        </w:rPr>
        <w:t xml:space="preserve">Tour, A. de la, Meniere, Y. &amp; </w:t>
      </w:r>
      <w:proofErr w:type="spellStart"/>
      <w:r w:rsidRPr="0021252A">
        <w:rPr>
          <w:rFonts w:cs="Times New Roman"/>
        </w:rPr>
        <w:t>Glachant</w:t>
      </w:r>
      <w:proofErr w:type="spellEnd"/>
      <w:r w:rsidRPr="0021252A">
        <w:rPr>
          <w:rFonts w:cs="Times New Roman"/>
        </w:rPr>
        <w:t xml:space="preserve">, M. (2013). </w:t>
      </w:r>
      <w:r w:rsidRPr="0021252A">
        <w:rPr>
          <w:rFonts w:cs="Times New Roman"/>
          <w:i/>
        </w:rPr>
        <w:t>What cost for photovoltaic modules in 2020 ? Lessons from experience curve models.</w:t>
      </w:r>
      <w:r w:rsidRPr="0021252A">
        <w:rPr>
          <w:rFonts w:cs="Times New Roman"/>
        </w:rPr>
        <w:t xml:space="preserve"> Working paper 13-ME-03. MINES </w:t>
      </w:r>
      <w:proofErr w:type="spellStart"/>
      <w:r w:rsidRPr="0021252A">
        <w:rPr>
          <w:rFonts w:cs="Times New Roman"/>
        </w:rPr>
        <w:t>ParisTech</w:t>
      </w:r>
      <w:proofErr w:type="spellEnd"/>
      <w:r w:rsidRPr="0021252A">
        <w:rPr>
          <w:rFonts w:cs="Times New Roman"/>
        </w:rPr>
        <w:t xml:space="preserve">, </w:t>
      </w:r>
      <w:proofErr w:type="spellStart"/>
      <w:r w:rsidRPr="0021252A">
        <w:rPr>
          <w:rFonts w:cs="Times New Roman"/>
        </w:rPr>
        <w:t>HAL,Paris</w:t>
      </w:r>
      <w:proofErr w:type="spellEnd"/>
      <w:r w:rsidRPr="0021252A">
        <w:rPr>
          <w:rFonts w:cs="Times New Roman"/>
        </w:rPr>
        <w:t>. Retrieved from : https://www.researchgate.net/publication/273698183_What_cost_for_photovoltaic_What_cost_for_photovoltaic_modules_in_2020_Lessons_from_experience_curve_models</w:t>
      </w:r>
    </w:p>
    <w:p w14:paraId="03D304B7" w14:textId="77777777" w:rsidR="006B01C8" w:rsidRPr="00A16154" w:rsidRDefault="006B01C8" w:rsidP="007C5C1A">
      <w:pPr>
        <w:ind w:right="340"/>
        <w:rPr>
          <w:rFonts w:eastAsia="SimSun" w:cs="Arial"/>
          <w:noProof/>
        </w:rPr>
      </w:pPr>
      <w:r w:rsidRPr="00A16154">
        <w:rPr>
          <w:rFonts w:eastAsia="SimSun" w:cs="Arial"/>
          <w:noProof/>
        </w:rPr>
        <w:lastRenderedPageBreak/>
        <w:t xml:space="preserve">Tsao, J., Lewis, N., &amp; Crabtree, G. (2006). </w:t>
      </w:r>
      <w:r w:rsidRPr="00A16154">
        <w:rPr>
          <w:rFonts w:eastAsia="SimSun" w:cs="Arial"/>
          <w:i/>
          <w:noProof/>
        </w:rPr>
        <w:t xml:space="preserve">Solar FAQs. </w:t>
      </w:r>
      <w:r w:rsidRPr="00A16154">
        <w:rPr>
          <w:rFonts w:eastAsia="SimSun" w:cs="Arial"/>
          <w:noProof/>
        </w:rPr>
        <w:t>US Department of Energy, Office of Basic Energy Science.</w:t>
      </w:r>
      <w:r w:rsidRPr="0021252A">
        <w:rPr>
          <w:rFonts w:eastAsia="SimSun" w:cs="Arial"/>
          <w:noProof/>
        </w:rPr>
        <w:t xml:space="preserve"> </w:t>
      </w:r>
      <w:r w:rsidRPr="00A16154">
        <w:rPr>
          <w:rFonts w:eastAsia="Calibri" w:cs="Times New Roman"/>
        </w:rPr>
        <w:t xml:space="preserve">Retrieved from </w:t>
      </w:r>
      <w:r w:rsidRPr="0021252A">
        <w:rPr>
          <w:rFonts w:eastAsia="Calibri" w:cs="Times New Roman"/>
        </w:rPr>
        <w:t>Solar FAQs : https://www.sandia.gov/~jytsao/Solar%20FAQs.pdf</w:t>
      </w:r>
    </w:p>
    <w:p w14:paraId="51688A11" w14:textId="77777777" w:rsidR="006B01C8" w:rsidRPr="00A16154" w:rsidRDefault="006B01C8" w:rsidP="007C5C1A">
      <w:pPr>
        <w:ind w:right="340"/>
        <w:rPr>
          <w:rFonts w:eastAsia="SimSun" w:cs="Arial"/>
          <w:noProof/>
        </w:rPr>
      </w:pPr>
      <w:r w:rsidRPr="00A16154">
        <w:rPr>
          <w:rFonts w:eastAsia="SimSun" w:cs="Arial"/>
          <w:noProof/>
        </w:rPr>
        <w:t xml:space="preserve">US Energy Information Administration. (2015). </w:t>
      </w:r>
      <w:r w:rsidRPr="00A16154">
        <w:rPr>
          <w:rFonts w:eastAsia="SimSun" w:cs="Arial"/>
          <w:i/>
          <w:noProof/>
        </w:rPr>
        <w:t>Updated capital cost estimates for utility scale electricity generating plants.</w:t>
      </w:r>
      <w:r w:rsidRPr="00A16154">
        <w:rPr>
          <w:rFonts w:eastAsia="SimSun" w:cs="Arial"/>
          <w:noProof/>
        </w:rPr>
        <w:t xml:space="preserve"> Washington: U.S. Energy Information Administration</w:t>
      </w:r>
      <w:r>
        <w:rPr>
          <w:rFonts w:eastAsia="SimSun" w:cs="Arial"/>
          <w:noProof/>
        </w:rPr>
        <w:t>.</w:t>
      </w:r>
      <w:r w:rsidRPr="00A16154">
        <w:rPr>
          <w:rFonts w:eastAsia="SimSun" w:cs="Arial"/>
          <w:noProof/>
        </w:rPr>
        <w:t xml:space="preserve"> Retrieved from</w:t>
      </w:r>
      <w:r>
        <w:rPr>
          <w:rFonts w:eastAsia="SimSun" w:cs="Arial"/>
          <w:noProof/>
        </w:rPr>
        <w:t>:</w:t>
      </w:r>
      <w:r w:rsidRPr="00A16154">
        <w:rPr>
          <w:rFonts w:eastAsia="SimSun" w:cs="Arial"/>
          <w:noProof/>
        </w:rPr>
        <w:t xml:space="preserve"> http://www.eia.gov/forecasts/capitalcost/</w:t>
      </w:r>
    </w:p>
    <w:p w14:paraId="328580BF" w14:textId="77777777" w:rsidR="006B01C8" w:rsidRPr="00A16154" w:rsidRDefault="006B01C8" w:rsidP="007C5C1A">
      <w:pPr>
        <w:ind w:right="340"/>
        <w:rPr>
          <w:rFonts w:eastAsia="SimSun" w:cs="Arial"/>
          <w:noProof/>
        </w:rPr>
      </w:pPr>
      <w:r w:rsidRPr="00A16154">
        <w:rPr>
          <w:rFonts w:eastAsia="SimSun" w:cs="Arial"/>
          <w:noProof/>
        </w:rPr>
        <w:t>US Energy Information Administration. (2018, November 25). US Energy Information Administration : Independent Statistics and Analysis. Retrieved from</w:t>
      </w:r>
      <w:r>
        <w:rPr>
          <w:rFonts w:eastAsia="SimSun" w:cs="Arial"/>
          <w:noProof/>
        </w:rPr>
        <w:t>:</w:t>
      </w:r>
      <w:r w:rsidRPr="00A16154">
        <w:rPr>
          <w:rFonts w:eastAsia="SimSun" w:cs="Arial"/>
          <w:noProof/>
        </w:rPr>
        <w:t xml:space="preserve"> </w:t>
      </w:r>
      <w:r w:rsidRPr="00A16154">
        <w:rPr>
          <w:rFonts w:eastAsia="SimSun" w:cs="Arial"/>
          <w:i/>
          <w:noProof/>
        </w:rPr>
        <w:t>Frequently Asked Questions : General Energy:</w:t>
      </w:r>
      <w:r w:rsidRPr="00A16154">
        <w:rPr>
          <w:rFonts w:eastAsia="SimSun" w:cs="Arial"/>
          <w:noProof/>
        </w:rPr>
        <w:t xml:space="preserve"> https://www.eia.gov/tools/faqs/</w:t>
      </w:r>
    </w:p>
    <w:p w14:paraId="46A8FFAB" w14:textId="77777777" w:rsidR="006B01C8" w:rsidRPr="00A16154" w:rsidRDefault="006B01C8" w:rsidP="007C5C1A">
      <w:pPr>
        <w:ind w:right="340"/>
        <w:rPr>
          <w:rFonts w:eastAsia="SimSun" w:cs="Arial"/>
          <w:noProof/>
        </w:rPr>
      </w:pPr>
      <w:r w:rsidRPr="00A16154">
        <w:rPr>
          <w:rFonts w:eastAsia="SimSun" w:cs="Arial"/>
          <w:noProof/>
        </w:rPr>
        <w:t>US Energy Information Administration.</w:t>
      </w:r>
      <w:r w:rsidRPr="0021252A">
        <w:rPr>
          <w:rFonts w:eastAsia="SimSun" w:cs="Arial"/>
          <w:noProof/>
        </w:rPr>
        <w:t xml:space="preserve"> EIA.</w:t>
      </w:r>
      <w:r w:rsidRPr="00A16154">
        <w:rPr>
          <w:rFonts w:eastAsia="SimSun" w:cs="Arial"/>
          <w:noProof/>
        </w:rPr>
        <w:t xml:space="preserve"> (2018). </w:t>
      </w:r>
      <w:r w:rsidRPr="00A16154">
        <w:rPr>
          <w:rFonts w:eastAsia="SimSun" w:cs="Arial"/>
          <w:i/>
          <w:noProof/>
        </w:rPr>
        <w:t>Annual Energy Outlook 2018</w:t>
      </w:r>
      <w:r w:rsidRPr="00A16154">
        <w:rPr>
          <w:rFonts w:eastAsia="SimSun" w:cs="Arial"/>
          <w:noProof/>
        </w:rPr>
        <w:t>. Washington: US Energy Information Administration</w:t>
      </w:r>
      <w:r w:rsidRPr="0021252A">
        <w:t xml:space="preserve">. Retrieved from: </w:t>
      </w:r>
      <w:r w:rsidRPr="0021252A">
        <w:rPr>
          <w:rFonts w:eastAsia="SimSun" w:cs="Arial"/>
          <w:noProof/>
        </w:rPr>
        <w:t>https://www.eia.gov/outlooks/aeo/</w:t>
      </w:r>
    </w:p>
    <w:p w14:paraId="5C652C9E" w14:textId="77777777" w:rsidR="006B01C8" w:rsidRPr="0021252A" w:rsidRDefault="006B01C8" w:rsidP="007C5C1A">
      <w:pPr>
        <w:ind w:right="340"/>
        <w:rPr>
          <w:rFonts w:cs="Times New Roman"/>
          <w:color w:val="000000" w:themeColor="text1"/>
        </w:rPr>
      </w:pPr>
      <w:r w:rsidRPr="0021252A">
        <w:rPr>
          <w:rFonts w:cs="Times New Roman"/>
        </w:rPr>
        <w:t xml:space="preserve">USDOE. (2012). </w:t>
      </w:r>
      <w:r w:rsidRPr="0021252A">
        <w:rPr>
          <w:rFonts w:cs="Times New Roman"/>
          <w:i/>
        </w:rPr>
        <w:t xml:space="preserve">Analysis of PV and CSP Growth in the </w:t>
      </w:r>
      <w:proofErr w:type="spellStart"/>
      <w:r w:rsidRPr="0021252A">
        <w:rPr>
          <w:rFonts w:cs="Times New Roman"/>
          <w:i/>
        </w:rPr>
        <w:t>SunShot</w:t>
      </w:r>
      <w:proofErr w:type="spellEnd"/>
      <w:r w:rsidRPr="0021252A">
        <w:rPr>
          <w:rFonts w:cs="Times New Roman"/>
          <w:i/>
        </w:rPr>
        <w:t xml:space="preserve"> Scenario in </w:t>
      </w:r>
      <w:proofErr w:type="spellStart"/>
      <w:r w:rsidRPr="0021252A">
        <w:rPr>
          <w:rFonts w:cs="Times New Roman"/>
          <w:i/>
        </w:rPr>
        <w:t>SunShot</w:t>
      </w:r>
      <w:proofErr w:type="spellEnd"/>
      <w:r w:rsidRPr="0021252A">
        <w:rPr>
          <w:rFonts w:cs="Times New Roman"/>
          <w:i/>
        </w:rPr>
        <w:t xml:space="preserve"> Vision Study 2012.</w:t>
      </w:r>
      <w:r w:rsidRPr="0021252A">
        <w:rPr>
          <w:rFonts w:cs="Times New Roman"/>
        </w:rPr>
        <w:t xml:space="preserve"> Washington: US Department of Energy. Retrieved from : </w:t>
      </w:r>
      <w:hyperlink r:id="rId34" w:history="1">
        <w:r w:rsidRPr="0021252A">
          <w:rPr>
            <w:rStyle w:val="Hyperlink"/>
            <w:rFonts w:cs="Times New Roman"/>
            <w:color w:val="000000" w:themeColor="text1"/>
            <w:u w:val="none"/>
          </w:rPr>
          <w:t>https://www.energy.gov/sites/prod/files/SunShot%20Vision%20Study.pdf</w:t>
        </w:r>
      </w:hyperlink>
    </w:p>
    <w:p w14:paraId="306DA003" w14:textId="77777777" w:rsidR="006B01C8" w:rsidRPr="0021252A" w:rsidRDefault="006B01C8" w:rsidP="007C5C1A">
      <w:pPr>
        <w:ind w:right="340"/>
        <w:rPr>
          <w:rFonts w:cs="Times New Roman"/>
        </w:rPr>
      </w:pPr>
      <w:r w:rsidRPr="00F025BB">
        <w:rPr>
          <w:rFonts w:cs="Times New Roman"/>
          <w:lang w:val="pt-PT"/>
        </w:rPr>
        <w:t xml:space="preserve">Vieira, R. G., Guerra, F. K. O. M. V., Vale, M. R. B. G., &amp; Araújo, M. M. (2016). </w:t>
      </w:r>
      <w:r w:rsidRPr="00F025BB">
        <w:rPr>
          <w:rFonts w:cs="Times New Roman"/>
        </w:rPr>
        <w:t xml:space="preserve">Comparative performance analysis between static solar panels and single-axis tracking system on a hot climate region near to the equator. </w:t>
      </w:r>
      <w:r w:rsidRPr="00F025BB">
        <w:rPr>
          <w:rFonts w:cs="Times New Roman"/>
          <w:i/>
        </w:rPr>
        <w:t>Renewable and Sustainable Energy Reviews, 64, 672–681.</w:t>
      </w:r>
      <w:r w:rsidRPr="0021252A">
        <w:rPr>
          <w:rFonts w:cs="Times New Roman"/>
        </w:rPr>
        <w:t xml:space="preserve"> http://doi.org/10.1016/j.rser.2016.06.089</w:t>
      </w:r>
    </w:p>
    <w:p w14:paraId="78A05B2B" w14:textId="77777777" w:rsidR="006B01C8" w:rsidRPr="00F025BB" w:rsidRDefault="006B01C8" w:rsidP="007C5C1A">
      <w:pPr>
        <w:ind w:right="340"/>
        <w:rPr>
          <w:rFonts w:cs="Times New Roman"/>
        </w:rPr>
      </w:pPr>
      <w:proofErr w:type="spellStart"/>
      <w:r w:rsidRPr="0021252A">
        <w:rPr>
          <w:rFonts w:cs="Times New Roman"/>
        </w:rPr>
        <w:t>Weißbach</w:t>
      </w:r>
      <w:proofErr w:type="spellEnd"/>
      <w:r w:rsidRPr="0021252A">
        <w:rPr>
          <w:rFonts w:cs="Times New Roman"/>
        </w:rPr>
        <w:t xml:space="preserve">, D., </w:t>
      </w:r>
      <w:proofErr w:type="spellStart"/>
      <w:r w:rsidRPr="0021252A">
        <w:rPr>
          <w:rFonts w:cs="Times New Roman"/>
        </w:rPr>
        <w:t>Ruprecht</w:t>
      </w:r>
      <w:proofErr w:type="spellEnd"/>
      <w:r w:rsidRPr="0021252A">
        <w:rPr>
          <w:rFonts w:cs="Times New Roman"/>
        </w:rPr>
        <w:t xml:space="preserve">, G., </w:t>
      </w:r>
      <w:proofErr w:type="spellStart"/>
      <w:r w:rsidRPr="0021252A">
        <w:rPr>
          <w:rFonts w:cs="Times New Roman"/>
        </w:rPr>
        <w:t>Huke</w:t>
      </w:r>
      <w:proofErr w:type="spellEnd"/>
      <w:r w:rsidRPr="0021252A">
        <w:rPr>
          <w:rFonts w:cs="Times New Roman"/>
        </w:rPr>
        <w:t xml:space="preserve">, A., </w:t>
      </w:r>
      <w:proofErr w:type="spellStart"/>
      <w:r w:rsidRPr="0021252A">
        <w:rPr>
          <w:rFonts w:cs="Times New Roman"/>
        </w:rPr>
        <w:t>Czerski</w:t>
      </w:r>
      <w:proofErr w:type="spellEnd"/>
      <w:r w:rsidRPr="0021252A">
        <w:rPr>
          <w:rFonts w:cs="Times New Roman"/>
        </w:rPr>
        <w:t>, K., Gottlieb, S., &amp; Hussein, A. (2013</w:t>
      </w:r>
      <w:r w:rsidRPr="0021252A">
        <w:rPr>
          <w:rFonts w:cs="Times New Roman"/>
          <w:i/>
        </w:rPr>
        <w:t xml:space="preserve">). </w:t>
      </w:r>
      <w:r w:rsidRPr="00F025BB">
        <w:rPr>
          <w:rFonts w:cs="Times New Roman"/>
        </w:rPr>
        <w:t xml:space="preserve">Energy intensities, EROIs (energy returned on invested), and energy payback times of electricity generating power plants. </w:t>
      </w:r>
      <w:r w:rsidRPr="00F025BB">
        <w:rPr>
          <w:rFonts w:cs="Times New Roman"/>
          <w:i/>
        </w:rPr>
        <w:t>Energy, 52, 210–221.</w:t>
      </w:r>
      <w:r w:rsidRPr="00F025BB">
        <w:rPr>
          <w:rFonts w:cs="Times New Roman"/>
        </w:rPr>
        <w:t xml:space="preserve"> http://doi.org/10.1016/j.energy.2013.01.029</w:t>
      </w:r>
    </w:p>
    <w:p w14:paraId="3AD676C9" w14:textId="77777777" w:rsidR="006B01C8" w:rsidRPr="0021252A" w:rsidRDefault="006B01C8" w:rsidP="007C5C1A">
      <w:pPr>
        <w:ind w:right="340"/>
        <w:rPr>
          <w:rFonts w:cs="Times New Roman"/>
        </w:rPr>
      </w:pPr>
      <w:r w:rsidRPr="0021252A">
        <w:rPr>
          <w:rFonts w:cs="Times New Roman"/>
        </w:rPr>
        <w:t xml:space="preserve">World Bank. (2015). </w:t>
      </w:r>
      <w:r w:rsidRPr="0021252A">
        <w:rPr>
          <w:rFonts w:cs="Times New Roman"/>
          <w:i/>
        </w:rPr>
        <w:t>Breakdown of Electricity Generation by Energy Source. World Development Indicators</w:t>
      </w:r>
      <w:r w:rsidRPr="0021252A">
        <w:rPr>
          <w:rFonts w:cs="Times New Roman"/>
        </w:rPr>
        <w:t>. The World Bank data in The Shift project Data Portal. Retrieved from http://www.tsp-data-portal.org/Breakdown-of-Electricity-Generation-by-Energy-Source#tspQvChart.</w:t>
      </w:r>
    </w:p>
    <w:p w14:paraId="5097C1BA" w14:textId="77777777" w:rsidR="006B01C8" w:rsidRPr="0021252A" w:rsidRDefault="006B01C8" w:rsidP="007C5C1A">
      <w:pPr>
        <w:ind w:right="340"/>
        <w:rPr>
          <w:rFonts w:cs="Times New Roman"/>
        </w:rPr>
      </w:pPr>
      <w:r w:rsidRPr="0021252A">
        <w:rPr>
          <w:rFonts w:cs="Times New Roman"/>
        </w:rPr>
        <w:t xml:space="preserve">World Bank. (2016). </w:t>
      </w:r>
      <w:r w:rsidRPr="0021252A">
        <w:rPr>
          <w:rFonts w:cs="Times New Roman"/>
          <w:i/>
        </w:rPr>
        <w:t>Global Economic Monitor (GEM) Commodities</w:t>
      </w:r>
      <w:r w:rsidRPr="0021252A">
        <w:rPr>
          <w:rFonts w:cs="Times New Roman"/>
        </w:rPr>
        <w:t xml:space="preserve"> | World </w:t>
      </w:r>
      <w:proofErr w:type="spellStart"/>
      <w:r w:rsidRPr="0021252A">
        <w:rPr>
          <w:rFonts w:cs="Times New Roman"/>
        </w:rPr>
        <w:t>DataBank</w:t>
      </w:r>
      <w:proofErr w:type="spellEnd"/>
      <w:r w:rsidRPr="0021252A">
        <w:rPr>
          <w:rFonts w:cs="Times New Roman"/>
        </w:rPr>
        <w:t>. Retrieved July 27, 2016, from</w:t>
      </w:r>
      <w:r>
        <w:rPr>
          <w:rFonts w:cs="Times New Roman"/>
        </w:rPr>
        <w:t>:</w:t>
      </w:r>
      <w:r w:rsidRPr="0021252A">
        <w:rPr>
          <w:rFonts w:cs="Times New Roman"/>
        </w:rPr>
        <w:t xml:space="preserve"> http://databank.worldbank.org/data/reports.aspx?source=global-economic-monitor-(gem)-commodities#</w:t>
      </w:r>
    </w:p>
    <w:p w14:paraId="68EFEC10" w14:textId="77777777" w:rsidR="006B01C8" w:rsidRPr="0021252A" w:rsidRDefault="006B01C8" w:rsidP="007C5C1A">
      <w:pPr>
        <w:ind w:right="340"/>
        <w:rPr>
          <w:rFonts w:cs="Times New Roman"/>
        </w:rPr>
      </w:pPr>
      <w:r w:rsidRPr="0021252A">
        <w:rPr>
          <w:rFonts w:cs="Times New Roman"/>
        </w:rPr>
        <w:t xml:space="preserve">Zhao, Y., &amp; Zhu, K. (2016). </w:t>
      </w:r>
      <w:r w:rsidRPr="00F025BB">
        <w:rPr>
          <w:rFonts w:cs="Times New Roman"/>
        </w:rPr>
        <w:t xml:space="preserve">Organic–inorganic hybrid lead halide perovskites for optoelectronic and electronic applications. </w:t>
      </w:r>
      <w:r w:rsidRPr="00F025BB">
        <w:rPr>
          <w:rFonts w:cs="Times New Roman"/>
          <w:i/>
        </w:rPr>
        <w:t>Chem. Soc. Rev., 45(3), 655–689.</w:t>
      </w:r>
      <w:r w:rsidRPr="00F025BB">
        <w:rPr>
          <w:rFonts w:cs="Times New Roman"/>
        </w:rPr>
        <w:t xml:space="preserve"> </w:t>
      </w:r>
      <w:hyperlink r:id="rId35" w:history="1">
        <w:r w:rsidRPr="00F025BB">
          <w:rPr>
            <w:rStyle w:val="Hyperlink"/>
            <w:rFonts w:cs="Times New Roman"/>
            <w:color w:val="000000" w:themeColor="text1"/>
            <w:u w:val="none"/>
          </w:rPr>
          <w:t>http://doi.org/10.1039/C4CS00458B</w:t>
        </w:r>
      </w:hyperlink>
    </w:p>
    <w:p w14:paraId="1F93FED7" w14:textId="34FFC081" w:rsidR="00937CB6" w:rsidRDefault="00937CB6" w:rsidP="00A878AD"/>
    <w:p w14:paraId="07EC7E04" w14:textId="77777777" w:rsidR="002D36C3" w:rsidRDefault="002D36C3">
      <w:pPr>
        <w:spacing w:after="160" w:line="259" w:lineRule="auto"/>
        <w:jc w:val="left"/>
        <w:rPr>
          <w:rFonts w:asciiTheme="majorHAnsi" w:eastAsiaTheme="majorEastAsia" w:hAnsiTheme="majorHAnsi" w:cs="Times New Roman (Headings CS)"/>
          <w:b/>
          <w:bCs/>
          <w:smallCaps/>
          <w:color w:val="4F81BD" w:themeColor="accent1"/>
          <w:sz w:val="36"/>
          <w:szCs w:val="36"/>
        </w:rPr>
      </w:pPr>
      <w:bookmarkStart w:id="77" w:name="_Toc533695450"/>
      <w:bookmarkEnd w:id="77"/>
      <w:r>
        <w:br w:type="page"/>
      </w:r>
    </w:p>
    <w:p w14:paraId="02EABFF3" w14:textId="0539728F" w:rsidR="006745FF" w:rsidRPr="006E0357" w:rsidRDefault="006745FF" w:rsidP="006E0357">
      <w:pPr>
        <w:pStyle w:val="Heading1"/>
      </w:pPr>
      <w:bookmarkStart w:id="78" w:name="_Toc10331930"/>
      <w:r w:rsidRPr="00061636">
        <w:lastRenderedPageBreak/>
        <w:t>Glossary</w:t>
      </w:r>
      <w:bookmarkEnd w:id="78"/>
    </w:p>
    <w:p w14:paraId="02D27B4A" w14:textId="64FD13A7" w:rsidR="006745FF" w:rsidRPr="00061636" w:rsidRDefault="006745FF" w:rsidP="00996E91">
      <w:r w:rsidRPr="00061636">
        <w:rPr>
          <w:b/>
        </w:rPr>
        <w:t>Adoption Scenario</w:t>
      </w:r>
      <w:r w:rsidRPr="00061636">
        <w:t xml:space="preserve"> – the predicted annual adoption over the period 2015 to 2060, which is usually measured in </w:t>
      </w:r>
      <w:r w:rsidRPr="00061636">
        <w:rPr>
          <w:b/>
        </w:rPr>
        <w:t>Functional Units</w:t>
      </w:r>
      <w:r w:rsidRPr="00061636">
        <w:t>. A range of scenarios is programmed in the model, but the user may enter her own. Note that the assumption behind most scenarios is one of growth. If for instance</w:t>
      </w:r>
      <w:r w:rsidR="00F4258D" w:rsidRPr="00061636">
        <w:t>,</w:t>
      </w:r>
      <w:r w:rsidRPr="00061636">
        <w:t xml:space="preserve"> a solution is one of reduced heating energy usage due to better insulation, then the solution adoption is translated into an increase in </w:t>
      </w:r>
      <w:r w:rsidR="00F4258D" w:rsidRPr="00061636">
        <w:t xml:space="preserve">the </w:t>
      </w:r>
      <w:r w:rsidRPr="00061636">
        <w:t xml:space="preserve">use of insulation. There are two types of adoption scenarios in use: </w:t>
      </w:r>
      <w:r w:rsidRPr="00061636">
        <w:rPr>
          <w:b/>
        </w:rPr>
        <w:t>Reference (REF)</w:t>
      </w:r>
      <w:r w:rsidRPr="00061636">
        <w:t xml:space="preserve"> where global adoption remains mostly constant, and </w:t>
      </w:r>
      <w:r w:rsidRPr="00061636">
        <w:rPr>
          <w:b/>
        </w:rPr>
        <w:t>Project Drawdown Scenarios (PDS)</w:t>
      </w:r>
      <w:r w:rsidRPr="00061636">
        <w:t xml:space="preserve"> which illustrate </w:t>
      </w:r>
      <w:r w:rsidR="00F4258D" w:rsidRPr="00061636">
        <w:t xml:space="preserve">the </w:t>
      </w:r>
      <w:r w:rsidRPr="00061636">
        <w:t>high growth of the solution.</w:t>
      </w:r>
    </w:p>
    <w:p w14:paraId="5FD0673A" w14:textId="5BE7E387" w:rsidR="006745FF" w:rsidRPr="00061636" w:rsidRDefault="006745FF" w:rsidP="00996E91">
      <w:r w:rsidRPr="00061636">
        <w:rPr>
          <w:b/>
        </w:rPr>
        <w:t>Approximate PPM Equivalent</w:t>
      </w:r>
      <w:r w:rsidRPr="00061636">
        <w:t xml:space="preserve"> – the reduction in </w:t>
      </w:r>
      <w:r w:rsidR="00F4258D" w:rsidRPr="00061636">
        <w:t xml:space="preserve">the </w:t>
      </w:r>
      <w:r w:rsidRPr="00061636">
        <w:t>atmospheric concentration of CO</w:t>
      </w:r>
      <w:r w:rsidRPr="00061636">
        <w:rPr>
          <w:vertAlign w:val="subscript"/>
        </w:rPr>
        <w:t>2</w:t>
      </w:r>
      <w:r w:rsidRPr="00061636">
        <w:t xml:space="preserve"> (in </w:t>
      </w:r>
      <w:r w:rsidRPr="00061636">
        <w:rPr>
          <w:b/>
        </w:rPr>
        <w:t>PPM</w:t>
      </w:r>
      <w:r w:rsidRPr="00061636">
        <w:t xml:space="preserve">) that is expected to result if the </w:t>
      </w:r>
      <w:r w:rsidRPr="00061636">
        <w:rPr>
          <w:b/>
        </w:rPr>
        <w:t>PDS Scenario</w:t>
      </w:r>
      <w:r w:rsidRPr="00061636">
        <w:t xml:space="preserve"> occurs. This assumes a discrete avoided pulse model based on the Bern Carbon Cycle model.</w:t>
      </w:r>
    </w:p>
    <w:p w14:paraId="59150663" w14:textId="6A10A787" w:rsidR="006745FF" w:rsidRPr="00061636" w:rsidRDefault="006745FF" w:rsidP="00996E91">
      <w:r w:rsidRPr="00061636">
        <w:rPr>
          <w:b/>
        </w:rPr>
        <w:t>Average Abatement Cost</w:t>
      </w:r>
      <w:r w:rsidRPr="00061636">
        <w:t xml:space="preserve"> – the ratio of the present value of the solution (</w:t>
      </w:r>
      <w:r w:rsidRPr="00061636">
        <w:rPr>
          <w:b/>
        </w:rPr>
        <w:t>Net</w:t>
      </w:r>
      <w:r w:rsidRPr="00061636">
        <w:t xml:space="preserve"> </w:t>
      </w:r>
      <w:r w:rsidRPr="00061636">
        <w:rPr>
          <w:b/>
        </w:rPr>
        <w:t xml:space="preserve">Operating Savings </w:t>
      </w:r>
      <w:r w:rsidRPr="00061636">
        <w:t>minus</w:t>
      </w:r>
      <w:r w:rsidRPr="00061636">
        <w:rPr>
          <w:b/>
        </w:rPr>
        <w:t xml:space="preserve"> Marginal First Costs</w:t>
      </w:r>
      <w:r w:rsidRPr="00061636">
        <w:t xml:space="preserve">) and the </w:t>
      </w:r>
      <w:r w:rsidRPr="00061636">
        <w:rPr>
          <w:b/>
        </w:rPr>
        <w:t>Total Emissions Reduction</w:t>
      </w:r>
      <w:r w:rsidRPr="00061636">
        <w:t xml:space="preserve">. This is a single value for each solution for each </w:t>
      </w:r>
      <w:r w:rsidRPr="00061636">
        <w:rPr>
          <w:b/>
        </w:rPr>
        <w:t>PDS Scenario</w:t>
      </w:r>
      <w:r w:rsidRPr="00061636">
        <w:t xml:space="preserve"> and is used to build the characteristic “</w:t>
      </w:r>
      <w:r w:rsidRPr="00061636">
        <w:rPr>
          <w:i/>
        </w:rPr>
        <w:t>Marginal Abatement Cost</w:t>
      </w:r>
      <w:r w:rsidRPr="00061636">
        <w:t>” curves when Average Abatement Cost values for each solution are ordered and graphed.</w:t>
      </w:r>
    </w:p>
    <w:p w14:paraId="16A2F2DD" w14:textId="7A0E21D5" w:rsidR="006745FF" w:rsidRPr="00061636" w:rsidRDefault="006745FF" w:rsidP="00996E91">
      <w:r w:rsidRPr="00061636">
        <w:rPr>
          <w:b/>
        </w:rPr>
        <w:t>Average Annual Use</w:t>
      </w:r>
      <w:r w:rsidRPr="00061636">
        <w:t xml:space="preserve"> – the average number of functional units that a single implementation unit typically provides in one year. This is usually a weighted average for all users according to the data available. For instance, </w:t>
      </w:r>
      <w:r w:rsidR="00F4258D" w:rsidRPr="00061636">
        <w:t xml:space="preserve">the </w:t>
      </w:r>
      <w:r w:rsidRPr="00061636">
        <w:t xml:space="preserve">total number of passenger-km driven by a hybrid vehicle in a year depends on </w:t>
      </w:r>
      <w:r w:rsidR="00F4258D" w:rsidRPr="00061636">
        <w:t xml:space="preserve">the </w:t>
      </w:r>
      <w:r w:rsidRPr="00061636">
        <w:t xml:space="preserve">country and </w:t>
      </w:r>
      <w:r w:rsidR="00F4258D" w:rsidRPr="00061636">
        <w:t xml:space="preserve">the </w:t>
      </w:r>
      <w:r w:rsidRPr="00061636">
        <w:t xml:space="preserve">typical number of occupants. We take global weighted averages for this input. This is used to estimate the </w:t>
      </w:r>
      <w:r w:rsidRPr="00061636">
        <w:rPr>
          <w:b/>
        </w:rPr>
        <w:t>Replacement Time</w:t>
      </w:r>
      <w:r w:rsidRPr="00061636">
        <w:t>.</w:t>
      </w:r>
    </w:p>
    <w:p w14:paraId="044BB52C" w14:textId="77777777" w:rsidR="006745FF" w:rsidRPr="00061636" w:rsidRDefault="006745FF" w:rsidP="00996E91">
      <w:r w:rsidRPr="00061636">
        <w:rPr>
          <w:b/>
        </w:rPr>
        <w:t>Cumulative First Cost</w:t>
      </w:r>
      <w:r w:rsidRPr="00061636">
        <w:t xml:space="preserve"> – the total </w:t>
      </w:r>
      <w:r w:rsidRPr="00061636">
        <w:rPr>
          <w:b/>
        </w:rPr>
        <w:t>First Cost</w:t>
      </w:r>
      <w:r w:rsidRPr="00061636">
        <w:t xml:space="preserve"> of solution </w:t>
      </w:r>
      <w:r w:rsidRPr="00061636">
        <w:rPr>
          <w:b/>
        </w:rPr>
        <w:t>Implementation Units</w:t>
      </w:r>
      <w:r w:rsidRPr="00061636">
        <w:t xml:space="preserve"> purchased in the </w:t>
      </w:r>
      <w:r w:rsidRPr="00061636">
        <w:rPr>
          <w:b/>
        </w:rPr>
        <w:t>PDS Scenario</w:t>
      </w:r>
      <w:r w:rsidRPr="0006163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266B4A50" w:rsidR="006745FF" w:rsidRPr="00061636" w:rsidRDefault="006745FF" w:rsidP="00996E91">
      <w:r w:rsidRPr="00061636">
        <w:rPr>
          <w:b/>
        </w:rPr>
        <w:t>Direct Emissions</w:t>
      </w:r>
      <w:r w:rsidRPr="00061636">
        <w:t xml:space="preserve"> – emissions caused by the operation of the solution, which are typically caused </w:t>
      </w:r>
      <w:r w:rsidR="00F4258D" w:rsidRPr="00061636">
        <w:t>by</w:t>
      </w:r>
      <w:r w:rsidRPr="00061636">
        <w:t xml:space="preserve"> the lifetime </w:t>
      </w:r>
      <w:r w:rsidR="00F4258D" w:rsidRPr="00061636">
        <w:t xml:space="preserve">use </w:t>
      </w:r>
      <w:r w:rsidRPr="00061636">
        <w:t>of the solution. They should be entered into the model normalized per functional unit.</w:t>
      </w:r>
    </w:p>
    <w:p w14:paraId="1C32899A" w14:textId="1A2B0A5F" w:rsidR="006745FF" w:rsidRPr="00061636" w:rsidRDefault="006745FF" w:rsidP="00996E91">
      <w:r w:rsidRPr="00061636">
        <w:rPr>
          <w:b/>
        </w:rPr>
        <w:t>Discount Rate</w:t>
      </w:r>
      <w:r w:rsidRPr="00061636">
        <w:t>- the interest rate used in discounted cash flow (DCF</w:t>
      </w:r>
      <w:r w:rsidR="003D5F22">
        <w:fldChar w:fldCharType="begin"/>
      </w:r>
      <w:r w:rsidR="003D5F22">
        <w:instrText xml:space="preserve"> XE "</w:instrText>
      </w:r>
      <w:r w:rsidR="003D5F22" w:rsidRPr="00302F0E">
        <w:instrText>DCF</w:instrText>
      </w:r>
      <w:r w:rsidR="003D5F22">
        <w:instrText xml:space="preserve">" </w:instrText>
      </w:r>
      <w:r w:rsidR="003D5F22">
        <w:fldChar w:fldCharType="end"/>
      </w:r>
      <w:r w:rsidRPr="00061636">
        <w:t xml:space="preserve">) analysis to determine the present value of future cash flows. The discount rate in DCF analysis </w:t>
      </w:r>
      <w:r w:rsidR="004A2866" w:rsidRPr="00061636">
        <w:t>considers</w:t>
      </w:r>
      <w:r w:rsidR="00F4258D" w:rsidRPr="00061636">
        <w:t>,</w:t>
      </w:r>
      <w:r w:rsidRPr="00061636">
        <w:t xml:space="preserve"> not just the time value of money, but also the risk or uncertainty of future cash flows; the greater the uncertainty of future cash </w:t>
      </w:r>
      <w:r w:rsidRPr="00061636">
        <w:lastRenderedPageBreak/>
        <w:t xml:space="preserve">flows, the </w:t>
      </w:r>
      <w:r w:rsidR="00F4258D" w:rsidRPr="00061636">
        <w:t>higher the discount rate.</w:t>
      </w:r>
      <w:r w:rsidRPr="00061636">
        <w:t xml:space="preserve"> Most importantly, the greater the discount rate, the more the future savings are devalued (which impacts the financial but not the climate impacts of the solution).  </w:t>
      </w:r>
    </w:p>
    <w:p w14:paraId="59D5AC90" w14:textId="77777777" w:rsidR="006745FF" w:rsidRPr="00061636" w:rsidRDefault="006745FF" w:rsidP="00996E91">
      <w:r w:rsidRPr="00061636">
        <w:rPr>
          <w:b/>
        </w:rPr>
        <w:t>Emissions</w:t>
      </w:r>
      <w:r w:rsidRPr="00061636">
        <w:t xml:space="preserve"> </w:t>
      </w:r>
      <w:r w:rsidRPr="00061636">
        <w:rPr>
          <w:b/>
        </w:rPr>
        <w:t>Factor</w:t>
      </w:r>
      <w:r w:rsidRPr="00061636">
        <w:t>– the average normalized emissions resulting from consumption of a unit of electricity across the global grid. Typical units are kg CO</w:t>
      </w:r>
      <w:r w:rsidRPr="00061636">
        <w:rPr>
          <w:vertAlign w:val="subscript"/>
        </w:rPr>
        <w:t>2</w:t>
      </w:r>
      <w:r w:rsidRPr="00061636">
        <w:t>e/kWh.</w:t>
      </w:r>
    </w:p>
    <w:p w14:paraId="754A056C" w14:textId="77777777" w:rsidR="006745FF" w:rsidRPr="00061636" w:rsidRDefault="006745FF" w:rsidP="00996E91">
      <w:r w:rsidRPr="00061636">
        <w:rPr>
          <w:b/>
        </w:rPr>
        <w:t>First Cost</w:t>
      </w:r>
      <w:r w:rsidRPr="00061636">
        <w:t xml:space="preserve">- the investment cost per </w:t>
      </w:r>
      <w:r w:rsidRPr="00061636">
        <w:rPr>
          <w:b/>
        </w:rPr>
        <w:t>Implementation Unit</w:t>
      </w:r>
      <w:r w:rsidRPr="0006163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3E85B31" w:rsidR="006745FF" w:rsidRPr="00061636" w:rsidRDefault="006745FF" w:rsidP="00996E91">
      <w:r w:rsidRPr="00061636">
        <w:rPr>
          <w:b/>
        </w:rPr>
        <w:t>Functional Unit</w:t>
      </w:r>
      <w:r w:rsidRPr="00061636">
        <w:t xml:space="preserve"> – a measurement unit that represents the value, provided to the world, of the function that the solution performs. This depends on the solution. Therefore, LED Lighting provides petalumen-hours of light, Biomass provides tera-watt-hours of electricity and</w:t>
      </w:r>
      <w:r w:rsidR="00F4258D" w:rsidRPr="00061636">
        <w:t xml:space="preserve"> high-</w:t>
      </w:r>
      <w:r w:rsidRPr="00061636">
        <w:t>speed rail provides billions of passenger-km of mobility.</w:t>
      </w:r>
    </w:p>
    <w:p w14:paraId="40F3C0D9" w14:textId="29A617B7" w:rsidR="006745FF" w:rsidRPr="00061636" w:rsidRDefault="006745FF" w:rsidP="00996E91">
      <w:r w:rsidRPr="00061636">
        <w:rPr>
          <w:b/>
        </w:rPr>
        <w:t>Grid Emissions</w:t>
      </w:r>
      <w:r w:rsidRPr="00061636">
        <w:t xml:space="preserve"> – emissions caused by </w:t>
      </w:r>
      <w:r w:rsidR="00F4258D" w:rsidRPr="00061636">
        <w:t xml:space="preserve">the </w:t>
      </w:r>
      <w:r w:rsidRPr="00061636">
        <w:t>use of the electricity grid in supplying power to any operation associated with a solution. They should be in the units described below each variable entry cell. Drawdown models assume that the global electric grid, even in a Reference Sce</w:t>
      </w:r>
      <w:r w:rsidR="00F4258D" w:rsidRPr="00061636">
        <w:t>nario, is slowly getting cleaner</w:t>
      </w:r>
      <w:r w:rsidRPr="00061636">
        <w:t xml:space="preserve"> and that emissions factors fall over time resulting in lower grid emissions for the same electricity demand.</w:t>
      </w:r>
    </w:p>
    <w:p w14:paraId="623A0FE9" w14:textId="64F7E610" w:rsidR="006745FF" w:rsidRPr="00061636" w:rsidRDefault="006745FF" w:rsidP="00996E91">
      <w:r w:rsidRPr="00061636">
        <w:rPr>
          <w:b/>
        </w:rPr>
        <w:t>Implementation Unit</w:t>
      </w:r>
      <w:r w:rsidRPr="00061636">
        <w:t xml:space="preserve"> – a measurement unit that represents how the solution practice or technology will be installed/setup and priced. The implementation unit depends on the solution. For instance, implementing electric vehicles (EV</w:t>
      </w:r>
      <w:r w:rsidR="003D5F22">
        <w:fldChar w:fldCharType="begin"/>
      </w:r>
      <w:r w:rsidR="003D5F22">
        <w:instrText xml:space="preserve"> XE "</w:instrText>
      </w:r>
      <w:r w:rsidR="003D5F22" w:rsidRPr="004A7D69">
        <w:instrText>EV</w:instrText>
      </w:r>
      <w:r w:rsidR="003D5F22">
        <w:instrText xml:space="preserve">" </w:instrText>
      </w:r>
      <w:r w:rsidR="003D5F22">
        <w:fldChar w:fldCharType="end"/>
      </w:r>
      <w:r w:rsidRPr="00061636">
        <w:t>) is measured according to the number of actual EV’s in use, and adoption of Onshore Wind power is measured according to the total terawatts (TW) of capacity installed worldwide.</w:t>
      </w:r>
    </w:p>
    <w:p w14:paraId="688137A2" w14:textId="77777777" w:rsidR="006745FF" w:rsidRPr="00061636" w:rsidRDefault="006745FF" w:rsidP="00996E91">
      <w:r w:rsidRPr="00061636">
        <w:rPr>
          <w:b/>
        </w:rPr>
        <w:t>Indirect Emissions</w:t>
      </w:r>
      <w:r w:rsidRPr="0006163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24686A5E" w:rsidR="006745FF" w:rsidRPr="00061636" w:rsidRDefault="006745FF" w:rsidP="00996E91">
      <w:r w:rsidRPr="00061636">
        <w:rPr>
          <w:b/>
        </w:rPr>
        <w:t>Learning Rate/Learning Curve</w:t>
      </w:r>
      <w:r w:rsidRPr="00061636">
        <w:t xml:space="preserve"> - Learning curves (sometimes called experience curves) are used to analyze a well-known and easily observed phenomenon: humans become increasingly efficient with experience. The first time a product is manufactured, or a service </w:t>
      </w:r>
      <w:r w:rsidR="00A84924" w:rsidRPr="00061636">
        <w:t xml:space="preserve">is </w:t>
      </w:r>
      <w:r w:rsidRPr="00061636">
        <w:t xml:space="preserve">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004A2866" w:rsidRPr="00061636">
        <w:t>good drop</w:t>
      </w:r>
      <w:r w:rsidRPr="00061636">
        <w:t xml:space="preserve"> by 2% every time total production doubles.</w:t>
      </w:r>
    </w:p>
    <w:p w14:paraId="77507D03" w14:textId="77777777" w:rsidR="006745FF" w:rsidRPr="00061636" w:rsidRDefault="006745FF" w:rsidP="00996E91">
      <w:r w:rsidRPr="00061636">
        <w:rPr>
          <w:b/>
        </w:rPr>
        <w:lastRenderedPageBreak/>
        <w:t>Lifetime Capacity</w:t>
      </w:r>
      <w:r w:rsidRPr="0006163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061636">
        <w:rPr>
          <w:b/>
        </w:rPr>
        <w:t>Replacement Time</w:t>
      </w:r>
      <w:r w:rsidRPr="00061636">
        <w:t xml:space="preserve">. and has a direct impact on the cost to install/acquire technologies/practices over time. E.g. solar panels generate, on average, a limited amount of electricity (in </w:t>
      </w:r>
      <w:proofErr w:type="spellStart"/>
      <w:r w:rsidRPr="00061636">
        <w:t>TWh</w:t>
      </w:r>
      <w:proofErr w:type="spellEnd"/>
      <w:r w:rsidRPr="00061636">
        <w:t xml:space="preserve">) per installed capacity (in TW) before a new solar panel must be purchased. Electric vehicles can travel a limited number of passenger kilometers over its lifetime before needing to be replaced. </w:t>
      </w:r>
    </w:p>
    <w:p w14:paraId="65D8D16D" w14:textId="77777777" w:rsidR="006745FF" w:rsidRPr="00061636" w:rsidRDefault="006745FF" w:rsidP="00996E91">
      <w:r w:rsidRPr="00061636">
        <w:rPr>
          <w:b/>
        </w:rPr>
        <w:t>Lifetime Operating Savings</w:t>
      </w:r>
      <w:r w:rsidRPr="00061636">
        <w:t>–the operating cost in the PDS versus the REF scenarios over the lifetime of the implementation units purchased during the model period regardless of when their useful life ends.</w:t>
      </w:r>
    </w:p>
    <w:p w14:paraId="49E72DD2" w14:textId="6E6D27BE" w:rsidR="006745FF" w:rsidRPr="00061636" w:rsidRDefault="006745FF" w:rsidP="00996E91">
      <w:r w:rsidRPr="00061636">
        <w:rPr>
          <w:b/>
        </w:rPr>
        <w:t>Lifetime Cashflow NPV</w:t>
      </w:r>
      <w:r w:rsidRPr="00061636">
        <w:t>-the present value (PV) of the net cash flows (PDS versus REF) in each year of the model period (2015-2060). The net cash flows include net operating costs and first costs. There are two results in the model: Lifetime Cashflow NPV</w:t>
      </w:r>
      <w:r w:rsidR="003D5F22">
        <w:fldChar w:fldCharType="begin"/>
      </w:r>
      <w:r w:rsidR="003D5F22">
        <w:instrText xml:space="preserve"> XE "</w:instrText>
      </w:r>
      <w:r w:rsidR="003D5F22" w:rsidRPr="00411D2F">
        <w:instrText>NPV</w:instrText>
      </w:r>
      <w:r w:rsidR="003D5F22">
        <w:instrText xml:space="preserve">" </w:instrText>
      </w:r>
      <w:r w:rsidR="003D5F22">
        <w:fldChar w:fldCharType="end"/>
      </w:r>
      <w:r w:rsidRPr="00061636">
        <w:t xml:space="preserve"> for a Single </w:t>
      </w:r>
      <w:r w:rsidRPr="00061636">
        <w:rPr>
          <w:b/>
        </w:rPr>
        <w:t>Implementation Unit</w:t>
      </w:r>
      <w:r w:rsidRPr="00061636">
        <w:t xml:space="preserve">, which refers to the installation of one </w:t>
      </w:r>
      <w:r w:rsidRPr="00061636">
        <w:rPr>
          <w:b/>
        </w:rPr>
        <w:t>Implementation Unit</w:t>
      </w:r>
      <w:r w:rsidRPr="00061636">
        <w:t xml:space="preserve">, and Lifetime Cashflow NPV of All Units, which refers to all </w:t>
      </w:r>
      <w:r w:rsidRPr="00061636">
        <w:rPr>
          <w:b/>
        </w:rPr>
        <w:t>Implementation Units</w:t>
      </w:r>
      <w:r w:rsidRPr="00061636">
        <w:t xml:space="preserve"> installed in a particular scenario. These calculations are also available using profit inputs instead of operating costs.</w:t>
      </w:r>
    </w:p>
    <w:p w14:paraId="44D5A85B" w14:textId="77777777" w:rsidR="006745FF" w:rsidRPr="00061636" w:rsidRDefault="006745FF" w:rsidP="00996E91">
      <w:r w:rsidRPr="00061636">
        <w:rPr>
          <w:b/>
        </w:rPr>
        <w:t>Marginal First Cost</w:t>
      </w:r>
      <w:r w:rsidRPr="00061636">
        <w:t xml:space="preserve"> – the difference between the </w:t>
      </w:r>
      <w:r w:rsidRPr="00061636">
        <w:rPr>
          <w:b/>
        </w:rPr>
        <w:t>First Cost</w:t>
      </w:r>
      <w:r w:rsidRPr="00061636">
        <w:t xml:space="preserve"> of all units (solution and conventional) installed in the </w:t>
      </w:r>
      <w:r w:rsidRPr="00061636">
        <w:rPr>
          <w:b/>
        </w:rPr>
        <w:t>PDS Scenario</w:t>
      </w:r>
      <w:r w:rsidRPr="00061636">
        <w:t xml:space="preserve"> and the </w:t>
      </w:r>
      <w:r w:rsidRPr="00061636">
        <w:rPr>
          <w:b/>
        </w:rPr>
        <w:t>First Cost</w:t>
      </w:r>
      <w:r w:rsidRPr="00061636">
        <w:t xml:space="preserve"> of all units installed in the </w:t>
      </w:r>
      <w:r w:rsidRPr="00061636">
        <w:rPr>
          <w:b/>
        </w:rPr>
        <w:t>REF Scenario</w:t>
      </w:r>
      <w:r w:rsidRPr="0006163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29604A9D" w:rsidR="006745FF" w:rsidRPr="00061636" w:rsidRDefault="006745FF" w:rsidP="00996E91">
      <w:bookmarkStart w:id="79" w:name="_Hlk532290167"/>
      <w:r w:rsidRPr="00061636">
        <w:rPr>
          <w:b/>
        </w:rPr>
        <w:t xml:space="preserve">Net Annual Functional Units </w:t>
      </w:r>
      <w:bookmarkEnd w:id="79"/>
      <w:r w:rsidRPr="00061636">
        <w:rPr>
          <w:b/>
        </w:rPr>
        <w:t>(NAFU</w:t>
      </w:r>
      <w:r w:rsidR="003D5F22">
        <w:rPr>
          <w:b/>
        </w:rPr>
        <w:fldChar w:fldCharType="begin"/>
      </w:r>
      <w:r w:rsidR="003D5F22">
        <w:instrText xml:space="preserve"> XE "</w:instrText>
      </w:r>
      <w:r w:rsidR="003D5F22" w:rsidRPr="00990022">
        <w:rPr>
          <w:b/>
        </w:rPr>
        <w:instrText>NAFU</w:instrText>
      </w:r>
      <w:r w:rsidR="003D5F22">
        <w:instrText xml:space="preserve">" </w:instrText>
      </w:r>
      <w:r w:rsidR="003D5F22">
        <w:rPr>
          <w:b/>
        </w:rPr>
        <w:fldChar w:fldCharType="end"/>
      </w:r>
      <w:r w:rsidRPr="00061636">
        <w:rPr>
          <w:b/>
        </w:rPr>
        <w:t>)</w:t>
      </w:r>
      <w:r w:rsidRPr="00061636">
        <w:t xml:space="preserve"> – the adoption in the PDS minus the adoption in the REF in each year of analysis. In the model, this represents the additional annual functional demand captured either by the solution in the </w:t>
      </w:r>
      <w:r w:rsidRPr="00061636">
        <w:rPr>
          <w:b/>
        </w:rPr>
        <w:t>PDS Scenario</w:t>
      </w:r>
      <w:r w:rsidRPr="00061636">
        <w:t xml:space="preserve"> or the conventional in the </w:t>
      </w:r>
      <w:r w:rsidRPr="00061636">
        <w:rPr>
          <w:b/>
        </w:rPr>
        <w:t>REF Scenario</w:t>
      </w:r>
      <w:r w:rsidRPr="00061636">
        <w:t>.</w:t>
      </w:r>
    </w:p>
    <w:p w14:paraId="0360F8D5" w14:textId="758F41A3" w:rsidR="006745FF" w:rsidRPr="00061636" w:rsidRDefault="006745FF" w:rsidP="00996E91">
      <w:r w:rsidRPr="00061636">
        <w:rPr>
          <w:b/>
        </w:rPr>
        <w:t>Net Annual Implementation Units (NAIU</w:t>
      </w:r>
      <w:r w:rsidR="003D5F22">
        <w:rPr>
          <w:b/>
        </w:rPr>
        <w:fldChar w:fldCharType="begin"/>
      </w:r>
      <w:r w:rsidR="003D5F22">
        <w:instrText xml:space="preserve"> XE "</w:instrText>
      </w:r>
      <w:r w:rsidR="003D5F22" w:rsidRPr="001A2297">
        <w:rPr>
          <w:b/>
        </w:rPr>
        <w:instrText>NAIU</w:instrText>
      </w:r>
      <w:r w:rsidR="003D5F22">
        <w:instrText xml:space="preserve">" </w:instrText>
      </w:r>
      <w:r w:rsidR="003D5F22">
        <w:rPr>
          <w:b/>
        </w:rPr>
        <w:fldChar w:fldCharType="end"/>
      </w:r>
      <w:r w:rsidRPr="00061636">
        <w:rPr>
          <w:b/>
        </w:rPr>
        <w:t>)</w:t>
      </w:r>
      <w:r w:rsidRPr="00061636">
        <w:t xml:space="preserve"> – the number of </w:t>
      </w:r>
      <w:r w:rsidRPr="00061636">
        <w:rPr>
          <w:b/>
        </w:rPr>
        <w:t>Implementation Units</w:t>
      </w:r>
      <w:r w:rsidRPr="00061636">
        <w:t xml:space="preserve"> of the solution that are needed in the PDS to supply the </w:t>
      </w:r>
      <w:r w:rsidRPr="00061636">
        <w:rPr>
          <w:b/>
        </w:rPr>
        <w:t>Net Annual Functional Units (NAFU).</w:t>
      </w:r>
      <w:r w:rsidRPr="00061636">
        <w:t xml:space="preserve"> This equals the adoption in the PDS minus the adoption in the REF in each year of analysis divided by the average annual use.</w:t>
      </w:r>
    </w:p>
    <w:p w14:paraId="3A36C3BE" w14:textId="77777777" w:rsidR="006745FF" w:rsidRPr="00061636" w:rsidRDefault="006745FF" w:rsidP="00996E91">
      <w:r w:rsidRPr="00061636">
        <w:rPr>
          <w:b/>
        </w:rPr>
        <w:t>Net Operating Savings</w:t>
      </w:r>
      <w:r w:rsidRPr="00061636">
        <w:t xml:space="preserve"> – The undiscounted difference between the operating cost of all units (solution and conventional) in the </w:t>
      </w:r>
      <w:r w:rsidRPr="00061636">
        <w:rPr>
          <w:b/>
        </w:rPr>
        <w:t>PDS Scenario</w:t>
      </w:r>
      <w:r w:rsidRPr="00061636">
        <w:t xml:space="preserve"> minus that of all units in the </w:t>
      </w:r>
      <w:r w:rsidRPr="00061636">
        <w:rPr>
          <w:b/>
        </w:rPr>
        <w:t>REF Scenario</w:t>
      </w:r>
      <w:r w:rsidRPr="00061636">
        <w:t>.</w:t>
      </w:r>
    </w:p>
    <w:p w14:paraId="62002AFC" w14:textId="769AE42E" w:rsidR="006745FF" w:rsidRPr="00061636" w:rsidRDefault="006745FF" w:rsidP="00996E91">
      <w:r w:rsidRPr="00061636">
        <w:rPr>
          <w:b/>
        </w:rPr>
        <w:t xml:space="preserve">Operating Costs </w:t>
      </w:r>
      <w:r w:rsidRPr="00061636">
        <w:t xml:space="preserve">– the average cost to ensure </w:t>
      </w:r>
      <w:r w:rsidR="00A84924" w:rsidRPr="00061636">
        <w:t xml:space="preserve">the </w:t>
      </w:r>
      <w:r w:rsidRPr="00061636">
        <w:t>operation of an activity (conventional or solution) which is measured in 2014$US/</w:t>
      </w:r>
      <w:r w:rsidRPr="00061636">
        <w:rPr>
          <w:b/>
        </w:rPr>
        <w:t>Functional Unit</w:t>
      </w:r>
      <w:r w:rsidRPr="00061636">
        <w:t xml:space="preserve">.  This is needed to estimate how much it would cost to achieve </w:t>
      </w:r>
      <w:r w:rsidRPr="00061636">
        <w:lastRenderedPageBreak/>
        <w:t xml:space="preserve">the adoption projected when compared to the </w:t>
      </w:r>
      <w:r w:rsidRPr="00061636">
        <w:rPr>
          <w:b/>
        </w:rPr>
        <w:t>REF Case</w:t>
      </w:r>
      <w:r w:rsidRPr="00061636">
        <w:t xml:space="preserve">. Note that this excludes </w:t>
      </w:r>
      <w:r w:rsidRPr="00061636">
        <w:rPr>
          <w:b/>
        </w:rPr>
        <w:t>First Costs</w:t>
      </w:r>
      <w:r w:rsidRPr="00061636">
        <w:t xml:space="preserve"> for implementing the solution.</w:t>
      </w:r>
    </w:p>
    <w:p w14:paraId="3B7DF305" w14:textId="77777777" w:rsidR="006745FF" w:rsidRPr="00061636" w:rsidRDefault="006745FF" w:rsidP="00996E91">
      <w:r w:rsidRPr="00061636">
        <w:rPr>
          <w:b/>
        </w:rPr>
        <w:t>Payback Period</w:t>
      </w:r>
      <w:r w:rsidRPr="00061636">
        <w:t xml:space="preserve"> – the number of years required to pay all the </w:t>
      </w:r>
      <w:r w:rsidRPr="00061636">
        <w:rPr>
          <w:b/>
        </w:rPr>
        <w:t>First Costs</w:t>
      </w:r>
      <w:r w:rsidRPr="00061636">
        <w:t xml:space="preserve"> of the solution using </w:t>
      </w:r>
      <w:r w:rsidRPr="00061636">
        <w:rPr>
          <w:b/>
        </w:rPr>
        <w:t>Net Operating Savings</w:t>
      </w:r>
      <w:r w:rsidRPr="00061636">
        <w:t xml:space="preserve">. There are four specific metrics each with one of </w:t>
      </w:r>
      <w:r w:rsidRPr="00061636">
        <w:rPr>
          <w:b/>
        </w:rPr>
        <w:t>Marginal First Costs</w:t>
      </w:r>
      <w:r w:rsidRPr="00061636">
        <w:t xml:space="preserve"> or </w:t>
      </w:r>
      <w:r w:rsidRPr="00061636">
        <w:rPr>
          <w:b/>
        </w:rPr>
        <w:t>First Costs</w:t>
      </w:r>
      <w:r w:rsidRPr="00061636">
        <w:t xml:space="preserve"> of the solution only combined with either discounted or non-discounted values. All four are in the model. Additionally, the four outputs are calculated using the increased profit estimation instead of </w:t>
      </w:r>
      <w:r w:rsidRPr="00061636">
        <w:rPr>
          <w:b/>
        </w:rPr>
        <w:t>Net Operating Savings</w:t>
      </w:r>
      <w:r w:rsidRPr="00061636">
        <w:t>.</w:t>
      </w:r>
    </w:p>
    <w:p w14:paraId="69E0C8C0" w14:textId="7B2FDAF5" w:rsidR="006745FF" w:rsidRPr="00061636" w:rsidRDefault="006745FF" w:rsidP="00996E91">
      <w:r w:rsidRPr="00061636">
        <w:rPr>
          <w:b/>
        </w:rPr>
        <w:t>PDS/ Project Drawdown Scenario</w:t>
      </w:r>
      <w:r w:rsidRPr="00061636">
        <w:t xml:space="preserve"> – this is the high growth scenario for </w:t>
      </w:r>
      <w:r w:rsidR="00A84924" w:rsidRPr="00061636">
        <w:t xml:space="preserve">the </w:t>
      </w:r>
      <w:r w:rsidRPr="00061636">
        <w:t>adoption of the solution</w:t>
      </w:r>
      <w:r w:rsidR="00A84924" w:rsidRPr="00061636">
        <w:t>.</w:t>
      </w:r>
    </w:p>
    <w:p w14:paraId="6F8267F5" w14:textId="546BF40A" w:rsidR="006745FF" w:rsidRPr="00061636" w:rsidRDefault="006745FF" w:rsidP="00996E91">
      <w:r w:rsidRPr="00061636">
        <w:rPr>
          <w:b/>
        </w:rPr>
        <w:t>PPB/ Parts per Billion</w:t>
      </w:r>
      <w:r w:rsidRPr="00061636">
        <w:t xml:space="preserve"> – a measure of concentration for atmospheric gases. 10 million PPB</w:t>
      </w:r>
      <w:r w:rsidR="003D5F22">
        <w:fldChar w:fldCharType="begin"/>
      </w:r>
      <w:r w:rsidR="003D5F22">
        <w:instrText xml:space="preserve"> XE "</w:instrText>
      </w:r>
      <w:r w:rsidR="003D5F22" w:rsidRPr="00D51183">
        <w:instrText>PPB</w:instrText>
      </w:r>
      <w:r w:rsidR="003D5F22">
        <w:instrText xml:space="preserve">" </w:instrText>
      </w:r>
      <w:r w:rsidR="003D5F22">
        <w:fldChar w:fldCharType="end"/>
      </w:r>
      <w:r w:rsidRPr="00061636">
        <w:t xml:space="preserve"> = 1%.</w:t>
      </w:r>
    </w:p>
    <w:p w14:paraId="78DB05A8" w14:textId="77777777" w:rsidR="006745FF" w:rsidRPr="00061636" w:rsidRDefault="006745FF" w:rsidP="00996E91">
      <w:r w:rsidRPr="00061636">
        <w:rPr>
          <w:b/>
        </w:rPr>
        <w:t>PPM/ Parts per Million</w:t>
      </w:r>
      <w:r w:rsidRPr="00061636">
        <w:t xml:space="preserve"> – a measure of concentration for atmospheric gases. 10 thousand PPM = 1%.</w:t>
      </w:r>
    </w:p>
    <w:p w14:paraId="0574EE5A" w14:textId="75EFD473" w:rsidR="006745FF" w:rsidRPr="00061636" w:rsidRDefault="006745FF" w:rsidP="00996E91">
      <w:r w:rsidRPr="00061636">
        <w:rPr>
          <w:b/>
        </w:rPr>
        <w:t>REF/ Reference Scenario</w:t>
      </w:r>
      <w:r w:rsidRPr="00061636">
        <w:t xml:space="preserve"> – this is the low growth scenario for </w:t>
      </w:r>
      <w:r w:rsidR="00A84924" w:rsidRPr="00061636">
        <w:t xml:space="preserve">the </w:t>
      </w:r>
      <w:r w:rsidRPr="00061636">
        <w:t xml:space="preserve">adoption of the solution against which all </w:t>
      </w:r>
      <w:r w:rsidRPr="00061636">
        <w:rPr>
          <w:b/>
        </w:rPr>
        <w:t>PDS scenarios</w:t>
      </w:r>
      <w:r w:rsidRPr="00061636">
        <w:t xml:space="preserve"> are compared.</w:t>
      </w:r>
    </w:p>
    <w:p w14:paraId="71E8B0F5" w14:textId="77777777" w:rsidR="006745FF" w:rsidRPr="00061636" w:rsidRDefault="006745FF" w:rsidP="00996E91">
      <w:r w:rsidRPr="00061636">
        <w:rPr>
          <w:b/>
        </w:rPr>
        <w:t>Replacement Time</w:t>
      </w:r>
      <w:r w:rsidRPr="00061636">
        <w:t xml:space="preserve">- the length of time in years, from installation/acquisition/setup of the solution through usage until a new installation/acquisition/setup is required to replace the earlier one.  This is calculated as the ratio of </w:t>
      </w:r>
      <w:r w:rsidRPr="00061636">
        <w:rPr>
          <w:b/>
        </w:rPr>
        <w:t>Lifetime Capacity</w:t>
      </w:r>
      <w:r w:rsidRPr="00061636">
        <w:t xml:space="preserve"> and the </w:t>
      </w:r>
      <w:r w:rsidRPr="00061636">
        <w:rPr>
          <w:b/>
        </w:rPr>
        <w:t>Average Annual Use</w:t>
      </w:r>
      <w:r w:rsidRPr="00061636">
        <w:t>.</w:t>
      </w:r>
    </w:p>
    <w:p w14:paraId="013DD235" w14:textId="71FC070D" w:rsidR="00D25FC7" w:rsidRPr="00061636" w:rsidRDefault="001759D2" w:rsidP="00996E91">
      <w:r w:rsidRPr="00061636">
        <w:rPr>
          <w:b/>
        </w:rPr>
        <w:t xml:space="preserve">TAM/ Total Addressable Market </w:t>
      </w:r>
      <w:r w:rsidRPr="00061636">
        <w:t>–</w:t>
      </w:r>
      <w:r w:rsidR="00D25FC7" w:rsidRPr="00061636">
        <w:t xml:space="preserve"> represents the total potential market of functional demand provided by the technologies and practices under investigation, adjusting for estimated economic and population growth. For this solutions sector, it represents </w:t>
      </w:r>
      <w:r w:rsidR="00A84924" w:rsidRPr="00061636">
        <w:t xml:space="preserve">the </w:t>
      </w:r>
      <w:r w:rsidRPr="00061636">
        <w:t>world and regional total addressable markets for electricity generation technologies in which the solutions are considered.</w:t>
      </w:r>
    </w:p>
    <w:p w14:paraId="06D9A50A" w14:textId="0FBA1D20" w:rsidR="006745FF" w:rsidRPr="00061636" w:rsidRDefault="006745FF" w:rsidP="00996E91">
      <w:r w:rsidRPr="00061636">
        <w:rPr>
          <w:b/>
        </w:rPr>
        <w:t>Total Emissions Reduction</w:t>
      </w:r>
      <w:r w:rsidRPr="00061636">
        <w:t xml:space="preserve"> – the sum of </w:t>
      </w:r>
      <w:r w:rsidR="00A84924" w:rsidRPr="00061636">
        <w:t xml:space="preserve">the </w:t>
      </w:r>
      <w:r w:rsidRPr="00061636">
        <w:t xml:space="preserve">grid, fuel, indirect, and other direct emissions reductions over the analysis period. The emissions reduction of each of these is the difference between the emissions that would have resulted in the </w:t>
      </w:r>
      <w:r w:rsidRPr="00061636">
        <w:rPr>
          <w:b/>
        </w:rPr>
        <w:t>REF Scenario</w:t>
      </w:r>
      <w:r w:rsidRPr="00061636">
        <w:t xml:space="preserve"> (from both solution and conventional) and the emissions that would result in the </w:t>
      </w:r>
      <w:r w:rsidRPr="00061636">
        <w:rPr>
          <w:b/>
        </w:rPr>
        <w:t>PDS Scenario</w:t>
      </w:r>
      <w:r w:rsidRPr="00061636">
        <w:t>. These may also be considered as “emissions avoided” as they may have occurred in the REF Scenario, but not in the PDS Scenario.</w:t>
      </w:r>
    </w:p>
    <w:p w14:paraId="512C529B" w14:textId="2DAF5158" w:rsidR="001759D2" w:rsidRPr="00061636" w:rsidRDefault="001759D2" w:rsidP="00996E91">
      <w:pPr>
        <w:rPr>
          <w:rFonts w:cstheme="minorHAnsi"/>
        </w:rPr>
      </w:pPr>
      <w:r w:rsidRPr="00061636">
        <w:rPr>
          <w:rFonts w:cstheme="minorHAnsi"/>
          <w:b/>
        </w:rPr>
        <w:t>Transition solutions</w:t>
      </w:r>
      <w:r w:rsidRPr="00061636">
        <w:rPr>
          <w:rFonts w:cstheme="minorHAnsi"/>
        </w:rPr>
        <w:t xml:space="preserve"> </w:t>
      </w:r>
      <w:r w:rsidR="00A84924" w:rsidRPr="00061636">
        <w:rPr>
          <w:rFonts w:cstheme="minorHAnsi"/>
        </w:rPr>
        <w:t xml:space="preserve">- </w:t>
      </w:r>
      <w:r w:rsidRPr="00061636">
        <w:rPr>
          <w:rFonts w:cstheme="minorHAnsi"/>
        </w:rPr>
        <w:t>are considered till better technologies a</w:t>
      </w:r>
      <w:r w:rsidR="00A84924" w:rsidRPr="00061636">
        <w:rPr>
          <w:rFonts w:cstheme="minorHAnsi"/>
        </w:rPr>
        <w:t>nd less impactful are more cost-</w:t>
      </w:r>
      <w:r w:rsidRPr="00061636">
        <w:rPr>
          <w:rFonts w:cstheme="minorHAnsi"/>
        </w:rPr>
        <w:t xml:space="preserve">effective and mature. </w:t>
      </w:r>
    </w:p>
    <w:p w14:paraId="57B3845F" w14:textId="50903586" w:rsidR="006745FF" w:rsidRPr="00061636" w:rsidRDefault="006745FF" w:rsidP="00EB247F">
      <w:proofErr w:type="spellStart"/>
      <w:r w:rsidRPr="00061636">
        <w:rPr>
          <w:b/>
        </w:rPr>
        <w:t>TWh</w:t>
      </w:r>
      <w:proofErr w:type="spellEnd"/>
      <w:r w:rsidRPr="00061636">
        <w:rPr>
          <w:b/>
        </w:rPr>
        <w:t>/ Terawatt-hour</w:t>
      </w:r>
      <w:r w:rsidRPr="00061636">
        <w:t xml:space="preserve"> – A unit of energy equal to 1 billion kilowatt-hours</w:t>
      </w:r>
      <w:r w:rsidR="0087599B" w:rsidRPr="00061636">
        <w:t>.</w:t>
      </w:r>
    </w:p>
    <w:sectPr w:rsidR="006745FF" w:rsidRPr="000616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54038" w14:textId="77777777" w:rsidR="00670BAE" w:rsidRDefault="00670BAE" w:rsidP="00D26F59">
      <w:pPr>
        <w:spacing w:after="0"/>
      </w:pPr>
      <w:r>
        <w:separator/>
      </w:r>
    </w:p>
  </w:endnote>
  <w:endnote w:type="continuationSeparator" w:id="0">
    <w:p w14:paraId="4D410C63" w14:textId="77777777" w:rsidR="00670BAE" w:rsidRDefault="00670BAE"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Times New Roman">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3409" w14:textId="77777777" w:rsidR="005F0E84" w:rsidRDefault="005F0E84"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5F0E84" w:rsidRDefault="005F0E84"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D1670" w14:textId="77777777" w:rsidR="005F0E84" w:rsidRDefault="005F0E8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CAE7D4" w14:textId="77777777" w:rsidR="005F0E84" w:rsidRDefault="005F0E84" w:rsidP="00EB247F">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2EC3B" w14:textId="77777777" w:rsidR="00670BAE" w:rsidRDefault="00670BAE" w:rsidP="00D26F59">
      <w:pPr>
        <w:spacing w:after="0"/>
      </w:pPr>
      <w:r>
        <w:separator/>
      </w:r>
    </w:p>
  </w:footnote>
  <w:footnote w:type="continuationSeparator" w:id="0">
    <w:p w14:paraId="47D89C76" w14:textId="77777777" w:rsidR="00670BAE" w:rsidRDefault="00670BAE" w:rsidP="00D26F59">
      <w:pPr>
        <w:spacing w:after="0"/>
      </w:pPr>
      <w:r>
        <w:continuationSeparator/>
      </w:r>
    </w:p>
  </w:footnote>
  <w:footnote w:id="1">
    <w:p w14:paraId="7D802A68" w14:textId="77777777" w:rsidR="005F0E84" w:rsidRPr="007864AB" w:rsidRDefault="005F0E84" w:rsidP="009033B8">
      <w:pPr>
        <w:pStyle w:val="FootnoteText"/>
        <w:rPr>
          <w:rFonts w:cstheme="minorHAnsi"/>
        </w:rPr>
      </w:pPr>
      <w:r w:rsidRPr="007864AB">
        <w:rPr>
          <w:rStyle w:val="FootnoteReference"/>
          <w:rFonts w:cstheme="minorHAnsi"/>
        </w:rPr>
        <w:footnoteRef/>
      </w:r>
      <w:r w:rsidRPr="007864AB">
        <w:rPr>
          <w:rFonts w:cstheme="minorHAnsi"/>
        </w:rPr>
        <w:t xml:space="preserve"> </w:t>
      </w:r>
      <w:r w:rsidRPr="007864AB">
        <w:rPr>
          <w:rFonts w:eastAsia="Times New Roman" w:cstheme="minorHAnsi"/>
          <w:lang w:eastAsia="en-US"/>
        </w:rPr>
        <w:t>Current adoption is defined as the amount of functional demand supplied by the solution in the base year of study. This study uses 2014 as the base year due to the availability of global adoption data for all Project Drawdown solutions evaluated.</w:t>
      </w:r>
    </w:p>
  </w:footnote>
  <w:footnote w:id="2">
    <w:p w14:paraId="2618F075" w14:textId="77777777" w:rsidR="005F0E84" w:rsidRPr="00FD4AFC" w:rsidRDefault="005F0E84" w:rsidP="00537FD9">
      <w:pPr>
        <w:spacing w:after="0" w:line="240" w:lineRule="auto"/>
        <w:jc w:val="left"/>
        <w:rPr>
          <w:rFonts w:eastAsia="Times New Roman" w:cs="Times New Roman"/>
          <w:sz w:val="18"/>
          <w:szCs w:val="18"/>
          <w:lang w:eastAsia="en-US"/>
        </w:rPr>
      </w:pPr>
      <w:r w:rsidRPr="00FD4AFC">
        <w:rPr>
          <w:rStyle w:val="FootnoteReference"/>
          <w:rFonts w:cs="Times New Roman"/>
          <w:sz w:val="18"/>
          <w:szCs w:val="18"/>
        </w:rPr>
        <w:footnoteRef/>
      </w:r>
      <w:r w:rsidRPr="00FD4AFC">
        <w:rPr>
          <w:rFonts w:cs="Times New Roman"/>
          <w:sz w:val="18"/>
          <w:szCs w:val="18"/>
        </w:rPr>
        <w:t xml:space="preserve"> </w:t>
      </w:r>
      <w:r w:rsidRPr="00FD4AFC">
        <w:rPr>
          <w:rFonts w:eastAsia="Times New Roman" w:cs="Times New Roman"/>
          <w:color w:val="000000"/>
          <w:sz w:val="18"/>
          <w:szCs w:val="18"/>
          <w:lang w:eastAsia="en-US"/>
        </w:rPr>
        <w:t>Gestation period means the time it takes to actually set up the project once the investment decision is made. </w:t>
      </w:r>
    </w:p>
  </w:footnote>
  <w:footnote w:id="3">
    <w:p w14:paraId="56F0541E" w14:textId="6C4E4019" w:rsidR="005F0E84" w:rsidRPr="00537FD9" w:rsidRDefault="005F0E84" w:rsidP="00537FD9">
      <w:pPr>
        <w:spacing w:after="0" w:line="240" w:lineRule="auto"/>
        <w:jc w:val="left"/>
        <w:rPr>
          <w:rFonts w:eastAsia="Times New Roman" w:cs="Times New Roman"/>
          <w:sz w:val="18"/>
          <w:szCs w:val="18"/>
          <w:lang w:eastAsia="en-US"/>
        </w:rPr>
      </w:pPr>
      <w:r w:rsidRPr="00FD4AFC">
        <w:rPr>
          <w:rStyle w:val="FootnoteReference"/>
          <w:rFonts w:cs="Times New Roman"/>
          <w:sz w:val="18"/>
          <w:szCs w:val="18"/>
        </w:rPr>
        <w:footnoteRef/>
      </w:r>
      <w:r w:rsidRPr="00FD4AFC">
        <w:rPr>
          <w:rFonts w:cs="Times New Roman"/>
          <w:sz w:val="18"/>
          <w:szCs w:val="18"/>
        </w:rPr>
        <w:t xml:space="preserve"> </w:t>
      </w:r>
      <w:r w:rsidRPr="00FD4AFC">
        <w:rPr>
          <w:rFonts w:eastAsia="Times New Roman" w:cs="Times New Roman"/>
          <w:color w:val="000000"/>
          <w:sz w:val="18"/>
          <w:szCs w:val="18"/>
          <w:lang w:eastAsia="en-US"/>
        </w:rPr>
        <w:t>Scalability means how easily can we upgrade the size of the plant by adding more modules or turbines.</w:t>
      </w:r>
    </w:p>
  </w:footnote>
  <w:footnote w:id="4">
    <w:p w14:paraId="73480CD1" w14:textId="762E2BA5" w:rsidR="005F0E84" w:rsidRPr="001E05E2" w:rsidRDefault="005F0E84" w:rsidP="001E05E2">
      <w:pPr>
        <w:spacing w:after="0" w:line="240" w:lineRule="auto"/>
        <w:jc w:val="left"/>
        <w:rPr>
          <w:rFonts w:eastAsia="Times New Roman" w:cs="Times New Roman"/>
          <w:sz w:val="18"/>
          <w:szCs w:val="18"/>
          <w:lang w:eastAsia="en-US"/>
        </w:rPr>
      </w:pPr>
      <w:r>
        <w:rPr>
          <w:rStyle w:val="FootnoteReference"/>
        </w:rPr>
        <w:footnoteRef/>
      </w:r>
      <w:r>
        <w:t xml:space="preserve"> </w:t>
      </w:r>
      <w:r w:rsidRPr="002971A6">
        <w:rPr>
          <w:rFonts w:eastAsia="Times New Roman" w:cs="Times New Roman"/>
          <w:sz w:val="18"/>
          <w:szCs w:val="18"/>
          <w:lang w:eastAsia="en-US"/>
        </w:rPr>
        <w:t>Current adoption is defined as the amount of functional demand supplied by the solution in 2018. This study uses 2014 as the base year due to the availability of global adoption data for all Project Drawdown solutions evaluated</w:t>
      </w:r>
    </w:p>
  </w:footnote>
  <w:footnote w:id="5">
    <w:p w14:paraId="7183C9BF" w14:textId="77777777" w:rsidR="005F0E84" w:rsidRDefault="005F0E84" w:rsidP="00A04734">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 w:id="6">
    <w:p w14:paraId="418B24EF" w14:textId="0799230B" w:rsidR="005F0E84" w:rsidRPr="00DA06FE" w:rsidRDefault="005F0E84" w:rsidP="00290D71">
      <w:pPr>
        <w:pStyle w:val="FootnoteText"/>
      </w:pPr>
      <w:r w:rsidRPr="00DA06FE">
        <w:rPr>
          <w:rStyle w:val="FootnoteReference"/>
        </w:rPr>
        <w:footnoteRef/>
      </w:r>
      <w:r w:rsidRPr="00DA06FE">
        <w:t xml:space="preserve"> </w:t>
      </w:r>
      <w:r w:rsidRPr="00DA06FE">
        <w:rPr>
          <w:rFonts w:eastAsia="Times New Roman" w:cs="Times New Roman"/>
          <w:lang w:eastAsia="en-US"/>
        </w:rPr>
        <w:t>All monetary values are prese</w:t>
      </w:r>
      <w:r>
        <w:rPr>
          <w:rFonts w:eastAsia="Times New Roman" w:cs="Times New Roman"/>
          <w:lang w:eastAsia="en-US"/>
        </w:rPr>
        <w:t>nted in US$2014</w:t>
      </w:r>
    </w:p>
  </w:footnote>
  <w:footnote w:id="7">
    <w:p w14:paraId="0C9D1647" w14:textId="77777777" w:rsidR="005F0E84" w:rsidRPr="00BB0FA1" w:rsidRDefault="005F0E84" w:rsidP="00E73781">
      <w:pPr>
        <w:pStyle w:val="FootnoteText"/>
      </w:pPr>
      <w:r>
        <w:rPr>
          <w:rStyle w:val="FootnoteReference"/>
        </w:rPr>
        <w:footnoteRef/>
      </w:r>
      <w:r>
        <w:t xml:space="preserve"> Solar PV utility scale electricity generation.</w:t>
      </w:r>
    </w:p>
  </w:footnote>
  <w:footnote w:id="8">
    <w:p w14:paraId="47A6B2B6" w14:textId="77777777" w:rsidR="005F0E84" w:rsidRPr="00BB0FA1" w:rsidRDefault="005F0E84" w:rsidP="00E73781">
      <w:pPr>
        <w:pStyle w:val="FootnoteText"/>
      </w:pPr>
      <w:r>
        <w:rPr>
          <w:rStyle w:val="FootnoteReference"/>
        </w:rPr>
        <w:footnoteRef/>
      </w:r>
      <w:r>
        <w:t xml:space="preserve"> </w:t>
      </w:r>
      <w:r w:rsidRPr="00717861">
        <w:t>Total Solar PV electricity generation.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E2E2A"/>
    <w:multiLevelType w:val="hybridMultilevel"/>
    <w:tmpl w:val="94E22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E4AB3"/>
    <w:multiLevelType w:val="multilevel"/>
    <w:tmpl w:val="97CAB304"/>
    <w:lvl w:ilvl="0">
      <w:start w:val="1"/>
      <w:numFmt w:val="decimal"/>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E94073E"/>
    <w:multiLevelType w:val="multilevel"/>
    <w:tmpl w:val="5AF4CEAE"/>
    <w:lvl w:ilvl="0">
      <w:start w:val="1"/>
      <w:numFmt w:val="decimal"/>
      <w:pStyle w:val="Heading1"/>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4"/>
  </w:num>
  <w:num w:numId="5">
    <w:abstractNumId w:val="9"/>
  </w:num>
  <w:num w:numId="6">
    <w:abstractNumId w:val="5"/>
  </w:num>
  <w:num w:numId="7">
    <w:abstractNumId w:val="6"/>
  </w:num>
  <w:num w:numId="8">
    <w:abstractNumId w:val="7"/>
  </w:num>
  <w:num w:numId="9">
    <w:abstractNumId w:val="7"/>
    <w:lvlOverride w:ilvl="0">
      <w:startOverride w:val="2"/>
    </w:lvlOverride>
    <w:lvlOverride w:ilvl="1">
      <w:startOverride w:val="1"/>
    </w:lvlOverride>
  </w:num>
  <w:num w:numId="10">
    <w:abstractNumId w:val="7"/>
    <w:lvlOverride w:ilvl="0">
      <w:startOverride w:val="4"/>
    </w:lvlOverride>
    <w:lvlOverride w:ilvl="1">
      <w:startOverride w:val="1"/>
    </w:lvlOverride>
  </w:num>
  <w:num w:numId="11">
    <w:abstractNumId w:val="7"/>
    <w:lvlOverride w:ilvl="0">
      <w:startOverride w:val="3"/>
    </w:lvlOverride>
    <w:lvlOverride w:ilvl="1">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02A2A"/>
    <w:rsid w:val="000036E8"/>
    <w:rsid w:val="00007E67"/>
    <w:rsid w:val="00011810"/>
    <w:rsid w:val="0001462D"/>
    <w:rsid w:val="00014CE5"/>
    <w:rsid w:val="00014D79"/>
    <w:rsid w:val="000178CE"/>
    <w:rsid w:val="000209BC"/>
    <w:rsid w:val="00024A2C"/>
    <w:rsid w:val="00024F11"/>
    <w:rsid w:val="0002503F"/>
    <w:rsid w:val="00027B88"/>
    <w:rsid w:val="00027FE3"/>
    <w:rsid w:val="000329C7"/>
    <w:rsid w:val="000330C6"/>
    <w:rsid w:val="00034109"/>
    <w:rsid w:val="000412C7"/>
    <w:rsid w:val="00043AC3"/>
    <w:rsid w:val="000462F2"/>
    <w:rsid w:val="000513FE"/>
    <w:rsid w:val="00051CEC"/>
    <w:rsid w:val="00051E61"/>
    <w:rsid w:val="00054158"/>
    <w:rsid w:val="000566BC"/>
    <w:rsid w:val="00056ED1"/>
    <w:rsid w:val="00057050"/>
    <w:rsid w:val="000574A2"/>
    <w:rsid w:val="000607CB"/>
    <w:rsid w:val="00061636"/>
    <w:rsid w:val="000622EB"/>
    <w:rsid w:val="0007144C"/>
    <w:rsid w:val="00074621"/>
    <w:rsid w:val="00075F31"/>
    <w:rsid w:val="00077793"/>
    <w:rsid w:val="000828F9"/>
    <w:rsid w:val="000829DC"/>
    <w:rsid w:val="000856B7"/>
    <w:rsid w:val="00085C9A"/>
    <w:rsid w:val="000872AA"/>
    <w:rsid w:val="000875B5"/>
    <w:rsid w:val="000908F6"/>
    <w:rsid w:val="00090D50"/>
    <w:rsid w:val="0009232E"/>
    <w:rsid w:val="0009271D"/>
    <w:rsid w:val="00093E7B"/>
    <w:rsid w:val="0009541F"/>
    <w:rsid w:val="00095AFF"/>
    <w:rsid w:val="000A10E5"/>
    <w:rsid w:val="000A217E"/>
    <w:rsid w:val="000A6082"/>
    <w:rsid w:val="000A6F40"/>
    <w:rsid w:val="000B125A"/>
    <w:rsid w:val="000B1609"/>
    <w:rsid w:val="000B1918"/>
    <w:rsid w:val="000B3EE3"/>
    <w:rsid w:val="000C2959"/>
    <w:rsid w:val="000C3205"/>
    <w:rsid w:val="000C3F49"/>
    <w:rsid w:val="000C7A55"/>
    <w:rsid w:val="000D0A66"/>
    <w:rsid w:val="000D30DE"/>
    <w:rsid w:val="000D3855"/>
    <w:rsid w:val="000D3B08"/>
    <w:rsid w:val="000D3DD8"/>
    <w:rsid w:val="000D507B"/>
    <w:rsid w:val="000D6C97"/>
    <w:rsid w:val="000D7BC5"/>
    <w:rsid w:val="000E42CD"/>
    <w:rsid w:val="000E4B87"/>
    <w:rsid w:val="000E594F"/>
    <w:rsid w:val="000E6D29"/>
    <w:rsid w:val="000E74C1"/>
    <w:rsid w:val="000F131E"/>
    <w:rsid w:val="000F23D8"/>
    <w:rsid w:val="000F2698"/>
    <w:rsid w:val="000F4D60"/>
    <w:rsid w:val="000F65A3"/>
    <w:rsid w:val="000F7076"/>
    <w:rsid w:val="000F734F"/>
    <w:rsid w:val="00101408"/>
    <w:rsid w:val="00106CAC"/>
    <w:rsid w:val="00106E20"/>
    <w:rsid w:val="001073C8"/>
    <w:rsid w:val="00110F86"/>
    <w:rsid w:val="00112479"/>
    <w:rsid w:val="001214E8"/>
    <w:rsid w:val="00123A28"/>
    <w:rsid w:val="00124262"/>
    <w:rsid w:val="00124C49"/>
    <w:rsid w:val="00125B80"/>
    <w:rsid w:val="00131589"/>
    <w:rsid w:val="00132640"/>
    <w:rsid w:val="00135D54"/>
    <w:rsid w:val="00136093"/>
    <w:rsid w:val="0014021E"/>
    <w:rsid w:val="00140546"/>
    <w:rsid w:val="00140F1E"/>
    <w:rsid w:val="0014220E"/>
    <w:rsid w:val="00144D1A"/>
    <w:rsid w:val="00152500"/>
    <w:rsid w:val="00152E5D"/>
    <w:rsid w:val="001534F5"/>
    <w:rsid w:val="00154402"/>
    <w:rsid w:val="0015613B"/>
    <w:rsid w:val="00164A48"/>
    <w:rsid w:val="0016605A"/>
    <w:rsid w:val="001745EA"/>
    <w:rsid w:val="001759D2"/>
    <w:rsid w:val="00176B3E"/>
    <w:rsid w:val="0017702C"/>
    <w:rsid w:val="001863B5"/>
    <w:rsid w:val="00190464"/>
    <w:rsid w:val="00191414"/>
    <w:rsid w:val="00192881"/>
    <w:rsid w:val="00197397"/>
    <w:rsid w:val="001A06F4"/>
    <w:rsid w:val="001A1AB8"/>
    <w:rsid w:val="001A3865"/>
    <w:rsid w:val="001A66E0"/>
    <w:rsid w:val="001A6EB0"/>
    <w:rsid w:val="001B1300"/>
    <w:rsid w:val="001B13F6"/>
    <w:rsid w:val="001B3003"/>
    <w:rsid w:val="001B516F"/>
    <w:rsid w:val="001B58F5"/>
    <w:rsid w:val="001B6745"/>
    <w:rsid w:val="001C198C"/>
    <w:rsid w:val="001C2B6F"/>
    <w:rsid w:val="001C32DB"/>
    <w:rsid w:val="001C3DC0"/>
    <w:rsid w:val="001C3F8D"/>
    <w:rsid w:val="001C49CB"/>
    <w:rsid w:val="001C5872"/>
    <w:rsid w:val="001C644A"/>
    <w:rsid w:val="001C7D91"/>
    <w:rsid w:val="001D00CC"/>
    <w:rsid w:val="001D17E8"/>
    <w:rsid w:val="001D39CB"/>
    <w:rsid w:val="001D62B1"/>
    <w:rsid w:val="001E021F"/>
    <w:rsid w:val="001E03B8"/>
    <w:rsid w:val="001E05E2"/>
    <w:rsid w:val="001E0FF2"/>
    <w:rsid w:val="001E17C7"/>
    <w:rsid w:val="001F1852"/>
    <w:rsid w:val="001F2EFC"/>
    <w:rsid w:val="001F6FB0"/>
    <w:rsid w:val="00202788"/>
    <w:rsid w:val="002054FC"/>
    <w:rsid w:val="00205F24"/>
    <w:rsid w:val="00206AC2"/>
    <w:rsid w:val="00207112"/>
    <w:rsid w:val="00207CBF"/>
    <w:rsid w:val="0021082B"/>
    <w:rsid w:val="00210A64"/>
    <w:rsid w:val="00211004"/>
    <w:rsid w:val="00213E9E"/>
    <w:rsid w:val="00214DBF"/>
    <w:rsid w:val="00215F04"/>
    <w:rsid w:val="00216029"/>
    <w:rsid w:val="00216B08"/>
    <w:rsid w:val="00221954"/>
    <w:rsid w:val="00222DA4"/>
    <w:rsid w:val="00223CEF"/>
    <w:rsid w:val="00226424"/>
    <w:rsid w:val="0023178B"/>
    <w:rsid w:val="002325AC"/>
    <w:rsid w:val="00232AAA"/>
    <w:rsid w:val="0023362B"/>
    <w:rsid w:val="00233940"/>
    <w:rsid w:val="00233C0E"/>
    <w:rsid w:val="00246F22"/>
    <w:rsid w:val="002476A8"/>
    <w:rsid w:val="00250D3C"/>
    <w:rsid w:val="00252619"/>
    <w:rsid w:val="002551D5"/>
    <w:rsid w:val="00255D19"/>
    <w:rsid w:val="00256628"/>
    <w:rsid w:val="00260326"/>
    <w:rsid w:val="002603E9"/>
    <w:rsid w:val="00260F43"/>
    <w:rsid w:val="002621A9"/>
    <w:rsid w:val="0026327C"/>
    <w:rsid w:val="00263F55"/>
    <w:rsid w:val="00264D1A"/>
    <w:rsid w:val="002654E9"/>
    <w:rsid w:val="00266635"/>
    <w:rsid w:val="00270442"/>
    <w:rsid w:val="00270974"/>
    <w:rsid w:val="00272912"/>
    <w:rsid w:val="00274B56"/>
    <w:rsid w:val="00276AFB"/>
    <w:rsid w:val="00276E19"/>
    <w:rsid w:val="00277642"/>
    <w:rsid w:val="00281F39"/>
    <w:rsid w:val="00285AB7"/>
    <w:rsid w:val="00287681"/>
    <w:rsid w:val="002906C9"/>
    <w:rsid w:val="00290D71"/>
    <w:rsid w:val="00291D3C"/>
    <w:rsid w:val="00294DD5"/>
    <w:rsid w:val="0029534C"/>
    <w:rsid w:val="002A4B55"/>
    <w:rsid w:val="002A4E84"/>
    <w:rsid w:val="002A573C"/>
    <w:rsid w:val="002A590D"/>
    <w:rsid w:val="002A62C7"/>
    <w:rsid w:val="002A6808"/>
    <w:rsid w:val="002A6B65"/>
    <w:rsid w:val="002B35FA"/>
    <w:rsid w:val="002B3D50"/>
    <w:rsid w:val="002B4E23"/>
    <w:rsid w:val="002B53E5"/>
    <w:rsid w:val="002B7648"/>
    <w:rsid w:val="002C0282"/>
    <w:rsid w:val="002C1087"/>
    <w:rsid w:val="002C1F13"/>
    <w:rsid w:val="002C1F9C"/>
    <w:rsid w:val="002C7C42"/>
    <w:rsid w:val="002D003E"/>
    <w:rsid w:val="002D1AEC"/>
    <w:rsid w:val="002D1D5F"/>
    <w:rsid w:val="002D36C3"/>
    <w:rsid w:val="002D402C"/>
    <w:rsid w:val="002D4B9E"/>
    <w:rsid w:val="002D5C14"/>
    <w:rsid w:val="002D6588"/>
    <w:rsid w:val="002D78FC"/>
    <w:rsid w:val="002E069E"/>
    <w:rsid w:val="002E0D57"/>
    <w:rsid w:val="002E49AA"/>
    <w:rsid w:val="002E69FF"/>
    <w:rsid w:val="002F0E3B"/>
    <w:rsid w:val="002F2A3C"/>
    <w:rsid w:val="002F4C62"/>
    <w:rsid w:val="00300337"/>
    <w:rsid w:val="0030099E"/>
    <w:rsid w:val="00300CEE"/>
    <w:rsid w:val="00303670"/>
    <w:rsid w:val="003045D6"/>
    <w:rsid w:val="00305EFF"/>
    <w:rsid w:val="003069EE"/>
    <w:rsid w:val="00316B8E"/>
    <w:rsid w:val="00317C3E"/>
    <w:rsid w:val="003208D5"/>
    <w:rsid w:val="00325783"/>
    <w:rsid w:val="00325AF7"/>
    <w:rsid w:val="003260E9"/>
    <w:rsid w:val="00327B08"/>
    <w:rsid w:val="00332EF5"/>
    <w:rsid w:val="00333492"/>
    <w:rsid w:val="00333748"/>
    <w:rsid w:val="00333F06"/>
    <w:rsid w:val="00334103"/>
    <w:rsid w:val="003435AA"/>
    <w:rsid w:val="00344262"/>
    <w:rsid w:val="00345E0F"/>
    <w:rsid w:val="0034746E"/>
    <w:rsid w:val="003503A0"/>
    <w:rsid w:val="0035057B"/>
    <w:rsid w:val="00350A34"/>
    <w:rsid w:val="0035135F"/>
    <w:rsid w:val="00353055"/>
    <w:rsid w:val="0035531E"/>
    <w:rsid w:val="003558AE"/>
    <w:rsid w:val="003612A7"/>
    <w:rsid w:val="00363E99"/>
    <w:rsid w:val="003649C7"/>
    <w:rsid w:val="00365DAB"/>
    <w:rsid w:val="00367667"/>
    <w:rsid w:val="00367CAD"/>
    <w:rsid w:val="0037089C"/>
    <w:rsid w:val="00371D40"/>
    <w:rsid w:val="003727F8"/>
    <w:rsid w:val="00372FBD"/>
    <w:rsid w:val="00374564"/>
    <w:rsid w:val="0038334F"/>
    <w:rsid w:val="00385C70"/>
    <w:rsid w:val="00386F1E"/>
    <w:rsid w:val="0039016B"/>
    <w:rsid w:val="0039178F"/>
    <w:rsid w:val="003922A1"/>
    <w:rsid w:val="00395868"/>
    <w:rsid w:val="00396031"/>
    <w:rsid w:val="0039740E"/>
    <w:rsid w:val="003A029A"/>
    <w:rsid w:val="003A1D86"/>
    <w:rsid w:val="003A2697"/>
    <w:rsid w:val="003A29B0"/>
    <w:rsid w:val="003A305E"/>
    <w:rsid w:val="003A30AF"/>
    <w:rsid w:val="003A499A"/>
    <w:rsid w:val="003A4CBC"/>
    <w:rsid w:val="003A5AA9"/>
    <w:rsid w:val="003A7929"/>
    <w:rsid w:val="003A7FE2"/>
    <w:rsid w:val="003B1A66"/>
    <w:rsid w:val="003B20D3"/>
    <w:rsid w:val="003B2BDF"/>
    <w:rsid w:val="003B432B"/>
    <w:rsid w:val="003B4C27"/>
    <w:rsid w:val="003B4EA3"/>
    <w:rsid w:val="003C025A"/>
    <w:rsid w:val="003C04AF"/>
    <w:rsid w:val="003C093F"/>
    <w:rsid w:val="003C2DDF"/>
    <w:rsid w:val="003C3271"/>
    <w:rsid w:val="003C3534"/>
    <w:rsid w:val="003C69B0"/>
    <w:rsid w:val="003D0FA6"/>
    <w:rsid w:val="003D367E"/>
    <w:rsid w:val="003D48B6"/>
    <w:rsid w:val="003D5F22"/>
    <w:rsid w:val="003D6122"/>
    <w:rsid w:val="003D73A4"/>
    <w:rsid w:val="003D75DA"/>
    <w:rsid w:val="003D79E4"/>
    <w:rsid w:val="003D7BF4"/>
    <w:rsid w:val="003E0AE3"/>
    <w:rsid w:val="003E45FF"/>
    <w:rsid w:val="003E6741"/>
    <w:rsid w:val="003F1CD6"/>
    <w:rsid w:val="003F7D52"/>
    <w:rsid w:val="00404B22"/>
    <w:rsid w:val="004057C8"/>
    <w:rsid w:val="00413846"/>
    <w:rsid w:val="00414616"/>
    <w:rsid w:val="00416768"/>
    <w:rsid w:val="00416A4B"/>
    <w:rsid w:val="004241F8"/>
    <w:rsid w:val="00432F0A"/>
    <w:rsid w:val="00433358"/>
    <w:rsid w:val="00434DDC"/>
    <w:rsid w:val="00434F61"/>
    <w:rsid w:val="00435F01"/>
    <w:rsid w:val="0044137C"/>
    <w:rsid w:val="00441AA9"/>
    <w:rsid w:val="00442C60"/>
    <w:rsid w:val="00442F4B"/>
    <w:rsid w:val="004439D7"/>
    <w:rsid w:val="0044426A"/>
    <w:rsid w:val="00444640"/>
    <w:rsid w:val="0045676A"/>
    <w:rsid w:val="004575C6"/>
    <w:rsid w:val="004709CC"/>
    <w:rsid w:val="00471F1F"/>
    <w:rsid w:val="004766BF"/>
    <w:rsid w:val="00477251"/>
    <w:rsid w:val="00481F8C"/>
    <w:rsid w:val="00483FFA"/>
    <w:rsid w:val="004858E0"/>
    <w:rsid w:val="00485F7C"/>
    <w:rsid w:val="00486C75"/>
    <w:rsid w:val="00487017"/>
    <w:rsid w:val="00490F36"/>
    <w:rsid w:val="00492F5E"/>
    <w:rsid w:val="00493639"/>
    <w:rsid w:val="00495550"/>
    <w:rsid w:val="004961CC"/>
    <w:rsid w:val="00496526"/>
    <w:rsid w:val="004A0333"/>
    <w:rsid w:val="004A0704"/>
    <w:rsid w:val="004A1BAA"/>
    <w:rsid w:val="004A2866"/>
    <w:rsid w:val="004A334C"/>
    <w:rsid w:val="004A4DFA"/>
    <w:rsid w:val="004A6074"/>
    <w:rsid w:val="004A672D"/>
    <w:rsid w:val="004A7921"/>
    <w:rsid w:val="004A7E19"/>
    <w:rsid w:val="004B1A0B"/>
    <w:rsid w:val="004B1D6C"/>
    <w:rsid w:val="004B289B"/>
    <w:rsid w:val="004B45D0"/>
    <w:rsid w:val="004B4859"/>
    <w:rsid w:val="004B4939"/>
    <w:rsid w:val="004B5B1D"/>
    <w:rsid w:val="004B75B7"/>
    <w:rsid w:val="004C1461"/>
    <w:rsid w:val="004C3094"/>
    <w:rsid w:val="004D2B9D"/>
    <w:rsid w:val="004D345F"/>
    <w:rsid w:val="004D5520"/>
    <w:rsid w:val="004D7BA8"/>
    <w:rsid w:val="004E335A"/>
    <w:rsid w:val="004E34D3"/>
    <w:rsid w:val="004E4047"/>
    <w:rsid w:val="004E4194"/>
    <w:rsid w:val="004E6D9C"/>
    <w:rsid w:val="004F1696"/>
    <w:rsid w:val="004F5425"/>
    <w:rsid w:val="004F7656"/>
    <w:rsid w:val="00501249"/>
    <w:rsid w:val="005014E9"/>
    <w:rsid w:val="00503F11"/>
    <w:rsid w:val="0050631A"/>
    <w:rsid w:val="00506414"/>
    <w:rsid w:val="00506C66"/>
    <w:rsid w:val="00507400"/>
    <w:rsid w:val="00507927"/>
    <w:rsid w:val="00511209"/>
    <w:rsid w:val="0051750E"/>
    <w:rsid w:val="0052059F"/>
    <w:rsid w:val="005251A9"/>
    <w:rsid w:val="00525F9E"/>
    <w:rsid w:val="00531790"/>
    <w:rsid w:val="0053240D"/>
    <w:rsid w:val="005341AC"/>
    <w:rsid w:val="00535AC0"/>
    <w:rsid w:val="00537FD9"/>
    <w:rsid w:val="00540434"/>
    <w:rsid w:val="00540530"/>
    <w:rsid w:val="005407E2"/>
    <w:rsid w:val="00541D39"/>
    <w:rsid w:val="0054574A"/>
    <w:rsid w:val="00551BCE"/>
    <w:rsid w:val="00552710"/>
    <w:rsid w:val="00557A3B"/>
    <w:rsid w:val="00561650"/>
    <w:rsid w:val="00564C96"/>
    <w:rsid w:val="00566E60"/>
    <w:rsid w:val="00570C51"/>
    <w:rsid w:val="00571C64"/>
    <w:rsid w:val="00575465"/>
    <w:rsid w:val="00582B86"/>
    <w:rsid w:val="005841B7"/>
    <w:rsid w:val="00584C52"/>
    <w:rsid w:val="00584CBD"/>
    <w:rsid w:val="00584ECC"/>
    <w:rsid w:val="00586343"/>
    <w:rsid w:val="00586AA5"/>
    <w:rsid w:val="00592C39"/>
    <w:rsid w:val="00592D80"/>
    <w:rsid w:val="00593408"/>
    <w:rsid w:val="00596550"/>
    <w:rsid w:val="005A2B47"/>
    <w:rsid w:val="005A6986"/>
    <w:rsid w:val="005B0FD1"/>
    <w:rsid w:val="005B128E"/>
    <w:rsid w:val="005B45F1"/>
    <w:rsid w:val="005B5D67"/>
    <w:rsid w:val="005B6463"/>
    <w:rsid w:val="005B6B47"/>
    <w:rsid w:val="005B7A11"/>
    <w:rsid w:val="005C19D0"/>
    <w:rsid w:val="005C2058"/>
    <w:rsid w:val="005C4827"/>
    <w:rsid w:val="005C6EC2"/>
    <w:rsid w:val="005C77F5"/>
    <w:rsid w:val="005D026A"/>
    <w:rsid w:val="005D2C9C"/>
    <w:rsid w:val="005D3986"/>
    <w:rsid w:val="005D45D9"/>
    <w:rsid w:val="005D49A8"/>
    <w:rsid w:val="005D5209"/>
    <w:rsid w:val="005D6248"/>
    <w:rsid w:val="005D7DCB"/>
    <w:rsid w:val="005E1E56"/>
    <w:rsid w:val="005E3214"/>
    <w:rsid w:val="005E40E9"/>
    <w:rsid w:val="005E6D24"/>
    <w:rsid w:val="005F0E84"/>
    <w:rsid w:val="005F1780"/>
    <w:rsid w:val="005F1E2F"/>
    <w:rsid w:val="005F38E3"/>
    <w:rsid w:val="005F6F5D"/>
    <w:rsid w:val="005F72DF"/>
    <w:rsid w:val="00602597"/>
    <w:rsid w:val="00602DF7"/>
    <w:rsid w:val="006035E9"/>
    <w:rsid w:val="00604713"/>
    <w:rsid w:val="0060672D"/>
    <w:rsid w:val="00612266"/>
    <w:rsid w:val="0062434D"/>
    <w:rsid w:val="00624B2B"/>
    <w:rsid w:val="00624D4D"/>
    <w:rsid w:val="00626C1F"/>
    <w:rsid w:val="00627B9B"/>
    <w:rsid w:val="00630CD1"/>
    <w:rsid w:val="00631D39"/>
    <w:rsid w:val="00632104"/>
    <w:rsid w:val="0063291A"/>
    <w:rsid w:val="00633E0F"/>
    <w:rsid w:val="00635618"/>
    <w:rsid w:val="00636E06"/>
    <w:rsid w:val="00640665"/>
    <w:rsid w:val="0064474A"/>
    <w:rsid w:val="00646182"/>
    <w:rsid w:val="00646D02"/>
    <w:rsid w:val="00652B00"/>
    <w:rsid w:val="00654D87"/>
    <w:rsid w:val="0065579A"/>
    <w:rsid w:val="00657549"/>
    <w:rsid w:val="006575DF"/>
    <w:rsid w:val="00666203"/>
    <w:rsid w:val="00666AAB"/>
    <w:rsid w:val="0066753A"/>
    <w:rsid w:val="0066787A"/>
    <w:rsid w:val="00670BAE"/>
    <w:rsid w:val="006745FF"/>
    <w:rsid w:val="00675566"/>
    <w:rsid w:val="006773D2"/>
    <w:rsid w:val="00680709"/>
    <w:rsid w:val="0068265D"/>
    <w:rsid w:val="00682FD4"/>
    <w:rsid w:val="00683100"/>
    <w:rsid w:val="006861DD"/>
    <w:rsid w:val="00690171"/>
    <w:rsid w:val="00692AAD"/>
    <w:rsid w:val="006931B1"/>
    <w:rsid w:val="0069370D"/>
    <w:rsid w:val="00695642"/>
    <w:rsid w:val="00695682"/>
    <w:rsid w:val="00695E13"/>
    <w:rsid w:val="006A0015"/>
    <w:rsid w:val="006A106E"/>
    <w:rsid w:val="006A46F9"/>
    <w:rsid w:val="006A4A08"/>
    <w:rsid w:val="006A4D5F"/>
    <w:rsid w:val="006A63F4"/>
    <w:rsid w:val="006A7503"/>
    <w:rsid w:val="006B01C8"/>
    <w:rsid w:val="006B267A"/>
    <w:rsid w:val="006B291E"/>
    <w:rsid w:val="006B2E61"/>
    <w:rsid w:val="006B43BD"/>
    <w:rsid w:val="006C273F"/>
    <w:rsid w:val="006C364D"/>
    <w:rsid w:val="006C6A56"/>
    <w:rsid w:val="006C6A74"/>
    <w:rsid w:val="006D527C"/>
    <w:rsid w:val="006D6012"/>
    <w:rsid w:val="006D6758"/>
    <w:rsid w:val="006E0357"/>
    <w:rsid w:val="006E1487"/>
    <w:rsid w:val="006E32FC"/>
    <w:rsid w:val="006E466A"/>
    <w:rsid w:val="006E6C65"/>
    <w:rsid w:val="006F08EA"/>
    <w:rsid w:val="006F1274"/>
    <w:rsid w:val="006F189F"/>
    <w:rsid w:val="006F2600"/>
    <w:rsid w:val="006F4951"/>
    <w:rsid w:val="006F505C"/>
    <w:rsid w:val="006F6334"/>
    <w:rsid w:val="006F782B"/>
    <w:rsid w:val="00702678"/>
    <w:rsid w:val="00705108"/>
    <w:rsid w:val="007076B2"/>
    <w:rsid w:val="007102BE"/>
    <w:rsid w:val="0071612A"/>
    <w:rsid w:val="0071646A"/>
    <w:rsid w:val="00717861"/>
    <w:rsid w:val="00720F3A"/>
    <w:rsid w:val="00725354"/>
    <w:rsid w:val="0072606A"/>
    <w:rsid w:val="0073098F"/>
    <w:rsid w:val="00733DE9"/>
    <w:rsid w:val="00734059"/>
    <w:rsid w:val="00736691"/>
    <w:rsid w:val="007401D1"/>
    <w:rsid w:val="00740504"/>
    <w:rsid w:val="00743FF5"/>
    <w:rsid w:val="00744EFA"/>
    <w:rsid w:val="007500D3"/>
    <w:rsid w:val="00752B0A"/>
    <w:rsid w:val="00753F11"/>
    <w:rsid w:val="007546AE"/>
    <w:rsid w:val="007546C9"/>
    <w:rsid w:val="0075665E"/>
    <w:rsid w:val="007576C6"/>
    <w:rsid w:val="00761959"/>
    <w:rsid w:val="00761DCE"/>
    <w:rsid w:val="00762877"/>
    <w:rsid w:val="00763931"/>
    <w:rsid w:val="00767F96"/>
    <w:rsid w:val="00771C9E"/>
    <w:rsid w:val="00774ABD"/>
    <w:rsid w:val="007814BE"/>
    <w:rsid w:val="00781D8A"/>
    <w:rsid w:val="007820EB"/>
    <w:rsid w:val="00782149"/>
    <w:rsid w:val="00783BC9"/>
    <w:rsid w:val="007864AB"/>
    <w:rsid w:val="00787D67"/>
    <w:rsid w:val="00791571"/>
    <w:rsid w:val="00791C17"/>
    <w:rsid w:val="007930C0"/>
    <w:rsid w:val="0079350D"/>
    <w:rsid w:val="00794375"/>
    <w:rsid w:val="00794CAA"/>
    <w:rsid w:val="007952C3"/>
    <w:rsid w:val="00796086"/>
    <w:rsid w:val="00796AFA"/>
    <w:rsid w:val="007A0921"/>
    <w:rsid w:val="007A09F4"/>
    <w:rsid w:val="007A2E4C"/>
    <w:rsid w:val="007A58F9"/>
    <w:rsid w:val="007A755D"/>
    <w:rsid w:val="007B7C3A"/>
    <w:rsid w:val="007C19E1"/>
    <w:rsid w:val="007C28E3"/>
    <w:rsid w:val="007C5C1A"/>
    <w:rsid w:val="007C645A"/>
    <w:rsid w:val="007D1608"/>
    <w:rsid w:val="007D275A"/>
    <w:rsid w:val="007D2C50"/>
    <w:rsid w:val="007D2C6A"/>
    <w:rsid w:val="007D3CBD"/>
    <w:rsid w:val="007D4C43"/>
    <w:rsid w:val="007D6492"/>
    <w:rsid w:val="007D6810"/>
    <w:rsid w:val="007D706E"/>
    <w:rsid w:val="007E1E5B"/>
    <w:rsid w:val="007E3AEA"/>
    <w:rsid w:val="007E5B89"/>
    <w:rsid w:val="007F1A54"/>
    <w:rsid w:val="007F218C"/>
    <w:rsid w:val="008006D0"/>
    <w:rsid w:val="00801004"/>
    <w:rsid w:val="00802B1A"/>
    <w:rsid w:val="00805F29"/>
    <w:rsid w:val="008075C1"/>
    <w:rsid w:val="00807D37"/>
    <w:rsid w:val="00807FA8"/>
    <w:rsid w:val="0081124B"/>
    <w:rsid w:val="008113FA"/>
    <w:rsid w:val="00813873"/>
    <w:rsid w:val="00814CEC"/>
    <w:rsid w:val="00814EF4"/>
    <w:rsid w:val="008203FB"/>
    <w:rsid w:val="008209C2"/>
    <w:rsid w:val="00826B4A"/>
    <w:rsid w:val="00826C41"/>
    <w:rsid w:val="008274C2"/>
    <w:rsid w:val="00830686"/>
    <w:rsid w:val="00831936"/>
    <w:rsid w:val="008332CA"/>
    <w:rsid w:val="008357CF"/>
    <w:rsid w:val="0083647A"/>
    <w:rsid w:val="00836777"/>
    <w:rsid w:val="008368CA"/>
    <w:rsid w:val="00837784"/>
    <w:rsid w:val="00843F48"/>
    <w:rsid w:val="00846091"/>
    <w:rsid w:val="0084641A"/>
    <w:rsid w:val="00846562"/>
    <w:rsid w:val="00847D79"/>
    <w:rsid w:val="00850895"/>
    <w:rsid w:val="00851CD9"/>
    <w:rsid w:val="0085286D"/>
    <w:rsid w:val="008627CC"/>
    <w:rsid w:val="00862F3D"/>
    <w:rsid w:val="00863203"/>
    <w:rsid w:val="008648A4"/>
    <w:rsid w:val="00864CA8"/>
    <w:rsid w:val="00865EA2"/>
    <w:rsid w:val="00871793"/>
    <w:rsid w:val="0087599B"/>
    <w:rsid w:val="00877050"/>
    <w:rsid w:val="0087774C"/>
    <w:rsid w:val="00877D67"/>
    <w:rsid w:val="0088031F"/>
    <w:rsid w:val="008806DE"/>
    <w:rsid w:val="00880FC0"/>
    <w:rsid w:val="008838EA"/>
    <w:rsid w:val="00884DC5"/>
    <w:rsid w:val="00890D10"/>
    <w:rsid w:val="008910C8"/>
    <w:rsid w:val="008914AD"/>
    <w:rsid w:val="008914D9"/>
    <w:rsid w:val="00891B28"/>
    <w:rsid w:val="00896F44"/>
    <w:rsid w:val="00897012"/>
    <w:rsid w:val="008A28C0"/>
    <w:rsid w:val="008A4D7D"/>
    <w:rsid w:val="008B1975"/>
    <w:rsid w:val="008B2263"/>
    <w:rsid w:val="008B3EC4"/>
    <w:rsid w:val="008C014C"/>
    <w:rsid w:val="008C3194"/>
    <w:rsid w:val="008C5694"/>
    <w:rsid w:val="008C7908"/>
    <w:rsid w:val="008D1109"/>
    <w:rsid w:val="008D1491"/>
    <w:rsid w:val="008D275E"/>
    <w:rsid w:val="008D2FF4"/>
    <w:rsid w:val="008D691C"/>
    <w:rsid w:val="008D6D1A"/>
    <w:rsid w:val="008E08C0"/>
    <w:rsid w:val="008E322D"/>
    <w:rsid w:val="008E6B1D"/>
    <w:rsid w:val="008E7D55"/>
    <w:rsid w:val="008F2ACC"/>
    <w:rsid w:val="008F3064"/>
    <w:rsid w:val="008F5269"/>
    <w:rsid w:val="008F6A58"/>
    <w:rsid w:val="00900702"/>
    <w:rsid w:val="009033B8"/>
    <w:rsid w:val="00904E6E"/>
    <w:rsid w:val="00905FBB"/>
    <w:rsid w:val="00907B1B"/>
    <w:rsid w:val="00910DE0"/>
    <w:rsid w:val="00912BDF"/>
    <w:rsid w:val="00912CC8"/>
    <w:rsid w:val="009136AE"/>
    <w:rsid w:val="00913888"/>
    <w:rsid w:val="0091496E"/>
    <w:rsid w:val="00923F5D"/>
    <w:rsid w:val="00924533"/>
    <w:rsid w:val="00925661"/>
    <w:rsid w:val="0093067B"/>
    <w:rsid w:val="00930B00"/>
    <w:rsid w:val="00930DE7"/>
    <w:rsid w:val="00931F6C"/>
    <w:rsid w:val="009323F1"/>
    <w:rsid w:val="00933FD7"/>
    <w:rsid w:val="00936B09"/>
    <w:rsid w:val="00937CB6"/>
    <w:rsid w:val="00937CEB"/>
    <w:rsid w:val="00941CE1"/>
    <w:rsid w:val="0094349E"/>
    <w:rsid w:val="0094559A"/>
    <w:rsid w:val="009470AC"/>
    <w:rsid w:val="00951AC0"/>
    <w:rsid w:val="00951B63"/>
    <w:rsid w:val="00954872"/>
    <w:rsid w:val="00954CF1"/>
    <w:rsid w:val="009572BA"/>
    <w:rsid w:val="0096211B"/>
    <w:rsid w:val="00962201"/>
    <w:rsid w:val="00964EF7"/>
    <w:rsid w:val="00966563"/>
    <w:rsid w:val="00967E71"/>
    <w:rsid w:val="00971BA5"/>
    <w:rsid w:val="00972080"/>
    <w:rsid w:val="0097352D"/>
    <w:rsid w:val="00975091"/>
    <w:rsid w:val="00975833"/>
    <w:rsid w:val="009777E1"/>
    <w:rsid w:val="00977F6D"/>
    <w:rsid w:val="00981A95"/>
    <w:rsid w:val="00982379"/>
    <w:rsid w:val="00983E39"/>
    <w:rsid w:val="00983F13"/>
    <w:rsid w:val="0098714B"/>
    <w:rsid w:val="00992B8D"/>
    <w:rsid w:val="00994234"/>
    <w:rsid w:val="00995ABF"/>
    <w:rsid w:val="00996E91"/>
    <w:rsid w:val="009A024A"/>
    <w:rsid w:val="009A0DDE"/>
    <w:rsid w:val="009A4537"/>
    <w:rsid w:val="009A4D96"/>
    <w:rsid w:val="009A5527"/>
    <w:rsid w:val="009B53F2"/>
    <w:rsid w:val="009B5D55"/>
    <w:rsid w:val="009B66E6"/>
    <w:rsid w:val="009B7C4C"/>
    <w:rsid w:val="009C0045"/>
    <w:rsid w:val="009C0929"/>
    <w:rsid w:val="009C0F77"/>
    <w:rsid w:val="009C21BF"/>
    <w:rsid w:val="009C30D4"/>
    <w:rsid w:val="009C3E0A"/>
    <w:rsid w:val="009C4565"/>
    <w:rsid w:val="009C51FA"/>
    <w:rsid w:val="009C57FB"/>
    <w:rsid w:val="009D118F"/>
    <w:rsid w:val="009D3B78"/>
    <w:rsid w:val="009D419C"/>
    <w:rsid w:val="009D5008"/>
    <w:rsid w:val="009D5E0A"/>
    <w:rsid w:val="009D6829"/>
    <w:rsid w:val="009D6DB6"/>
    <w:rsid w:val="009D7C0A"/>
    <w:rsid w:val="009E09E8"/>
    <w:rsid w:val="009E306A"/>
    <w:rsid w:val="009E47B7"/>
    <w:rsid w:val="009E6074"/>
    <w:rsid w:val="009E6E89"/>
    <w:rsid w:val="009E6FE6"/>
    <w:rsid w:val="009F306A"/>
    <w:rsid w:val="009F4361"/>
    <w:rsid w:val="009F5599"/>
    <w:rsid w:val="009F5BCA"/>
    <w:rsid w:val="00A0321D"/>
    <w:rsid w:val="00A0399A"/>
    <w:rsid w:val="00A04734"/>
    <w:rsid w:val="00A04FA1"/>
    <w:rsid w:val="00A06D48"/>
    <w:rsid w:val="00A07A32"/>
    <w:rsid w:val="00A07B5E"/>
    <w:rsid w:val="00A07F7E"/>
    <w:rsid w:val="00A12265"/>
    <w:rsid w:val="00A12CC0"/>
    <w:rsid w:val="00A15490"/>
    <w:rsid w:val="00A156B9"/>
    <w:rsid w:val="00A15761"/>
    <w:rsid w:val="00A21451"/>
    <w:rsid w:val="00A2204D"/>
    <w:rsid w:val="00A2237E"/>
    <w:rsid w:val="00A22E81"/>
    <w:rsid w:val="00A25BB7"/>
    <w:rsid w:val="00A30010"/>
    <w:rsid w:val="00A30203"/>
    <w:rsid w:val="00A34C76"/>
    <w:rsid w:val="00A35BB5"/>
    <w:rsid w:val="00A44819"/>
    <w:rsid w:val="00A44B98"/>
    <w:rsid w:val="00A44EDA"/>
    <w:rsid w:val="00A4515B"/>
    <w:rsid w:val="00A463D3"/>
    <w:rsid w:val="00A52E22"/>
    <w:rsid w:val="00A5335C"/>
    <w:rsid w:val="00A53CDF"/>
    <w:rsid w:val="00A553C7"/>
    <w:rsid w:val="00A5758D"/>
    <w:rsid w:val="00A6195C"/>
    <w:rsid w:val="00A63C99"/>
    <w:rsid w:val="00A65656"/>
    <w:rsid w:val="00A67518"/>
    <w:rsid w:val="00A67FE3"/>
    <w:rsid w:val="00A7030F"/>
    <w:rsid w:val="00A70D18"/>
    <w:rsid w:val="00A72150"/>
    <w:rsid w:val="00A728AC"/>
    <w:rsid w:val="00A74E58"/>
    <w:rsid w:val="00A7525B"/>
    <w:rsid w:val="00A7668E"/>
    <w:rsid w:val="00A773C4"/>
    <w:rsid w:val="00A80935"/>
    <w:rsid w:val="00A80E64"/>
    <w:rsid w:val="00A82C14"/>
    <w:rsid w:val="00A8399C"/>
    <w:rsid w:val="00A84924"/>
    <w:rsid w:val="00A8560C"/>
    <w:rsid w:val="00A87030"/>
    <w:rsid w:val="00A878AD"/>
    <w:rsid w:val="00A87BDE"/>
    <w:rsid w:val="00A87D0F"/>
    <w:rsid w:val="00A90312"/>
    <w:rsid w:val="00A95567"/>
    <w:rsid w:val="00A957B7"/>
    <w:rsid w:val="00AA228F"/>
    <w:rsid w:val="00AA2E2A"/>
    <w:rsid w:val="00AA35ED"/>
    <w:rsid w:val="00AA41C1"/>
    <w:rsid w:val="00AB01A1"/>
    <w:rsid w:val="00AB0382"/>
    <w:rsid w:val="00AB0C6E"/>
    <w:rsid w:val="00AB23AA"/>
    <w:rsid w:val="00AB2DCA"/>
    <w:rsid w:val="00AB71E0"/>
    <w:rsid w:val="00AC07CF"/>
    <w:rsid w:val="00AC388C"/>
    <w:rsid w:val="00AC41AA"/>
    <w:rsid w:val="00AC493E"/>
    <w:rsid w:val="00AC60DD"/>
    <w:rsid w:val="00AD1A2B"/>
    <w:rsid w:val="00AD3ABE"/>
    <w:rsid w:val="00AD63B8"/>
    <w:rsid w:val="00AD6EA4"/>
    <w:rsid w:val="00AD768A"/>
    <w:rsid w:val="00AD7F5E"/>
    <w:rsid w:val="00AE0D13"/>
    <w:rsid w:val="00AE1C1F"/>
    <w:rsid w:val="00AE2DA5"/>
    <w:rsid w:val="00AE32B7"/>
    <w:rsid w:val="00AE3F8B"/>
    <w:rsid w:val="00AE6AC3"/>
    <w:rsid w:val="00AE749D"/>
    <w:rsid w:val="00AE7A86"/>
    <w:rsid w:val="00AF0AA6"/>
    <w:rsid w:val="00AF1049"/>
    <w:rsid w:val="00AF2FD2"/>
    <w:rsid w:val="00AF41E6"/>
    <w:rsid w:val="00AF45A6"/>
    <w:rsid w:val="00AF78D3"/>
    <w:rsid w:val="00AF7DA5"/>
    <w:rsid w:val="00B00AEA"/>
    <w:rsid w:val="00B01BDA"/>
    <w:rsid w:val="00B03130"/>
    <w:rsid w:val="00B03214"/>
    <w:rsid w:val="00B03920"/>
    <w:rsid w:val="00B03EFF"/>
    <w:rsid w:val="00B0741C"/>
    <w:rsid w:val="00B07E3B"/>
    <w:rsid w:val="00B13860"/>
    <w:rsid w:val="00B144E5"/>
    <w:rsid w:val="00B16ADD"/>
    <w:rsid w:val="00B201F0"/>
    <w:rsid w:val="00B21A5C"/>
    <w:rsid w:val="00B24F59"/>
    <w:rsid w:val="00B261E0"/>
    <w:rsid w:val="00B26522"/>
    <w:rsid w:val="00B33287"/>
    <w:rsid w:val="00B36063"/>
    <w:rsid w:val="00B36D93"/>
    <w:rsid w:val="00B404A4"/>
    <w:rsid w:val="00B40D4F"/>
    <w:rsid w:val="00B43041"/>
    <w:rsid w:val="00B432AC"/>
    <w:rsid w:val="00B43EF7"/>
    <w:rsid w:val="00B475C2"/>
    <w:rsid w:val="00B502A3"/>
    <w:rsid w:val="00B512C8"/>
    <w:rsid w:val="00B51ACB"/>
    <w:rsid w:val="00B520C0"/>
    <w:rsid w:val="00B524E8"/>
    <w:rsid w:val="00B53121"/>
    <w:rsid w:val="00B5320C"/>
    <w:rsid w:val="00B550EB"/>
    <w:rsid w:val="00B570EB"/>
    <w:rsid w:val="00B57B62"/>
    <w:rsid w:val="00B6183A"/>
    <w:rsid w:val="00B65A3B"/>
    <w:rsid w:val="00B7202B"/>
    <w:rsid w:val="00B7426E"/>
    <w:rsid w:val="00B76D3C"/>
    <w:rsid w:val="00B7758B"/>
    <w:rsid w:val="00B826D7"/>
    <w:rsid w:val="00B865CD"/>
    <w:rsid w:val="00B86674"/>
    <w:rsid w:val="00B905EB"/>
    <w:rsid w:val="00B90D1D"/>
    <w:rsid w:val="00B945AD"/>
    <w:rsid w:val="00B94F2A"/>
    <w:rsid w:val="00B952BF"/>
    <w:rsid w:val="00B95AAC"/>
    <w:rsid w:val="00B96AE0"/>
    <w:rsid w:val="00B97505"/>
    <w:rsid w:val="00BA1D71"/>
    <w:rsid w:val="00BA2292"/>
    <w:rsid w:val="00BA23E5"/>
    <w:rsid w:val="00BA4485"/>
    <w:rsid w:val="00BA7AF3"/>
    <w:rsid w:val="00BB0FA1"/>
    <w:rsid w:val="00BB1DB1"/>
    <w:rsid w:val="00BB24C4"/>
    <w:rsid w:val="00BB79D6"/>
    <w:rsid w:val="00BB7FD5"/>
    <w:rsid w:val="00BC10B8"/>
    <w:rsid w:val="00BC351A"/>
    <w:rsid w:val="00BC676E"/>
    <w:rsid w:val="00BC6D17"/>
    <w:rsid w:val="00BD136D"/>
    <w:rsid w:val="00BD15EF"/>
    <w:rsid w:val="00BD18F9"/>
    <w:rsid w:val="00BD3A4C"/>
    <w:rsid w:val="00BD4917"/>
    <w:rsid w:val="00BD5090"/>
    <w:rsid w:val="00BD662B"/>
    <w:rsid w:val="00BD6FBC"/>
    <w:rsid w:val="00BE10B2"/>
    <w:rsid w:val="00BE2EE2"/>
    <w:rsid w:val="00BE2EE4"/>
    <w:rsid w:val="00BE35E6"/>
    <w:rsid w:val="00BE593C"/>
    <w:rsid w:val="00BE64B0"/>
    <w:rsid w:val="00BF4A8E"/>
    <w:rsid w:val="00C002D1"/>
    <w:rsid w:val="00C01476"/>
    <w:rsid w:val="00C04501"/>
    <w:rsid w:val="00C0571E"/>
    <w:rsid w:val="00C057BF"/>
    <w:rsid w:val="00C10853"/>
    <w:rsid w:val="00C110B5"/>
    <w:rsid w:val="00C116EB"/>
    <w:rsid w:val="00C15067"/>
    <w:rsid w:val="00C22E48"/>
    <w:rsid w:val="00C23CAC"/>
    <w:rsid w:val="00C24412"/>
    <w:rsid w:val="00C25653"/>
    <w:rsid w:val="00C2628F"/>
    <w:rsid w:val="00C26C54"/>
    <w:rsid w:val="00C3090E"/>
    <w:rsid w:val="00C31DD1"/>
    <w:rsid w:val="00C35374"/>
    <w:rsid w:val="00C3651B"/>
    <w:rsid w:val="00C40B07"/>
    <w:rsid w:val="00C420F8"/>
    <w:rsid w:val="00C43E83"/>
    <w:rsid w:val="00C527FA"/>
    <w:rsid w:val="00C53A13"/>
    <w:rsid w:val="00C5604A"/>
    <w:rsid w:val="00C561D5"/>
    <w:rsid w:val="00C56E83"/>
    <w:rsid w:val="00C57FAA"/>
    <w:rsid w:val="00C62DC4"/>
    <w:rsid w:val="00C62EE4"/>
    <w:rsid w:val="00C644DB"/>
    <w:rsid w:val="00C64D64"/>
    <w:rsid w:val="00C67E13"/>
    <w:rsid w:val="00C70809"/>
    <w:rsid w:val="00C7126B"/>
    <w:rsid w:val="00C71B36"/>
    <w:rsid w:val="00C770EB"/>
    <w:rsid w:val="00C81D94"/>
    <w:rsid w:val="00C84A6E"/>
    <w:rsid w:val="00C8781A"/>
    <w:rsid w:val="00C904CD"/>
    <w:rsid w:val="00C92058"/>
    <w:rsid w:val="00C93913"/>
    <w:rsid w:val="00C944FE"/>
    <w:rsid w:val="00C94AC2"/>
    <w:rsid w:val="00C95D38"/>
    <w:rsid w:val="00CA0F6F"/>
    <w:rsid w:val="00CA26E9"/>
    <w:rsid w:val="00CA2EB1"/>
    <w:rsid w:val="00CA4607"/>
    <w:rsid w:val="00CA56D1"/>
    <w:rsid w:val="00CB603A"/>
    <w:rsid w:val="00CB6D8D"/>
    <w:rsid w:val="00CC3B2F"/>
    <w:rsid w:val="00CC5464"/>
    <w:rsid w:val="00CC6265"/>
    <w:rsid w:val="00CC6C4F"/>
    <w:rsid w:val="00CC72DA"/>
    <w:rsid w:val="00CC7834"/>
    <w:rsid w:val="00CD1975"/>
    <w:rsid w:val="00CD1CFA"/>
    <w:rsid w:val="00CD43CD"/>
    <w:rsid w:val="00CD795E"/>
    <w:rsid w:val="00CE0F94"/>
    <w:rsid w:val="00CE2FEA"/>
    <w:rsid w:val="00CE38A3"/>
    <w:rsid w:val="00CE4B77"/>
    <w:rsid w:val="00CE634E"/>
    <w:rsid w:val="00CF2B5E"/>
    <w:rsid w:val="00CF5B6D"/>
    <w:rsid w:val="00CF6B3C"/>
    <w:rsid w:val="00CF7E08"/>
    <w:rsid w:val="00D0297F"/>
    <w:rsid w:val="00D04382"/>
    <w:rsid w:val="00D04B24"/>
    <w:rsid w:val="00D06562"/>
    <w:rsid w:val="00D1007B"/>
    <w:rsid w:val="00D10268"/>
    <w:rsid w:val="00D104DF"/>
    <w:rsid w:val="00D1081A"/>
    <w:rsid w:val="00D10838"/>
    <w:rsid w:val="00D120E5"/>
    <w:rsid w:val="00D1317C"/>
    <w:rsid w:val="00D14B14"/>
    <w:rsid w:val="00D1508C"/>
    <w:rsid w:val="00D158BC"/>
    <w:rsid w:val="00D167FD"/>
    <w:rsid w:val="00D201BF"/>
    <w:rsid w:val="00D2050B"/>
    <w:rsid w:val="00D2582A"/>
    <w:rsid w:val="00D25FC7"/>
    <w:rsid w:val="00D261D1"/>
    <w:rsid w:val="00D26F59"/>
    <w:rsid w:val="00D27C35"/>
    <w:rsid w:val="00D3044E"/>
    <w:rsid w:val="00D30E16"/>
    <w:rsid w:val="00D33FDA"/>
    <w:rsid w:val="00D34DF6"/>
    <w:rsid w:val="00D35569"/>
    <w:rsid w:val="00D35724"/>
    <w:rsid w:val="00D4582D"/>
    <w:rsid w:val="00D52E09"/>
    <w:rsid w:val="00D541B8"/>
    <w:rsid w:val="00D6471D"/>
    <w:rsid w:val="00D64880"/>
    <w:rsid w:val="00D71A4D"/>
    <w:rsid w:val="00D777A7"/>
    <w:rsid w:val="00D778D9"/>
    <w:rsid w:val="00D80BFE"/>
    <w:rsid w:val="00D82179"/>
    <w:rsid w:val="00D84592"/>
    <w:rsid w:val="00D85366"/>
    <w:rsid w:val="00D8719F"/>
    <w:rsid w:val="00D9073E"/>
    <w:rsid w:val="00D93BC3"/>
    <w:rsid w:val="00D94311"/>
    <w:rsid w:val="00D94BA1"/>
    <w:rsid w:val="00DA012E"/>
    <w:rsid w:val="00DA06FE"/>
    <w:rsid w:val="00DA1392"/>
    <w:rsid w:val="00DA159F"/>
    <w:rsid w:val="00DA3D27"/>
    <w:rsid w:val="00DA3F8A"/>
    <w:rsid w:val="00DA44EB"/>
    <w:rsid w:val="00DA7E16"/>
    <w:rsid w:val="00DB14D4"/>
    <w:rsid w:val="00DB1754"/>
    <w:rsid w:val="00DB312B"/>
    <w:rsid w:val="00DB4E3F"/>
    <w:rsid w:val="00DB7327"/>
    <w:rsid w:val="00DC1888"/>
    <w:rsid w:val="00DC3EB2"/>
    <w:rsid w:val="00DC43CC"/>
    <w:rsid w:val="00DC4AC4"/>
    <w:rsid w:val="00DD28FE"/>
    <w:rsid w:val="00DD2BFC"/>
    <w:rsid w:val="00DD34C2"/>
    <w:rsid w:val="00DD43B9"/>
    <w:rsid w:val="00DD5D1D"/>
    <w:rsid w:val="00DD665F"/>
    <w:rsid w:val="00DD7715"/>
    <w:rsid w:val="00DE1D6C"/>
    <w:rsid w:val="00DE33AF"/>
    <w:rsid w:val="00DE3438"/>
    <w:rsid w:val="00DE3883"/>
    <w:rsid w:val="00DF2CE8"/>
    <w:rsid w:val="00DF4904"/>
    <w:rsid w:val="00DF756D"/>
    <w:rsid w:val="00E00A37"/>
    <w:rsid w:val="00E069AC"/>
    <w:rsid w:val="00E116B4"/>
    <w:rsid w:val="00E11CD2"/>
    <w:rsid w:val="00E11F1D"/>
    <w:rsid w:val="00E12954"/>
    <w:rsid w:val="00E131B4"/>
    <w:rsid w:val="00E146EA"/>
    <w:rsid w:val="00E14F94"/>
    <w:rsid w:val="00E20C5D"/>
    <w:rsid w:val="00E22924"/>
    <w:rsid w:val="00E23241"/>
    <w:rsid w:val="00E2663F"/>
    <w:rsid w:val="00E2775F"/>
    <w:rsid w:val="00E27BD3"/>
    <w:rsid w:val="00E30692"/>
    <w:rsid w:val="00E33621"/>
    <w:rsid w:val="00E349AC"/>
    <w:rsid w:val="00E3596D"/>
    <w:rsid w:val="00E35D78"/>
    <w:rsid w:val="00E36AAB"/>
    <w:rsid w:val="00E439FB"/>
    <w:rsid w:val="00E43DEA"/>
    <w:rsid w:val="00E43DF0"/>
    <w:rsid w:val="00E4450A"/>
    <w:rsid w:val="00E455DD"/>
    <w:rsid w:val="00E46095"/>
    <w:rsid w:val="00E61A22"/>
    <w:rsid w:val="00E62D9D"/>
    <w:rsid w:val="00E65F22"/>
    <w:rsid w:val="00E66C6A"/>
    <w:rsid w:val="00E735DF"/>
    <w:rsid w:val="00E73781"/>
    <w:rsid w:val="00E74AC0"/>
    <w:rsid w:val="00E74BD5"/>
    <w:rsid w:val="00E75C1A"/>
    <w:rsid w:val="00E774BD"/>
    <w:rsid w:val="00E8044E"/>
    <w:rsid w:val="00E805A1"/>
    <w:rsid w:val="00E815C8"/>
    <w:rsid w:val="00E82D62"/>
    <w:rsid w:val="00E8320F"/>
    <w:rsid w:val="00E844EA"/>
    <w:rsid w:val="00E857FC"/>
    <w:rsid w:val="00E86883"/>
    <w:rsid w:val="00E86EAB"/>
    <w:rsid w:val="00E87E6D"/>
    <w:rsid w:val="00E9270B"/>
    <w:rsid w:val="00E92D29"/>
    <w:rsid w:val="00E936DC"/>
    <w:rsid w:val="00E9457B"/>
    <w:rsid w:val="00E9782A"/>
    <w:rsid w:val="00E978D4"/>
    <w:rsid w:val="00E97B6E"/>
    <w:rsid w:val="00EA34EF"/>
    <w:rsid w:val="00EA483D"/>
    <w:rsid w:val="00EA554E"/>
    <w:rsid w:val="00EA5B30"/>
    <w:rsid w:val="00EB247F"/>
    <w:rsid w:val="00EB36FE"/>
    <w:rsid w:val="00EB44D0"/>
    <w:rsid w:val="00EB66BC"/>
    <w:rsid w:val="00EB6C69"/>
    <w:rsid w:val="00EB7D33"/>
    <w:rsid w:val="00EC0294"/>
    <w:rsid w:val="00EC15F9"/>
    <w:rsid w:val="00EC57B8"/>
    <w:rsid w:val="00ED12F6"/>
    <w:rsid w:val="00ED581E"/>
    <w:rsid w:val="00ED7489"/>
    <w:rsid w:val="00EE0272"/>
    <w:rsid w:val="00EE221B"/>
    <w:rsid w:val="00EE274A"/>
    <w:rsid w:val="00EE3843"/>
    <w:rsid w:val="00EE4BEE"/>
    <w:rsid w:val="00EE571C"/>
    <w:rsid w:val="00EF0FBA"/>
    <w:rsid w:val="00EF21F4"/>
    <w:rsid w:val="00EF2247"/>
    <w:rsid w:val="00EF45CD"/>
    <w:rsid w:val="00EF530F"/>
    <w:rsid w:val="00EF5CDF"/>
    <w:rsid w:val="00EF6A9B"/>
    <w:rsid w:val="00EF7954"/>
    <w:rsid w:val="00F025BB"/>
    <w:rsid w:val="00F03EDB"/>
    <w:rsid w:val="00F05491"/>
    <w:rsid w:val="00F0595F"/>
    <w:rsid w:val="00F0598F"/>
    <w:rsid w:val="00F06F88"/>
    <w:rsid w:val="00F074D0"/>
    <w:rsid w:val="00F11E39"/>
    <w:rsid w:val="00F12949"/>
    <w:rsid w:val="00F13F70"/>
    <w:rsid w:val="00F145C3"/>
    <w:rsid w:val="00F15287"/>
    <w:rsid w:val="00F15AEE"/>
    <w:rsid w:val="00F201C3"/>
    <w:rsid w:val="00F27EF2"/>
    <w:rsid w:val="00F346F2"/>
    <w:rsid w:val="00F3700C"/>
    <w:rsid w:val="00F37567"/>
    <w:rsid w:val="00F4258D"/>
    <w:rsid w:val="00F46737"/>
    <w:rsid w:val="00F5089B"/>
    <w:rsid w:val="00F5092B"/>
    <w:rsid w:val="00F517D6"/>
    <w:rsid w:val="00F52595"/>
    <w:rsid w:val="00F53092"/>
    <w:rsid w:val="00F530FC"/>
    <w:rsid w:val="00F60306"/>
    <w:rsid w:val="00F60C34"/>
    <w:rsid w:val="00F61DCA"/>
    <w:rsid w:val="00F62B63"/>
    <w:rsid w:val="00F6614B"/>
    <w:rsid w:val="00F669F7"/>
    <w:rsid w:val="00F66A03"/>
    <w:rsid w:val="00F66D25"/>
    <w:rsid w:val="00F7213F"/>
    <w:rsid w:val="00F73235"/>
    <w:rsid w:val="00F74517"/>
    <w:rsid w:val="00F74B00"/>
    <w:rsid w:val="00F77C32"/>
    <w:rsid w:val="00F81A3E"/>
    <w:rsid w:val="00F81C39"/>
    <w:rsid w:val="00F84DB6"/>
    <w:rsid w:val="00F853B2"/>
    <w:rsid w:val="00F85FFB"/>
    <w:rsid w:val="00F878AB"/>
    <w:rsid w:val="00F90A2F"/>
    <w:rsid w:val="00F90D56"/>
    <w:rsid w:val="00F94B3C"/>
    <w:rsid w:val="00F9617E"/>
    <w:rsid w:val="00FA0329"/>
    <w:rsid w:val="00FA0A93"/>
    <w:rsid w:val="00FA2194"/>
    <w:rsid w:val="00FA35CB"/>
    <w:rsid w:val="00FA5114"/>
    <w:rsid w:val="00FA64BE"/>
    <w:rsid w:val="00FA6897"/>
    <w:rsid w:val="00FA7C26"/>
    <w:rsid w:val="00FB2632"/>
    <w:rsid w:val="00FB2DC0"/>
    <w:rsid w:val="00FB3AB3"/>
    <w:rsid w:val="00FB3DFB"/>
    <w:rsid w:val="00FB41D1"/>
    <w:rsid w:val="00FB649C"/>
    <w:rsid w:val="00FC0809"/>
    <w:rsid w:val="00FC2C8B"/>
    <w:rsid w:val="00FC6ABF"/>
    <w:rsid w:val="00FC701B"/>
    <w:rsid w:val="00FC7A20"/>
    <w:rsid w:val="00FD1262"/>
    <w:rsid w:val="00FD2788"/>
    <w:rsid w:val="00FD38AB"/>
    <w:rsid w:val="00FD463C"/>
    <w:rsid w:val="00FD4AFC"/>
    <w:rsid w:val="00FD77AF"/>
    <w:rsid w:val="00FE083D"/>
    <w:rsid w:val="00FE23D7"/>
    <w:rsid w:val="00FE2CB3"/>
    <w:rsid w:val="00FE31AD"/>
    <w:rsid w:val="00FE3853"/>
    <w:rsid w:val="00FE53D4"/>
    <w:rsid w:val="00FE78B3"/>
    <w:rsid w:val="00FF038A"/>
    <w:rsid w:val="00FF04DA"/>
    <w:rsid w:val="00FF2149"/>
    <w:rsid w:val="00FF223F"/>
    <w:rsid w:val="00FF24BF"/>
    <w:rsid w:val="00FF3CFD"/>
    <w:rsid w:val="00FF47F5"/>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E65F93"/>
  <w15:docId w15:val="{1BA35521-FFF6-4301-AE9D-D011178C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4A2866"/>
    <w:pPr>
      <w:keepNext/>
      <w:keepLines/>
      <w:numPr>
        <w:numId w:val="8"/>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7"/>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8"/>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4A2866"/>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4A2866"/>
    <w:pPr>
      <w:tabs>
        <w:tab w:val="right" w:leader="dot" w:pos="9350"/>
      </w:tabs>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FD1262"/>
    <w:pPr>
      <w:spacing w:after="0" w:line="480" w:lineRule="auto"/>
      <w:ind w:left="720" w:hanging="720"/>
    </w:pPr>
  </w:style>
  <w:style w:type="paragraph" w:styleId="Index1">
    <w:name w:val="index 1"/>
    <w:basedOn w:val="Normal"/>
    <w:next w:val="Normal"/>
    <w:autoRedefine/>
    <w:uiPriority w:val="99"/>
    <w:semiHidden/>
    <w:unhideWhenUsed/>
    <w:rsid w:val="00D1317C"/>
    <w:pPr>
      <w:spacing w:after="0" w:line="240" w:lineRule="auto"/>
      <w:ind w:left="220" w:hanging="220"/>
    </w:pPr>
  </w:style>
  <w:style w:type="paragraph" w:styleId="EndnoteText">
    <w:name w:val="endnote text"/>
    <w:basedOn w:val="Normal"/>
    <w:link w:val="EndnoteTextChar"/>
    <w:uiPriority w:val="99"/>
    <w:semiHidden/>
    <w:unhideWhenUsed/>
    <w:rsid w:val="00FE2C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2CB3"/>
    <w:rPr>
      <w:rFonts w:ascii="Times New Roman" w:hAnsi="Times New Roman"/>
      <w:sz w:val="20"/>
      <w:szCs w:val="20"/>
    </w:rPr>
  </w:style>
  <w:style w:type="character" w:styleId="EndnoteReference">
    <w:name w:val="endnote reference"/>
    <w:basedOn w:val="DefaultParagraphFont"/>
    <w:uiPriority w:val="99"/>
    <w:semiHidden/>
    <w:unhideWhenUsed/>
    <w:rsid w:val="00FE2CB3"/>
    <w:rPr>
      <w:vertAlign w:val="superscript"/>
    </w:rPr>
  </w:style>
  <w:style w:type="character" w:customStyle="1" w:styleId="apple-converted-space">
    <w:name w:val="apple-converted-space"/>
    <w:basedOn w:val="DefaultParagraphFont"/>
    <w:rsid w:val="004A6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1692">
      <w:bodyDiv w:val="1"/>
      <w:marLeft w:val="0"/>
      <w:marRight w:val="0"/>
      <w:marTop w:val="0"/>
      <w:marBottom w:val="0"/>
      <w:divBdr>
        <w:top w:val="none" w:sz="0" w:space="0" w:color="auto"/>
        <w:left w:val="none" w:sz="0" w:space="0" w:color="auto"/>
        <w:bottom w:val="none" w:sz="0" w:space="0" w:color="auto"/>
        <w:right w:val="none" w:sz="0" w:space="0" w:color="auto"/>
      </w:divBdr>
    </w:div>
    <w:div w:id="17783226">
      <w:bodyDiv w:val="1"/>
      <w:marLeft w:val="0"/>
      <w:marRight w:val="0"/>
      <w:marTop w:val="0"/>
      <w:marBottom w:val="0"/>
      <w:divBdr>
        <w:top w:val="none" w:sz="0" w:space="0" w:color="auto"/>
        <w:left w:val="none" w:sz="0" w:space="0" w:color="auto"/>
        <w:bottom w:val="none" w:sz="0" w:space="0" w:color="auto"/>
        <w:right w:val="none" w:sz="0" w:space="0" w:color="auto"/>
      </w:divBdr>
    </w:div>
    <w:div w:id="29497322">
      <w:bodyDiv w:val="1"/>
      <w:marLeft w:val="0"/>
      <w:marRight w:val="0"/>
      <w:marTop w:val="0"/>
      <w:marBottom w:val="0"/>
      <w:divBdr>
        <w:top w:val="none" w:sz="0" w:space="0" w:color="auto"/>
        <w:left w:val="none" w:sz="0" w:space="0" w:color="auto"/>
        <w:bottom w:val="none" w:sz="0" w:space="0" w:color="auto"/>
        <w:right w:val="none" w:sz="0" w:space="0" w:color="auto"/>
      </w:divBdr>
    </w:div>
    <w:div w:id="32316896">
      <w:bodyDiv w:val="1"/>
      <w:marLeft w:val="0"/>
      <w:marRight w:val="0"/>
      <w:marTop w:val="0"/>
      <w:marBottom w:val="0"/>
      <w:divBdr>
        <w:top w:val="none" w:sz="0" w:space="0" w:color="auto"/>
        <w:left w:val="none" w:sz="0" w:space="0" w:color="auto"/>
        <w:bottom w:val="none" w:sz="0" w:space="0" w:color="auto"/>
        <w:right w:val="none" w:sz="0" w:space="0" w:color="auto"/>
      </w:divBdr>
    </w:div>
    <w:div w:id="40904599">
      <w:bodyDiv w:val="1"/>
      <w:marLeft w:val="0"/>
      <w:marRight w:val="0"/>
      <w:marTop w:val="0"/>
      <w:marBottom w:val="0"/>
      <w:divBdr>
        <w:top w:val="none" w:sz="0" w:space="0" w:color="auto"/>
        <w:left w:val="none" w:sz="0" w:space="0" w:color="auto"/>
        <w:bottom w:val="none" w:sz="0" w:space="0" w:color="auto"/>
        <w:right w:val="none" w:sz="0" w:space="0" w:color="auto"/>
      </w:divBdr>
    </w:div>
    <w:div w:id="60099890">
      <w:bodyDiv w:val="1"/>
      <w:marLeft w:val="0"/>
      <w:marRight w:val="0"/>
      <w:marTop w:val="0"/>
      <w:marBottom w:val="0"/>
      <w:divBdr>
        <w:top w:val="none" w:sz="0" w:space="0" w:color="auto"/>
        <w:left w:val="none" w:sz="0" w:space="0" w:color="auto"/>
        <w:bottom w:val="none" w:sz="0" w:space="0" w:color="auto"/>
        <w:right w:val="none" w:sz="0" w:space="0" w:color="auto"/>
      </w:divBdr>
    </w:div>
    <w:div w:id="60103271">
      <w:bodyDiv w:val="1"/>
      <w:marLeft w:val="0"/>
      <w:marRight w:val="0"/>
      <w:marTop w:val="0"/>
      <w:marBottom w:val="0"/>
      <w:divBdr>
        <w:top w:val="none" w:sz="0" w:space="0" w:color="auto"/>
        <w:left w:val="none" w:sz="0" w:space="0" w:color="auto"/>
        <w:bottom w:val="none" w:sz="0" w:space="0" w:color="auto"/>
        <w:right w:val="none" w:sz="0" w:space="0" w:color="auto"/>
      </w:divBdr>
    </w:div>
    <w:div w:id="62021952">
      <w:bodyDiv w:val="1"/>
      <w:marLeft w:val="0"/>
      <w:marRight w:val="0"/>
      <w:marTop w:val="0"/>
      <w:marBottom w:val="0"/>
      <w:divBdr>
        <w:top w:val="none" w:sz="0" w:space="0" w:color="auto"/>
        <w:left w:val="none" w:sz="0" w:space="0" w:color="auto"/>
        <w:bottom w:val="none" w:sz="0" w:space="0" w:color="auto"/>
        <w:right w:val="none" w:sz="0" w:space="0" w:color="auto"/>
      </w:divBdr>
    </w:div>
    <w:div w:id="62679920">
      <w:bodyDiv w:val="1"/>
      <w:marLeft w:val="0"/>
      <w:marRight w:val="0"/>
      <w:marTop w:val="0"/>
      <w:marBottom w:val="0"/>
      <w:divBdr>
        <w:top w:val="none" w:sz="0" w:space="0" w:color="auto"/>
        <w:left w:val="none" w:sz="0" w:space="0" w:color="auto"/>
        <w:bottom w:val="none" w:sz="0" w:space="0" w:color="auto"/>
        <w:right w:val="none" w:sz="0" w:space="0" w:color="auto"/>
      </w:divBdr>
    </w:div>
    <w:div w:id="63771101">
      <w:bodyDiv w:val="1"/>
      <w:marLeft w:val="0"/>
      <w:marRight w:val="0"/>
      <w:marTop w:val="0"/>
      <w:marBottom w:val="0"/>
      <w:divBdr>
        <w:top w:val="none" w:sz="0" w:space="0" w:color="auto"/>
        <w:left w:val="none" w:sz="0" w:space="0" w:color="auto"/>
        <w:bottom w:val="none" w:sz="0" w:space="0" w:color="auto"/>
        <w:right w:val="none" w:sz="0" w:space="0" w:color="auto"/>
      </w:divBdr>
    </w:div>
    <w:div w:id="66538404">
      <w:bodyDiv w:val="1"/>
      <w:marLeft w:val="0"/>
      <w:marRight w:val="0"/>
      <w:marTop w:val="0"/>
      <w:marBottom w:val="0"/>
      <w:divBdr>
        <w:top w:val="none" w:sz="0" w:space="0" w:color="auto"/>
        <w:left w:val="none" w:sz="0" w:space="0" w:color="auto"/>
        <w:bottom w:val="none" w:sz="0" w:space="0" w:color="auto"/>
        <w:right w:val="none" w:sz="0" w:space="0" w:color="auto"/>
      </w:divBdr>
    </w:div>
    <w:div w:id="70129898">
      <w:bodyDiv w:val="1"/>
      <w:marLeft w:val="0"/>
      <w:marRight w:val="0"/>
      <w:marTop w:val="0"/>
      <w:marBottom w:val="0"/>
      <w:divBdr>
        <w:top w:val="none" w:sz="0" w:space="0" w:color="auto"/>
        <w:left w:val="none" w:sz="0" w:space="0" w:color="auto"/>
        <w:bottom w:val="none" w:sz="0" w:space="0" w:color="auto"/>
        <w:right w:val="none" w:sz="0" w:space="0" w:color="auto"/>
      </w:divBdr>
    </w:div>
    <w:div w:id="71128714">
      <w:bodyDiv w:val="1"/>
      <w:marLeft w:val="0"/>
      <w:marRight w:val="0"/>
      <w:marTop w:val="0"/>
      <w:marBottom w:val="0"/>
      <w:divBdr>
        <w:top w:val="none" w:sz="0" w:space="0" w:color="auto"/>
        <w:left w:val="none" w:sz="0" w:space="0" w:color="auto"/>
        <w:bottom w:val="none" w:sz="0" w:space="0" w:color="auto"/>
        <w:right w:val="none" w:sz="0" w:space="0" w:color="auto"/>
      </w:divBdr>
    </w:div>
    <w:div w:id="75446167">
      <w:bodyDiv w:val="1"/>
      <w:marLeft w:val="0"/>
      <w:marRight w:val="0"/>
      <w:marTop w:val="0"/>
      <w:marBottom w:val="0"/>
      <w:divBdr>
        <w:top w:val="none" w:sz="0" w:space="0" w:color="auto"/>
        <w:left w:val="none" w:sz="0" w:space="0" w:color="auto"/>
        <w:bottom w:val="none" w:sz="0" w:space="0" w:color="auto"/>
        <w:right w:val="none" w:sz="0" w:space="0" w:color="auto"/>
      </w:divBdr>
    </w:div>
    <w:div w:id="76365394">
      <w:bodyDiv w:val="1"/>
      <w:marLeft w:val="0"/>
      <w:marRight w:val="0"/>
      <w:marTop w:val="0"/>
      <w:marBottom w:val="0"/>
      <w:divBdr>
        <w:top w:val="none" w:sz="0" w:space="0" w:color="auto"/>
        <w:left w:val="none" w:sz="0" w:space="0" w:color="auto"/>
        <w:bottom w:val="none" w:sz="0" w:space="0" w:color="auto"/>
        <w:right w:val="none" w:sz="0" w:space="0" w:color="auto"/>
      </w:divBdr>
    </w:div>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90055249">
      <w:bodyDiv w:val="1"/>
      <w:marLeft w:val="0"/>
      <w:marRight w:val="0"/>
      <w:marTop w:val="0"/>
      <w:marBottom w:val="0"/>
      <w:divBdr>
        <w:top w:val="none" w:sz="0" w:space="0" w:color="auto"/>
        <w:left w:val="none" w:sz="0" w:space="0" w:color="auto"/>
        <w:bottom w:val="none" w:sz="0" w:space="0" w:color="auto"/>
        <w:right w:val="none" w:sz="0" w:space="0" w:color="auto"/>
      </w:divBdr>
    </w:div>
    <w:div w:id="92871532">
      <w:bodyDiv w:val="1"/>
      <w:marLeft w:val="0"/>
      <w:marRight w:val="0"/>
      <w:marTop w:val="0"/>
      <w:marBottom w:val="0"/>
      <w:divBdr>
        <w:top w:val="none" w:sz="0" w:space="0" w:color="auto"/>
        <w:left w:val="none" w:sz="0" w:space="0" w:color="auto"/>
        <w:bottom w:val="none" w:sz="0" w:space="0" w:color="auto"/>
        <w:right w:val="none" w:sz="0" w:space="0" w:color="auto"/>
      </w:divBdr>
    </w:div>
    <w:div w:id="92943272">
      <w:bodyDiv w:val="1"/>
      <w:marLeft w:val="0"/>
      <w:marRight w:val="0"/>
      <w:marTop w:val="0"/>
      <w:marBottom w:val="0"/>
      <w:divBdr>
        <w:top w:val="none" w:sz="0" w:space="0" w:color="auto"/>
        <w:left w:val="none" w:sz="0" w:space="0" w:color="auto"/>
        <w:bottom w:val="none" w:sz="0" w:space="0" w:color="auto"/>
        <w:right w:val="none" w:sz="0" w:space="0" w:color="auto"/>
      </w:divBdr>
    </w:div>
    <w:div w:id="98959453">
      <w:bodyDiv w:val="1"/>
      <w:marLeft w:val="0"/>
      <w:marRight w:val="0"/>
      <w:marTop w:val="0"/>
      <w:marBottom w:val="0"/>
      <w:divBdr>
        <w:top w:val="none" w:sz="0" w:space="0" w:color="auto"/>
        <w:left w:val="none" w:sz="0" w:space="0" w:color="auto"/>
        <w:bottom w:val="none" w:sz="0" w:space="0" w:color="auto"/>
        <w:right w:val="none" w:sz="0" w:space="0" w:color="auto"/>
      </w:divBdr>
    </w:div>
    <w:div w:id="102699246">
      <w:bodyDiv w:val="1"/>
      <w:marLeft w:val="0"/>
      <w:marRight w:val="0"/>
      <w:marTop w:val="0"/>
      <w:marBottom w:val="0"/>
      <w:divBdr>
        <w:top w:val="none" w:sz="0" w:space="0" w:color="auto"/>
        <w:left w:val="none" w:sz="0" w:space="0" w:color="auto"/>
        <w:bottom w:val="none" w:sz="0" w:space="0" w:color="auto"/>
        <w:right w:val="none" w:sz="0" w:space="0" w:color="auto"/>
      </w:divBdr>
    </w:div>
    <w:div w:id="111901763">
      <w:bodyDiv w:val="1"/>
      <w:marLeft w:val="0"/>
      <w:marRight w:val="0"/>
      <w:marTop w:val="0"/>
      <w:marBottom w:val="0"/>
      <w:divBdr>
        <w:top w:val="none" w:sz="0" w:space="0" w:color="auto"/>
        <w:left w:val="none" w:sz="0" w:space="0" w:color="auto"/>
        <w:bottom w:val="none" w:sz="0" w:space="0" w:color="auto"/>
        <w:right w:val="none" w:sz="0" w:space="0" w:color="auto"/>
      </w:divBdr>
    </w:div>
    <w:div w:id="117532615">
      <w:bodyDiv w:val="1"/>
      <w:marLeft w:val="0"/>
      <w:marRight w:val="0"/>
      <w:marTop w:val="0"/>
      <w:marBottom w:val="0"/>
      <w:divBdr>
        <w:top w:val="none" w:sz="0" w:space="0" w:color="auto"/>
        <w:left w:val="none" w:sz="0" w:space="0" w:color="auto"/>
        <w:bottom w:val="none" w:sz="0" w:space="0" w:color="auto"/>
        <w:right w:val="none" w:sz="0" w:space="0" w:color="auto"/>
      </w:divBdr>
    </w:div>
    <w:div w:id="129792355">
      <w:bodyDiv w:val="1"/>
      <w:marLeft w:val="0"/>
      <w:marRight w:val="0"/>
      <w:marTop w:val="0"/>
      <w:marBottom w:val="0"/>
      <w:divBdr>
        <w:top w:val="none" w:sz="0" w:space="0" w:color="auto"/>
        <w:left w:val="none" w:sz="0" w:space="0" w:color="auto"/>
        <w:bottom w:val="none" w:sz="0" w:space="0" w:color="auto"/>
        <w:right w:val="none" w:sz="0" w:space="0" w:color="auto"/>
      </w:divBdr>
    </w:div>
    <w:div w:id="130901505">
      <w:bodyDiv w:val="1"/>
      <w:marLeft w:val="0"/>
      <w:marRight w:val="0"/>
      <w:marTop w:val="0"/>
      <w:marBottom w:val="0"/>
      <w:divBdr>
        <w:top w:val="none" w:sz="0" w:space="0" w:color="auto"/>
        <w:left w:val="none" w:sz="0" w:space="0" w:color="auto"/>
        <w:bottom w:val="none" w:sz="0" w:space="0" w:color="auto"/>
        <w:right w:val="none" w:sz="0" w:space="0" w:color="auto"/>
      </w:divBdr>
    </w:div>
    <w:div w:id="131484698">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34832288">
      <w:bodyDiv w:val="1"/>
      <w:marLeft w:val="0"/>
      <w:marRight w:val="0"/>
      <w:marTop w:val="0"/>
      <w:marBottom w:val="0"/>
      <w:divBdr>
        <w:top w:val="none" w:sz="0" w:space="0" w:color="auto"/>
        <w:left w:val="none" w:sz="0" w:space="0" w:color="auto"/>
        <w:bottom w:val="none" w:sz="0" w:space="0" w:color="auto"/>
        <w:right w:val="none" w:sz="0" w:space="0" w:color="auto"/>
      </w:divBdr>
    </w:div>
    <w:div w:id="138691956">
      <w:bodyDiv w:val="1"/>
      <w:marLeft w:val="0"/>
      <w:marRight w:val="0"/>
      <w:marTop w:val="0"/>
      <w:marBottom w:val="0"/>
      <w:divBdr>
        <w:top w:val="none" w:sz="0" w:space="0" w:color="auto"/>
        <w:left w:val="none" w:sz="0" w:space="0" w:color="auto"/>
        <w:bottom w:val="none" w:sz="0" w:space="0" w:color="auto"/>
        <w:right w:val="none" w:sz="0" w:space="0" w:color="auto"/>
      </w:divBdr>
    </w:div>
    <w:div w:id="145362345">
      <w:bodyDiv w:val="1"/>
      <w:marLeft w:val="0"/>
      <w:marRight w:val="0"/>
      <w:marTop w:val="0"/>
      <w:marBottom w:val="0"/>
      <w:divBdr>
        <w:top w:val="none" w:sz="0" w:space="0" w:color="auto"/>
        <w:left w:val="none" w:sz="0" w:space="0" w:color="auto"/>
        <w:bottom w:val="none" w:sz="0" w:space="0" w:color="auto"/>
        <w:right w:val="none" w:sz="0" w:space="0" w:color="auto"/>
      </w:divBdr>
    </w:div>
    <w:div w:id="173686938">
      <w:bodyDiv w:val="1"/>
      <w:marLeft w:val="0"/>
      <w:marRight w:val="0"/>
      <w:marTop w:val="0"/>
      <w:marBottom w:val="0"/>
      <w:divBdr>
        <w:top w:val="none" w:sz="0" w:space="0" w:color="auto"/>
        <w:left w:val="none" w:sz="0" w:space="0" w:color="auto"/>
        <w:bottom w:val="none" w:sz="0" w:space="0" w:color="auto"/>
        <w:right w:val="none" w:sz="0" w:space="0" w:color="auto"/>
      </w:divBdr>
      <w:divsChild>
        <w:div w:id="1060637740">
          <w:marLeft w:val="0"/>
          <w:marRight w:val="0"/>
          <w:marTop w:val="0"/>
          <w:marBottom w:val="0"/>
          <w:divBdr>
            <w:top w:val="none" w:sz="0" w:space="0" w:color="auto"/>
            <w:left w:val="none" w:sz="0" w:space="0" w:color="auto"/>
            <w:bottom w:val="none" w:sz="0" w:space="0" w:color="auto"/>
            <w:right w:val="none" w:sz="0" w:space="0" w:color="auto"/>
          </w:divBdr>
          <w:divsChild>
            <w:div w:id="1239435564">
              <w:marLeft w:val="0"/>
              <w:marRight w:val="0"/>
              <w:marTop w:val="0"/>
              <w:marBottom w:val="0"/>
              <w:divBdr>
                <w:top w:val="none" w:sz="0" w:space="0" w:color="auto"/>
                <w:left w:val="none" w:sz="0" w:space="0" w:color="auto"/>
                <w:bottom w:val="none" w:sz="0" w:space="0" w:color="auto"/>
                <w:right w:val="none" w:sz="0" w:space="0" w:color="auto"/>
              </w:divBdr>
              <w:divsChild>
                <w:div w:id="4720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0723">
      <w:bodyDiv w:val="1"/>
      <w:marLeft w:val="0"/>
      <w:marRight w:val="0"/>
      <w:marTop w:val="0"/>
      <w:marBottom w:val="0"/>
      <w:divBdr>
        <w:top w:val="none" w:sz="0" w:space="0" w:color="auto"/>
        <w:left w:val="none" w:sz="0" w:space="0" w:color="auto"/>
        <w:bottom w:val="none" w:sz="0" w:space="0" w:color="auto"/>
        <w:right w:val="none" w:sz="0" w:space="0" w:color="auto"/>
      </w:divBdr>
    </w:div>
    <w:div w:id="177240544">
      <w:bodyDiv w:val="1"/>
      <w:marLeft w:val="0"/>
      <w:marRight w:val="0"/>
      <w:marTop w:val="0"/>
      <w:marBottom w:val="0"/>
      <w:divBdr>
        <w:top w:val="none" w:sz="0" w:space="0" w:color="auto"/>
        <w:left w:val="none" w:sz="0" w:space="0" w:color="auto"/>
        <w:bottom w:val="none" w:sz="0" w:space="0" w:color="auto"/>
        <w:right w:val="none" w:sz="0" w:space="0" w:color="auto"/>
      </w:divBdr>
    </w:div>
    <w:div w:id="180243078">
      <w:bodyDiv w:val="1"/>
      <w:marLeft w:val="0"/>
      <w:marRight w:val="0"/>
      <w:marTop w:val="0"/>
      <w:marBottom w:val="0"/>
      <w:divBdr>
        <w:top w:val="none" w:sz="0" w:space="0" w:color="auto"/>
        <w:left w:val="none" w:sz="0" w:space="0" w:color="auto"/>
        <w:bottom w:val="none" w:sz="0" w:space="0" w:color="auto"/>
        <w:right w:val="none" w:sz="0" w:space="0" w:color="auto"/>
      </w:divBdr>
    </w:div>
    <w:div w:id="183713199">
      <w:bodyDiv w:val="1"/>
      <w:marLeft w:val="0"/>
      <w:marRight w:val="0"/>
      <w:marTop w:val="0"/>
      <w:marBottom w:val="0"/>
      <w:divBdr>
        <w:top w:val="none" w:sz="0" w:space="0" w:color="auto"/>
        <w:left w:val="none" w:sz="0" w:space="0" w:color="auto"/>
        <w:bottom w:val="none" w:sz="0" w:space="0" w:color="auto"/>
        <w:right w:val="none" w:sz="0" w:space="0" w:color="auto"/>
      </w:divBdr>
    </w:div>
    <w:div w:id="185558290">
      <w:bodyDiv w:val="1"/>
      <w:marLeft w:val="0"/>
      <w:marRight w:val="0"/>
      <w:marTop w:val="0"/>
      <w:marBottom w:val="0"/>
      <w:divBdr>
        <w:top w:val="none" w:sz="0" w:space="0" w:color="auto"/>
        <w:left w:val="none" w:sz="0" w:space="0" w:color="auto"/>
        <w:bottom w:val="none" w:sz="0" w:space="0" w:color="auto"/>
        <w:right w:val="none" w:sz="0" w:space="0" w:color="auto"/>
      </w:divBdr>
    </w:div>
    <w:div w:id="188026916">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049149">
      <w:bodyDiv w:val="1"/>
      <w:marLeft w:val="0"/>
      <w:marRight w:val="0"/>
      <w:marTop w:val="0"/>
      <w:marBottom w:val="0"/>
      <w:divBdr>
        <w:top w:val="none" w:sz="0" w:space="0" w:color="auto"/>
        <w:left w:val="none" w:sz="0" w:space="0" w:color="auto"/>
        <w:bottom w:val="none" w:sz="0" w:space="0" w:color="auto"/>
        <w:right w:val="none" w:sz="0" w:space="0" w:color="auto"/>
      </w:divBdr>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04566719">
      <w:bodyDiv w:val="1"/>
      <w:marLeft w:val="0"/>
      <w:marRight w:val="0"/>
      <w:marTop w:val="0"/>
      <w:marBottom w:val="0"/>
      <w:divBdr>
        <w:top w:val="none" w:sz="0" w:space="0" w:color="auto"/>
        <w:left w:val="none" w:sz="0" w:space="0" w:color="auto"/>
        <w:bottom w:val="none" w:sz="0" w:space="0" w:color="auto"/>
        <w:right w:val="none" w:sz="0" w:space="0" w:color="auto"/>
      </w:divBdr>
    </w:div>
    <w:div w:id="210121671">
      <w:bodyDiv w:val="1"/>
      <w:marLeft w:val="0"/>
      <w:marRight w:val="0"/>
      <w:marTop w:val="0"/>
      <w:marBottom w:val="0"/>
      <w:divBdr>
        <w:top w:val="none" w:sz="0" w:space="0" w:color="auto"/>
        <w:left w:val="none" w:sz="0" w:space="0" w:color="auto"/>
        <w:bottom w:val="none" w:sz="0" w:space="0" w:color="auto"/>
        <w:right w:val="none" w:sz="0" w:space="0" w:color="auto"/>
      </w:divBdr>
    </w:div>
    <w:div w:id="228852891">
      <w:bodyDiv w:val="1"/>
      <w:marLeft w:val="0"/>
      <w:marRight w:val="0"/>
      <w:marTop w:val="0"/>
      <w:marBottom w:val="0"/>
      <w:divBdr>
        <w:top w:val="none" w:sz="0" w:space="0" w:color="auto"/>
        <w:left w:val="none" w:sz="0" w:space="0" w:color="auto"/>
        <w:bottom w:val="none" w:sz="0" w:space="0" w:color="auto"/>
        <w:right w:val="none" w:sz="0" w:space="0" w:color="auto"/>
      </w:divBdr>
    </w:div>
    <w:div w:id="231694150">
      <w:bodyDiv w:val="1"/>
      <w:marLeft w:val="0"/>
      <w:marRight w:val="0"/>
      <w:marTop w:val="0"/>
      <w:marBottom w:val="0"/>
      <w:divBdr>
        <w:top w:val="none" w:sz="0" w:space="0" w:color="auto"/>
        <w:left w:val="none" w:sz="0" w:space="0" w:color="auto"/>
        <w:bottom w:val="none" w:sz="0" w:space="0" w:color="auto"/>
        <w:right w:val="none" w:sz="0" w:space="0" w:color="auto"/>
      </w:divBdr>
    </w:div>
    <w:div w:id="237250469">
      <w:bodyDiv w:val="1"/>
      <w:marLeft w:val="0"/>
      <w:marRight w:val="0"/>
      <w:marTop w:val="0"/>
      <w:marBottom w:val="0"/>
      <w:divBdr>
        <w:top w:val="none" w:sz="0" w:space="0" w:color="auto"/>
        <w:left w:val="none" w:sz="0" w:space="0" w:color="auto"/>
        <w:bottom w:val="none" w:sz="0" w:space="0" w:color="auto"/>
        <w:right w:val="none" w:sz="0" w:space="0" w:color="auto"/>
      </w:divBdr>
    </w:div>
    <w:div w:id="244656848">
      <w:bodyDiv w:val="1"/>
      <w:marLeft w:val="0"/>
      <w:marRight w:val="0"/>
      <w:marTop w:val="0"/>
      <w:marBottom w:val="0"/>
      <w:divBdr>
        <w:top w:val="none" w:sz="0" w:space="0" w:color="auto"/>
        <w:left w:val="none" w:sz="0" w:space="0" w:color="auto"/>
        <w:bottom w:val="none" w:sz="0" w:space="0" w:color="auto"/>
        <w:right w:val="none" w:sz="0" w:space="0" w:color="auto"/>
      </w:divBdr>
    </w:div>
    <w:div w:id="246157554">
      <w:bodyDiv w:val="1"/>
      <w:marLeft w:val="0"/>
      <w:marRight w:val="0"/>
      <w:marTop w:val="0"/>
      <w:marBottom w:val="0"/>
      <w:divBdr>
        <w:top w:val="none" w:sz="0" w:space="0" w:color="auto"/>
        <w:left w:val="none" w:sz="0" w:space="0" w:color="auto"/>
        <w:bottom w:val="none" w:sz="0" w:space="0" w:color="auto"/>
        <w:right w:val="none" w:sz="0" w:space="0" w:color="auto"/>
      </w:divBdr>
    </w:div>
    <w:div w:id="255289191">
      <w:bodyDiv w:val="1"/>
      <w:marLeft w:val="0"/>
      <w:marRight w:val="0"/>
      <w:marTop w:val="0"/>
      <w:marBottom w:val="0"/>
      <w:divBdr>
        <w:top w:val="none" w:sz="0" w:space="0" w:color="auto"/>
        <w:left w:val="none" w:sz="0" w:space="0" w:color="auto"/>
        <w:bottom w:val="none" w:sz="0" w:space="0" w:color="auto"/>
        <w:right w:val="none" w:sz="0" w:space="0" w:color="auto"/>
      </w:divBdr>
    </w:div>
    <w:div w:id="260069603">
      <w:bodyDiv w:val="1"/>
      <w:marLeft w:val="0"/>
      <w:marRight w:val="0"/>
      <w:marTop w:val="0"/>
      <w:marBottom w:val="0"/>
      <w:divBdr>
        <w:top w:val="none" w:sz="0" w:space="0" w:color="auto"/>
        <w:left w:val="none" w:sz="0" w:space="0" w:color="auto"/>
        <w:bottom w:val="none" w:sz="0" w:space="0" w:color="auto"/>
        <w:right w:val="none" w:sz="0" w:space="0" w:color="auto"/>
      </w:divBdr>
    </w:div>
    <w:div w:id="266356971">
      <w:bodyDiv w:val="1"/>
      <w:marLeft w:val="0"/>
      <w:marRight w:val="0"/>
      <w:marTop w:val="0"/>
      <w:marBottom w:val="0"/>
      <w:divBdr>
        <w:top w:val="none" w:sz="0" w:space="0" w:color="auto"/>
        <w:left w:val="none" w:sz="0" w:space="0" w:color="auto"/>
        <w:bottom w:val="none" w:sz="0" w:space="0" w:color="auto"/>
        <w:right w:val="none" w:sz="0" w:space="0" w:color="auto"/>
      </w:divBdr>
    </w:div>
    <w:div w:id="270672147">
      <w:bodyDiv w:val="1"/>
      <w:marLeft w:val="0"/>
      <w:marRight w:val="0"/>
      <w:marTop w:val="0"/>
      <w:marBottom w:val="0"/>
      <w:divBdr>
        <w:top w:val="none" w:sz="0" w:space="0" w:color="auto"/>
        <w:left w:val="none" w:sz="0" w:space="0" w:color="auto"/>
        <w:bottom w:val="none" w:sz="0" w:space="0" w:color="auto"/>
        <w:right w:val="none" w:sz="0" w:space="0" w:color="auto"/>
      </w:divBdr>
    </w:div>
    <w:div w:id="270742870">
      <w:bodyDiv w:val="1"/>
      <w:marLeft w:val="0"/>
      <w:marRight w:val="0"/>
      <w:marTop w:val="0"/>
      <w:marBottom w:val="0"/>
      <w:divBdr>
        <w:top w:val="none" w:sz="0" w:space="0" w:color="auto"/>
        <w:left w:val="none" w:sz="0" w:space="0" w:color="auto"/>
        <w:bottom w:val="none" w:sz="0" w:space="0" w:color="auto"/>
        <w:right w:val="none" w:sz="0" w:space="0" w:color="auto"/>
      </w:divBdr>
    </w:div>
    <w:div w:id="270748395">
      <w:bodyDiv w:val="1"/>
      <w:marLeft w:val="0"/>
      <w:marRight w:val="0"/>
      <w:marTop w:val="0"/>
      <w:marBottom w:val="0"/>
      <w:divBdr>
        <w:top w:val="none" w:sz="0" w:space="0" w:color="auto"/>
        <w:left w:val="none" w:sz="0" w:space="0" w:color="auto"/>
        <w:bottom w:val="none" w:sz="0" w:space="0" w:color="auto"/>
        <w:right w:val="none" w:sz="0" w:space="0" w:color="auto"/>
      </w:divBdr>
    </w:div>
    <w:div w:id="288707645">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02082921">
      <w:bodyDiv w:val="1"/>
      <w:marLeft w:val="0"/>
      <w:marRight w:val="0"/>
      <w:marTop w:val="0"/>
      <w:marBottom w:val="0"/>
      <w:divBdr>
        <w:top w:val="none" w:sz="0" w:space="0" w:color="auto"/>
        <w:left w:val="none" w:sz="0" w:space="0" w:color="auto"/>
        <w:bottom w:val="none" w:sz="0" w:space="0" w:color="auto"/>
        <w:right w:val="none" w:sz="0" w:space="0" w:color="auto"/>
      </w:divBdr>
    </w:div>
    <w:div w:id="303389097">
      <w:bodyDiv w:val="1"/>
      <w:marLeft w:val="0"/>
      <w:marRight w:val="0"/>
      <w:marTop w:val="0"/>
      <w:marBottom w:val="0"/>
      <w:divBdr>
        <w:top w:val="none" w:sz="0" w:space="0" w:color="auto"/>
        <w:left w:val="none" w:sz="0" w:space="0" w:color="auto"/>
        <w:bottom w:val="none" w:sz="0" w:space="0" w:color="auto"/>
        <w:right w:val="none" w:sz="0" w:space="0" w:color="auto"/>
      </w:divBdr>
    </w:div>
    <w:div w:id="303970243">
      <w:bodyDiv w:val="1"/>
      <w:marLeft w:val="0"/>
      <w:marRight w:val="0"/>
      <w:marTop w:val="0"/>
      <w:marBottom w:val="0"/>
      <w:divBdr>
        <w:top w:val="none" w:sz="0" w:space="0" w:color="auto"/>
        <w:left w:val="none" w:sz="0" w:space="0" w:color="auto"/>
        <w:bottom w:val="none" w:sz="0" w:space="0" w:color="auto"/>
        <w:right w:val="none" w:sz="0" w:space="0" w:color="auto"/>
      </w:divBdr>
    </w:div>
    <w:div w:id="316418285">
      <w:bodyDiv w:val="1"/>
      <w:marLeft w:val="0"/>
      <w:marRight w:val="0"/>
      <w:marTop w:val="0"/>
      <w:marBottom w:val="0"/>
      <w:divBdr>
        <w:top w:val="none" w:sz="0" w:space="0" w:color="auto"/>
        <w:left w:val="none" w:sz="0" w:space="0" w:color="auto"/>
        <w:bottom w:val="none" w:sz="0" w:space="0" w:color="auto"/>
        <w:right w:val="none" w:sz="0" w:space="0" w:color="auto"/>
      </w:divBdr>
    </w:div>
    <w:div w:id="320155604">
      <w:bodyDiv w:val="1"/>
      <w:marLeft w:val="0"/>
      <w:marRight w:val="0"/>
      <w:marTop w:val="0"/>
      <w:marBottom w:val="0"/>
      <w:divBdr>
        <w:top w:val="none" w:sz="0" w:space="0" w:color="auto"/>
        <w:left w:val="none" w:sz="0" w:space="0" w:color="auto"/>
        <w:bottom w:val="none" w:sz="0" w:space="0" w:color="auto"/>
        <w:right w:val="none" w:sz="0" w:space="0" w:color="auto"/>
      </w:divBdr>
    </w:div>
    <w:div w:id="324819956">
      <w:bodyDiv w:val="1"/>
      <w:marLeft w:val="0"/>
      <w:marRight w:val="0"/>
      <w:marTop w:val="0"/>
      <w:marBottom w:val="0"/>
      <w:divBdr>
        <w:top w:val="none" w:sz="0" w:space="0" w:color="auto"/>
        <w:left w:val="none" w:sz="0" w:space="0" w:color="auto"/>
        <w:bottom w:val="none" w:sz="0" w:space="0" w:color="auto"/>
        <w:right w:val="none" w:sz="0" w:space="0" w:color="auto"/>
      </w:divBdr>
    </w:div>
    <w:div w:id="337928881">
      <w:bodyDiv w:val="1"/>
      <w:marLeft w:val="0"/>
      <w:marRight w:val="0"/>
      <w:marTop w:val="0"/>
      <w:marBottom w:val="0"/>
      <w:divBdr>
        <w:top w:val="none" w:sz="0" w:space="0" w:color="auto"/>
        <w:left w:val="none" w:sz="0" w:space="0" w:color="auto"/>
        <w:bottom w:val="none" w:sz="0" w:space="0" w:color="auto"/>
        <w:right w:val="none" w:sz="0" w:space="0" w:color="auto"/>
      </w:divBdr>
    </w:div>
    <w:div w:id="345789405">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60740574">
      <w:bodyDiv w:val="1"/>
      <w:marLeft w:val="0"/>
      <w:marRight w:val="0"/>
      <w:marTop w:val="0"/>
      <w:marBottom w:val="0"/>
      <w:divBdr>
        <w:top w:val="none" w:sz="0" w:space="0" w:color="auto"/>
        <w:left w:val="none" w:sz="0" w:space="0" w:color="auto"/>
        <w:bottom w:val="none" w:sz="0" w:space="0" w:color="auto"/>
        <w:right w:val="none" w:sz="0" w:space="0" w:color="auto"/>
      </w:divBdr>
    </w:div>
    <w:div w:id="364411675">
      <w:bodyDiv w:val="1"/>
      <w:marLeft w:val="0"/>
      <w:marRight w:val="0"/>
      <w:marTop w:val="0"/>
      <w:marBottom w:val="0"/>
      <w:divBdr>
        <w:top w:val="none" w:sz="0" w:space="0" w:color="auto"/>
        <w:left w:val="none" w:sz="0" w:space="0" w:color="auto"/>
        <w:bottom w:val="none" w:sz="0" w:space="0" w:color="auto"/>
        <w:right w:val="none" w:sz="0" w:space="0" w:color="auto"/>
      </w:divBdr>
    </w:div>
    <w:div w:id="380204491">
      <w:bodyDiv w:val="1"/>
      <w:marLeft w:val="0"/>
      <w:marRight w:val="0"/>
      <w:marTop w:val="0"/>
      <w:marBottom w:val="0"/>
      <w:divBdr>
        <w:top w:val="none" w:sz="0" w:space="0" w:color="auto"/>
        <w:left w:val="none" w:sz="0" w:space="0" w:color="auto"/>
        <w:bottom w:val="none" w:sz="0" w:space="0" w:color="auto"/>
        <w:right w:val="none" w:sz="0" w:space="0" w:color="auto"/>
      </w:divBdr>
    </w:div>
    <w:div w:id="381633850">
      <w:bodyDiv w:val="1"/>
      <w:marLeft w:val="0"/>
      <w:marRight w:val="0"/>
      <w:marTop w:val="0"/>
      <w:marBottom w:val="0"/>
      <w:divBdr>
        <w:top w:val="none" w:sz="0" w:space="0" w:color="auto"/>
        <w:left w:val="none" w:sz="0" w:space="0" w:color="auto"/>
        <w:bottom w:val="none" w:sz="0" w:space="0" w:color="auto"/>
        <w:right w:val="none" w:sz="0" w:space="0" w:color="auto"/>
      </w:divBdr>
    </w:div>
    <w:div w:id="384916025">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395445024">
      <w:bodyDiv w:val="1"/>
      <w:marLeft w:val="0"/>
      <w:marRight w:val="0"/>
      <w:marTop w:val="0"/>
      <w:marBottom w:val="0"/>
      <w:divBdr>
        <w:top w:val="none" w:sz="0" w:space="0" w:color="auto"/>
        <w:left w:val="none" w:sz="0" w:space="0" w:color="auto"/>
        <w:bottom w:val="none" w:sz="0" w:space="0" w:color="auto"/>
        <w:right w:val="none" w:sz="0" w:space="0" w:color="auto"/>
      </w:divBdr>
    </w:div>
    <w:div w:id="400055656">
      <w:bodyDiv w:val="1"/>
      <w:marLeft w:val="0"/>
      <w:marRight w:val="0"/>
      <w:marTop w:val="0"/>
      <w:marBottom w:val="0"/>
      <w:divBdr>
        <w:top w:val="none" w:sz="0" w:space="0" w:color="auto"/>
        <w:left w:val="none" w:sz="0" w:space="0" w:color="auto"/>
        <w:bottom w:val="none" w:sz="0" w:space="0" w:color="auto"/>
        <w:right w:val="none" w:sz="0" w:space="0" w:color="auto"/>
      </w:divBdr>
    </w:div>
    <w:div w:id="414134644">
      <w:bodyDiv w:val="1"/>
      <w:marLeft w:val="0"/>
      <w:marRight w:val="0"/>
      <w:marTop w:val="0"/>
      <w:marBottom w:val="0"/>
      <w:divBdr>
        <w:top w:val="none" w:sz="0" w:space="0" w:color="auto"/>
        <w:left w:val="none" w:sz="0" w:space="0" w:color="auto"/>
        <w:bottom w:val="none" w:sz="0" w:space="0" w:color="auto"/>
        <w:right w:val="none" w:sz="0" w:space="0" w:color="auto"/>
      </w:divBdr>
    </w:div>
    <w:div w:id="435250206">
      <w:bodyDiv w:val="1"/>
      <w:marLeft w:val="0"/>
      <w:marRight w:val="0"/>
      <w:marTop w:val="0"/>
      <w:marBottom w:val="0"/>
      <w:divBdr>
        <w:top w:val="none" w:sz="0" w:space="0" w:color="auto"/>
        <w:left w:val="none" w:sz="0" w:space="0" w:color="auto"/>
        <w:bottom w:val="none" w:sz="0" w:space="0" w:color="auto"/>
        <w:right w:val="none" w:sz="0" w:space="0" w:color="auto"/>
      </w:divBdr>
    </w:div>
    <w:div w:id="435830891">
      <w:bodyDiv w:val="1"/>
      <w:marLeft w:val="0"/>
      <w:marRight w:val="0"/>
      <w:marTop w:val="0"/>
      <w:marBottom w:val="0"/>
      <w:divBdr>
        <w:top w:val="none" w:sz="0" w:space="0" w:color="auto"/>
        <w:left w:val="none" w:sz="0" w:space="0" w:color="auto"/>
        <w:bottom w:val="none" w:sz="0" w:space="0" w:color="auto"/>
        <w:right w:val="none" w:sz="0" w:space="0" w:color="auto"/>
      </w:divBdr>
    </w:div>
    <w:div w:id="439643930">
      <w:bodyDiv w:val="1"/>
      <w:marLeft w:val="0"/>
      <w:marRight w:val="0"/>
      <w:marTop w:val="0"/>
      <w:marBottom w:val="0"/>
      <w:divBdr>
        <w:top w:val="none" w:sz="0" w:space="0" w:color="auto"/>
        <w:left w:val="none" w:sz="0" w:space="0" w:color="auto"/>
        <w:bottom w:val="none" w:sz="0" w:space="0" w:color="auto"/>
        <w:right w:val="none" w:sz="0" w:space="0" w:color="auto"/>
      </w:divBdr>
    </w:div>
    <w:div w:id="442845983">
      <w:bodyDiv w:val="1"/>
      <w:marLeft w:val="0"/>
      <w:marRight w:val="0"/>
      <w:marTop w:val="0"/>
      <w:marBottom w:val="0"/>
      <w:divBdr>
        <w:top w:val="none" w:sz="0" w:space="0" w:color="auto"/>
        <w:left w:val="none" w:sz="0" w:space="0" w:color="auto"/>
        <w:bottom w:val="none" w:sz="0" w:space="0" w:color="auto"/>
        <w:right w:val="none" w:sz="0" w:space="0" w:color="auto"/>
      </w:divBdr>
    </w:div>
    <w:div w:id="446701288">
      <w:bodyDiv w:val="1"/>
      <w:marLeft w:val="0"/>
      <w:marRight w:val="0"/>
      <w:marTop w:val="0"/>
      <w:marBottom w:val="0"/>
      <w:divBdr>
        <w:top w:val="none" w:sz="0" w:space="0" w:color="auto"/>
        <w:left w:val="none" w:sz="0" w:space="0" w:color="auto"/>
        <w:bottom w:val="none" w:sz="0" w:space="0" w:color="auto"/>
        <w:right w:val="none" w:sz="0" w:space="0" w:color="auto"/>
      </w:divBdr>
    </w:div>
    <w:div w:id="453141813">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468867515">
      <w:bodyDiv w:val="1"/>
      <w:marLeft w:val="0"/>
      <w:marRight w:val="0"/>
      <w:marTop w:val="0"/>
      <w:marBottom w:val="0"/>
      <w:divBdr>
        <w:top w:val="none" w:sz="0" w:space="0" w:color="auto"/>
        <w:left w:val="none" w:sz="0" w:space="0" w:color="auto"/>
        <w:bottom w:val="none" w:sz="0" w:space="0" w:color="auto"/>
        <w:right w:val="none" w:sz="0" w:space="0" w:color="auto"/>
      </w:divBdr>
    </w:div>
    <w:div w:id="472449102">
      <w:bodyDiv w:val="1"/>
      <w:marLeft w:val="0"/>
      <w:marRight w:val="0"/>
      <w:marTop w:val="0"/>
      <w:marBottom w:val="0"/>
      <w:divBdr>
        <w:top w:val="none" w:sz="0" w:space="0" w:color="auto"/>
        <w:left w:val="none" w:sz="0" w:space="0" w:color="auto"/>
        <w:bottom w:val="none" w:sz="0" w:space="0" w:color="auto"/>
        <w:right w:val="none" w:sz="0" w:space="0" w:color="auto"/>
      </w:divBdr>
    </w:div>
    <w:div w:id="475802466">
      <w:bodyDiv w:val="1"/>
      <w:marLeft w:val="0"/>
      <w:marRight w:val="0"/>
      <w:marTop w:val="0"/>
      <w:marBottom w:val="0"/>
      <w:divBdr>
        <w:top w:val="none" w:sz="0" w:space="0" w:color="auto"/>
        <w:left w:val="none" w:sz="0" w:space="0" w:color="auto"/>
        <w:bottom w:val="none" w:sz="0" w:space="0" w:color="auto"/>
        <w:right w:val="none" w:sz="0" w:space="0" w:color="auto"/>
      </w:divBdr>
    </w:div>
    <w:div w:id="486945854">
      <w:bodyDiv w:val="1"/>
      <w:marLeft w:val="0"/>
      <w:marRight w:val="0"/>
      <w:marTop w:val="0"/>
      <w:marBottom w:val="0"/>
      <w:divBdr>
        <w:top w:val="none" w:sz="0" w:space="0" w:color="auto"/>
        <w:left w:val="none" w:sz="0" w:space="0" w:color="auto"/>
        <w:bottom w:val="none" w:sz="0" w:space="0" w:color="auto"/>
        <w:right w:val="none" w:sz="0" w:space="0" w:color="auto"/>
      </w:divBdr>
    </w:div>
    <w:div w:id="490174859">
      <w:bodyDiv w:val="1"/>
      <w:marLeft w:val="0"/>
      <w:marRight w:val="0"/>
      <w:marTop w:val="0"/>
      <w:marBottom w:val="0"/>
      <w:divBdr>
        <w:top w:val="none" w:sz="0" w:space="0" w:color="auto"/>
        <w:left w:val="none" w:sz="0" w:space="0" w:color="auto"/>
        <w:bottom w:val="none" w:sz="0" w:space="0" w:color="auto"/>
        <w:right w:val="none" w:sz="0" w:space="0" w:color="auto"/>
      </w:divBdr>
    </w:div>
    <w:div w:id="502668479">
      <w:bodyDiv w:val="1"/>
      <w:marLeft w:val="0"/>
      <w:marRight w:val="0"/>
      <w:marTop w:val="0"/>
      <w:marBottom w:val="0"/>
      <w:divBdr>
        <w:top w:val="none" w:sz="0" w:space="0" w:color="auto"/>
        <w:left w:val="none" w:sz="0" w:space="0" w:color="auto"/>
        <w:bottom w:val="none" w:sz="0" w:space="0" w:color="auto"/>
        <w:right w:val="none" w:sz="0" w:space="0" w:color="auto"/>
      </w:divBdr>
    </w:div>
    <w:div w:id="504513841">
      <w:bodyDiv w:val="1"/>
      <w:marLeft w:val="0"/>
      <w:marRight w:val="0"/>
      <w:marTop w:val="0"/>
      <w:marBottom w:val="0"/>
      <w:divBdr>
        <w:top w:val="none" w:sz="0" w:space="0" w:color="auto"/>
        <w:left w:val="none" w:sz="0" w:space="0" w:color="auto"/>
        <w:bottom w:val="none" w:sz="0" w:space="0" w:color="auto"/>
        <w:right w:val="none" w:sz="0" w:space="0" w:color="auto"/>
      </w:divBdr>
    </w:div>
    <w:div w:id="509291996">
      <w:bodyDiv w:val="1"/>
      <w:marLeft w:val="0"/>
      <w:marRight w:val="0"/>
      <w:marTop w:val="0"/>
      <w:marBottom w:val="0"/>
      <w:divBdr>
        <w:top w:val="none" w:sz="0" w:space="0" w:color="auto"/>
        <w:left w:val="none" w:sz="0" w:space="0" w:color="auto"/>
        <w:bottom w:val="none" w:sz="0" w:space="0" w:color="auto"/>
        <w:right w:val="none" w:sz="0" w:space="0" w:color="auto"/>
      </w:divBdr>
    </w:div>
    <w:div w:id="511183013">
      <w:bodyDiv w:val="1"/>
      <w:marLeft w:val="0"/>
      <w:marRight w:val="0"/>
      <w:marTop w:val="0"/>
      <w:marBottom w:val="0"/>
      <w:divBdr>
        <w:top w:val="none" w:sz="0" w:space="0" w:color="auto"/>
        <w:left w:val="none" w:sz="0" w:space="0" w:color="auto"/>
        <w:bottom w:val="none" w:sz="0" w:space="0" w:color="auto"/>
        <w:right w:val="none" w:sz="0" w:space="0" w:color="auto"/>
      </w:divBdr>
    </w:div>
    <w:div w:id="511265447">
      <w:bodyDiv w:val="1"/>
      <w:marLeft w:val="0"/>
      <w:marRight w:val="0"/>
      <w:marTop w:val="0"/>
      <w:marBottom w:val="0"/>
      <w:divBdr>
        <w:top w:val="none" w:sz="0" w:space="0" w:color="auto"/>
        <w:left w:val="none" w:sz="0" w:space="0" w:color="auto"/>
        <w:bottom w:val="none" w:sz="0" w:space="0" w:color="auto"/>
        <w:right w:val="none" w:sz="0" w:space="0" w:color="auto"/>
      </w:divBdr>
    </w:div>
    <w:div w:id="513308278">
      <w:bodyDiv w:val="1"/>
      <w:marLeft w:val="0"/>
      <w:marRight w:val="0"/>
      <w:marTop w:val="0"/>
      <w:marBottom w:val="0"/>
      <w:divBdr>
        <w:top w:val="none" w:sz="0" w:space="0" w:color="auto"/>
        <w:left w:val="none" w:sz="0" w:space="0" w:color="auto"/>
        <w:bottom w:val="none" w:sz="0" w:space="0" w:color="auto"/>
        <w:right w:val="none" w:sz="0" w:space="0" w:color="auto"/>
      </w:divBdr>
    </w:div>
    <w:div w:id="518664906">
      <w:bodyDiv w:val="1"/>
      <w:marLeft w:val="0"/>
      <w:marRight w:val="0"/>
      <w:marTop w:val="0"/>
      <w:marBottom w:val="0"/>
      <w:divBdr>
        <w:top w:val="none" w:sz="0" w:space="0" w:color="auto"/>
        <w:left w:val="none" w:sz="0" w:space="0" w:color="auto"/>
        <w:bottom w:val="none" w:sz="0" w:space="0" w:color="auto"/>
        <w:right w:val="none" w:sz="0" w:space="0" w:color="auto"/>
      </w:divBdr>
    </w:div>
    <w:div w:id="526061688">
      <w:bodyDiv w:val="1"/>
      <w:marLeft w:val="0"/>
      <w:marRight w:val="0"/>
      <w:marTop w:val="0"/>
      <w:marBottom w:val="0"/>
      <w:divBdr>
        <w:top w:val="none" w:sz="0" w:space="0" w:color="auto"/>
        <w:left w:val="none" w:sz="0" w:space="0" w:color="auto"/>
        <w:bottom w:val="none" w:sz="0" w:space="0" w:color="auto"/>
        <w:right w:val="none" w:sz="0" w:space="0" w:color="auto"/>
      </w:divBdr>
    </w:div>
    <w:div w:id="535583221">
      <w:bodyDiv w:val="1"/>
      <w:marLeft w:val="0"/>
      <w:marRight w:val="0"/>
      <w:marTop w:val="0"/>
      <w:marBottom w:val="0"/>
      <w:divBdr>
        <w:top w:val="none" w:sz="0" w:space="0" w:color="auto"/>
        <w:left w:val="none" w:sz="0" w:space="0" w:color="auto"/>
        <w:bottom w:val="none" w:sz="0" w:space="0" w:color="auto"/>
        <w:right w:val="none" w:sz="0" w:space="0" w:color="auto"/>
      </w:divBdr>
    </w:div>
    <w:div w:id="540018392">
      <w:bodyDiv w:val="1"/>
      <w:marLeft w:val="0"/>
      <w:marRight w:val="0"/>
      <w:marTop w:val="0"/>
      <w:marBottom w:val="0"/>
      <w:divBdr>
        <w:top w:val="none" w:sz="0" w:space="0" w:color="auto"/>
        <w:left w:val="none" w:sz="0" w:space="0" w:color="auto"/>
        <w:bottom w:val="none" w:sz="0" w:space="0" w:color="auto"/>
        <w:right w:val="none" w:sz="0" w:space="0" w:color="auto"/>
      </w:divBdr>
    </w:div>
    <w:div w:id="574358342">
      <w:bodyDiv w:val="1"/>
      <w:marLeft w:val="0"/>
      <w:marRight w:val="0"/>
      <w:marTop w:val="0"/>
      <w:marBottom w:val="0"/>
      <w:divBdr>
        <w:top w:val="none" w:sz="0" w:space="0" w:color="auto"/>
        <w:left w:val="none" w:sz="0" w:space="0" w:color="auto"/>
        <w:bottom w:val="none" w:sz="0" w:space="0" w:color="auto"/>
        <w:right w:val="none" w:sz="0" w:space="0" w:color="auto"/>
      </w:divBdr>
    </w:div>
    <w:div w:id="583296123">
      <w:bodyDiv w:val="1"/>
      <w:marLeft w:val="0"/>
      <w:marRight w:val="0"/>
      <w:marTop w:val="0"/>
      <w:marBottom w:val="0"/>
      <w:divBdr>
        <w:top w:val="none" w:sz="0" w:space="0" w:color="auto"/>
        <w:left w:val="none" w:sz="0" w:space="0" w:color="auto"/>
        <w:bottom w:val="none" w:sz="0" w:space="0" w:color="auto"/>
        <w:right w:val="none" w:sz="0" w:space="0" w:color="auto"/>
      </w:divBdr>
    </w:div>
    <w:div w:id="590967040">
      <w:bodyDiv w:val="1"/>
      <w:marLeft w:val="0"/>
      <w:marRight w:val="0"/>
      <w:marTop w:val="0"/>
      <w:marBottom w:val="0"/>
      <w:divBdr>
        <w:top w:val="none" w:sz="0" w:space="0" w:color="auto"/>
        <w:left w:val="none" w:sz="0" w:space="0" w:color="auto"/>
        <w:bottom w:val="none" w:sz="0" w:space="0" w:color="auto"/>
        <w:right w:val="none" w:sz="0" w:space="0" w:color="auto"/>
      </w:divBdr>
    </w:div>
    <w:div w:id="596400183">
      <w:bodyDiv w:val="1"/>
      <w:marLeft w:val="0"/>
      <w:marRight w:val="0"/>
      <w:marTop w:val="0"/>
      <w:marBottom w:val="0"/>
      <w:divBdr>
        <w:top w:val="none" w:sz="0" w:space="0" w:color="auto"/>
        <w:left w:val="none" w:sz="0" w:space="0" w:color="auto"/>
        <w:bottom w:val="none" w:sz="0" w:space="0" w:color="auto"/>
        <w:right w:val="none" w:sz="0" w:space="0" w:color="auto"/>
      </w:divBdr>
    </w:div>
    <w:div w:id="601494306">
      <w:bodyDiv w:val="1"/>
      <w:marLeft w:val="0"/>
      <w:marRight w:val="0"/>
      <w:marTop w:val="0"/>
      <w:marBottom w:val="0"/>
      <w:divBdr>
        <w:top w:val="none" w:sz="0" w:space="0" w:color="auto"/>
        <w:left w:val="none" w:sz="0" w:space="0" w:color="auto"/>
        <w:bottom w:val="none" w:sz="0" w:space="0" w:color="auto"/>
        <w:right w:val="none" w:sz="0" w:space="0" w:color="auto"/>
      </w:divBdr>
    </w:div>
    <w:div w:id="603808975">
      <w:bodyDiv w:val="1"/>
      <w:marLeft w:val="0"/>
      <w:marRight w:val="0"/>
      <w:marTop w:val="0"/>
      <w:marBottom w:val="0"/>
      <w:divBdr>
        <w:top w:val="none" w:sz="0" w:space="0" w:color="auto"/>
        <w:left w:val="none" w:sz="0" w:space="0" w:color="auto"/>
        <w:bottom w:val="none" w:sz="0" w:space="0" w:color="auto"/>
        <w:right w:val="none" w:sz="0" w:space="0" w:color="auto"/>
      </w:divBdr>
    </w:div>
    <w:div w:id="606428264">
      <w:bodyDiv w:val="1"/>
      <w:marLeft w:val="0"/>
      <w:marRight w:val="0"/>
      <w:marTop w:val="0"/>
      <w:marBottom w:val="0"/>
      <w:divBdr>
        <w:top w:val="none" w:sz="0" w:space="0" w:color="auto"/>
        <w:left w:val="none" w:sz="0" w:space="0" w:color="auto"/>
        <w:bottom w:val="none" w:sz="0" w:space="0" w:color="auto"/>
        <w:right w:val="none" w:sz="0" w:space="0" w:color="auto"/>
      </w:divBdr>
    </w:div>
    <w:div w:id="609053162">
      <w:bodyDiv w:val="1"/>
      <w:marLeft w:val="0"/>
      <w:marRight w:val="0"/>
      <w:marTop w:val="0"/>
      <w:marBottom w:val="0"/>
      <w:divBdr>
        <w:top w:val="none" w:sz="0" w:space="0" w:color="auto"/>
        <w:left w:val="none" w:sz="0" w:space="0" w:color="auto"/>
        <w:bottom w:val="none" w:sz="0" w:space="0" w:color="auto"/>
        <w:right w:val="none" w:sz="0" w:space="0" w:color="auto"/>
      </w:divBdr>
    </w:div>
    <w:div w:id="614092560">
      <w:bodyDiv w:val="1"/>
      <w:marLeft w:val="0"/>
      <w:marRight w:val="0"/>
      <w:marTop w:val="0"/>
      <w:marBottom w:val="0"/>
      <w:divBdr>
        <w:top w:val="none" w:sz="0" w:space="0" w:color="auto"/>
        <w:left w:val="none" w:sz="0" w:space="0" w:color="auto"/>
        <w:bottom w:val="none" w:sz="0" w:space="0" w:color="auto"/>
        <w:right w:val="none" w:sz="0" w:space="0" w:color="auto"/>
      </w:divBdr>
    </w:div>
    <w:div w:id="620918454">
      <w:bodyDiv w:val="1"/>
      <w:marLeft w:val="0"/>
      <w:marRight w:val="0"/>
      <w:marTop w:val="0"/>
      <w:marBottom w:val="0"/>
      <w:divBdr>
        <w:top w:val="none" w:sz="0" w:space="0" w:color="auto"/>
        <w:left w:val="none" w:sz="0" w:space="0" w:color="auto"/>
        <w:bottom w:val="none" w:sz="0" w:space="0" w:color="auto"/>
        <w:right w:val="none" w:sz="0" w:space="0" w:color="auto"/>
      </w:divBdr>
    </w:div>
    <w:div w:id="631445070">
      <w:bodyDiv w:val="1"/>
      <w:marLeft w:val="0"/>
      <w:marRight w:val="0"/>
      <w:marTop w:val="0"/>
      <w:marBottom w:val="0"/>
      <w:divBdr>
        <w:top w:val="none" w:sz="0" w:space="0" w:color="auto"/>
        <w:left w:val="none" w:sz="0" w:space="0" w:color="auto"/>
        <w:bottom w:val="none" w:sz="0" w:space="0" w:color="auto"/>
        <w:right w:val="none" w:sz="0" w:space="0" w:color="auto"/>
      </w:divBdr>
    </w:div>
    <w:div w:id="654072711">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70062496">
      <w:bodyDiv w:val="1"/>
      <w:marLeft w:val="0"/>
      <w:marRight w:val="0"/>
      <w:marTop w:val="0"/>
      <w:marBottom w:val="0"/>
      <w:divBdr>
        <w:top w:val="none" w:sz="0" w:space="0" w:color="auto"/>
        <w:left w:val="none" w:sz="0" w:space="0" w:color="auto"/>
        <w:bottom w:val="none" w:sz="0" w:space="0" w:color="auto"/>
        <w:right w:val="none" w:sz="0" w:space="0" w:color="auto"/>
      </w:divBdr>
    </w:div>
    <w:div w:id="671026704">
      <w:bodyDiv w:val="1"/>
      <w:marLeft w:val="0"/>
      <w:marRight w:val="0"/>
      <w:marTop w:val="0"/>
      <w:marBottom w:val="0"/>
      <w:divBdr>
        <w:top w:val="none" w:sz="0" w:space="0" w:color="auto"/>
        <w:left w:val="none" w:sz="0" w:space="0" w:color="auto"/>
        <w:bottom w:val="none" w:sz="0" w:space="0" w:color="auto"/>
        <w:right w:val="none" w:sz="0" w:space="0" w:color="auto"/>
      </w:divBdr>
    </w:div>
    <w:div w:id="675309918">
      <w:bodyDiv w:val="1"/>
      <w:marLeft w:val="0"/>
      <w:marRight w:val="0"/>
      <w:marTop w:val="0"/>
      <w:marBottom w:val="0"/>
      <w:divBdr>
        <w:top w:val="none" w:sz="0" w:space="0" w:color="auto"/>
        <w:left w:val="none" w:sz="0" w:space="0" w:color="auto"/>
        <w:bottom w:val="none" w:sz="0" w:space="0" w:color="auto"/>
        <w:right w:val="none" w:sz="0" w:space="0" w:color="auto"/>
      </w:divBdr>
    </w:div>
    <w:div w:id="676231213">
      <w:bodyDiv w:val="1"/>
      <w:marLeft w:val="0"/>
      <w:marRight w:val="0"/>
      <w:marTop w:val="0"/>
      <w:marBottom w:val="0"/>
      <w:divBdr>
        <w:top w:val="none" w:sz="0" w:space="0" w:color="auto"/>
        <w:left w:val="none" w:sz="0" w:space="0" w:color="auto"/>
        <w:bottom w:val="none" w:sz="0" w:space="0" w:color="auto"/>
        <w:right w:val="none" w:sz="0" w:space="0" w:color="auto"/>
      </w:divBdr>
    </w:div>
    <w:div w:id="679352892">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687414318">
      <w:bodyDiv w:val="1"/>
      <w:marLeft w:val="0"/>
      <w:marRight w:val="0"/>
      <w:marTop w:val="0"/>
      <w:marBottom w:val="0"/>
      <w:divBdr>
        <w:top w:val="none" w:sz="0" w:space="0" w:color="auto"/>
        <w:left w:val="none" w:sz="0" w:space="0" w:color="auto"/>
        <w:bottom w:val="none" w:sz="0" w:space="0" w:color="auto"/>
        <w:right w:val="none" w:sz="0" w:space="0" w:color="auto"/>
      </w:divBdr>
    </w:div>
    <w:div w:id="701055235">
      <w:bodyDiv w:val="1"/>
      <w:marLeft w:val="0"/>
      <w:marRight w:val="0"/>
      <w:marTop w:val="0"/>
      <w:marBottom w:val="0"/>
      <w:divBdr>
        <w:top w:val="none" w:sz="0" w:space="0" w:color="auto"/>
        <w:left w:val="none" w:sz="0" w:space="0" w:color="auto"/>
        <w:bottom w:val="none" w:sz="0" w:space="0" w:color="auto"/>
        <w:right w:val="none" w:sz="0" w:space="0" w:color="auto"/>
      </w:divBdr>
    </w:div>
    <w:div w:id="703676171">
      <w:bodyDiv w:val="1"/>
      <w:marLeft w:val="0"/>
      <w:marRight w:val="0"/>
      <w:marTop w:val="0"/>
      <w:marBottom w:val="0"/>
      <w:divBdr>
        <w:top w:val="none" w:sz="0" w:space="0" w:color="auto"/>
        <w:left w:val="none" w:sz="0" w:space="0" w:color="auto"/>
        <w:bottom w:val="none" w:sz="0" w:space="0" w:color="auto"/>
        <w:right w:val="none" w:sz="0" w:space="0" w:color="auto"/>
      </w:divBdr>
    </w:div>
    <w:div w:id="709308200">
      <w:bodyDiv w:val="1"/>
      <w:marLeft w:val="0"/>
      <w:marRight w:val="0"/>
      <w:marTop w:val="0"/>
      <w:marBottom w:val="0"/>
      <w:divBdr>
        <w:top w:val="none" w:sz="0" w:space="0" w:color="auto"/>
        <w:left w:val="none" w:sz="0" w:space="0" w:color="auto"/>
        <w:bottom w:val="none" w:sz="0" w:space="0" w:color="auto"/>
        <w:right w:val="none" w:sz="0" w:space="0" w:color="auto"/>
      </w:divBdr>
    </w:div>
    <w:div w:id="712391063">
      <w:bodyDiv w:val="1"/>
      <w:marLeft w:val="0"/>
      <w:marRight w:val="0"/>
      <w:marTop w:val="0"/>
      <w:marBottom w:val="0"/>
      <w:divBdr>
        <w:top w:val="none" w:sz="0" w:space="0" w:color="auto"/>
        <w:left w:val="none" w:sz="0" w:space="0" w:color="auto"/>
        <w:bottom w:val="none" w:sz="0" w:space="0" w:color="auto"/>
        <w:right w:val="none" w:sz="0" w:space="0" w:color="auto"/>
      </w:divBdr>
    </w:div>
    <w:div w:id="721637728">
      <w:bodyDiv w:val="1"/>
      <w:marLeft w:val="0"/>
      <w:marRight w:val="0"/>
      <w:marTop w:val="0"/>
      <w:marBottom w:val="0"/>
      <w:divBdr>
        <w:top w:val="none" w:sz="0" w:space="0" w:color="auto"/>
        <w:left w:val="none" w:sz="0" w:space="0" w:color="auto"/>
        <w:bottom w:val="none" w:sz="0" w:space="0" w:color="auto"/>
        <w:right w:val="none" w:sz="0" w:space="0" w:color="auto"/>
      </w:divBdr>
    </w:div>
    <w:div w:id="727581053">
      <w:bodyDiv w:val="1"/>
      <w:marLeft w:val="0"/>
      <w:marRight w:val="0"/>
      <w:marTop w:val="0"/>
      <w:marBottom w:val="0"/>
      <w:divBdr>
        <w:top w:val="none" w:sz="0" w:space="0" w:color="auto"/>
        <w:left w:val="none" w:sz="0" w:space="0" w:color="auto"/>
        <w:bottom w:val="none" w:sz="0" w:space="0" w:color="auto"/>
        <w:right w:val="none" w:sz="0" w:space="0" w:color="auto"/>
      </w:divBdr>
    </w:div>
    <w:div w:id="730735188">
      <w:bodyDiv w:val="1"/>
      <w:marLeft w:val="0"/>
      <w:marRight w:val="0"/>
      <w:marTop w:val="0"/>
      <w:marBottom w:val="0"/>
      <w:divBdr>
        <w:top w:val="none" w:sz="0" w:space="0" w:color="auto"/>
        <w:left w:val="none" w:sz="0" w:space="0" w:color="auto"/>
        <w:bottom w:val="none" w:sz="0" w:space="0" w:color="auto"/>
        <w:right w:val="none" w:sz="0" w:space="0" w:color="auto"/>
      </w:divBdr>
    </w:div>
    <w:div w:id="746420707">
      <w:bodyDiv w:val="1"/>
      <w:marLeft w:val="0"/>
      <w:marRight w:val="0"/>
      <w:marTop w:val="0"/>
      <w:marBottom w:val="0"/>
      <w:divBdr>
        <w:top w:val="none" w:sz="0" w:space="0" w:color="auto"/>
        <w:left w:val="none" w:sz="0" w:space="0" w:color="auto"/>
        <w:bottom w:val="none" w:sz="0" w:space="0" w:color="auto"/>
        <w:right w:val="none" w:sz="0" w:space="0" w:color="auto"/>
      </w:divBdr>
    </w:div>
    <w:div w:id="746731078">
      <w:bodyDiv w:val="1"/>
      <w:marLeft w:val="0"/>
      <w:marRight w:val="0"/>
      <w:marTop w:val="0"/>
      <w:marBottom w:val="0"/>
      <w:divBdr>
        <w:top w:val="none" w:sz="0" w:space="0" w:color="auto"/>
        <w:left w:val="none" w:sz="0" w:space="0" w:color="auto"/>
        <w:bottom w:val="none" w:sz="0" w:space="0" w:color="auto"/>
        <w:right w:val="none" w:sz="0" w:space="0" w:color="auto"/>
      </w:divBdr>
    </w:div>
    <w:div w:id="776295173">
      <w:bodyDiv w:val="1"/>
      <w:marLeft w:val="0"/>
      <w:marRight w:val="0"/>
      <w:marTop w:val="0"/>
      <w:marBottom w:val="0"/>
      <w:divBdr>
        <w:top w:val="none" w:sz="0" w:space="0" w:color="auto"/>
        <w:left w:val="none" w:sz="0" w:space="0" w:color="auto"/>
        <w:bottom w:val="none" w:sz="0" w:space="0" w:color="auto"/>
        <w:right w:val="none" w:sz="0" w:space="0" w:color="auto"/>
      </w:divBdr>
    </w:div>
    <w:div w:id="780298253">
      <w:bodyDiv w:val="1"/>
      <w:marLeft w:val="0"/>
      <w:marRight w:val="0"/>
      <w:marTop w:val="0"/>
      <w:marBottom w:val="0"/>
      <w:divBdr>
        <w:top w:val="none" w:sz="0" w:space="0" w:color="auto"/>
        <w:left w:val="none" w:sz="0" w:space="0" w:color="auto"/>
        <w:bottom w:val="none" w:sz="0" w:space="0" w:color="auto"/>
        <w:right w:val="none" w:sz="0" w:space="0" w:color="auto"/>
      </w:divBdr>
    </w:div>
    <w:div w:id="782000061">
      <w:bodyDiv w:val="1"/>
      <w:marLeft w:val="0"/>
      <w:marRight w:val="0"/>
      <w:marTop w:val="0"/>
      <w:marBottom w:val="0"/>
      <w:divBdr>
        <w:top w:val="none" w:sz="0" w:space="0" w:color="auto"/>
        <w:left w:val="none" w:sz="0" w:space="0" w:color="auto"/>
        <w:bottom w:val="none" w:sz="0" w:space="0" w:color="auto"/>
        <w:right w:val="none" w:sz="0" w:space="0" w:color="auto"/>
      </w:divBdr>
    </w:div>
    <w:div w:id="788668326">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793062546">
      <w:bodyDiv w:val="1"/>
      <w:marLeft w:val="0"/>
      <w:marRight w:val="0"/>
      <w:marTop w:val="0"/>
      <w:marBottom w:val="0"/>
      <w:divBdr>
        <w:top w:val="none" w:sz="0" w:space="0" w:color="auto"/>
        <w:left w:val="none" w:sz="0" w:space="0" w:color="auto"/>
        <w:bottom w:val="none" w:sz="0" w:space="0" w:color="auto"/>
        <w:right w:val="none" w:sz="0" w:space="0" w:color="auto"/>
      </w:divBdr>
    </w:div>
    <w:div w:id="796145885">
      <w:bodyDiv w:val="1"/>
      <w:marLeft w:val="0"/>
      <w:marRight w:val="0"/>
      <w:marTop w:val="0"/>
      <w:marBottom w:val="0"/>
      <w:divBdr>
        <w:top w:val="none" w:sz="0" w:space="0" w:color="auto"/>
        <w:left w:val="none" w:sz="0" w:space="0" w:color="auto"/>
        <w:bottom w:val="none" w:sz="0" w:space="0" w:color="auto"/>
        <w:right w:val="none" w:sz="0" w:space="0" w:color="auto"/>
      </w:divBdr>
    </w:div>
    <w:div w:id="797723607">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807362323">
      <w:bodyDiv w:val="1"/>
      <w:marLeft w:val="0"/>
      <w:marRight w:val="0"/>
      <w:marTop w:val="0"/>
      <w:marBottom w:val="0"/>
      <w:divBdr>
        <w:top w:val="none" w:sz="0" w:space="0" w:color="auto"/>
        <w:left w:val="none" w:sz="0" w:space="0" w:color="auto"/>
        <w:bottom w:val="none" w:sz="0" w:space="0" w:color="auto"/>
        <w:right w:val="none" w:sz="0" w:space="0" w:color="auto"/>
      </w:divBdr>
    </w:div>
    <w:div w:id="808863456">
      <w:bodyDiv w:val="1"/>
      <w:marLeft w:val="0"/>
      <w:marRight w:val="0"/>
      <w:marTop w:val="0"/>
      <w:marBottom w:val="0"/>
      <w:divBdr>
        <w:top w:val="none" w:sz="0" w:space="0" w:color="auto"/>
        <w:left w:val="none" w:sz="0" w:space="0" w:color="auto"/>
        <w:bottom w:val="none" w:sz="0" w:space="0" w:color="auto"/>
        <w:right w:val="none" w:sz="0" w:space="0" w:color="auto"/>
      </w:divBdr>
    </w:div>
    <w:div w:id="816144702">
      <w:bodyDiv w:val="1"/>
      <w:marLeft w:val="0"/>
      <w:marRight w:val="0"/>
      <w:marTop w:val="0"/>
      <w:marBottom w:val="0"/>
      <w:divBdr>
        <w:top w:val="none" w:sz="0" w:space="0" w:color="auto"/>
        <w:left w:val="none" w:sz="0" w:space="0" w:color="auto"/>
        <w:bottom w:val="none" w:sz="0" w:space="0" w:color="auto"/>
        <w:right w:val="none" w:sz="0" w:space="0" w:color="auto"/>
      </w:divBdr>
    </w:div>
    <w:div w:id="824012461">
      <w:bodyDiv w:val="1"/>
      <w:marLeft w:val="0"/>
      <w:marRight w:val="0"/>
      <w:marTop w:val="0"/>
      <w:marBottom w:val="0"/>
      <w:divBdr>
        <w:top w:val="none" w:sz="0" w:space="0" w:color="auto"/>
        <w:left w:val="none" w:sz="0" w:space="0" w:color="auto"/>
        <w:bottom w:val="none" w:sz="0" w:space="0" w:color="auto"/>
        <w:right w:val="none" w:sz="0" w:space="0" w:color="auto"/>
      </w:divBdr>
    </w:div>
    <w:div w:id="826673604">
      <w:bodyDiv w:val="1"/>
      <w:marLeft w:val="0"/>
      <w:marRight w:val="0"/>
      <w:marTop w:val="0"/>
      <w:marBottom w:val="0"/>
      <w:divBdr>
        <w:top w:val="none" w:sz="0" w:space="0" w:color="auto"/>
        <w:left w:val="none" w:sz="0" w:space="0" w:color="auto"/>
        <w:bottom w:val="none" w:sz="0" w:space="0" w:color="auto"/>
        <w:right w:val="none" w:sz="0" w:space="0" w:color="auto"/>
      </w:divBdr>
    </w:div>
    <w:div w:id="834419953">
      <w:bodyDiv w:val="1"/>
      <w:marLeft w:val="0"/>
      <w:marRight w:val="0"/>
      <w:marTop w:val="0"/>
      <w:marBottom w:val="0"/>
      <w:divBdr>
        <w:top w:val="none" w:sz="0" w:space="0" w:color="auto"/>
        <w:left w:val="none" w:sz="0" w:space="0" w:color="auto"/>
        <w:bottom w:val="none" w:sz="0" w:space="0" w:color="auto"/>
        <w:right w:val="none" w:sz="0" w:space="0" w:color="auto"/>
      </w:divBdr>
    </w:div>
    <w:div w:id="842819158">
      <w:bodyDiv w:val="1"/>
      <w:marLeft w:val="0"/>
      <w:marRight w:val="0"/>
      <w:marTop w:val="0"/>
      <w:marBottom w:val="0"/>
      <w:divBdr>
        <w:top w:val="none" w:sz="0" w:space="0" w:color="auto"/>
        <w:left w:val="none" w:sz="0" w:space="0" w:color="auto"/>
        <w:bottom w:val="none" w:sz="0" w:space="0" w:color="auto"/>
        <w:right w:val="none" w:sz="0" w:space="0" w:color="auto"/>
      </w:divBdr>
    </w:div>
    <w:div w:id="852108205">
      <w:bodyDiv w:val="1"/>
      <w:marLeft w:val="0"/>
      <w:marRight w:val="0"/>
      <w:marTop w:val="0"/>
      <w:marBottom w:val="0"/>
      <w:divBdr>
        <w:top w:val="none" w:sz="0" w:space="0" w:color="auto"/>
        <w:left w:val="none" w:sz="0" w:space="0" w:color="auto"/>
        <w:bottom w:val="none" w:sz="0" w:space="0" w:color="auto"/>
        <w:right w:val="none" w:sz="0" w:space="0" w:color="auto"/>
      </w:divBdr>
    </w:div>
    <w:div w:id="863833436">
      <w:bodyDiv w:val="1"/>
      <w:marLeft w:val="0"/>
      <w:marRight w:val="0"/>
      <w:marTop w:val="0"/>
      <w:marBottom w:val="0"/>
      <w:divBdr>
        <w:top w:val="none" w:sz="0" w:space="0" w:color="auto"/>
        <w:left w:val="none" w:sz="0" w:space="0" w:color="auto"/>
        <w:bottom w:val="none" w:sz="0" w:space="0" w:color="auto"/>
        <w:right w:val="none" w:sz="0" w:space="0" w:color="auto"/>
      </w:divBdr>
    </w:div>
    <w:div w:id="868035093">
      <w:bodyDiv w:val="1"/>
      <w:marLeft w:val="0"/>
      <w:marRight w:val="0"/>
      <w:marTop w:val="0"/>
      <w:marBottom w:val="0"/>
      <w:divBdr>
        <w:top w:val="none" w:sz="0" w:space="0" w:color="auto"/>
        <w:left w:val="none" w:sz="0" w:space="0" w:color="auto"/>
        <w:bottom w:val="none" w:sz="0" w:space="0" w:color="auto"/>
        <w:right w:val="none" w:sz="0" w:space="0" w:color="auto"/>
      </w:divBdr>
    </w:div>
    <w:div w:id="875855767">
      <w:bodyDiv w:val="1"/>
      <w:marLeft w:val="0"/>
      <w:marRight w:val="0"/>
      <w:marTop w:val="0"/>
      <w:marBottom w:val="0"/>
      <w:divBdr>
        <w:top w:val="none" w:sz="0" w:space="0" w:color="auto"/>
        <w:left w:val="none" w:sz="0" w:space="0" w:color="auto"/>
        <w:bottom w:val="none" w:sz="0" w:space="0" w:color="auto"/>
        <w:right w:val="none" w:sz="0" w:space="0" w:color="auto"/>
      </w:divBdr>
    </w:div>
    <w:div w:id="878664045">
      <w:bodyDiv w:val="1"/>
      <w:marLeft w:val="0"/>
      <w:marRight w:val="0"/>
      <w:marTop w:val="0"/>
      <w:marBottom w:val="0"/>
      <w:divBdr>
        <w:top w:val="none" w:sz="0" w:space="0" w:color="auto"/>
        <w:left w:val="none" w:sz="0" w:space="0" w:color="auto"/>
        <w:bottom w:val="none" w:sz="0" w:space="0" w:color="auto"/>
        <w:right w:val="none" w:sz="0" w:space="0" w:color="auto"/>
      </w:divBdr>
    </w:div>
    <w:div w:id="888302951">
      <w:bodyDiv w:val="1"/>
      <w:marLeft w:val="0"/>
      <w:marRight w:val="0"/>
      <w:marTop w:val="0"/>
      <w:marBottom w:val="0"/>
      <w:divBdr>
        <w:top w:val="none" w:sz="0" w:space="0" w:color="auto"/>
        <w:left w:val="none" w:sz="0" w:space="0" w:color="auto"/>
        <w:bottom w:val="none" w:sz="0" w:space="0" w:color="auto"/>
        <w:right w:val="none" w:sz="0" w:space="0" w:color="auto"/>
      </w:divBdr>
    </w:div>
    <w:div w:id="901260573">
      <w:bodyDiv w:val="1"/>
      <w:marLeft w:val="0"/>
      <w:marRight w:val="0"/>
      <w:marTop w:val="0"/>
      <w:marBottom w:val="0"/>
      <w:divBdr>
        <w:top w:val="none" w:sz="0" w:space="0" w:color="auto"/>
        <w:left w:val="none" w:sz="0" w:space="0" w:color="auto"/>
        <w:bottom w:val="none" w:sz="0" w:space="0" w:color="auto"/>
        <w:right w:val="none" w:sz="0" w:space="0" w:color="auto"/>
      </w:divBdr>
    </w:div>
    <w:div w:id="905606283">
      <w:bodyDiv w:val="1"/>
      <w:marLeft w:val="0"/>
      <w:marRight w:val="0"/>
      <w:marTop w:val="0"/>
      <w:marBottom w:val="0"/>
      <w:divBdr>
        <w:top w:val="none" w:sz="0" w:space="0" w:color="auto"/>
        <w:left w:val="none" w:sz="0" w:space="0" w:color="auto"/>
        <w:bottom w:val="none" w:sz="0" w:space="0" w:color="auto"/>
        <w:right w:val="none" w:sz="0" w:space="0" w:color="auto"/>
      </w:divBdr>
    </w:div>
    <w:div w:id="908540985">
      <w:bodyDiv w:val="1"/>
      <w:marLeft w:val="0"/>
      <w:marRight w:val="0"/>
      <w:marTop w:val="0"/>
      <w:marBottom w:val="0"/>
      <w:divBdr>
        <w:top w:val="none" w:sz="0" w:space="0" w:color="auto"/>
        <w:left w:val="none" w:sz="0" w:space="0" w:color="auto"/>
        <w:bottom w:val="none" w:sz="0" w:space="0" w:color="auto"/>
        <w:right w:val="none" w:sz="0" w:space="0" w:color="auto"/>
      </w:divBdr>
    </w:div>
    <w:div w:id="909271722">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933321886">
      <w:bodyDiv w:val="1"/>
      <w:marLeft w:val="0"/>
      <w:marRight w:val="0"/>
      <w:marTop w:val="0"/>
      <w:marBottom w:val="0"/>
      <w:divBdr>
        <w:top w:val="none" w:sz="0" w:space="0" w:color="auto"/>
        <w:left w:val="none" w:sz="0" w:space="0" w:color="auto"/>
        <w:bottom w:val="none" w:sz="0" w:space="0" w:color="auto"/>
        <w:right w:val="none" w:sz="0" w:space="0" w:color="auto"/>
      </w:divBdr>
    </w:div>
    <w:div w:id="937560299">
      <w:bodyDiv w:val="1"/>
      <w:marLeft w:val="0"/>
      <w:marRight w:val="0"/>
      <w:marTop w:val="0"/>
      <w:marBottom w:val="0"/>
      <w:divBdr>
        <w:top w:val="none" w:sz="0" w:space="0" w:color="auto"/>
        <w:left w:val="none" w:sz="0" w:space="0" w:color="auto"/>
        <w:bottom w:val="none" w:sz="0" w:space="0" w:color="auto"/>
        <w:right w:val="none" w:sz="0" w:space="0" w:color="auto"/>
      </w:divBdr>
    </w:div>
    <w:div w:id="938030783">
      <w:bodyDiv w:val="1"/>
      <w:marLeft w:val="0"/>
      <w:marRight w:val="0"/>
      <w:marTop w:val="0"/>
      <w:marBottom w:val="0"/>
      <w:divBdr>
        <w:top w:val="none" w:sz="0" w:space="0" w:color="auto"/>
        <w:left w:val="none" w:sz="0" w:space="0" w:color="auto"/>
        <w:bottom w:val="none" w:sz="0" w:space="0" w:color="auto"/>
        <w:right w:val="none" w:sz="0" w:space="0" w:color="auto"/>
      </w:divBdr>
    </w:div>
    <w:div w:id="951088312">
      <w:bodyDiv w:val="1"/>
      <w:marLeft w:val="0"/>
      <w:marRight w:val="0"/>
      <w:marTop w:val="0"/>
      <w:marBottom w:val="0"/>
      <w:divBdr>
        <w:top w:val="none" w:sz="0" w:space="0" w:color="auto"/>
        <w:left w:val="none" w:sz="0" w:space="0" w:color="auto"/>
        <w:bottom w:val="none" w:sz="0" w:space="0" w:color="auto"/>
        <w:right w:val="none" w:sz="0" w:space="0" w:color="auto"/>
      </w:divBdr>
    </w:div>
    <w:div w:id="952127336">
      <w:bodyDiv w:val="1"/>
      <w:marLeft w:val="0"/>
      <w:marRight w:val="0"/>
      <w:marTop w:val="0"/>
      <w:marBottom w:val="0"/>
      <w:divBdr>
        <w:top w:val="none" w:sz="0" w:space="0" w:color="auto"/>
        <w:left w:val="none" w:sz="0" w:space="0" w:color="auto"/>
        <w:bottom w:val="none" w:sz="0" w:space="0" w:color="auto"/>
        <w:right w:val="none" w:sz="0" w:space="0" w:color="auto"/>
      </w:divBdr>
    </w:div>
    <w:div w:id="961109113">
      <w:bodyDiv w:val="1"/>
      <w:marLeft w:val="0"/>
      <w:marRight w:val="0"/>
      <w:marTop w:val="0"/>
      <w:marBottom w:val="0"/>
      <w:divBdr>
        <w:top w:val="none" w:sz="0" w:space="0" w:color="auto"/>
        <w:left w:val="none" w:sz="0" w:space="0" w:color="auto"/>
        <w:bottom w:val="none" w:sz="0" w:space="0" w:color="auto"/>
        <w:right w:val="none" w:sz="0" w:space="0" w:color="auto"/>
      </w:divBdr>
    </w:div>
    <w:div w:id="980882764">
      <w:bodyDiv w:val="1"/>
      <w:marLeft w:val="0"/>
      <w:marRight w:val="0"/>
      <w:marTop w:val="0"/>
      <w:marBottom w:val="0"/>
      <w:divBdr>
        <w:top w:val="none" w:sz="0" w:space="0" w:color="auto"/>
        <w:left w:val="none" w:sz="0" w:space="0" w:color="auto"/>
        <w:bottom w:val="none" w:sz="0" w:space="0" w:color="auto"/>
        <w:right w:val="none" w:sz="0" w:space="0" w:color="auto"/>
      </w:divBdr>
    </w:div>
    <w:div w:id="987900406">
      <w:bodyDiv w:val="1"/>
      <w:marLeft w:val="0"/>
      <w:marRight w:val="0"/>
      <w:marTop w:val="0"/>
      <w:marBottom w:val="0"/>
      <w:divBdr>
        <w:top w:val="none" w:sz="0" w:space="0" w:color="auto"/>
        <w:left w:val="none" w:sz="0" w:space="0" w:color="auto"/>
        <w:bottom w:val="none" w:sz="0" w:space="0" w:color="auto"/>
        <w:right w:val="none" w:sz="0" w:space="0" w:color="auto"/>
      </w:divBdr>
    </w:div>
    <w:div w:id="992443679">
      <w:bodyDiv w:val="1"/>
      <w:marLeft w:val="0"/>
      <w:marRight w:val="0"/>
      <w:marTop w:val="0"/>
      <w:marBottom w:val="0"/>
      <w:divBdr>
        <w:top w:val="none" w:sz="0" w:space="0" w:color="auto"/>
        <w:left w:val="none" w:sz="0" w:space="0" w:color="auto"/>
        <w:bottom w:val="none" w:sz="0" w:space="0" w:color="auto"/>
        <w:right w:val="none" w:sz="0" w:space="0" w:color="auto"/>
      </w:divBdr>
    </w:div>
    <w:div w:id="996762609">
      <w:bodyDiv w:val="1"/>
      <w:marLeft w:val="0"/>
      <w:marRight w:val="0"/>
      <w:marTop w:val="0"/>
      <w:marBottom w:val="0"/>
      <w:divBdr>
        <w:top w:val="none" w:sz="0" w:space="0" w:color="auto"/>
        <w:left w:val="none" w:sz="0" w:space="0" w:color="auto"/>
        <w:bottom w:val="none" w:sz="0" w:space="0" w:color="auto"/>
        <w:right w:val="none" w:sz="0" w:space="0" w:color="auto"/>
      </w:divBdr>
    </w:div>
    <w:div w:id="1006515127">
      <w:bodyDiv w:val="1"/>
      <w:marLeft w:val="0"/>
      <w:marRight w:val="0"/>
      <w:marTop w:val="0"/>
      <w:marBottom w:val="0"/>
      <w:divBdr>
        <w:top w:val="none" w:sz="0" w:space="0" w:color="auto"/>
        <w:left w:val="none" w:sz="0" w:space="0" w:color="auto"/>
        <w:bottom w:val="none" w:sz="0" w:space="0" w:color="auto"/>
        <w:right w:val="none" w:sz="0" w:space="0" w:color="auto"/>
      </w:divBdr>
    </w:div>
    <w:div w:id="1009453004">
      <w:bodyDiv w:val="1"/>
      <w:marLeft w:val="0"/>
      <w:marRight w:val="0"/>
      <w:marTop w:val="0"/>
      <w:marBottom w:val="0"/>
      <w:divBdr>
        <w:top w:val="none" w:sz="0" w:space="0" w:color="auto"/>
        <w:left w:val="none" w:sz="0" w:space="0" w:color="auto"/>
        <w:bottom w:val="none" w:sz="0" w:space="0" w:color="auto"/>
        <w:right w:val="none" w:sz="0" w:space="0" w:color="auto"/>
      </w:divBdr>
    </w:div>
    <w:div w:id="1010990101">
      <w:bodyDiv w:val="1"/>
      <w:marLeft w:val="0"/>
      <w:marRight w:val="0"/>
      <w:marTop w:val="0"/>
      <w:marBottom w:val="0"/>
      <w:divBdr>
        <w:top w:val="none" w:sz="0" w:space="0" w:color="auto"/>
        <w:left w:val="none" w:sz="0" w:space="0" w:color="auto"/>
        <w:bottom w:val="none" w:sz="0" w:space="0" w:color="auto"/>
        <w:right w:val="none" w:sz="0" w:space="0" w:color="auto"/>
      </w:divBdr>
    </w:div>
    <w:div w:id="1028137340">
      <w:bodyDiv w:val="1"/>
      <w:marLeft w:val="0"/>
      <w:marRight w:val="0"/>
      <w:marTop w:val="0"/>
      <w:marBottom w:val="0"/>
      <w:divBdr>
        <w:top w:val="none" w:sz="0" w:space="0" w:color="auto"/>
        <w:left w:val="none" w:sz="0" w:space="0" w:color="auto"/>
        <w:bottom w:val="none" w:sz="0" w:space="0" w:color="auto"/>
        <w:right w:val="none" w:sz="0" w:space="0" w:color="auto"/>
      </w:divBdr>
    </w:div>
    <w:div w:id="1034186113">
      <w:bodyDiv w:val="1"/>
      <w:marLeft w:val="0"/>
      <w:marRight w:val="0"/>
      <w:marTop w:val="0"/>
      <w:marBottom w:val="0"/>
      <w:divBdr>
        <w:top w:val="none" w:sz="0" w:space="0" w:color="auto"/>
        <w:left w:val="none" w:sz="0" w:space="0" w:color="auto"/>
        <w:bottom w:val="none" w:sz="0" w:space="0" w:color="auto"/>
        <w:right w:val="none" w:sz="0" w:space="0" w:color="auto"/>
      </w:divBdr>
    </w:div>
    <w:div w:id="1043560677">
      <w:bodyDiv w:val="1"/>
      <w:marLeft w:val="0"/>
      <w:marRight w:val="0"/>
      <w:marTop w:val="0"/>
      <w:marBottom w:val="0"/>
      <w:divBdr>
        <w:top w:val="none" w:sz="0" w:space="0" w:color="auto"/>
        <w:left w:val="none" w:sz="0" w:space="0" w:color="auto"/>
        <w:bottom w:val="none" w:sz="0" w:space="0" w:color="auto"/>
        <w:right w:val="none" w:sz="0" w:space="0" w:color="auto"/>
      </w:divBdr>
    </w:div>
    <w:div w:id="1044527651">
      <w:bodyDiv w:val="1"/>
      <w:marLeft w:val="0"/>
      <w:marRight w:val="0"/>
      <w:marTop w:val="0"/>
      <w:marBottom w:val="0"/>
      <w:divBdr>
        <w:top w:val="none" w:sz="0" w:space="0" w:color="auto"/>
        <w:left w:val="none" w:sz="0" w:space="0" w:color="auto"/>
        <w:bottom w:val="none" w:sz="0" w:space="0" w:color="auto"/>
        <w:right w:val="none" w:sz="0" w:space="0" w:color="auto"/>
      </w:divBdr>
    </w:div>
    <w:div w:id="1051419475">
      <w:bodyDiv w:val="1"/>
      <w:marLeft w:val="0"/>
      <w:marRight w:val="0"/>
      <w:marTop w:val="0"/>
      <w:marBottom w:val="0"/>
      <w:divBdr>
        <w:top w:val="none" w:sz="0" w:space="0" w:color="auto"/>
        <w:left w:val="none" w:sz="0" w:space="0" w:color="auto"/>
        <w:bottom w:val="none" w:sz="0" w:space="0" w:color="auto"/>
        <w:right w:val="none" w:sz="0" w:space="0" w:color="auto"/>
      </w:divBdr>
    </w:div>
    <w:div w:id="1052194524">
      <w:bodyDiv w:val="1"/>
      <w:marLeft w:val="0"/>
      <w:marRight w:val="0"/>
      <w:marTop w:val="0"/>
      <w:marBottom w:val="0"/>
      <w:divBdr>
        <w:top w:val="none" w:sz="0" w:space="0" w:color="auto"/>
        <w:left w:val="none" w:sz="0" w:space="0" w:color="auto"/>
        <w:bottom w:val="none" w:sz="0" w:space="0" w:color="auto"/>
        <w:right w:val="none" w:sz="0" w:space="0" w:color="auto"/>
      </w:divBdr>
    </w:div>
    <w:div w:id="1052540871">
      <w:bodyDiv w:val="1"/>
      <w:marLeft w:val="0"/>
      <w:marRight w:val="0"/>
      <w:marTop w:val="0"/>
      <w:marBottom w:val="0"/>
      <w:divBdr>
        <w:top w:val="none" w:sz="0" w:space="0" w:color="auto"/>
        <w:left w:val="none" w:sz="0" w:space="0" w:color="auto"/>
        <w:bottom w:val="none" w:sz="0" w:space="0" w:color="auto"/>
        <w:right w:val="none" w:sz="0" w:space="0" w:color="auto"/>
      </w:divBdr>
    </w:div>
    <w:div w:id="1063601516">
      <w:bodyDiv w:val="1"/>
      <w:marLeft w:val="0"/>
      <w:marRight w:val="0"/>
      <w:marTop w:val="0"/>
      <w:marBottom w:val="0"/>
      <w:divBdr>
        <w:top w:val="none" w:sz="0" w:space="0" w:color="auto"/>
        <w:left w:val="none" w:sz="0" w:space="0" w:color="auto"/>
        <w:bottom w:val="none" w:sz="0" w:space="0" w:color="auto"/>
        <w:right w:val="none" w:sz="0" w:space="0" w:color="auto"/>
      </w:divBdr>
    </w:div>
    <w:div w:id="1081411132">
      <w:bodyDiv w:val="1"/>
      <w:marLeft w:val="0"/>
      <w:marRight w:val="0"/>
      <w:marTop w:val="0"/>
      <w:marBottom w:val="0"/>
      <w:divBdr>
        <w:top w:val="none" w:sz="0" w:space="0" w:color="auto"/>
        <w:left w:val="none" w:sz="0" w:space="0" w:color="auto"/>
        <w:bottom w:val="none" w:sz="0" w:space="0" w:color="auto"/>
        <w:right w:val="none" w:sz="0" w:space="0" w:color="auto"/>
      </w:divBdr>
    </w:div>
    <w:div w:id="1095438649">
      <w:bodyDiv w:val="1"/>
      <w:marLeft w:val="0"/>
      <w:marRight w:val="0"/>
      <w:marTop w:val="0"/>
      <w:marBottom w:val="0"/>
      <w:divBdr>
        <w:top w:val="none" w:sz="0" w:space="0" w:color="auto"/>
        <w:left w:val="none" w:sz="0" w:space="0" w:color="auto"/>
        <w:bottom w:val="none" w:sz="0" w:space="0" w:color="auto"/>
        <w:right w:val="none" w:sz="0" w:space="0" w:color="auto"/>
      </w:divBdr>
    </w:div>
    <w:div w:id="1098022244">
      <w:bodyDiv w:val="1"/>
      <w:marLeft w:val="0"/>
      <w:marRight w:val="0"/>
      <w:marTop w:val="0"/>
      <w:marBottom w:val="0"/>
      <w:divBdr>
        <w:top w:val="none" w:sz="0" w:space="0" w:color="auto"/>
        <w:left w:val="none" w:sz="0" w:space="0" w:color="auto"/>
        <w:bottom w:val="none" w:sz="0" w:space="0" w:color="auto"/>
        <w:right w:val="none" w:sz="0" w:space="0" w:color="auto"/>
      </w:divBdr>
    </w:div>
    <w:div w:id="1104692746">
      <w:bodyDiv w:val="1"/>
      <w:marLeft w:val="0"/>
      <w:marRight w:val="0"/>
      <w:marTop w:val="0"/>
      <w:marBottom w:val="0"/>
      <w:divBdr>
        <w:top w:val="none" w:sz="0" w:space="0" w:color="auto"/>
        <w:left w:val="none" w:sz="0" w:space="0" w:color="auto"/>
        <w:bottom w:val="none" w:sz="0" w:space="0" w:color="auto"/>
        <w:right w:val="none" w:sz="0" w:space="0" w:color="auto"/>
      </w:divBdr>
    </w:div>
    <w:div w:id="1131704720">
      <w:bodyDiv w:val="1"/>
      <w:marLeft w:val="0"/>
      <w:marRight w:val="0"/>
      <w:marTop w:val="0"/>
      <w:marBottom w:val="0"/>
      <w:divBdr>
        <w:top w:val="none" w:sz="0" w:space="0" w:color="auto"/>
        <w:left w:val="none" w:sz="0" w:space="0" w:color="auto"/>
        <w:bottom w:val="none" w:sz="0" w:space="0" w:color="auto"/>
        <w:right w:val="none" w:sz="0" w:space="0" w:color="auto"/>
      </w:divBdr>
    </w:div>
    <w:div w:id="1142382740">
      <w:bodyDiv w:val="1"/>
      <w:marLeft w:val="0"/>
      <w:marRight w:val="0"/>
      <w:marTop w:val="0"/>
      <w:marBottom w:val="0"/>
      <w:divBdr>
        <w:top w:val="none" w:sz="0" w:space="0" w:color="auto"/>
        <w:left w:val="none" w:sz="0" w:space="0" w:color="auto"/>
        <w:bottom w:val="none" w:sz="0" w:space="0" w:color="auto"/>
        <w:right w:val="none" w:sz="0" w:space="0" w:color="auto"/>
      </w:divBdr>
    </w:div>
    <w:div w:id="1165314507">
      <w:bodyDiv w:val="1"/>
      <w:marLeft w:val="0"/>
      <w:marRight w:val="0"/>
      <w:marTop w:val="0"/>
      <w:marBottom w:val="0"/>
      <w:divBdr>
        <w:top w:val="none" w:sz="0" w:space="0" w:color="auto"/>
        <w:left w:val="none" w:sz="0" w:space="0" w:color="auto"/>
        <w:bottom w:val="none" w:sz="0" w:space="0" w:color="auto"/>
        <w:right w:val="none" w:sz="0" w:space="0" w:color="auto"/>
      </w:divBdr>
    </w:div>
    <w:div w:id="1168014697">
      <w:bodyDiv w:val="1"/>
      <w:marLeft w:val="0"/>
      <w:marRight w:val="0"/>
      <w:marTop w:val="0"/>
      <w:marBottom w:val="0"/>
      <w:divBdr>
        <w:top w:val="none" w:sz="0" w:space="0" w:color="auto"/>
        <w:left w:val="none" w:sz="0" w:space="0" w:color="auto"/>
        <w:bottom w:val="none" w:sz="0" w:space="0" w:color="auto"/>
        <w:right w:val="none" w:sz="0" w:space="0" w:color="auto"/>
      </w:divBdr>
    </w:div>
    <w:div w:id="1176769042">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185824826">
      <w:bodyDiv w:val="1"/>
      <w:marLeft w:val="0"/>
      <w:marRight w:val="0"/>
      <w:marTop w:val="0"/>
      <w:marBottom w:val="0"/>
      <w:divBdr>
        <w:top w:val="none" w:sz="0" w:space="0" w:color="auto"/>
        <w:left w:val="none" w:sz="0" w:space="0" w:color="auto"/>
        <w:bottom w:val="none" w:sz="0" w:space="0" w:color="auto"/>
        <w:right w:val="none" w:sz="0" w:space="0" w:color="auto"/>
      </w:divBdr>
    </w:div>
    <w:div w:id="1194490325">
      <w:bodyDiv w:val="1"/>
      <w:marLeft w:val="0"/>
      <w:marRight w:val="0"/>
      <w:marTop w:val="0"/>
      <w:marBottom w:val="0"/>
      <w:divBdr>
        <w:top w:val="none" w:sz="0" w:space="0" w:color="auto"/>
        <w:left w:val="none" w:sz="0" w:space="0" w:color="auto"/>
        <w:bottom w:val="none" w:sz="0" w:space="0" w:color="auto"/>
        <w:right w:val="none" w:sz="0" w:space="0" w:color="auto"/>
      </w:divBdr>
    </w:div>
    <w:div w:id="1203977882">
      <w:bodyDiv w:val="1"/>
      <w:marLeft w:val="0"/>
      <w:marRight w:val="0"/>
      <w:marTop w:val="0"/>
      <w:marBottom w:val="0"/>
      <w:divBdr>
        <w:top w:val="none" w:sz="0" w:space="0" w:color="auto"/>
        <w:left w:val="none" w:sz="0" w:space="0" w:color="auto"/>
        <w:bottom w:val="none" w:sz="0" w:space="0" w:color="auto"/>
        <w:right w:val="none" w:sz="0" w:space="0" w:color="auto"/>
      </w:divBdr>
    </w:div>
    <w:div w:id="1220509164">
      <w:bodyDiv w:val="1"/>
      <w:marLeft w:val="0"/>
      <w:marRight w:val="0"/>
      <w:marTop w:val="0"/>
      <w:marBottom w:val="0"/>
      <w:divBdr>
        <w:top w:val="none" w:sz="0" w:space="0" w:color="auto"/>
        <w:left w:val="none" w:sz="0" w:space="0" w:color="auto"/>
        <w:bottom w:val="none" w:sz="0" w:space="0" w:color="auto"/>
        <w:right w:val="none" w:sz="0" w:space="0" w:color="auto"/>
      </w:divBdr>
    </w:div>
    <w:div w:id="1222327502">
      <w:bodyDiv w:val="1"/>
      <w:marLeft w:val="0"/>
      <w:marRight w:val="0"/>
      <w:marTop w:val="0"/>
      <w:marBottom w:val="0"/>
      <w:divBdr>
        <w:top w:val="none" w:sz="0" w:space="0" w:color="auto"/>
        <w:left w:val="none" w:sz="0" w:space="0" w:color="auto"/>
        <w:bottom w:val="none" w:sz="0" w:space="0" w:color="auto"/>
        <w:right w:val="none" w:sz="0" w:space="0" w:color="auto"/>
      </w:divBdr>
    </w:div>
    <w:div w:id="1224491031">
      <w:bodyDiv w:val="1"/>
      <w:marLeft w:val="0"/>
      <w:marRight w:val="0"/>
      <w:marTop w:val="0"/>
      <w:marBottom w:val="0"/>
      <w:divBdr>
        <w:top w:val="none" w:sz="0" w:space="0" w:color="auto"/>
        <w:left w:val="none" w:sz="0" w:space="0" w:color="auto"/>
        <w:bottom w:val="none" w:sz="0" w:space="0" w:color="auto"/>
        <w:right w:val="none" w:sz="0" w:space="0" w:color="auto"/>
      </w:divBdr>
    </w:div>
    <w:div w:id="1227643777">
      <w:bodyDiv w:val="1"/>
      <w:marLeft w:val="0"/>
      <w:marRight w:val="0"/>
      <w:marTop w:val="0"/>
      <w:marBottom w:val="0"/>
      <w:divBdr>
        <w:top w:val="none" w:sz="0" w:space="0" w:color="auto"/>
        <w:left w:val="none" w:sz="0" w:space="0" w:color="auto"/>
        <w:bottom w:val="none" w:sz="0" w:space="0" w:color="auto"/>
        <w:right w:val="none" w:sz="0" w:space="0" w:color="auto"/>
      </w:divBdr>
    </w:div>
    <w:div w:id="1228688280">
      <w:bodyDiv w:val="1"/>
      <w:marLeft w:val="0"/>
      <w:marRight w:val="0"/>
      <w:marTop w:val="0"/>
      <w:marBottom w:val="0"/>
      <w:divBdr>
        <w:top w:val="none" w:sz="0" w:space="0" w:color="auto"/>
        <w:left w:val="none" w:sz="0" w:space="0" w:color="auto"/>
        <w:bottom w:val="none" w:sz="0" w:space="0" w:color="auto"/>
        <w:right w:val="none" w:sz="0" w:space="0" w:color="auto"/>
      </w:divBdr>
    </w:div>
    <w:div w:id="1234436420">
      <w:bodyDiv w:val="1"/>
      <w:marLeft w:val="0"/>
      <w:marRight w:val="0"/>
      <w:marTop w:val="0"/>
      <w:marBottom w:val="0"/>
      <w:divBdr>
        <w:top w:val="none" w:sz="0" w:space="0" w:color="auto"/>
        <w:left w:val="none" w:sz="0" w:space="0" w:color="auto"/>
        <w:bottom w:val="none" w:sz="0" w:space="0" w:color="auto"/>
        <w:right w:val="none" w:sz="0" w:space="0" w:color="auto"/>
      </w:divBdr>
    </w:div>
    <w:div w:id="1234582471">
      <w:bodyDiv w:val="1"/>
      <w:marLeft w:val="0"/>
      <w:marRight w:val="0"/>
      <w:marTop w:val="0"/>
      <w:marBottom w:val="0"/>
      <w:divBdr>
        <w:top w:val="none" w:sz="0" w:space="0" w:color="auto"/>
        <w:left w:val="none" w:sz="0" w:space="0" w:color="auto"/>
        <w:bottom w:val="none" w:sz="0" w:space="0" w:color="auto"/>
        <w:right w:val="none" w:sz="0" w:space="0" w:color="auto"/>
      </w:divBdr>
    </w:div>
    <w:div w:id="1238133710">
      <w:bodyDiv w:val="1"/>
      <w:marLeft w:val="0"/>
      <w:marRight w:val="0"/>
      <w:marTop w:val="0"/>
      <w:marBottom w:val="0"/>
      <w:divBdr>
        <w:top w:val="none" w:sz="0" w:space="0" w:color="auto"/>
        <w:left w:val="none" w:sz="0" w:space="0" w:color="auto"/>
        <w:bottom w:val="none" w:sz="0" w:space="0" w:color="auto"/>
        <w:right w:val="none" w:sz="0" w:space="0" w:color="auto"/>
      </w:divBdr>
    </w:div>
    <w:div w:id="1244029472">
      <w:bodyDiv w:val="1"/>
      <w:marLeft w:val="0"/>
      <w:marRight w:val="0"/>
      <w:marTop w:val="0"/>
      <w:marBottom w:val="0"/>
      <w:divBdr>
        <w:top w:val="none" w:sz="0" w:space="0" w:color="auto"/>
        <w:left w:val="none" w:sz="0" w:space="0" w:color="auto"/>
        <w:bottom w:val="none" w:sz="0" w:space="0" w:color="auto"/>
        <w:right w:val="none" w:sz="0" w:space="0" w:color="auto"/>
      </w:divBdr>
    </w:div>
    <w:div w:id="1244611169">
      <w:bodyDiv w:val="1"/>
      <w:marLeft w:val="0"/>
      <w:marRight w:val="0"/>
      <w:marTop w:val="0"/>
      <w:marBottom w:val="0"/>
      <w:divBdr>
        <w:top w:val="none" w:sz="0" w:space="0" w:color="auto"/>
        <w:left w:val="none" w:sz="0" w:space="0" w:color="auto"/>
        <w:bottom w:val="none" w:sz="0" w:space="0" w:color="auto"/>
        <w:right w:val="none" w:sz="0" w:space="0" w:color="auto"/>
      </w:divBdr>
      <w:divsChild>
        <w:div w:id="824392753">
          <w:marLeft w:val="0"/>
          <w:marRight w:val="0"/>
          <w:marTop w:val="0"/>
          <w:marBottom w:val="0"/>
          <w:divBdr>
            <w:top w:val="none" w:sz="0" w:space="0" w:color="auto"/>
            <w:left w:val="none" w:sz="0" w:space="0" w:color="auto"/>
            <w:bottom w:val="none" w:sz="0" w:space="0" w:color="auto"/>
            <w:right w:val="none" w:sz="0" w:space="0" w:color="auto"/>
          </w:divBdr>
          <w:divsChild>
            <w:div w:id="459762833">
              <w:marLeft w:val="0"/>
              <w:marRight w:val="0"/>
              <w:marTop w:val="0"/>
              <w:marBottom w:val="0"/>
              <w:divBdr>
                <w:top w:val="none" w:sz="0" w:space="0" w:color="auto"/>
                <w:left w:val="none" w:sz="0" w:space="0" w:color="auto"/>
                <w:bottom w:val="none" w:sz="0" w:space="0" w:color="auto"/>
                <w:right w:val="none" w:sz="0" w:space="0" w:color="auto"/>
              </w:divBdr>
              <w:divsChild>
                <w:div w:id="2746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95896">
      <w:bodyDiv w:val="1"/>
      <w:marLeft w:val="0"/>
      <w:marRight w:val="0"/>
      <w:marTop w:val="0"/>
      <w:marBottom w:val="0"/>
      <w:divBdr>
        <w:top w:val="none" w:sz="0" w:space="0" w:color="auto"/>
        <w:left w:val="none" w:sz="0" w:space="0" w:color="auto"/>
        <w:bottom w:val="none" w:sz="0" w:space="0" w:color="auto"/>
        <w:right w:val="none" w:sz="0" w:space="0" w:color="auto"/>
      </w:divBdr>
    </w:div>
    <w:div w:id="1250844916">
      <w:bodyDiv w:val="1"/>
      <w:marLeft w:val="0"/>
      <w:marRight w:val="0"/>
      <w:marTop w:val="0"/>
      <w:marBottom w:val="0"/>
      <w:divBdr>
        <w:top w:val="none" w:sz="0" w:space="0" w:color="auto"/>
        <w:left w:val="none" w:sz="0" w:space="0" w:color="auto"/>
        <w:bottom w:val="none" w:sz="0" w:space="0" w:color="auto"/>
        <w:right w:val="none" w:sz="0" w:space="0" w:color="auto"/>
      </w:divBdr>
    </w:div>
    <w:div w:id="1253512884">
      <w:bodyDiv w:val="1"/>
      <w:marLeft w:val="0"/>
      <w:marRight w:val="0"/>
      <w:marTop w:val="0"/>
      <w:marBottom w:val="0"/>
      <w:divBdr>
        <w:top w:val="none" w:sz="0" w:space="0" w:color="auto"/>
        <w:left w:val="none" w:sz="0" w:space="0" w:color="auto"/>
        <w:bottom w:val="none" w:sz="0" w:space="0" w:color="auto"/>
        <w:right w:val="none" w:sz="0" w:space="0" w:color="auto"/>
      </w:divBdr>
    </w:div>
    <w:div w:id="1257134359">
      <w:bodyDiv w:val="1"/>
      <w:marLeft w:val="0"/>
      <w:marRight w:val="0"/>
      <w:marTop w:val="0"/>
      <w:marBottom w:val="0"/>
      <w:divBdr>
        <w:top w:val="none" w:sz="0" w:space="0" w:color="auto"/>
        <w:left w:val="none" w:sz="0" w:space="0" w:color="auto"/>
        <w:bottom w:val="none" w:sz="0" w:space="0" w:color="auto"/>
        <w:right w:val="none" w:sz="0" w:space="0" w:color="auto"/>
      </w:divBdr>
    </w:div>
    <w:div w:id="1259480595">
      <w:bodyDiv w:val="1"/>
      <w:marLeft w:val="0"/>
      <w:marRight w:val="0"/>
      <w:marTop w:val="0"/>
      <w:marBottom w:val="0"/>
      <w:divBdr>
        <w:top w:val="none" w:sz="0" w:space="0" w:color="auto"/>
        <w:left w:val="none" w:sz="0" w:space="0" w:color="auto"/>
        <w:bottom w:val="none" w:sz="0" w:space="0" w:color="auto"/>
        <w:right w:val="none" w:sz="0" w:space="0" w:color="auto"/>
      </w:divBdr>
    </w:div>
    <w:div w:id="1265459215">
      <w:bodyDiv w:val="1"/>
      <w:marLeft w:val="0"/>
      <w:marRight w:val="0"/>
      <w:marTop w:val="0"/>
      <w:marBottom w:val="0"/>
      <w:divBdr>
        <w:top w:val="none" w:sz="0" w:space="0" w:color="auto"/>
        <w:left w:val="none" w:sz="0" w:space="0" w:color="auto"/>
        <w:bottom w:val="none" w:sz="0" w:space="0" w:color="auto"/>
        <w:right w:val="none" w:sz="0" w:space="0" w:color="auto"/>
      </w:divBdr>
    </w:div>
    <w:div w:id="1268466950">
      <w:bodyDiv w:val="1"/>
      <w:marLeft w:val="0"/>
      <w:marRight w:val="0"/>
      <w:marTop w:val="0"/>
      <w:marBottom w:val="0"/>
      <w:divBdr>
        <w:top w:val="none" w:sz="0" w:space="0" w:color="auto"/>
        <w:left w:val="none" w:sz="0" w:space="0" w:color="auto"/>
        <w:bottom w:val="none" w:sz="0" w:space="0" w:color="auto"/>
        <w:right w:val="none" w:sz="0" w:space="0" w:color="auto"/>
      </w:divBdr>
    </w:div>
    <w:div w:id="1268468358">
      <w:bodyDiv w:val="1"/>
      <w:marLeft w:val="0"/>
      <w:marRight w:val="0"/>
      <w:marTop w:val="0"/>
      <w:marBottom w:val="0"/>
      <w:divBdr>
        <w:top w:val="none" w:sz="0" w:space="0" w:color="auto"/>
        <w:left w:val="none" w:sz="0" w:space="0" w:color="auto"/>
        <w:bottom w:val="none" w:sz="0" w:space="0" w:color="auto"/>
        <w:right w:val="none" w:sz="0" w:space="0" w:color="auto"/>
      </w:divBdr>
      <w:divsChild>
        <w:div w:id="556087579">
          <w:marLeft w:val="0"/>
          <w:marRight w:val="0"/>
          <w:marTop w:val="0"/>
          <w:marBottom w:val="0"/>
          <w:divBdr>
            <w:top w:val="none" w:sz="0" w:space="0" w:color="auto"/>
            <w:left w:val="none" w:sz="0" w:space="0" w:color="auto"/>
            <w:bottom w:val="none" w:sz="0" w:space="0" w:color="auto"/>
            <w:right w:val="none" w:sz="0" w:space="0" w:color="auto"/>
          </w:divBdr>
          <w:divsChild>
            <w:div w:id="664094209">
              <w:marLeft w:val="0"/>
              <w:marRight w:val="0"/>
              <w:marTop w:val="0"/>
              <w:marBottom w:val="0"/>
              <w:divBdr>
                <w:top w:val="none" w:sz="0" w:space="0" w:color="auto"/>
                <w:left w:val="none" w:sz="0" w:space="0" w:color="auto"/>
                <w:bottom w:val="none" w:sz="0" w:space="0" w:color="auto"/>
                <w:right w:val="none" w:sz="0" w:space="0" w:color="auto"/>
              </w:divBdr>
              <w:divsChild>
                <w:div w:id="14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58984">
      <w:bodyDiv w:val="1"/>
      <w:marLeft w:val="0"/>
      <w:marRight w:val="0"/>
      <w:marTop w:val="0"/>
      <w:marBottom w:val="0"/>
      <w:divBdr>
        <w:top w:val="none" w:sz="0" w:space="0" w:color="auto"/>
        <w:left w:val="none" w:sz="0" w:space="0" w:color="auto"/>
        <w:bottom w:val="none" w:sz="0" w:space="0" w:color="auto"/>
        <w:right w:val="none" w:sz="0" w:space="0" w:color="auto"/>
      </w:divBdr>
    </w:div>
    <w:div w:id="1277981912">
      <w:bodyDiv w:val="1"/>
      <w:marLeft w:val="0"/>
      <w:marRight w:val="0"/>
      <w:marTop w:val="0"/>
      <w:marBottom w:val="0"/>
      <w:divBdr>
        <w:top w:val="none" w:sz="0" w:space="0" w:color="auto"/>
        <w:left w:val="none" w:sz="0" w:space="0" w:color="auto"/>
        <w:bottom w:val="none" w:sz="0" w:space="0" w:color="auto"/>
        <w:right w:val="none" w:sz="0" w:space="0" w:color="auto"/>
      </w:divBdr>
    </w:div>
    <w:div w:id="1282423990">
      <w:bodyDiv w:val="1"/>
      <w:marLeft w:val="0"/>
      <w:marRight w:val="0"/>
      <w:marTop w:val="0"/>
      <w:marBottom w:val="0"/>
      <w:divBdr>
        <w:top w:val="none" w:sz="0" w:space="0" w:color="auto"/>
        <w:left w:val="none" w:sz="0" w:space="0" w:color="auto"/>
        <w:bottom w:val="none" w:sz="0" w:space="0" w:color="auto"/>
        <w:right w:val="none" w:sz="0" w:space="0" w:color="auto"/>
      </w:divBdr>
    </w:div>
    <w:div w:id="1289824534">
      <w:bodyDiv w:val="1"/>
      <w:marLeft w:val="0"/>
      <w:marRight w:val="0"/>
      <w:marTop w:val="0"/>
      <w:marBottom w:val="0"/>
      <w:divBdr>
        <w:top w:val="none" w:sz="0" w:space="0" w:color="auto"/>
        <w:left w:val="none" w:sz="0" w:space="0" w:color="auto"/>
        <w:bottom w:val="none" w:sz="0" w:space="0" w:color="auto"/>
        <w:right w:val="none" w:sz="0" w:space="0" w:color="auto"/>
      </w:divBdr>
    </w:div>
    <w:div w:id="1299217492">
      <w:bodyDiv w:val="1"/>
      <w:marLeft w:val="0"/>
      <w:marRight w:val="0"/>
      <w:marTop w:val="0"/>
      <w:marBottom w:val="0"/>
      <w:divBdr>
        <w:top w:val="none" w:sz="0" w:space="0" w:color="auto"/>
        <w:left w:val="none" w:sz="0" w:space="0" w:color="auto"/>
        <w:bottom w:val="none" w:sz="0" w:space="0" w:color="auto"/>
        <w:right w:val="none" w:sz="0" w:space="0" w:color="auto"/>
      </w:divBdr>
    </w:div>
    <w:div w:id="1310862926">
      <w:bodyDiv w:val="1"/>
      <w:marLeft w:val="0"/>
      <w:marRight w:val="0"/>
      <w:marTop w:val="0"/>
      <w:marBottom w:val="0"/>
      <w:divBdr>
        <w:top w:val="none" w:sz="0" w:space="0" w:color="auto"/>
        <w:left w:val="none" w:sz="0" w:space="0" w:color="auto"/>
        <w:bottom w:val="none" w:sz="0" w:space="0" w:color="auto"/>
        <w:right w:val="none" w:sz="0" w:space="0" w:color="auto"/>
      </w:divBdr>
    </w:div>
    <w:div w:id="1320040645">
      <w:bodyDiv w:val="1"/>
      <w:marLeft w:val="0"/>
      <w:marRight w:val="0"/>
      <w:marTop w:val="0"/>
      <w:marBottom w:val="0"/>
      <w:divBdr>
        <w:top w:val="none" w:sz="0" w:space="0" w:color="auto"/>
        <w:left w:val="none" w:sz="0" w:space="0" w:color="auto"/>
        <w:bottom w:val="none" w:sz="0" w:space="0" w:color="auto"/>
        <w:right w:val="none" w:sz="0" w:space="0" w:color="auto"/>
      </w:divBdr>
      <w:divsChild>
        <w:div w:id="2078043896">
          <w:marLeft w:val="0"/>
          <w:marRight w:val="0"/>
          <w:marTop w:val="0"/>
          <w:marBottom w:val="0"/>
          <w:divBdr>
            <w:top w:val="none" w:sz="0" w:space="0" w:color="auto"/>
            <w:left w:val="none" w:sz="0" w:space="0" w:color="auto"/>
            <w:bottom w:val="none" w:sz="0" w:space="0" w:color="auto"/>
            <w:right w:val="none" w:sz="0" w:space="0" w:color="auto"/>
          </w:divBdr>
          <w:divsChild>
            <w:div w:id="1964461568">
              <w:marLeft w:val="0"/>
              <w:marRight w:val="0"/>
              <w:marTop w:val="0"/>
              <w:marBottom w:val="0"/>
              <w:divBdr>
                <w:top w:val="none" w:sz="0" w:space="0" w:color="auto"/>
                <w:left w:val="none" w:sz="0" w:space="0" w:color="auto"/>
                <w:bottom w:val="none" w:sz="0" w:space="0" w:color="auto"/>
                <w:right w:val="none" w:sz="0" w:space="0" w:color="auto"/>
              </w:divBdr>
              <w:divsChild>
                <w:div w:id="17668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10726">
      <w:bodyDiv w:val="1"/>
      <w:marLeft w:val="0"/>
      <w:marRight w:val="0"/>
      <w:marTop w:val="0"/>
      <w:marBottom w:val="0"/>
      <w:divBdr>
        <w:top w:val="none" w:sz="0" w:space="0" w:color="auto"/>
        <w:left w:val="none" w:sz="0" w:space="0" w:color="auto"/>
        <w:bottom w:val="none" w:sz="0" w:space="0" w:color="auto"/>
        <w:right w:val="none" w:sz="0" w:space="0" w:color="auto"/>
      </w:divBdr>
    </w:div>
    <w:div w:id="1324895710">
      <w:bodyDiv w:val="1"/>
      <w:marLeft w:val="0"/>
      <w:marRight w:val="0"/>
      <w:marTop w:val="0"/>
      <w:marBottom w:val="0"/>
      <w:divBdr>
        <w:top w:val="none" w:sz="0" w:space="0" w:color="auto"/>
        <w:left w:val="none" w:sz="0" w:space="0" w:color="auto"/>
        <w:bottom w:val="none" w:sz="0" w:space="0" w:color="auto"/>
        <w:right w:val="none" w:sz="0" w:space="0" w:color="auto"/>
      </w:divBdr>
    </w:div>
    <w:div w:id="1334214597">
      <w:bodyDiv w:val="1"/>
      <w:marLeft w:val="0"/>
      <w:marRight w:val="0"/>
      <w:marTop w:val="0"/>
      <w:marBottom w:val="0"/>
      <w:divBdr>
        <w:top w:val="none" w:sz="0" w:space="0" w:color="auto"/>
        <w:left w:val="none" w:sz="0" w:space="0" w:color="auto"/>
        <w:bottom w:val="none" w:sz="0" w:space="0" w:color="auto"/>
        <w:right w:val="none" w:sz="0" w:space="0" w:color="auto"/>
      </w:divBdr>
    </w:div>
    <w:div w:id="1341615448">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348486447">
      <w:bodyDiv w:val="1"/>
      <w:marLeft w:val="0"/>
      <w:marRight w:val="0"/>
      <w:marTop w:val="0"/>
      <w:marBottom w:val="0"/>
      <w:divBdr>
        <w:top w:val="none" w:sz="0" w:space="0" w:color="auto"/>
        <w:left w:val="none" w:sz="0" w:space="0" w:color="auto"/>
        <w:bottom w:val="none" w:sz="0" w:space="0" w:color="auto"/>
        <w:right w:val="none" w:sz="0" w:space="0" w:color="auto"/>
      </w:divBdr>
    </w:div>
    <w:div w:id="1348487597">
      <w:bodyDiv w:val="1"/>
      <w:marLeft w:val="0"/>
      <w:marRight w:val="0"/>
      <w:marTop w:val="0"/>
      <w:marBottom w:val="0"/>
      <w:divBdr>
        <w:top w:val="none" w:sz="0" w:space="0" w:color="auto"/>
        <w:left w:val="none" w:sz="0" w:space="0" w:color="auto"/>
        <w:bottom w:val="none" w:sz="0" w:space="0" w:color="auto"/>
        <w:right w:val="none" w:sz="0" w:space="0" w:color="auto"/>
      </w:divBdr>
    </w:div>
    <w:div w:id="1357972658">
      <w:bodyDiv w:val="1"/>
      <w:marLeft w:val="0"/>
      <w:marRight w:val="0"/>
      <w:marTop w:val="0"/>
      <w:marBottom w:val="0"/>
      <w:divBdr>
        <w:top w:val="none" w:sz="0" w:space="0" w:color="auto"/>
        <w:left w:val="none" w:sz="0" w:space="0" w:color="auto"/>
        <w:bottom w:val="none" w:sz="0" w:space="0" w:color="auto"/>
        <w:right w:val="none" w:sz="0" w:space="0" w:color="auto"/>
      </w:divBdr>
    </w:div>
    <w:div w:id="1366175322">
      <w:bodyDiv w:val="1"/>
      <w:marLeft w:val="0"/>
      <w:marRight w:val="0"/>
      <w:marTop w:val="0"/>
      <w:marBottom w:val="0"/>
      <w:divBdr>
        <w:top w:val="none" w:sz="0" w:space="0" w:color="auto"/>
        <w:left w:val="none" w:sz="0" w:space="0" w:color="auto"/>
        <w:bottom w:val="none" w:sz="0" w:space="0" w:color="auto"/>
        <w:right w:val="none" w:sz="0" w:space="0" w:color="auto"/>
      </w:divBdr>
    </w:div>
    <w:div w:id="1376850794">
      <w:bodyDiv w:val="1"/>
      <w:marLeft w:val="0"/>
      <w:marRight w:val="0"/>
      <w:marTop w:val="0"/>
      <w:marBottom w:val="0"/>
      <w:divBdr>
        <w:top w:val="none" w:sz="0" w:space="0" w:color="auto"/>
        <w:left w:val="none" w:sz="0" w:space="0" w:color="auto"/>
        <w:bottom w:val="none" w:sz="0" w:space="0" w:color="auto"/>
        <w:right w:val="none" w:sz="0" w:space="0" w:color="auto"/>
      </w:divBdr>
    </w:div>
    <w:div w:id="1377587461">
      <w:bodyDiv w:val="1"/>
      <w:marLeft w:val="0"/>
      <w:marRight w:val="0"/>
      <w:marTop w:val="0"/>
      <w:marBottom w:val="0"/>
      <w:divBdr>
        <w:top w:val="none" w:sz="0" w:space="0" w:color="auto"/>
        <w:left w:val="none" w:sz="0" w:space="0" w:color="auto"/>
        <w:bottom w:val="none" w:sz="0" w:space="0" w:color="auto"/>
        <w:right w:val="none" w:sz="0" w:space="0" w:color="auto"/>
      </w:divBdr>
    </w:div>
    <w:div w:id="1386559430">
      <w:bodyDiv w:val="1"/>
      <w:marLeft w:val="0"/>
      <w:marRight w:val="0"/>
      <w:marTop w:val="0"/>
      <w:marBottom w:val="0"/>
      <w:divBdr>
        <w:top w:val="none" w:sz="0" w:space="0" w:color="auto"/>
        <w:left w:val="none" w:sz="0" w:space="0" w:color="auto"/>
        <w:bottom w:val="none" w:sz="0" w:space="0" w:color="auto"/>
        <w:right w:val="none" w:sz="0" w:space="0" w:color="auto"/>
      </w:divBdr>
    </w:div>
    <w:div w:id="1390806244">
      <w:bodyDiv w:val="1"/>
      <w:marLeft w:val="0"/>
      <w:marRight w:val="0"/>
      <w:marTop w:val="0"/>
      <w:marBottom w:val="0"/>
      <w:divBdr>
        <w:top w:val="none" w:sz="0" w:space="0" w:color="auto"/>
        <w:left w:val="none" w:sz="0" w:space="0" w:color="auto"/>
        <w:bottom w:val="none" w:sz="0" w:space="0" w:color="auto"/>
        <w:right w:val="none" w:sz="0" w:space="0" w:color="auto"/>
      </w:divBdr>
    </w:div>
    <w:div w:id="1392313517">
      <w:bodyDiv w:val="1"/>
      <w:marLeft w:val="0"/>
      <w:marRight w:val="0"/>
      <w:marTop w:val="0"/>
      <w:marBottom w:val="0"/>
      <w:divBdr>
        <w:top w:val="none" w:sz="0" w:space="0" w:color="auto"/>
        <w:left w:val="none" w:sz="0" w:space="0" w:color="auto"/>
        <w:bottom w:val="none" w:sz="0" w:space="0" w:color="auto"/>
        <w:right w:val="none" w:sz="0" w:space="0" w:color="auto"/>
      </w:divBdr>
    </w:div>
    <w:div w:id="1394936457">
      <w:bodyDiv w:val="1"/>
      <w:marLeft w:val="0"/>
      <w:marRight w:val="0"/>
      <w:marTop w:val="0"/>
      <w:marBottom w:val="0"/>
      <w:divBdr>
        <w:top w:val="none" w:sz="0" w:space="0" w:color="auto"/>
        <w:left w:val="none" w:sz="0" w:space="0" w:color="auto"/>
        <w:bottom w:val="none" w:sz="0" w:space="0" w:color="auto"/>
        <w:right w:val="none" w:sz="0" w:space="0" w:color="auto"/>
      </w:divBdr>
    </w:div>
    <w:div w:id="1403873286">
      <w:bodyDiv w:val="1"/>
      <w:marLeft w:val="0"/>
      <w:marRight w:val="0"/>
      <w:marTop w:val="0"/>
      <w:marBottom w:val="0"/>
      <w:divBdr>
        <w:top w:val="none" w:sz="0" w:space="0" w:color="auto"/>
        <w:left w:val="none" w:sz="0" w:space="0" w:color="auto"/>
        <w:bottom w:val="none" w:sz="0" w:space="0" w:color="auto"/>
        <w:right w:val="none" w:sz="0" w:space="0" w:color="auto"/>
      </w:divBdr>
    </w:div>
    <w:div w:id="1407068647">
      <w:bodyDiv w:val="1"/>
      <w:marLeft w:val="0"/>
      <w:marRight w:val="0"/>
      <w:marTop w:val="0"/>
      <w:marBottom w:val="0"/>
      <w:divBdr>
        <w:top w:val="none" w:sz="0" w:space="0" w:color="auto"/>
        <w:left w:val="none" w:sz="0" w:space="0" w:color="auto"/>
        <w:bottom w:val="none" w:sz="0" w:space="0" w:color="auto"/>
        <w:right w:val="none" w:sz="0" w:space="0" w:color="auto"/>
      </w:divBdr>
    </w:div>
    <w:div w:id="1407654948">
      <w:bodyDiv w:val="1"/>
      <w:marLeft w:val="0"/>
      <w:marRight w:val="0"/>
      <w:marTop w:val="0"/>
      <w:marBottom w:val="0"/>
      <w:divBdr>
        <w:top w:val="none" w:sz="0" w:space="0" w:color="auto"/>
        <w:left w:val="none" w:sz="0" w:space="0" w:color="auto"/>
        <w:bottom w:val="none" w:sz="0" w:space="0" w:color="auto"/>
        <w:right w:val="none" w:sz="0" w:space="0" w:color="auto"/>
      </w:divBdr>
    </w:div>
    <w:div w:id="1410036521">
      <w:bodyDiv w:val="1"/>
      <w:marLeft w:val="0"/>
      <w:marRight w:val="0"/>
      <w:marTop w:val="0"/>
      <w:marBottom w:val="0"/>
      <w:divBdr>
        <w:top w:val="none" w:sz="0" w:space="0" w:color="auto"/>
        <w:left w:val="none" w:sz="0" w:space="0" w:color="auto"/>
        <w:bottom w:val="none" w:sz="0" w:space="0" w:color="auto"/>
        <w:right w:val="none" w:sz="0" w:space="0" w:color="auto"/>
      </w:divBdr>
    </w:div>
    <w:div w:id="1412964027">
      <w:bodyDiv w:val="1"/>
      <w:marLeft w:val="0"/>
      <w:marRight w:val="0"/>
      <w:marTop w:val="0"/>
      <w:marBottom w:val="0"/>
      <w:divBdr>
        <w:top w:val="none" w:sz="0" w:space="0" w:color="auto"/>
        <w:left w:val="none" w:sz="0" w:space="0" w:color="auto"/>
        <w:bottom w:val="none" w:sz="0" w:space="0" w:color="auto"/>
        <w:right w:val="none" w:sz="0" w:space="0" w:color="auto"/>
      </w:divBdr>
    </w:div>
    <w:div w:id="1414425416">
      <w:bodyDiv w:val="1"/>
      <w:marLeft w:val="0"/>
      <w:marRight w:val="0"/>
      <w:marTop w:val="0"/>
      <w:marBottom w:val="0"/>
      <w:divBdr>
        <w:top w:val="none" w:sz="0" w:space="0" w:color="auto"/>
        <w:left w:val="none" w:sz="0" w:space="0" w:color="auto"/>
        <w:bottom w:val="none" w:sz="0" w:space="0" w:color="auto"/>
        <w:right w:val="none" w:sz="0" w:space="0" w:color="auto"/>
      </w:divBdr>
    </w:div>
    <w:div w:id="1415392194">
      <w:bodyDiv w:val="1"/>
      <w:marLeft w:val="0"/>
      <w:marRight w:val="0"/>
      <w:marTop w:val="0"/>
      <w:marBottom w:val="0"/>
      <w:divBdr>
        <w:top w:val="none" w:sz="0" w:space="0" w:color="auto"/>
        <w:left w:val="none" w:sz="0" w:space="0" w:color="auto"/>
        <w:bottom w:val="none" w:sz="0" w:space="0" w:color="auto"/>
        <w:right w:val="none" w:sz="0" w:space="0" w:color="auto"/>
      </w:divBdr>
    </w:div>
    <w:div w:id="1420784258">
      <w:bodyDiv w:val="1"/>
      <w:marLeft w:val="0"/>
      <w:marRight w:val="0"/>
      <w:marTop w:val="0"/>
      <w:marBottom w:val="0"/>
      <w:divBdr>
        <w:top w:val="none" w:sz="0" w:space="0" w:color="auto"/>
        <w:left w:val="none" w:sz="0" w:space="0" w:color="auto"/>
        <w:bottom w:val="none" w:sz="0" w:space="0" w:color="auto"/>
        <w:right w:val="none" w:sz="0" w:space="0" w:color="auto"/>
      </w:divBdr>
    </w:div>
    <w:div w:id="1420978285">
      <w:bodyDiv w:val="1"/>
      <w:marLeft w:val="0"/>
      <w:marRight w:val="0"/>
      <w:marTop w:val="0"/>
      <w:marBottom w:val="0"/>
      <w:divBdr>
        <w:top w:val="none" w:sz="0" w:space="0" w:color="auto"/>
        <w:left w:val="none" w:sz="0" w:space="0" w:color="auto"/>
        <w:bottom w:val="none" w:sz="0" w:space="0" w:color="auto"/>
        <w:right w:val="none" w:sz="0" w:space="0" w:color="auto"/>
      </w:divBdr>
    </w:div>
    <w:div w:id="1433473132">
      <w:bodyDiv w:val="1"/>
      <w:marLeft w:val="0"/>
      <w:marRight w:val="0"/>
      <w:marTop w:val="0"/>
      <w:marBottom w:val="0"/>
      <w:divBdr>
        <w:top w:val="none" w:sz="0" w:space="0" w:color="auto"/>
        <w:left w:val="none" w:sz="0" w:space="0" w:color="auto"/>
        <w:bottom w:val="none" w:sz="0" w:space="0" w:color="auto"/>
        <w:right w:val="none" w:sz="0" w:space="0" w:color="auto"/>
      </w:divBdr>
    </w:div>
    <w:div w:id="1435400297">
      <w:bodyDiv w:val="1"/>
      <w:marLeft w:val="0"/>
      <w:marRight w:val="0"/>
      <w:marTop w:val="0"/>
      <w:marBottom w:val="0"/>
      <w:divBdr>
        <w:top w:val="none" w:sz="0" w:space="0" w:color="auto"/>
        <w:left w:val="none" w:sz="0" w:space="0" w:color="auto"/>
        <w:bottom w:val="none" w:sz="0" w:space="0" w:color="auto"/>
        <w:right w:val="none" w:sz="0" w:space="0" w:color="auto"/>
      </w:divBdr>
    </w:div>
    <w:div w:id="1437285089">
      <w:bodyDiv w:val="1"/>
      <w:marLeft w:val="0"/>
      <w:marRight w:val="0"/>
      <w:marTop w:val="0"/>
      <w:marBottom w:val="0"/>
      <w:divBdr>
        <w:top w:val="none" w:sz="0" w:space="0" w:color="auto"/>
        <w:left w:val="none" w:sz="0" w:space="0" w:color="auto"/>
        <w:bottom w:val="none" w:sz="0" w:space="0" w:color="auto"/>
        <w:right w:val="none" w:sz="0" w:space="0" w:color="auto"/>
      </w:divBdr>
    </w:div>
    <w:div w:id="1439367623">
      <w:bodyDiv w:val="1"/>
      <w:marLeft w:val="0"/>
      <w:marRight w:val="0"/>
      <w:marTop w:val="0"/>
      <w:marBottom w:val="0"/>
      <w:divBdr>
        <w:top w:val="none" w:sz="0" w:space="0" w:color="auto"/>
        <w:left w:val="none" w:sz="0" w:space="0" w:color="auto"/>
        <w:bottom w:val="none" w:sz="0" w:space="0" w:color="auto"/>
        <w:right w:val="none" w:sz="0" w:space="0" w:color="auto"/>
      </w:divBdr>
    </w:div>
    <w:div w:id="1449160918">
      <w:bodyDiv w:val="1"/>
      <w:marLeft w:val="0"/>
      <w:marRight w:val="0"/>
      <w:marTop w:val="0"/>
      <w:marBottom w:val="0"/>
      <w:divBdr>
        <w:top w:val="none" w:sz="0" w:space="0" w:color="auto"/>
        <w:left w:val="none" w:sz="0" w:space="0" w:color="auto"/>
        <w:bottom w:val="none" w:sz="0" w:space="0" w:color="auto"/>
        <w:right w:val="none" w:sz="0" w:space="0" w:color="auto"/>
      </w:divBdr>
    </w:div>
    <w:div w:id="1450393676">
      <w:bodyDiv w:val="1"/>
      <w:marLeft w:val="0"/>
      <w:marRight w:val="0"/>
      <w:marTop w:val="0"/>
      <w:marBottom w:val="0"/>
      <w:divBdr>
        <w:top w:val="none" w:sz="0" w:space="0" w:color="auto"/>
        <w:left w:val="none" w:sz="0" w:space="0" w:color="auto"/>
        <w:bottom w:val="none" w:sz="0" w:space="0" w:color="auto"/>
        <w:right w:val="none" w:sz="0" w:space="0" w:color="auto"/>
      </w:divBdr>
    </w:div>
    <w:div w:id="1461991881">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474179134">
      <w:bodyDiv w:val="1"/>
      <w:marLeft w:val="0"/>
      <w:marRight w:val="0"/>
      <w:marTop w:val="0"/>
      <w:marBottom w:val="0"/>
      <w:divBdr>
        <w:top w:val="none" w:sz="0" w:space="0" w:color="auto"/>
        <w:left w:val="none" w:sz="0" w:space="0" w:color="auto"/>
        <w:bottom w:val="none" w:sz="0" w:space="0" w:color="auto"/>
        <w:right w:val="none" w:sz="0" w:space="0" w:color="auto"/>
      </w:divBdr>
    </w:div>
    <w:div w:id="1475366082">
      <w:bodyDiv w:val="1"/>
      <w:marLeft w:val="0"/>
      <w:marRight w:val="0"/>
      <w:marTop w:val="0"/>
      <w:marBottom w:val="0"/>
      <w:divBdr>
        <w:top w:val="none" w:sz="0" w:space="0" w:color="auto"/>
        <w:left w:val="none" w:sz="0" w:space="0" w:color="auto"/>
        <w:bottom w:val="none" w:sz="0" w:space="0" w:color="auto"/>
        <w:right w:val="none" w:sz="0" w:space="0" w:color="auto"/>
      </w:divBdr>
    </w:div>
    <w:div w:id="1499689481">
      <w:bodyDiv w:val="1"/>
      <w:marLeft w:val="0"/>
      <w:marRight w:val="0"/>
      <w:marTop w:val="0"/>
      <w:marBottom w:val="0"/>
      <w:divBdr>
        <w:top w:val="none" w:sz="0" w:space="0" w:color="auto"/>
        <w:left w:val="none" w:sz="0" w:space="0" w:color="auto"/>
        <w:bottom w:val="none" w:sz="0" w:space="0" w:color="auto"/>
        <w:right w:val="none" w:sz="0" w:space="0" w:color="auto"/>
      </w:divBdr>
    </w:div>
    <w:div w:id="1500776721">
      <w:bodyDiv w:val="1"/>
      <w:marLeft w:val="0"/>
      <w:marRight w:val="0"/>
      <w:marTop w:val="0"/>
      <w:marBottom w:val="0"/>
      <w:divBdr>
        <w:top w:val="none" w:sz="0" w:space="0" w:color="auto"/>
        <w:left w:val="none" w:sz="0" w:space="0" w:color="auto"/>
        <w:bottom w:val="none" w:sz="0" w:space="0" w:color="auto"/>
        <w:right w:val="none" w:sz="0" w:space="0" w:color="auto"/>
      </w:divBdr>
    </w:div>
    <w:div w:id="1500804785">
      <w:bodyDiv w:val="1"/>
      <w:marLeft w:val="0"/>
      <w:marRight w:val="0"/>
      <w:marTop w:val="0"/>
      <w:marBottom w:val="0"/>
      <w:divBdr>
        <w:top w:val="none" w:sz="0" w:space="0" w:color="auto"/>
        <w:left w:val="none" w:sz="0" w:space="0" w:color="auto"/>
        <w:bottom w:val="none" w:sz="0" w:space="0" w:color="auto"/>
        <w:right w:val="none" w:sz="0" w:space="0" w:color="auto"/>
      </w:divBdr>
    </w:div>
    <w:div w:id="1513908382">
      <w:bodyDiv w:val="1"/>
      <w:marLeft w:val="0"/>
      <w:marRight w:val="0"/>
      <w:marTop w:val="0"/>
      <w:marBottom w:val="0"/>
      <w:divBdr>
        <w:top w:val="none" w:sz="0" w:space="0" w:color="auto"/>
        <w:left w:val="none" w:sz="0" w:space="0" w:color="auto"/>
        <w:bottom w:val="none" w:sz="0" w:space="0" w:color="auto"/>
        <w:right w:val="none" w:sz="0" w:space="0" w:color="auto"/>
      </w:divBdr>
    </w:div>
    <w:div w:id="1514346423">
      <w:bodyDiv w:val="1"/>
      <w:marLeft w:val="0"/>
      <w:marRight w:val="0"/>
      <w:marTop w:val="0"/>
      <w:marBottom w:val="0"/>
      <w:divBdr>
        <w:top w:val="none" w:sz="0" w:space="0" w:color="auto"/>
        <w:left w:val="none" w:sz="0" w:space="0" w:color="auto"/>
        <w:bottom w:val="none" w:sz="0" w:space="0" w:color="auto"/>
        <w:right w:val="none" w:sz="0" w:space="0" w:color="auto"/>
      </w:divBdr>
    </w:div>
    <w:div w:id="1523014296">
      <w:bodyDiv w:val="1"/>
      <w:marLeft w:val="0"/>
      <w:marRight w:val="0"/>
      <w:marTop w:val="0"/>
      <w:marBottom w:val="0"/>
      <w:divBdr>
        <w:top w:val="none" w:sz="0" w:space="0" w:color="auto"/>
        <w:left w:val="none" w:sz="0" w:space="0" w:color="auto"/>
        <w:bottom w:val="none" w:sz="0" w:space="0" w:color="auto"/>
        <w:right w:val="none" w:sz="0" w:space="0" w:color="auto"/>
      </w:divBdr>
    </w:div>
    <w:div w:id="1524200657">
      <w:bodyDiv w:val="1"/>
      <w:marLeft w:val="0"/>
      <w:marRight w:val="0"/>
      <w:marTop w:val="0"/>
      <w:marBottom w:val="0"/>
      <w:divBdr>
        <w:top w:val="none" w:sz="0" w:space="0" w:color="auto"/>
        <w:left w:val="none" w:sz="0" w:space="0" w:color="auto"/>
        <w:bottom w:val="none" w:sz="0" w:space="0" w:color="auto"/>
        <w:right w:val="none" w:sz="0" w:space="0" w:color="auto"/>
      </w:divBdr>
    </w:div>
    <w:div w:id="1545940605">
      <w:bodyDiv w:val="1"/>
      <w:marLeft w:val="0"/>
      <w:marRight w:val="0"/>
      <w:marTop w:val="0"/>
      <w:marBottom w:val="0"/>
      <w:divBdr>
        <w:top w:val="none" w:sz="0" w:space="0" w:color="auto"/>
        <w:left w:val="none" w:sz="0" w:space="0" w:color="auto"/>
        <w:bottom w:val="none" w:sz="0" w:space="0" w:color="auto"/>
        <w:right w:val="none" w:sz="0" w:space="0" w:color="auto"/>
      </w:divBdr>
    </w:div>
    <w:div w:id="1558005530">
      <w:bodyDiv w:val="1"/>
      <w:marLeft w:val="0"/>
      <w:marRight w:val="0"/>
      <w:marTop w:val="0"/>
      <w:marBottom w:val="0"/>
      <w:divBdr>
        <w:top w:val="none" w:sz="0" w:space="0" w:color="auto"/>
        <w:left w:val="none" w:sz="0" w:space="0" w:color="auto"/>
        <w:bottom w:val="none" w:sz="0" w:space="0" w:color="auto"/>
        <w:right w:val="none" w:sz="0" w:space="0" w:color="auto"/>
      </w:divBdr>
    </w:div>
    <w:div w:id="1585190755">
      <w:bodyDiv w:val="1"/>
      <w:marLeft w:val="0"/>
      <w:marRight w:val="0"/>
      <w:marTop w:val="0"/>
      <w:marBottom w:val="0"/>
      <w:divBdr>
        <w:top w:val="none" w:sz="0" w:space="0" w:color="auto"/>
        <w:left w:val="none" w:sz="0" w:space="0" w:color="auto"/>
        <w:bottom w:val="none" w:sz="0" w:space="0" w:color="auto"/>
        <w:right w:val="none" w:sz="0" w:space="0" w:color="auto"/>
      </w:divBdr>
    </w:div>
    <w:div w:id="1592545458">
      <w:bodyDiv w:val="1"/>
      <w:marLeft w:val="0"/>
      <w:marRight w:val="0"/>
      <w:marTop w:val="0"/>
      <w:marBottom w:val="0"/>
      <w:divBdr>
        <w:top w:val="none" w:sz="0" w:space="0" w:color="auto"/>
        <w:left w:val="none" w:sz="0" w:space="0" w:color="auto"/>
        <w:bottom w:val="none" w:sz="0" w:space="0" w:color="auto"/>
        <w:right w:val="none" w:sz="0" w:space="0" w:color="auto"/>
      </w:divBdr>
    </w:div>
    <w:div w:id="1607224777">
      <w:bodyDiv w:val="1"/>
      <w:marLeft w:val="0"/>
      <w:marRight w:val="0"/>
      <w:marTop w:val="0"/>
      <w:marBottom w:val="0"/>
      <w:divBdr>
        <w:top w:val="none" w:sz="0" w:space="0" w:color="auto"/>
        <w:left w:val="none" w:sz="0" w:space="0" w:color="auto"/>
        <w:bottom w:val="none" w:sz="0" w:space="0" w:color="auto"/>
        <w:right w:val="none" w:sz="0" w:space="0" w:color="auto"/>
      </w:divBdr>
    </w:div>
    <w:div w:id="1610041948">
      <w:bodyDiv w:val="1"/>
      <w:marLeft w:val="0"/>
      <w:marRight w:val="0"/>
      <w:marTop w:val="0"/>
      <w:marBottom w:val="0"/>
      <w:divBdr>
        <w:top w:val="none" w:sz="0" w:space="0" w:color="auto"/>
        <w:left w:val="none" w:sz="0" w:space="0" w:color="auto"/>
        <w:bottom w:val="none" w:sz="0" w:space="0" w:color="auto"/>
        <w:right w:val="none" w:sz="0" w:space="0" w:color="auto"/>
      </w:divBdr>
    </w:div>
    <w:div w:id="1612473389">
      <w:bodyDiv w:val="1"/>
      <w:marLeft w:val="0"/>
      <w:marRight w:val="0"/>
      <w:marTop w:val="0"/>
      <w:marBottom w:val="0"/>
      <w:divBdr>
        <w:top w:val="none" w:sz="0" w:space="0" w:color="auto"/>
        <w:left w:val="none" w:sz="0" w:space="0" w:color="auto"/>
        <w:bottom w:val="none" w:sz="0" w:space="0" w:color="auto"/>
        <w:right w:val="none" w:sz="0" w:space="0" w:color="auto"/>
      </w:divBdr>
    </w:div>
    <w:div w:id="1617180678">
      <w:bodyDiv w:val="1"/>
      <w:marLeft w:val="0"/>
      <w:marRight w:val="0"/>
      <w:marTop w:val="0"/>
      <w:marBottom w:val="0"/>
      <w:divBdr>
        <w:top w:val="none" w:sz="0" w:space="0" w:color="auto"/>
        <w:left w:val="none" w:sz="0" w:space="0" w:color="auto"/>
        <w:bottom w:val="none" w:sz="0" w:space="0" w:color="auto"/>
        <w:right w:val="none" w:sz="0" w:space="0" w:color="auto"/>
      </w:divBdr>
    </w:div>
    <w:div w:id="1624581336">
      <w:bodyDiv w:val="1"/>
      <w:marLeft w:val="0"/>
      <w:marRight w:val="0"/>
      <w:marTop w:val="0"/>
      <w:marBottom w:val="0"/>
      <w:divBdr>
        <w:top w:val="none" w:sz="0" w:space="0" w:color="auto"/>
        <w:left w:val="none" w:sz="0" w:space="0" w:color="auto"/>
        <w:bottom w:val="none" w:sz="0" w:space="0" w:color="auto"/>
        <w:right w:val="none" w:sz="0" w:space="0" w:color="auto"/>
      </w:divBdr>
    </w:div>
    <w:div w:id="1624844369">
      <w:bodyDiv w:val="1"/>
      <w:marLeft w:val="0"/>
      <w:marRight w:val="0"/>
      <w:marTop w:val="0"/>
      <w:marBottom w:val="0"/>
      <w:divBdr>
        <w:top w:val="none" w:sz="0" w:space="0" w:color="auto"/>
        <w:left w:val="none" w:sz="0" w:space="0" w:color="auto"/>
        <w:bottom w:val="none" w:sz="0" w:space="0" w:color="auto"/>
        <w:right w:val="none" w:sz="0" w:space="0" w:color="auto"/>
      </w:divBdr>
    </w:div>
    <w:div w:id="1627927007">
      <w:bodyDiv w:val="1"/>
      <w:marLeft w:val="0"/>
      <w:marRight w:val="0"/>
      <w:marTop w:val="0"/>
      <w:marBottom w:val="0"/>
      <w:divBdr>
        <w:top w:val="none" w:sz="0" w:space="0" w:color="auto"/>
        <w:left w:val="none" w:sz="0" w:space="0" w:color="auto"/>
        <w:bottom w:val="none" w:sz="0" w:space="0" w:color="auto"/>
        <w:right w:val="none" w:sz="0" w:space="0" w:color="auto"/>
      </w:divBdr>
    </w:div>
    <w:div w:id="1631133958">
      <w:bodyDiv w:val="1"/>
      <w:marLeft w:val="0"/>
      <w:marRight w:val="0"/>
      <w:marTop w:val="0"/>
      <w:marBottom w:val="0"/>
      <w:divBdr>
        <w:top w:val="none" w:sz="0" w:space="0" w:color="auto"/>
        <w:left w:val="none" w:sz="0" w:space="0" w:color="auto"/>
        <w:bottom w:val="none" w:sz="0" w:space="0" w:color="auto"/>
        <w:right w:val="none" w:sz="0" w:space="0" w:color="auto"/>
      </w:divBdr>
    </w:div>
    <w:div w:id="1636106932">
      <w:bodyDiv w:val="1"/>
      <w:marLeft w:val="0"/>
      <w:marRight w:val="0"/>
      <w:marTop w:val="0"/>
      <w:marBottom w:val="0"/>
      <w:divBdr>
        <w:top w:val="none" w:sz="0" w:space="0" w:color="auto"/>
        <w:left w:val="none" w:sz="0" w:space="0" w:color="auto"/>
        <w:bottom w:val="none" w:sz="0" w:space="0" w:color="auto"/>
        <w:right w:val="none" w:sz="0" w:space="0" w:color="auto"/>
      </w:divBdr>
    </w:div>
    <w:div w:id="1641302928">
      <w:bodyDiv w:val="1"/>
      <w:marLeft w:val="0"/>
      <w:marRight w:val="0"/>
      <w:marTop w:val="0"/>
      <w:marBottom w:val="0"/>
      <w:divBdr>
        <w:top w:val="none" w:sz="0" w:space="0" w:color="auto"/>
        <w:left w:val="none" w:sz="0" w:space="0" w:color="auto"/>
        <w:bottom w:val="none" w:sz="0" w:space="0" w:color="auto"/>
        <w:right w:val="none" w:sz="0" w:space="0" w:color="auto"/>
      </w:divBdr>
    </w:div>
    <w:div w:id="1643579273">
      <w:bodyDiv w:val="1"/>
      <w:marLeft w:val="0"/>
      <w:marRight w:val="0"/>
      <w:marTop w:val="0"/>
      <w:marBottom w:val="0"/>
      <w:divBdr>
        <w:top w:val="none" w:sz="0" w:space="0" w:color="auto"/>
        <w:left w:val="none" w:sz="0" w:space="0" w:color="auto"/>
        <w:bottom w:val="none" w:sz="0" w:space="0" w:color="auto"/>
        <w:right w:val="none" w:sz="0" w:space="0" w:color="auto"/>
      </w:divBdr>
    </w:div>
    <w:div w:id="1652179252">
      <w:bodyDiv w:val="1"/>
      <w:marLeft w:val="0"/>
      <w:marRight w:val="0"/>
      <w:marTop w:val="0"/>
      <w:marBottom w:val="0"/>
      <w:divBdr>
        <w:top w:val="none" w:sz="0" w:space="0" w:color="auto"/>
        <w:left w:val="none" w:sz="0" w:space="0" w:color="auto"/>
        <w:bottom w:val="none" w:sz="0" w:space="0" w:color="auto"/>
        <w:right w:val="none" w:sz="0" w:space="0" w:color="auto"/>
      </w:divBdr>
    </w:div>
    <w:div w:id="1655453466">
      <w:bodyDiv w:val="1"/>
      <w:marLeft w:val="0"/>
      <w:marRight w:val="0"/>
      <w:marTop w:val="0"/>
      <w:marBottom w:val="0"/>
      <w:divBdr>
        <w:top w:val="none" w:sz="0" w:space="0" w:color="auto"/>
        <w:left w:val="none" w:sz="0" w:space="0" w:color="auto"/>
        <w:bottom w:val="none" w:sz="0" w:space="0" w:color="auto"/>
        <w:right w:val="none" w:sz="0" w:space="0" w:color="auto"/>
      </w:divBdr>
    </w:div>
    <w:div w:id="1659653925">
      <w:bodyDiv w:val="1"/>
      <w:marLeft w:val="0"/>
      <w:marRight w:val="0"/>
      <w:marTop w:val="0"/>
      <w:marBottom w:val="0"/>
      <w:divBdr>
        <w:top w:val="none" w:sz="0" w:space="0" w:color="auto"/>
        <w:left w:val="none" w:sz="0" w:space="0" w:color="auto"/>
        <w:bottom w:val="none" w:sz="0" w:space="0" w:color="auto"/>
        <w:right w:val="none" w:sz="0" w:space="0" w:color="auto"/>
      </w:divBdr>
    </w:div>
    <w:div w:id="1659842907">
      <w:bodyDiv w:val="1"/>
      <w:marLeft w:val="0"/>
      <w:marRight w:val="0"/>
      <w:marTop w:val="0"/>
      <w:marBottom w:val="0"/>
      <w:divBdr>
        <w:top w:val="none" w:sz="0" w:space="0" w:color="auto"/>
        <w:left w:val="none" w:sz="0" w:space="0" w:color="auto"/>
        <w:bottom w:val="none" w:sz="0" w:space="0" w:color="auto"/>
        <w:right w:val="none" w:sz="0" w:space="0" w:color="auto"/>
      </w:divBdr>
    </w:div>
    <w:div w:id="1666475259">
      <w:bodyDiv w:val="1"/>
      <w:marLeft w:val="0"/>
      <w:marRight w:val="0"/>
      <w:marTop w:val="0"/>
      <w:marBottom w:val="0"/>
      <w:divBdr>
        <w:top w:val="none" w:sz="0" w:space="0" w:color="auto"/>
        <w:left w:val="none" w:sz="0" w:space="0" w:color="auto"/>
        <w:bottom w:val="none" w:sz="0" w:space="0" w:color="auto"/>
        <w:right w:val="none" w:sz="0" w:space="0" w:color="auto"/>
      </w:divBdr>
    </w:div>
    <w:div w:id="1667629431">
      <w:bodyDiv w:val="1"/>
      <w:marLeft w:val="0"/>
      <w:marRight w:val="0"/>
      <w:marTop w:val="0"/>
      <w:marBottom w:val="0"/>
      <w:divBdr>
        <w:top w:val="none" w:sz="0" w:space="0" w:color="auto"/>
        <w:left w:val="none" w:sz="0" w:space="0" w:color="auto"/>
        <w:bottom w:val="none" w:sz="0" w:space="0" w:color="auto"/>
        <w:right w:val="none" w:sz="0" w:space="0" w:color="auto"/>
      </w:divBdr>
    </w:div>
    <w:div w:id="1684042094">
      <w:bodyDiv w:val="1"/>
      <w:marLeft w:val="0"/>
      <w:marRight w:val="0"/>
      <w:marTop w:val="0"/>
      <w:marBottom w:val="0"/>
      <w:divBdr>
        <w:top w:val="none" w:sz="0" w:space="0" w:color="auto"/>
        <w:left w:val="none" w:sz="0" w:space="0" w:color="auto"/>
        <w:bottom w:val="none" w:sz="0" w:space="0" w:color="auto"/>
        <w:right w:val="none" w:sz="0" w:space="0" w:color="auto"/>
      </w:divBdr>
    </w:div>
    <w:div w:id="1690453107">
      <w:bodyDiv w:val="1"/>
      <w:marLeft w:val="0"/>
      <w:marRight w:val="0"/>
      <w:marTop w:val="0"/>
      <w:marBottom w:val="0"/>
      <w:divBdr>
        <w:top w:val="none" w:sz="0" w:space="0" w:color="auto"/>
        <w:left w:val="none" w:sz="0" w:space="0" w:color="auto"/>
        <w:bottom w:val="none" w:sz="0" w:space="0" w:color="auto"/>
        <w:right w:val="none" w:sz="0" w:space="0" w:color="auto"/>
      </w:divBdr>
    </w:div>
    <w:div w:id="1691955346">
      <w:bodyDiv w:val="1"/>
      <w:marLeft w:val="0"/>
      <w:marRight w:val="0"/>
      <w:marTop w:val="0"/>
      <w:marBottom w:val="0"/>
      <w:divBdr>
        <w:top w:val="none" w:sz="0" w:space="0" w:color="auto"/>
        <w:left w:val="none" w:sz="0" w:space="0" w:color="auto"/>
        <w:bottom w:val="none" w:sz="0" w:space="0" w:color="auto"/>
        <w:right w:val="none" w:sz="0" w:space="0" w:color="auto"/>
      </w:divBdr>
    </w:div>
    <w:div w:id="1699701297">
      <w:bodyDiv w:val="1"/>
      <w:marLeft w:val="0"/>
      <w:marRight w:val="0"/>
      <w:marTop w:val="0"/>
      <w:marBottom w:val="0"/>
      <w:divBdr>
        <w:top w:val="none" w:sz="0" w:space="0" w:color="auto"/>
        <w:left w:val="none" w:sz="0" w:space="0" w:color="auto"/>
        <w:bottom w:val="none" w:sz="0" w:space="0" w:color="auto"/>
        <w:right w:val="none" w:sz="0" w:space="0" w:color="auto"/>
      </w:divBdr>
    </w:div>
    <w:div w:id="1705132844">
      <w:bodyDiv w:val="1"/>
      <w:marLeft w:val="0"/>
      <w:marRight w:val="0"/>
      <w:marTop w:val="0"/>
      <w:marBottom w:val="0"/>
      <w:divBdr>
        <w:top w:val="none" w:sz="0" w:space="0" w:color="auto"/>
        <w:left w:val="none" w:sz="0" w:space="0" w:color="auto"/>
        <w:bottom w:val="none" w:sz="0" w:space="0" w:color="auto"/>
        <w:right w:val="none" w:sz="0" w:space="0" w:color="auto"/>
      </w:divBdr>
    </w:div>
    <w:div w:id="1708681851">
      <w:bodyDiv w:val="1"/>
      <w:marLeft w:val="0"/>
      <w:marRight w:val="0"/>
      <w:marTop w:val="0"/>
      <w:marBottom w:val="0"/>
      <w:divBdr>
        <w:top w:val="none" w:sz="0" w:space="0" w:color="auto"/>
        <w:left w:val="none" w:sz="0" w:space="0" w:color="auto"/>
        <w:bottom w:val="none" w:sz="0" w:space="0" w:color="auto"/>
        <w:right w:val="none" w:sz="0" w:space="0" w:color="auto"/>
      </w:divBdr>
    </w:div>
    <w:div w:id="1715037772">
      <w:bodyDiv w:val="1"/>
      <w:marLeft w:val="0"/>
      <w:marRight w:val="0"/>
      <w:marTop w:val="0"/>
      <w:marBottom w:val="0"/>
      <w:divBdr>
        <w:top w:val="none" w:sz="0" w:space="0" w:color="auto"/>
        <w:left w:val="none" w:sz="0" w:space="0" w:color="auto"/>
        <w:bottom w:val="none" w:sz="0" w:space="0" w:color="auto"/>
        <w:right w:val="none" w:sz="0" w:space="0" w:color="auto"/>
      </w:divBdr>
    </w:div>
    <w:div w:id="1716005363">
      <w:bodyDiv w:val="1"/>
      <w:marLeft w:val="0"/>
      <w:marRight w:val="0"/>
      <w:marTop w:val="0"/>
      <w:marBottom w:val="0"/>
      <w:divBdr>
        <w:top w:val="none" w:sz="0" w:space="0" w:color="auto"/>
        <w:left w:val="none" w:sz="0" w:space="0" w:color="auto"/>
        <w:bottom w:val="none" w:sz="0" w:space="0" w:color="auto"/>
        <w:right w:val="none" w:sz="0" w:space="0" w:color="auto"/>
      </w:divBdr>
    </w:div>
    <w:div w:id="1717581255">
      <w:bodyDiv w:val="1"/>
      <w:marLeft w:val="0"/>
      <w:marRight w:val="0"/>
      <w:marTop w:val="0"/>
      <w:marBottom w:val="0"/>
      <w:divBdr>
        <w:top w:val="none" w:sz="0" w:space="0" w:color="auto"/>
        <w:left w:val="none" w:sz="0" w:space="0" w:color="auto"/>
        <w:bottom w:val="none" w:sz="0" w:space="0" w:color="auto"/>
        <w:right w:val="none" w:sz="0" w:space="0" w:color="auto"/>
      </w:divBdr>
    </w:div>
    <w:div w:id="1723359466">
      <w:bodyDiv w:val="1"/>
      <w:marLeft w:val="0"/>
      <w:marRight w:val="0"/>
      <w:marTop w:val="0"/>
      <w:marBottom w:val="0"/>
      <w:divBdr>
        <w:top w:val="none" w:sz="0" w:space="0" w:color="auto"/>
        <w:left w:val="none" w:sz="0" w:space="0" w:color="auto"/>
        <w:bottom w:val="none" w:sz="0" w:space="0" w:color="auto"/>
        <w:right w:val="none" w:sz="0" w:space="0" w:color="auto"/>
      </w:divBdr>
    </w:div>
    <w:div w:id="1731804795">
      <w:bodyDiv w:val="1"/>
      <w:marLeft w:val="0"/>
      <w:marRight w:val="0"/>
      <w:marTop w:val="0"/>
      <w:marBottom w:val="0"/>
      <w:divBdr>
        <w:top w:val="none" w:sz="0" w:space="0" w:color="auto"/>
        <w:left w:val="none" w:sz="0" w:space="0" w:color="auto"/>
        <w:bottom w:val="none" w:sz="0" w:space="0" w:color="auto"/>
        <w:right w:val="none" w:sz="0" w:space="0" w:color="auto"/>
      </w:divBdr>
    </w:div>
    <w:div w:id="1736511219">
      <w:bodyDiv w:val="1"/>
      <w:marLeft w:val="0"/>
      <w:marRight w:val="0"/>
      <w:marTop w:val="0"/>
      <w:marBottom w:val="0"/>
      <w:divBdr>
        <w:top w:val="none" w:sz="0" w:space="0" w:color="auto"/>
        <w:left w:val="none" w:sz="0" w:space="0" w:color="auto"/>
        <w:bottom w:val="none" w:sz="0" w:space="0" w:color="auto"/>
        <w:right w:val="none" w:sz="0" w:space="0" w:color="auto"/>
      </w:divBdr>
    </w:div>
    <w:div w:id="1736583661">
      <w:bodyDiv w:val="1"/>
      <w:marLeft w:val="0"/>
      <w:marRight w:val="0"/>
      <w:marTop w:val="0"/>
      <w:marBottom w:val="0"/>
      <w:divBdr>
        <w:top w:val="none" w:sz="0" w:space="0" w:color="auto"/>
        <w:left w:val="none" w:sz="0" w:space="0" w:color="auto"/>
        <w:bottom w:val="none" w:sz="0" w:space="0" w:color="auto"/>
        <w:right w:val="none" w:sz="0" w:space="0" w:color="auto"/>
      </w:divBdr>
    </w:div>
    <w:div w:id="1738627296">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207753">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340234814">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sChild>
    </w:div>
    <w:div w:id="1739936373">
      <w:bodyDiv w:val="1"/>
      <w:marLeft w:val="0"/>
      <w:marRight w:val="0"/>
      <w:marTop w:val="0"/>
      <w:marBottom w:val="0"/>
      <w:divBdr>
        <w:top w:val="none" w:sz="0" w:space="0" w:color="auto"/>
        <w:left w:val="none" w:sz="0" w:space="0" w:color="auto"/>
        <w:bottom w:val="none" w:sz="0" w:space="0" w:color="auto"/>
        <w:right w:val="none" w:sz="0" w:space="0" w:color="auto"/>
      </w:divBdr>
    </w:div>
    <w:div w:id="1746877784">
      <w:bodyDiv w:val="1"/>
      <w:marLeft w:val="0"/>
      <w:marRight w:val="0"/>
      <w:marTop w:val="0"/>
      <w:marBottom w:val="0"/>
      <w:divBdr>
        <w:top w:val="none" w:sz="0" w:space="0" w:color="auto"/>
        <w:left w:val="none" w:sz="0" w:space="0" w:color="auto"/>
        <w:bottom w:val="none" w:sz="0" w:space="0" w:color="auto"/>
        <w:right w:val="none" w:sz="0" w:space="0" w:color="auto"/>
      </w:divBdr>
    </w:div>
    <w:div w:id="1757894380">
      <w:bodyDiv w:val="1"/>
      <w:marLeft w:val="0"/>
      <w:marRight w:val="0"/>
      <w:marTop w:val="0"/>
      <w:marBottom w:val="0"/>
      <w:divBdr>
        <w:top w:val="none" w:sz="0" w:space="0" w:color="auto"/>
        <w:left w:val="none" w:sz="0" w:space="0" w:color="auto"/>
        <w:bottom w:val="none" w:sz="0" w:space="0" w:color="auto"/>
        <w:right w:val="none" w:sz="0" w:space="0" w:color="auto"/>
      </w:divBdr>
    </w:div>
    <w:div w:id="1771390446">
      <w:bodyDiv w:val="1"/>
      <w:marLeft w:val="0"/>
      <w:marRight w:val="0"/>
      <w:marTop w:val="0"/>
      <w:marBottom w:val="0"/>
      <w:divBdr>
        <w:top w:val="none" w:sz="0" w:space="0" w:color="auto"/>
        <w:left w:val="none" w:sz="0" w:space="0" w:color="auto"/>
        <w:bottom w:val="none" w:sz="0" w:space="0" w:color="auto"/>
        <w:right w:val="none" w:sz="0" w:space="0" w:color="auto"/>
      </w:divBdr>
    </w:div>
    <w:div w:id="1772775973">
      <w:bodyDiv w:val="1"/>
      <w:marLeft w:val="0"/>
      <w:marRight w:val="0"/>
      <w:marTop w:val="0"/>
      <w:marBottom w:val="0"/>
      <w:divBdr>
        <w:top w:val="none" w:sz="0" w:space="0" w:color="auto"/>
        <w:left w:val="none" w:sz="0" w:space="0" w:color="auto"/>
        <w:bottom w:val="none" w:sz="0" w:space="0" w:color="auto"/>
        <w:right w:val="none" w:sz="0" w:space="0" w:color="auto"/>
      </w:divBdr>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781684395">
      <w:bodyDiv w:val="1"/>
      <w:marLeft w:val="0"/>
      <w:marRight w:val="0"/>
      <w:marTop w:val="0"/>
      <w:marBottom w:val="0"/>
      <w:divBdr>
        <w:top w:val="none" w:sz="0" w:space="0" w:color="auto"/>
        <w:left w:val="none" w:sz="0" w:space="0" w:color="auto"/>
        <w:bottom w:val="none" w:sz="0" w:space="0" w:color="auto"/>
        <w:right w:val="none" w:sz="0" w:space="0" w:color="auto"/>
      </w:divBdr>
    </w:div>
    <w:div w:id="1784376085">
      <w:bodyDiv w:val="1"/>
      <w:marLeft w:val="0"/>
      <w:marRight w:val="0"/>
      <w:marTop w:val="0"/>
      <w:marBottom w:val="0"/>
      <w:divBdr>
        <w:top w:val="none" w:sz="0" w:space="0" w:color="auto"/>
        <w:left w:val="none" w:sz="0" w:space="0" w:color="auto"/>
        <w:bottom w:val="none" w:sz="0" w:space="0" w:color="auto"/>
        <w:right w:val="none" w:sz="0" w:space="0" w:color="auto"/>
      </w:divBdr>
    </w:div>
    <w:div w:id="1787046084">
      <w:bodyDiv w:val="1"/>
      <w:marLeft w:val="0"/>
      <w:marRight w:val="0"/>
      <w:marTop w:val="0"/>
      <w:marBottom w:val="0"/>
      <w:divBdr>
        <w:top w:val="none" w:sz="0" w:space="0" w:color="auto"/>
        <w:left w:val="none" w:sz="0" w:space="0" w:color="auto"/>
        <w:bottom w:val="none" w:sz="0" w:space="0" w:color="auto"/>
        <w:right w:val="none" w:sz="0" w:space="0" w:color="auto"/>
      </w:divBdr>
    </w:div>
    <w:div w:id="1788544465">
      <w:bodyDiv w:val="1"/>
      <w:marLeft w:val="0"/>
      <w:marRight w:val="0"/>
      <w:marTop w:val="0"/>
      <w:marBottom w:val="0"/>
      <w:divBdr>
        <w:top w:val="none" w:sz="0" w:space="0" w:color="auto"/>
        <w:left w:val="none" w:sz="0" w:space="0" w:color="auto"/>
        <w:bottom w:val="none" w:sz="0" w:space="0" w:color="auto"/>
        <w:right w:val="none" w:sz="0" w:space="0" w:color="auto"/>
      </w:divBdr>
    </w:div>
    <w:div w:id="1809014516">
      <w:bodyDiv w:val="1"/>
      <w:marLeft w:val="0"/>
      <w:marRight w:val="0"/>
      <w:marTop w:val="0"/>
      <w:marBottom w:val="0"/>
      <w:divBdr>
        <w:top w:val="none" w:sz="0" w:space="0" w:color="auto"/>
        <w:left w:val="none" w:sz="0" w:space="0" w:color="auto"/>
        <w:bottom w:val="none" w:sz="0" w:space="0" w:color="auto"/>
        <w:right w:val="none" w:sz="0" w:space="0" w:color="auto"/>
      </w:divBdr>
    </w:div>
    <w:div w:id="1818300166">
      <w:bodyDiv w:val="1"/>
      <w:marLeft w:val="0"/>
      <w:marRight w:val="0"/>
      <w:marTop w:val="0"/>
      <w:marBottom w:val="0"/>
      <w:divBdr>
        <w:top w:val="none" w:sz="0" w:space="0" w:color="auto"/>
        <w:left w:val="none" w:sz="0" w:space="0" w:color="auto"/>
        <w:bottom w:val="none" w:sz="0" w:space="0" w:color="auto"/>
        <w:right w:val="none" w:sz="0" w:space="0" w:color="auto"/>
      </w:divBdr>
    </w:div>
    <w:div w:id="1823036394">
      <w:bodyDiv w:val="1"/>
      <w:marLeft w:val="0"/>
      <w:marRight w:val="0"/>
      <w:marTop w:val="0"/>
      <w:marBottom w:val="0"/>
      <w:divBdr>
        <w:top w:val="none" w:sz="0" w:space="0" w:color="auto"/>
        <w:left w:val="none" w:sz="0" w:space="0" w:color="auto"/>
        <w:bottom w:val="none" w:sz="0" w:space="0" w:color="auto"/>
        <w:right w:val="none" w:sz="0" w:space="0" w:color="auto"/>
      </w:divBdr>
    </w:div>
    <w:div w:id="1831364847">
      <w:bodyDiv w:val="1"/>
      <w:marLeft w:val="0"/>
      <w:marRight w:val="0"/>
      <w:marTop w:val="0"/>
      <w:marBottom w:val="0"/>
      <w:divBdr>
        <w:top w:val="none" w:sz="0" w:space="0" w:color="auto"/>
        <w:left w:val="none" w:sz="0" w:space="0" w:color="auto"/>
        <w:bottom w:val="none" w:sz="0" w:space="0" w:color="auto"/>
        <w:right w:val="none" w:sz="0" w:space="0" w:color="auto"/>
      </w:divBdr>
    </w:div>
    <w:div w:id="1835024803">
      <w:bodyDiv w:val="1"/>
      <w:marLeft w:val="0"/>
      <w:marRight w:val="0"/>
      <w:marTop w:val="0"/>
      <w:marBottom w:val="0"/>
      <w:divBdr>
        <w:top w:val="none" w:sz="0" w:space="0" w:color="auto"/>
        <w:left w:val="none" w:sz="0" w:space="0" w:color="auto"/>
        <w:bottom w:val="none" w:sz="0" w:space="0" w:color="auto"/>
        <w:right w:val="none" w:sz="0" w:space="0" w:color="auto"/>
      </w:divBdr>
    </w:div>
    <w:div w:id="1844584065">
      <w:bodyDiv w:val="1"/>
      <w:marLeft w:val="0"/>
      <w:marRight w:val="0"/>
      <w:marTop w:val="0"/>
      <w:marBottom w:val="0"/>
      <w:divBdr>
        <w:top w:val="none" w:sz="0" w:space="0" w:color="auto"/>
        <w:left w:val="none" w:sz="0" w:space="0" w:color="auto"/>
        <w:bottom w:val="none" w:sz="0" w:space="0" w:color="auto"/>
        <w:right w:val="none" w:sz="0" w:space="0" w:color="auto"/>
      </w:divBdr>
    </w:div>
    <w:div w:id="1848210890">
      <w:bodyDiv w:val="1"/>
      <w:marLeft w:val="0"/>
      <w:marRight w:val="0"/>
      <w:marTop w:val="0"/>
      <w:marBottom w:val="0"/>
      <w:divBdr>
        <w:top w:val="none" w:sz="0" w:space="0" w:color="auto"/>
        <w:left w:val="none" w:sz="0" w:space="0" w:color="auto"/>
        <w:bottom w:val="none" w:sz="0" w:space="0" w:color="auto"/>
        <w:right w:val="none" w:sz="0" w:space="0" w:color="auto"/>
      </w:divBdr>
    </w:div>
    <w:div w:id="1851946273">
      <w:bodyDiv w:val="1"/>
      <w:marLeft w:val="0"/>
      <w:marRight w:val="0"/>
      <w:marTop w:val="0"/>
      <w:marBottom w:val="0"/>
      <w:divBdr>
        <w:top w:val="none" w:sz="0" w:space="0" w:color="auto"/>
        <w:left w:val="none" w:sz="0" w:space="0" w:color="auto"/>
        <w:bottom w:val="none" w:sz="0" w:space="0" w:color="auto"/>
        <w:right w:val="none" w:sz="0" w:space="0" w:color="auto"/>
      </w:divBdr>
    </w:div>
    <w:div w:id="1862668176">
      <w:bodyDiv w:val="1"/>
      <w:marLeft w:val="0"/>
      <w:marRight w:val="0"/>
      <w:marTop w:val="0"/>
      <w:marBottom w:val="0"/>
      <w:divBdr>
        <w:top w:val="none" w:sz="0" w:space="0" w:color="auto"/>
        <w:left w:val="none" w:sz="0" w:space="0" w:color="auto"/>
        <w:bottom w:val="none" w:sz="0" w:space="0" w:color="auto"/>
        <w:right w:val="none" w:sz="0" w:space="0" w:color="auto"/>
      </w:divBdr>
    </w:div>
    <w:div w:id="1870534046">
      <w:bodyDiv w:val="1"/>
      <w:marLeft w:val="0"/>
      <w:marRight w:val="0"/>
      <w:marTop w:val="0"/>
      <w:marBottom w:val="0"/>
      <w:divBdr>
        <w:top w:val="none" w:sz="0" w:space="0" w:color="auto"/>
        <w:left w:val="none" w:sz="0" w:space="0" w:color="auto"/>
        <w:bottom w:val="none" w:sz="0" w:space="0" w:color="auto"/>
        <w:right w:val="none" w:sz="0" w:space="0" w:color="auto"/>
      </w:divBdr>
    </w:div>
    <w:div w:id="1877351633">
      <w:bodyDiv w:val="1"/>
      <w:marLeft w:val="0"/>
      <w:marRight w:val="0"/>
      <w:marTop w:val="0"/>
      <w:marBottom w:val="0"/>
      <w:divBdr>
        <w:top w:val="none" w:sz="0" w:space="0" w:color="auto"/>
        <w:left w:val="none" w:sz="0" w:space="0" w:color="auto"/>
        <w:bottom w:val="none" w:sz="0" w:space="0" w:color="auto"/>
        <w:right w:val="none" w:sz="0" w:space="0" w:color="auto"/>
      </w:divBdr>
    </w:div>
    <w:div w:id="1877546437">
      <w:bodyDiv w:val="1"/>
      <w:marLeft w:val="0"/>
      <w:marRight w:val="0"/>
      <w:marTop w:val="0"/>
      <w:marBottom w:val="0"/>
      <w:divBdr>
        <w:top w:val="none" w:sz="0" w:space="0" w:color="auto"/>
        <w:left w:val="none" w:sz="0" w:space="0" w:color="auto"/>
        <w:bottom w:val="none" w:sz="0" w:space="0" w:color="auto"/>
        <w:right w:val="none" w:sz="0" w:space="0" w:color="auto"/>
      </w:divBdr>
    </w:div>
    <w:div w:id="1879514463">
      <w:bodyDiv w:val="1"/>
      <w:marLeft w:val="0"/>
      <w:marRight w:val="0"/>
      <w:marTop w:val="0"/>
      <w:marBottom w:val="0"/>
      <w:divBdr>
        <w:top w:val="none" w:sz="0" w:space="0" w:color="auto"/>
        <w:left w:val="none" w:sz="0" w:space="0" w:color="auto"/>
        <w:bottom w:val="none" w:sz="0" w:space="0" w:color="auto"/>
        <w:right w:val="none" w:sz="0" w:space="0" w:color="auto"/>
      </w:divBdr>
    </w:div>
    <w:div w:id="1894005260">
      <w:bodyDiv w:val="1"/>
      <w:marLeft w:val="0"/>
      <w:marRight w:val="0"/>
      <w:marTop w:val="0"/>
      <w:marBottom w:val="0"/>
      <w:divBdr>
        <w:top w:val="none" w:sz="0" w:space="0" w:color="auto"/>
        <w:left w:val="none" w:sz="0" w:space="0" w:color="auto"/>
        <w:bottom w:val="none" w:sz="0" w:space="0" w:color="auto"/>
        <w:right w:val="none" w:sz="0" w:space="0" w:color="auto"/>
      </w:divBdr>
    </w:div>
    <w:div w:id="1895198032">
      <w:bodyDiv w:val="1"/>
      <w:marLeft w:val="0"/>
      <w:marRight w:val="0"/>
      <w:marTop w:val="0"/>
      <w:marBottom w:val="0"/>
      <w:divBdr>
        <w:top w:val="none" w:sz="0" w:space="0" w:color="auto"/>
        <w:left w:val="none" w:sz="0" w:space="0" w:color="auto"/>
        <w:bottom w:val="none" w:sz="0" w:space="0" w:color="auto"/>
        <w:right w:val="none" w:sz="0" w:space="0" w:color="auto"/>
      </w:divBdr>
    </w:div>
    <w:div w:id="1904607306">
      <w:bodyDiv w:val="1"/>
      <w:marLeft w:val="0"/>
      <w:marRight w:val="0"/>
      <w:marTop w:val="0"/>
      <w:marBottom w:val="0"/>
      <w:divBdr>
        <w:top w:val="none" w:sz="0" w:space="0" w:color="auto"/>
        <w:left w:val="none" w:sz="0" w:space="0" w:color="auto"/>
        <w:bottom w:val="none" w:sz="0" w:space="0" w:color="auto"/>
        <w:right w:val="none" w:sz="0" w:space="0" w:color="auto"/>
      </w:divBdr>
    </w:div>
    <w:div w:id="1907184147">
      <w:bodyDiv w:val="1"/>
      <w:marLeft w:val="0"/>
      <w:marRight w:val="0"/>
      <w:marTop w:val="0"/>
      <w:marBottom w:val="0"/>
      <w:divBdr>
        <w:top w:val="none" w:sz="0" w:space="0" w:color="auto"/>
        <w:left w:val="none" w:sz="0" w:space="0" w:color="auto"/>
        <w:bottom w:val="none" w:sz="0" w:space="0" w:color="auto"/>
        <w:right w:val="none" w:sz="0" w:space="0" w:color="auto"/>
      </w:divBdr>
    </w:div>
    <w:div w:id="1919706448">
      <w:bodyDiv w:val="1"/>
      <w:marLeft w:val="0"/>
      <w:marRight w:val="0"/>
      <w:marTop w:val="0"/>
      <w:marBottom w:val="0"/>
      <w:divBdr>
        <w:top w:val="none" w:sz="0" w:space="0" w:color="auto"/>
        <w:left w:val="none" w:sz="0" w:space="0" w:color="auto"/>
        <w:bottom w:val="none" w:sz="0" w:space="0" w:color="auto"/>
        <w:right w:val="none" w:sz="0" w:space="0" w:color="auto"/>
      </w:divBdr>
    </w:div>
    <w:div w:id="1928802163">
      <w:bodyDiv w:val="1"/>
      <w:marLeft w:val="0"/>
      <w:marRight w:val="0"/>
      <w:marTop w:val="0"/>
      <w:marBottom w:val="0"/>
      <w:divBdr>
        <w:top w:val="none" w:sz="0" w:space="0" w:color="auto"/>
        <w:left w:val="none" w:sz="0" w:space="0" w:color="auto"/>
        <w:bottom w:val="none" w:sz="0" w:space="0" w:color="auto"/>
        <w:right w:val="none" w:sz="0" w:space="0" w:color="auto"/>
      </w:divBdr>
    </w:div>
    <w:div w:id="1937053620">
      <w:bodyDiv w:val="1"/>
      <w:marLeft w:val="0"/>
      <w:marRight w:val="0"/>
      <w:marTop w:val="0"/>
      <w:marBottom w:val="0"/>
      <w:divBdr>
        <w:top w:val="none" w:sz="0" w:space="0" w:color="auto"/>
        <w:left w:val="none" w:sz="0" w:space="0" w:color="auto"/>
        <w:bottom w:val="none" w:sz="0" w:space="0" w:color="auto"/>
        <w:right w:val="none" w:sz="0" w:space="0" w:color="auto"/>
      </w:divBdr>
    </w:div>
    <w:div w:id="1937395545">
      <w:bodyDiv w:val="1"/>
      <w:marLeft w:val="0"/>
      <w:marRight w:val="0"/>
      <w:marTop w:val="0"/>
      <w:marBottom w:val="0"/>
      <w:divBdr>
        <w:top w:val="none" w:sz="0" w:space="0" w:color="auto"/>
        <w:left w:val="none" w:sz="0" w:space="0" w:color="auto"/>
        <w:bottom w:val="none" w:sz="0" w:space="0" w:color="auto"/>
        <w:right w:val="none" w:sz="0" w:space="0" w:color="auto"/>
      </w:divBdr>
    </w:div>
    <w:div w:id="1937713280">
      <w:bodyDiv w:val="1"/>
      <w:marLeft w:val="0"/>
      <w:marRight w:val="0"/>
      <w:marTop w:val="0"/>
      <w:marBottom w:val="0"/>
      <w:divBdr>
        <w:top w:val="none" w:sz="0" w:space="0" w:color="auto"/>
        <w:left w:val="none" w:sz="0" w:space="0" w:color="auto"/>
        <w:bottom w:val="none" w:sz="0" w:space="0" w:color="auto"/>
        <w:right w:val="none" w:sz="0" w:space="0" w:color="auto"/>
      </w:divBdr>
    </w:div>
    <w:div w:id="1938249065">
      <w:bodyDiv w:val="1"/>
      <w:marLeft w:val="0"/>
      <w:marRight w:val="0"/>
      <w:marTop w:val="0"/>
      <w:marBottom w:val="0"/>
      <w:divBdr>
        <w:top w:val="none" w:sz="0" w:space="0" w:color="auto"/>
        <w:left w:val="none" w:sz="0" w:space="0" w:color="auto"/>
        <w:bottom w:val="none" w:sz="0" w:space="0" w:color="auto"/>
        <w:right w:val="none" w:sz="0" w:space="0" w:color="auto"/>
      </w:divBdr>
    </w:div>
    <w:div w:id="1943104031">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1959678035">
      <w:bodyDiv w:val="1"/>
      <w:marLeft w:val="0"/>
      <w:marRight w:val="0"/>
      <w:marTop w:val="0"/>
      <w:marBottom w:val="0"/>
      <w:divBdr>
        <w:top w:val="none" w:sz="0" w:space="0" w:color="auto"/>
        <w:left w:val="none" w:sz="0" w:space="0" w:color="auto"/>
        <w:bottom w:val="none" w:sz="0" w:space="0" w:color="auto"/>
        <w:right w:val="none" w:sz="0" w:space="0" w:color="auto"/>
      </w:divBdr>
    </w:div>
    <w:div w:id="1964996754">
      <w:bodyDiv w:val="1"/>
      <w:marLeft w:val="0"/>
      <w:marRight w:val="0"/>
      <w:marTop w:val="0"/>
      <w:marBottom w:val="0"/>
      <w:divBdr>
        <w:top w:val="none" w:sz="0" w:space="0" w:color="auto"/>
        <w:left w:val="none" w:sz="0" w:space="0" w:color="auto"/>
        <w:bottom w:val="none" w:sz="0" w:space="0" w:color="auto"/>
        <w:right w:val="none" w:sz="0" w:space="0" w:color="auto"/>
      </w:divBdr>
    </w:div>
    <w:div w:id="1974828400">
      <w:bodyDiv w:val="1"/>
      <w:marLeft w:val="0"/>
      <w:marRight w:val="0"/>
      <w:marTop w:val="0"/>
      <w:marBottom w:val="0"/>
      <w:divBdr>
        <w:top w:val="none" w:sz="0" w:space="0" w:color="auto"/>
        <w:left w:val="none" w:sz="0" w:space="0" w:color="auto"/>
        <w:bottom w:val="none" w:sz="0" w:space="0" w:color="auto"/>
        <w:right w:val="none" w:sz="0" w:space="0" w:color="auto"/>
      </w:divBdr>
    </w:div>
    <w:div w:id="1978336552">
      <w:bodyDiv w:val="1"/>
      <w:marLeft w:val="0"/>
      <w:marRight w:val="0"/>
      <w:marTop w:val="0"/>
      <w:marBottom w:val="0"/>
      <w:divBdr>
        <w:top w:val="none" w:sz="0" w:space="0" w:color="auto"/>
        <w:left w:val="none" w:sz="0" w:space="0" w:color="auto"/>
        <w:bottom w:val="none" w:sz="0" w:space="0" w:color="auto"/>
        <w:right w:val="none" w:sz="0" w:space="0" w:color="auto"/>
      </w:divBdr>
    </w:div>
    <w:div w:id="2000112102">
      <w:bodyDiv w:val="1"/>
      <w:marLeft w:val="0"/>
      <w:marRight w:val="0"/>
      <w:marTop w:val="0"/>
      <w:marBottom w:val="0"/>
      <w:divBdr>
        <w:top w:val="none" w:sz="0" w:space="0" w:color="auto"/>
        <w:left w:val="none" w:sz="0" w:space="0" w:color="auto"/>
        <w:bottom w:val="none" w:sz="0" w:space="0" w:color="auto"/>
        <w:right w:val="none" w:sz="0" w:space="0" w:color="auto"/>
      </w:divBdr>
    </w:div>
    <w:div w:id="2004581835">
      <w:bodyDiv w:val="1"/>
      <w:marLeft w:val="0"/>
      <w:marRight w:val="0"/>
      <w:marTop w:val="0"/>
      <w:marBottom w:val="0"/>
      <w:divBdr>
        <w:top w:val="none" w:sz="0" w:space="0" w:color="auto"/>
        <w:left w:val="none" w:sz="0" w:space="0" w:color="auto"/>
        <w:bottom w:val="none" w:sz="0" w:space="0" w:color="auto"/>
        <w:right w:val="none" w:sz="0" w:space="0" w:color="auto"/>
      </w:divBdr>
    </w:div>
    <w:div w:id="2012489341">
      <w:bodyDiv w:val="1"/>
      <w:marLeft w:val="0"/>
      <w:marRight w:val="0"/>
      <w:marTop w:val="0"/>
      <w:marBottom w:val="0"/>
      <w:divBdr>
        <w:top w:val="none" w:sz="0" w:space="0" w:color="auto"/>
        <w:left w:val="none" w:sz="0" w:space="0" w:color="auto"/>
        <w:bottom w:val="none" w:sz="0" w:space="0" w:color="auto"/>
        <w:right w:val="none" w:sz="0" w:space="0" w:color="auto"/>
      </w:divBdr>
    </w:div>
    <w:div w:id="2013212904">
      <w:bodyDiv w:val="1"/>
      <w:marLeft w:val="0"/>
      <w:marRight w:val="0"/>
      <w:marTop w:val="0"/>
      <w:marBottom w:val="0"/>
      <w:divBdr>
        <w:top w:val="none" w:sz="0" w:space="0" w:color="auto"/>
        <w:left w:val="none" w:sz="0" w:space="0" w:color="auto"/>
        <w:bottom w:val="none" w:sz="0" w:space="0" w:color="auto"/>
        <w:right w:val="none" w:sz="0" w:space="0" w:color="auto"/>
      </w:divBdr>
    </w:div>
    <w:div w:id="2016103182">
      <w:bodyDiv w:val="1"/>
      <w:marLeft w:val="0"/>
      <w:marRight w:val="0"/>
      <w:marTop w:val="0"/>
      <w:marBottom w:val="0"/>
      <w:divBdr>
        <w:top w:val="none" w:sz="0" w:space="0" w:color="auto"/>
        <w:left w:val="none" w:sz="0" w:space="0" w:color="auto"/>
        <w:bottom w:val="none" w:sz="0" w:space="0" w:color="auto"/>
        <w:right w:val="none" w:sz="0" w:space="0" w:color="auto"/>
      </w:divBdr>
    </w:div>
    <w:div w:id="2020038308">
      <w:bodyDiv w:val="1"/>
      <w:marLeft w:val="0"/>
      <w:marRight w:val="0"/>
      <w:marTop w:val="0"/>
      <w:marBottom w:val="0"/>
      <w:divBdr>
        <w:top w:val="none" w:sz="0" w:space="0" w:color="auto"/>
        <w:left w:val="none" w:sz="0" w:space="0" w:color="auto"/>
        <w:bottom w:val="none" w:sz="0" w:space="0" w:color="auto"/>
        <w:right w:val="none" w:sz="0" w:space="0" w:color="auto"/>
      </w:divBdr>
    </w:div>
    <w:div w:id="2022589005">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25279860">
      <w:bodyDiv w:val="1"/>
      <w:marLeft w:val="0"/>
      <w:marRight w:val="0"/>
      <w:marTop w:val="0"/>
      <w:marBottom w:val="0"/>
      <w:divBdr>
        <w:top w:val="none" w:sz="0" w:space="0" w:color="auto"/>
        <w:left w:val="none" w:sz="0" w:space="0" w:color="auto"/>
        <w:bottom w:val="none" w:sz="0" w:space="0" w:color="auto"/>
        <w:right w:val="none" w:sz="0" w:space="0" w:color="auto"/>
      </w:divBdr>
    </w:div>
    <w:div w:id="2036609458">
      <w:bodyDiv w:val="1"/>
      <w:marLeft w:val="0"/>
      <w:marRight w:val="0"/>
      <w:marTop w:val="0"/>
      <w:marBottom w:val="0"/>
      <w:divBdr>
        <w:top w:val="none" w:sz="0" w:space="0" w:color="auto"/>
        <w:left w:val="none" w:sz="0" w:space="0" w:color="auto"/>
        <w:bottom w:val="none" w:sz="0" w:space="0" w:color="auto"/>
        <w:right w:val="none" w:sz="0" w:space="0" w:color="auto"/>
      </w:divBdr>
    </w:div>
    <w:div w:id="2038236166">
      <w:bodyDiv w:val="1"/>
      <w:marLeft w:val="0"/>
      <w:marRight w:val="0"/>
      <w:marTop w:val="0"/>
      <w:marBottom w:val="0"/>
      <w:divBdr>
        <w:top w:val="none" w:sz="0" w:space="0" w:color="auto"/>
        <w:left w:val="none" w:sz="0" w:space="0" w:color="auto"/>
        <w:bottom w:val="none" w:sz="0" w:space="0" w:color="auto"/>
        <w:right w:val="none" w:sz="0" w:space="0" w:color="auto"/>
      </w:divBdr>
    </w:div>
    <w:div w:id="2043944558">
      <w:bodyDiv w:val="1"/>
      <w:marLeft w:val="0"/>
      <w:marRight w:val="0"/>
      <w:marTop w:val="0"/>
      <w:marBottom w:val="0"/>
      <w:divBdr>
        <w:top w:val="none" w:sz="0" w:space="0" w:color="auto"/>
        <w:left w:val="none" w:sz="0" w:space="0" w:color="auto"/>
        <w:bottom w:val="none" w:sz="0" w:space="0" w:color="auto"/>
        <w:right w:val="none" w:sz="0" w:space="0" w:color="auto"/>
      </w:divBdr>
    </w:div>
    <w:div w:id="2058239009">
      <w:bodyDiv w:val="1"/>
      <w:marLeft w:val="0"/>
      <w:marRight w:val="0"/>
      <w:marTop w:val="0"/>
      <w:marBottom w:val="0"/>
      <w:divBdr>
        <w:top w:val="none" w:sz="0" w:space="0" w:color="auto"/>
        <w:left w:val="none" w:sz="0" w:space="0" w:color="auto"/>
        <w:bottom w:val="none" w:sz="0" w:space="0" w:color="auto"/>
        <w:right w:val="none" w:sz="0" w:space="0" w:color="auto"/>
      </w:divBdr>
    </w:div>
    <w:div w:id="2059471503">
      <w:bodyDiv w:val="1"/>
      <w:marLeft w:val="0"/>
      <w:marRight w:val="0"/>
      <w:marTop w:val="0"/>
      <w:marBottom w:val="0"/>
      <w:divBdr>
        <w:top w:val="none" w:sz="0" w:space="0" w:color="auto"/>
        <w:left w:val="none" w:sz="0" w:space="0" w:color="auto"/>
        <w:bottom w:val="none" w:sz="0" w:space="0" w:color="auto"/>
        <w:right w:val="none" w:sz="0" w:space="0" w:color="auto"/>
      </w:divBdr>
    </w:div>
    <w:div w:id="2060783171">
      <w:bodyDiv w:val="1"/>
      <w:marLeft w:val="0"/>
      <w:marRight w:val="0"/>
      <w:marTop w:val="0"/>
      <w:marBottom w:val="0"/>
      <w:divBdr>
        <w:top w:val="none" w:sz="0" w:space="0" w:color="auto"/>
        <w:left w:val="none" w:sz="0" w:space="0" w:color="auto"/>
        <w:bottom w:val="none" w:sz="0" w:space="0" w:color="auto"/>
        <w:right w:val="none" w:sz="0" w:space="0" w:color="auto"/>
      </w:divBdr>
    </w:div>
    <w:div w:id="2062777527">
      <w:bodyDiv w:val="1"/>
      <w:marLeft w:val="0"/>
      <w:marRight w:val="0"/>
      <w:marTop w:val="0"/>
      <w:marBottom w:val="0"/>
      <w:divBdr>
        <w:top w:val="none" w:sz="0" w:space="0" w:color="auto"/>
        <w:left w:val="none" w:sz="0" w:space="0" w:color="auto"/>
        <w:bottom w:val="none" w:sz="0" w:space="0" w:color="auto"/>
        <w:right w:val="none" w:sz="0" w:space="0" w:color="auto"/>
      </w:divBdr>
    </w:div>
    <w:div w:id="2069330580">
      <w:bodyDiv w:val="1"/>
      <w:marLeft w:val="0"/>
      <w:marRight w:val="0"/>
      <w:marTop w:val="0"/>
      <w:marBottom w:val="0"/>
      <w:divBdr>
        <w:top w:val="none" w:sz="0" w:space="0" w:color="auto"/>
        <w:left w:val="none" w:sz="0" w:space="0" w:color="auto"/>
        <w:bottom w:val="none" w:sz="0" w:space="0" w:color="auto"/>
        <w:right w:val="none" w:sz="0" w:space="0" w:color="auto"/>
      </w:divBdr>
    </w:div>
    <w:div w:id="2070574565">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 w:id="2079741083">
      <w:bodyDiv w:val="1"/>
      <w:marLeft w:val="0"/>
      <w:marRight w:val="0"/>
      <w:marTop w:val="0"/>
      <w:marBottom w:val="0"/>
      <w:divBdr>
        <w:top w:val="none" w:sz="0" w:space="0" w:color="auto"/>
        <w:left w:val="none" w:sz="0" w:space="0" w:color="auto"/>
        <w:bottom w:val="none" w:sz="0" w:space="0" w:color="auto"/>
        <w:right w:val="none" w:sz="0" w:space="0" w:color="auto"/>
      </w:divBdr>
    </w:div>
    <w:div w:id="2085184137">
      <w:bodyDiv w:val="1"/>
      <w:marLeft w:val="0"/>
      <w:marRight w:val="0"/>
      <w:marTop w:val="0"/>
      <w:marBottom w:val="0"/>
      <w:divBdr>
        <w:top w:val="none" w:sz="0" w:space="0" w:color="auto"/>
        <w:left w:val="none" w:sz="0" w:space="0" w:color="auto"/>
        <w:bottom w:val="none" w:sz="0" w:space="0" w:color="auto"/>
        <w:right w:val="none" w:sz="0" w:space="0" w:color="auto"/>
      </w:divBdr>
    </w:div>
    <w:div w:id="2103450907">
      <w:bodyDiv w:val="1"/>
      <w:marLeft w:val="0"/>
      <w:marRight w:val="0"/>
      <w:marTop w:val="0"/>
      <w:marBottom w:val="0"/>
      <w:divBdr>
        <w:top w:val="none" w:sz="0" w:space="0" w:color="auto"/>
        <w:left w:val="none" w:sz="0" w:space="0" w:color="auto"/>
        <w:bottom w:val="none" w:sz="0" w:space="0" w:color="auto"/>
        <w:right w:val="none" w:sz="0" w:space="0" w:color="auto"/>
      </w:divBdr>
    </w:div>
    <w:div w:id="2108379969">
      <w:bodyDiv w:val="1"/>
      <w:marLeft w:val="0"/>
      <w:marRight w:val="0"/>
      <w:marTop w:val="0"/>
      <w:marBottom w:val="0"/>
      <w:divBdr>
        <w:top w:val="none" w:sz="0" w:space="0" w:color="auto"/>
        <w:left w:val="none" w:sz="0" w:space="0" w:color="auto"/>
        <w:bottom w:val="none" w:sz="0" w:space="0" w:color="auto"/>
        <w:right w:val="none" w:sz="0" w:space="0" w:color="auto"/>
      </w:divBdr>
    </w:div>
    <w:div w:id="2110736594">
      <w:bodyDiv w:val="1"/>
      <w:marLeft w:val="0"/>
      <w:marRight w:val="0"/>
      <w:marTop w:val="0"/>
      <w:marBottom w:val="0"/>
      <w:divBdr>
        <w:top w:val="none" w:sz="0" w:space="0" w:color="auto"/>
        <w:left w:val="none" w:sz="0" w:space="0" w:color="auto"/>
        <w:bottom w:val="none" w:sz="0" w:space="0" w:color="auto"/>
        <w:right w:val="none" w:sz="0" w:space="0" w:color="auto"/>
      </w:divBdr>
    </w:div>
    <w:div w:id="2115048687">
      <w:bodyDiv w:val="1"/>
      <w:marLeft w:val="0"/>
      <w:marRight w:val="0"/>
      <w:marTop w:val="0"/>
      <w:marBottom w:val="0"/>
      <w:divBdr>
        <w:top w:val="none" w:sz="0" w:space="0" w:color="auto"/>
        <w:left w:val="none" w:sz="0" w:space="0" w:color="auto"/>
        <w:bottom w:val="none" w:sz="0" w:space="0" w:color="auto"/>
        <w:right w:val="none" w:sz="0" w:space="0" w:color="auto"/>
      </w:divBdr>
    </w:div>
    <w:div w:id="2119905290">
      <w:bodyDiv w:val="1"/>
      <w:marLeft w:val="0"/>
      <w:marRight w:val="0"/>
      <w:marTop w:val="0"/>
      <w:marBottom w:val="0"/>
      <w:divBdr>
        <w:top w:val="none" w:sz="0" w:space="0" w:color="auto"/>
        <w:left w:val="none" w:sz="0" w:space="0" w:color="auto"/>
        <w:bottom w:val="none" w:sz="0" w:space="0" w:color="auto"/>
        <w:right w:val="none" w:sz="0" w:space="0" w:color="auto"/>
      </w:divBdr>
    </w:div>
    <w:div w:id="2121684138">
      <w:bodyDiv w:val="1"/>
      <w:marLeft w:val="0"/>
      <w:marRight w:val="0"/>
      <w:marTop w:val="0"/>
      <w:marBottom w:val="0"/>
      <w:divBdr>
        <w:top w:val="none" w:sz="0" w:space="0" w:color="auto"/>
        <w:left w:val="none" w:sz="0" w:space="0" w:color="auto"/>
        <w:bottom w:val="none" w:sz="0" w:space="0" w:color="auto"/>
        <w:right w:val="none" w:sz="0" w:space="0" w:color="auto"/>
      </w:divBdr>
    </w:div>
    <w:div w:id="2126806754">
      <w:bodyDiv w:val="1"/>
      <w:marLeft w:val="0"/>
      <w:marRight w:val="0"/>
      <w:marTop w:val="0"/>
      <w:marBottom w:val="0"/>
      <w:divBdr>
        <w:top w:val="none" w:sz="0" w:space="0" w:color="auto"/>
        <w:left w:val="none" w:sz="0" w:space="0" w:color="auto"/>
        <w:bottom w:val="none" w:sz="0" w:space="0" w:color="auto"/>
        <w:right w:val="none" w:sz="0" w:space="0" w:color="auto"/>
      </w:divBdr>
    </w:div>
    <w:div w:id="213228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rawdown.org" TargetMode="External"/><Relationship Id="rId18" Type="http://schemas.openxmlformats.org/officeDocument/2006/relationships/hyperlink" Target="http://www.drawdown.org" TargetMode="External"/><Relationship Id="rId26" Type="http://schemas.openxmlformats.org/officeDocument/2006/relationships/hyperlink" Target="https://www.sciencedirect.com/science/article/pii/S0959652618316652" TargetMode="External"/><Relationship Id="rId21" Type="http://schemas.openxmlformats.org/officeDocument/2006/relationships/chart" Target="charts/chart4.xml"/><Relationship Id="rId34" Type="http://schemas.openxmlformats.org/officeDocument/2006/relationships/hyperlink" Target="https://www.energy.gov/sites/prod/files/SunShot%20Vision%20Study.pdf" TargetMode="Externa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footer" Target="footer2.xml"/><Relationship Id="rId25" Type="http://schemas.openxmlformats.org/officeDocument/2006/relationships/hyperlink" Target="https://www.sciencedirect.com/science/article/pii/S0959652618316652" TargetMode="External"/><Relationship Id="rId33" Type="http://schemas.openxmlformats.org/officeDocument/2006/relationships/hyperlink" Target="http://energywatchgroup.org/wp-content/uploads/EWG_LUT_100RE_All_Sectors_Global_Report_2019.pdf"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hart" Target="charts/chart3.xml"/><Relationship Id="rId29" Type="http://schemas.openxmlformats.org/officeDocument/2006/relationships/hyperlink" Target="https://eneken.ieej.or.jp/data/812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hyperlink" Target="https://www.sciencedirect.com/science/article/pii/S0959652618316652" TargetMode="External"/><Relationship Id="rId32" Type="http://schemas.openxmlformats.org/officeDocument/2006/relationships/hyperlink" Target="https://www.nrel.gov/docs/fy04osti/33947.pd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energy.gov/eere/solar/sunshot-2030" TargetMode="External"/><Relationship Id="rId28" Type="http://schemas.openxmlformats.org/officeDocument/2006/relationships/hyperlink" Target="https://www.imperial.ac.uk/media/imperial-college/grantham-institute/public/publications/collaborative-publications/Expect-the-Unexpected_CTI_Imperial.pdf" TargetMode="External"/><Relationship Id="rId36" Type="http://schemas.openxmlformats.org/officeDocument/2006/relationships/fontTable" Target="fontTable.xml"/><Relationship Id="rId10" Type="http://schemas.openxmlformats.org/officeDocument/2006/relationships/hyperlink" Target="mailto:info@drawdown.org" TargetMode="External"/><Relationship Id="rId19" Type="http://schemas.openxmlformats.org/officeDocument/2006/relationships/chart" Target="charts/chart2.xml"/><Relationship Id="rId31" Type="http://schemas.openxmlformats.org/officeDocument/2006/relationships/hyperlink" Target="http://www.nrel.gov/docs/fy13osti/57582.pdf"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1.xml"/><Relationship Id="rId22" Type="http://schemas.openxmlformats.org/officeDocument/2006/relationships/hyperlink" Target="https://www.navigant.com/-/media/www/site/downloads/energy/2018/navigant2018energytransitionwithin15c.pdf" TargetMode="External"/><Relationship Id="rId27" Type="http://schemas.openxmlformats.org/officeDocument/2006/relationships/hyperlink" Target="https://www.equinor.com/en/news/07jun2018-energy-perspectives.html" TargetMode="External"/><Relationship Id="rId30" Type="http://schemas.openxmlformats.org/officeDocument/2006/relationships/hyperlink" Target="http://lup.lub.lu.se/luur/download?func=downloadFile&amp;recordOId=8879209&amp;fileOId=8879218" TargetMode="External"/><Relationship Id="rId35" Type="http://schemas.openxmlformats.org/officeDocument/2006/relationships/hyperlink" Target="http://doi.org/10.1039/C4CS00458B" TargetMode="Externa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joaopedrogouveia/Desktop/DD/1_Technical%20Reports/02_Latest%20Reports%20%20(September2019)/Solar%20Farms/1_Template%20Excel%20Graphs%20Solar%20Farm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joaopedrogouveia/Desktop/DD/1_Technical%20Reports/02_Latest%20Reports%20%20(September2019)/Solar%20Farms/1_Template%20Excel%20Graphs%20Solar%20Farm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joaopedrogouveia/Desktop/DD/1_ELC%20Sector_Global%20Models%20Versions/14_29June%202020/SolarPVUtility_RRS_ELECGEN_v1.1b_26Jun2020.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75426693278368"/>
          <c:y val="7.5323906311019082E-2"/>
          <c:w val="0.84457895434453956"/>
          <c:h val="0.75074908998259593"/>
        </c:manualLayout>
      </c:layout>
      <c:barChart>
        <c:barDir val="col"/>
        <c:grouping val="clustered"/>
        <c:varyColors val="0"/>
        <c:ser>
          <c:idx val="0"/>
          <c:order val="0"/>
          <c:tx>
            <c:strRef>
              <c:f>Sheet1!$B$1:$B$2</c:f>
              <c:strCache>
                <c:ptCount val="2"/>
                <c:pt idx="0">
                  <c:v>Global Cumulative Installed Solar PV capacity ( Source : IRENA 2018)</c:v>
                </c:pt>
                <c:pt idx="1">
                  <c:v>Cumulative Installed Capacity (GW)</c:v>
                </c:pt>
              </c:strCache>
            </c:strRef>
          </c:tx>
          <c:spPr>
            <a:solidFill>
              <a:schemeClr val="accent1"/>
            </a:solidFill>
            <a:ln>
              <a:noFill/>
            </a:ln>
            <a:effectLst/>
          </c:spPr>
          <c:invertIfNegative val="0"/>
          <c:cat>
            <c:numRef>
              <c:f>Sheet1!$A$3:$A$12</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Sheet1!$B$3:$B$12</c:f>
              <c:numCache>
                <c:formatCode>General</c:formatCode>
                <c:ptCount val="10"/>
                <c:pt idx="0">
                  <c:v>14.68</c:v>
                </c:pt>
                <c:pt idx="1">
                  <c:v>22.48</c:v>
                </c:pt>
                <c:pt idx="2">
                  <c:v>39.06</c:v>
                </c:pt>
                <c:pt idx="3">
                  <c:v>69.599999999999994</c:v>
                </c:pt>
                <c:pt idx="4">
                  <c:v>96.97</c:v>
                </c:pt>
                <c:pt idx="5">
                  <c:v>134.05000000000001</c:v>
                </c:pt>
                <c:pt idx="6">
                  <c:v>169.64</c:v>
                </c:pt>
                <c:pt idx="7">
                  <c:v>221.28</c:v>
                </c:pt>
                <c:pt idx="8">
                  <c:v>292.17</c:v>
                </c:pt>
                <c:pt idx="9">
                  <c:v>384.62</c:v>
                </c:pt>
              </c:numCache>
            </c:numRef>
          </c:val>
          <c:extLst>
            <c:ext xmlns:c16="http://schemas.microsoft.com/office/drawing/2014/chart" uri="{C3380CC4-5D6E-409C-BE32-E72D297353CC}">
              <c16:uniqueId val="{00000000-6768-40A2-89CE-07166020FD0C}"/>
            </c:ext>
          </c:extLst>
        </c:ser>
        <c:dLbls>
          <c:showLegendKey val="0"/>
          <c:showVal val="0"/>
          <c:showCatName val="0"/>
          <c:showSerName val="0"/>
          <c:showPercent val="0"/>
          <c:showBubbleSize val="0"/>
        </c:dLbls>
        <c:gapWidth val="219"/>
        <c:overlap val="-27"/>
        <c:axId val="485746640"/>
        <c:axId val="485745360"/>
      </c:barChart>
      <c:catAx>
        <c:axId val="485746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745360"/>
        <c:crosses val="autoZero"/>
        <c:auto val="1"/>
        <c:lblAlgn val="ctr"/>
        <c:lblOffset val="100"/>
        <c:noMultiLvlLbl val="0"/>
      </c:catAx>
      <c:valAx>
        <c:axId val="48574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746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'Adoption Plots'!$J$7</c:f>
          <c:strCache>
            <c:ptCount val="1"/>
            <c:pt idx="0">
              <c:v>World Adoption in Functional Units</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 ##0_-;\-* #\ ##0_-;_-* "-"??_-;_-@_-</c:formatCode>
                <c:ptCount val="46"/>
                <c:pt idx="0">
                  <c:v>162.20813167925704</c:v>
                </c:pt>
                <c:pt idx="1">
                  <c:v>225.54904372432122</c:v>
                </c:pt>
                <c:pt idx="2">
                  <c:v>291.54694658029257</c:v>
                </c:pt>
                <c:pt idx="3">
                  <c:v>273.98280000000159</c:v>
                </c:pt>
                <c:pt idx="4">
                  <c:v>283.55765263377543</c:v>
                </c:pt>
                <c:pt idx="5">
                  <c:v>293.13250526755292</c:v>
                </c:pt>
                <c:pt idx="6">
                  <c:v>302.70735790132676</c:v>
                </c:pt>
                <c:pt idx="7">
                  <c:v>312.2822105351006</c:v>
                </c:pt>
                <c:pt idx="8">
                  <c:v>321.85706316887445</c:v>
                </c:pt>
                <c:pt idx="9">
                  <c:v>331.43191580264829</c:v>
                </c:pt>
                <c:pt idx="10">
                  <c:v>341.00676843642577</c:v>
                </c:pt>
                <c:pt idx="11">
                  <c:v>350.58162107019962</c:v>
                </c:pt>
                <c:pt idx="12">
                  <c:v>360.15647370397346</c:v>
                </c:pt>
                <c:pt idx="13">
                  <c:v>369.7313263377473</c:v>
                </c:pt>
                <c:pt idx="14">
                  <c:v>379.30617897152115</c:v>
                </c:pt>
                <c:pt idx="15">
                  <c:v>388.88103160529863</c:v>
                </c:pt>
                <c:pt idx="16">
                  <c:v>398.45588423907247</c:v>
                </c:pt>
                <c:pt idx="17">
                  <c:v>408.03073687284632</c:v>
                </c:pt>
                <c:pt idx="18">
                  <c:v>417.60558950662016</c:v>
                </c:pt>
                <c:pt idx="19">
                  <c:v>427.18044214039401</c:v>
                </c:pt>
                <c:pt idx="20">
                  <c:v>436.75529477417149</c:v>
                </c:pt>
                <c:pt idx="21">
                  <c:v>446.33014740794533</c:v>
                </c:pt>
                <c:pt idx="22">
                  <c:v>455.90500004171918</c:v>
                </c:pt>
                <c:pt idx="23">
                  <c:v>465.47985267549302</c:v>
                </c:pt>
                <c:pt idx="24">
                  <c:v>475.05470530926686</c:v>
                </c:pt>
                <c:pt idx="25">
                  <c:v>484.62955794304071</c:v>
                </c:pt>
                <c:pt idx="26">
                  <c:v>494.20441057681819</c:v>
                </c:pt>
                <c:pt idx="27">
                  <c:v>503.77926321059203</c:v>
                </c:pt>
                <c:pt idx="28">
                  <c:v>513.35411584436588</c:v>
                </c:pt>
                <c:pt idx="29">
                  <c:v>522.92896847813972</c:v>
                </c:pt>
                <c:pt idx="30">
                  <c:v>532.50382111191357</c:v>
                </c:pt>
                <c:pt idx="31">
                  <c:v>542.07867374569105</c:v>
                </c:pt>
                <c:pt idx="32">
                  <c:v>551.65352637946489</c:v>
                </c:pt>
                <c:pt idx="33">
                  <c:v>561.22837901323874</c:v>
                </c:pt>
                <c:pt idx="34">
                  <c:v>570.80323164701258</c:v>
                </c:pt>
                <c:pt idx="35">
                  <c:v>580.37808428078642</c:v>
                </c:pt>
                <c:pt idx="36">
                  <c:v>589.95293691456391</c:v>
                </c:pt>
                <c:pt idx="37">
                  <c:v>599.52778954833775</c:v>
                </c:pt>
                <c:pt idx="38">
                  <c:v>609.10264218211159</c:v>
                </c:pt>
                <c:pt idx="39">
                  <c:v>618.67749481588544</c:v>
                </c:pt>
                <c:pt idx="40">
                  <c:v>628.25234744965928</c:v>
                </c:pt>
                <c:pt idx="41">
                  <c:v>637.82720008343676</c:v>
                </c:pt>
                <c:pt idx="42">
                  <c:v>647.40205271721061</c:v>
                </c:pt>
                <c:pt idx="43">
                  <c:v>656.97690535098445</c:v>
                </c:pt>
                <c:pt idx="44">
                  <c:v>666.5517579847583</c:v>
                </c:pt>
                <c:pt idx="45">
                  <c:v>676.12661061853214</c:v>
                </c:pt>
              </c:numCache>
            </c:numRef>
          </c:val>
          <c:smooth val="1"/>
          <c:extLst>
            <c:ext xmlns:c16="http://schemas.microsoft.com/office/drawing/2014/chart" uri="{C3380CC4-5D6E-409C-BE32-E72D297353CC}">
              <c16:uniqueId val="{00000000-410F-6A40-AEFB-7628A71CE145}"/>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 ##0_-;\-* #\ ##0_-;_-* "-"??_-;_-@_-</c:formatCode>
                <c:ptCount val="46"/>
                <c:pt idx="0">
                  <c:v>162.20813167925704</c:v>
                </c:pt>
                <c:pt idx="1">
                  <c:v>225.54904372432122</c:v>
                </c:pt>
                <c:pt idx="2">
                  <c:v>291.54694658029257</c:v>
                </c:pt>
                <c:pt idx="3">
                  <c:v>361.02577693274429</c:v>
                </c:pt>
                <c:pt idx="4">
                  <c:v>434.80947146724975</c:v>
                </c:pt>
                <c:pt idx="5">
                  <c:v>513.72196686938219</c:v>
                </c:pt>
                <c:pt idx="6">
                  <c:v>598.58719982471484</c:v>
                </c:pt>
                <c:pt idx="7">
                  <c:v>690.2291070188212</c:v>
                </c:pt>
                <c:pt idx="8">
                  <c:v>789.47162513727426</c:v>
                </c:pt>
                <c:pt idx="9">
                  <c:v>897.1386908656475</c:v>
                </c:pt>
                <c:pt idx="10">
                  <c:v>1014.0542408895142</c:v>
                </c:pt>
                <c:pt idx="11">
                  <c:v>1141.0422118944475</c:v>
                </c:pt>
                <c:pt idx="12">
                  <c:v>1278.926540566021</c:v>
                </c:pt>
                <c:pt idx="13">
                  <c:v>1428.5311635898074</c:v>
                </c:pt>
                <c:pt idx="14">
                  <c:v>1590.6800176513807</c:v>
                </c:pt>
                <c:pt idx="15">
                  <c:v>1766.1970394363138</c:v>
                </c:pt>
                <c:pt idx="16">
                  <c:v>1955.9061656301801</c:v>
                </c:pt>
                <c:pt idx="17">
                  <c:v>2160.6313329185527</c:v>
                </c:pt>
                <c:pt idx="18">
                  <c:v>2381.196477987005</c:v>
                </c:pt>
                <c:pt idx="19">
                  <c:v>2618.4255375211105</c:v>
                </c:pt>
                <c:pt idx="20">
                  <c:v>2873.1424482064422</c:v>
                </c:pt>
                <c:pt idx="21">
                  <c:v>3146.1711467285731</c:v>
                </c:pt>
                <c:pt idx="22">
                  <c:v>3438.3355697730776</c:v>
                </c:pt>
                <c:pt idx="23">
                  <c:v>3750.4596540255275</c:v>
                </c:pt>
                <c:pt idx="24">
                  <c:v>4083.3673361714973</c:v>
                </c:pt>
                <c:pt idx="25">
                  <c:v>4437.882552896559</c:v>
                </c:pt>
                <c:pt idx="26">
                  <c:v>4814.8292408862881</c:v>
                </c:pt>
                <c:pt idx="27">
                  <c:v>5215.0313368262559</c:v>
                </c:pt>
                <c:pt idx="28">
                  <c:v>5639.3127774020359</c:v>
                </c:pt>
                <c:pt idx="29">
                  <c:v>6088.497499299202</c:v>
                </c:pt>
                <c:pt idx="30">
                  <c:v>6563.4094392033276</c:v>
                </c:pt>
                <c:pt idx="31">
                  <c:v>7064.8725337999858</c:v>
                </c:pt>
                <c:pt idx="32">
                  <c:v>7593.7107197747482</c:v>
                </c:pt>
                <c:pt idx="33">
                  <c:v>8150.7479338131907</c:v>
                </c:pt>
                <c:pt idx="34">
                  <c:v>8736.8081126008856</c:v>
                </c:pt>
                <c:pt idx="35">
                  <c:v>9352.7151928234071</c:v>
                </c:pt>
                <c:pt idx="36">
                  <c:v>9999.2931111663256</c:v>
                </c:pt>
                <c:pt idx="37">
                  <c:v>10677.365804315217</c:v>
                </c:pt>
                <c:pt idx="38">
                  <c:v>11387.757208955654</c:v>
                </c:pt>
                <c:pt idx="39">
                  <c:v>12131.291261773209</c:v>
                </c:pt>
                <c:pt idx="40">
                  <c:v>12908.791899453456</c:v>
                </c:pt>
                <c:pt idx="41">
                  <c:v>13721.08305868197</c:v>
                </c:pt>
                <c:pt idx="42">
                  <c:v>14568.988676144321</c:v>
                </c:pt>
                <c:pt idx="43">
                  <c:v>15453.332688526085</c:v>
                </c:pt>
                <c:pt idx="44">
                  <c:v>16374.939032512832</c:v>
                </c:pt>
                <c:pt idx="45">
                  <c:v>17334.631644790141</c:v>
                </c:pt>
              </c:numCache>
            </c:numRef>
          </c:val>
          <c:smooth val="0"/>
          <c:extLst>
            <c:ext xmlns:c16="http://schemas.microsoft.com/office/drawing/2014/chart" uri="{C3380CC4-5D6E-409C-BE32-E72D297353CC}">
              <c16:uniqueId val="{00000001-410F-6A40-AEFB-7628A71CE145}"/>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 ##0_-;\-* #\ ##0_-;_-* "-"??_-;_-@_-</c:formatCode>
                <c:ptCount val="46"/>
                <c:pt idx="0">
                  <c:v>144.08000000000001</c:v>
                </c:pt>
                <c:pt idx="1">
                  <c:v>188.43600000000001</c:v>
                </c:pt>
                <c:pt idx="2">
                  <c:v>255.48599999999999</c:v>
                </c:pt>
                <c:pt idx="3">
                  <c:v>613.95656254992707</c:v>
                </c:pt>
                <c:pt idx="4">
                  <c:v>790.92309092309085</c:v>
                </c:pt>
                <c:pt idx="5">
                  <c:v>1059.7677303498244</c:v>
                </c:pt>
                <c:pt idx="6">
                  <c:v>1411.57711731534</c:v>
                </c:pt>
                <c:pt idx="7">
                  <c:v>1779.5946680268141</c:v>
                </c:pt>
                <c:pt idx="8">
                  <c:v>2182.5885066506667</c:v>
                </c:pt>
                <c:pt idx="9">
                  <c:v>2617.9455803635078</c:v>
                </c:pt>
                <c:pt idx="10">
                  <c:v>3108.2532030422185</c:v>
                </c:pt>
                <c:pt idx="11">
                  <c:v>3575.297221762592</c:v>
                </c:pt>
                <c:pt idx="12">
                  <c:v>4092.0656838020536</c:v>
                </c:pt>
                <c:pt idx="13">
                  <c:v>4630.7451696369426</c:v>
                </c:pt>
                <c:pt idx="14">
                  <c:v>5240.319482272108</c:v>
                </c:pt>
                <c:pt idx="15">
                  <c:v>5868.5327894881748</c:v>
                </c:pt>
                <c:pt idx="16">
                  <c:v>6352.1192416802551</c:v>
                </c:pt>
                <c:pt idx="17">
                  <c:v>6952.3122944629431</c:v>
                </c:pt>
                <c:pt idx="18">
                  <c:v>7561.3511069241022</c:v>
                </c:pt>
                <c:pt idx="19">
                  <c:v>8176.6226262403434</c:v>
                </c:pt>
                <c:pt idx="20">
                  <c:v>8795.6380846401316</c:v>
                </c:pt>
                <c:pt idx="21">
                  <c:v>9415.4115741445112</c:v>
                </c:pt>
                <c:pt idx="22">
                  <c:v>10033.702897085657</c:v>
                </c:pt>
                <c:pt idx="23">
                  <c:v>10647.774715588326</c:v>
                </c:pt>
                <c:pt idx="24">
                  <c:v>11255.013976829121</c:v>
                </c:pt>
                <c:pt idx="25">
                  <c:v>11862.796709940254</c:v>
                </c:pt>
                <c:pt idx="26">
                  <c:v>12438.542616231542</c:v>
                </c:pt>
                <c:pt idx="27">
                  <c:v>13009.605888746381</c:v>
                </c:pt>
                <c:pt idx="28">
                  <c:v>13563.384392705788</c:v>
                </c:pt>
                <c:pt idx="29">
                  <c:v>14097.265075286377</c:v>
                </c:pt>
                <c:pt idx="30">
                  <c:v>14631.731088882805</c:v>
                </c:pt>
                <c:pt idx="31">
                  <c:v>15164.636980017205</c:v>
                </c:pt>
                <c:pt idx="32">
                  <c:v>15785.365590739639</c:v>
                </c:pt>
                <c:pt idx="33">
                  <c:v>16406.745726598299</c:v>
                </c:pt>
                <c:pt idx="34">
                  <c:v>17028.100633128499</c:v>
                </c:pt>
                <c:pt idx="35">
                  <c:v>17741.907651344725</c:v>
                </c:pt>
                <c:pt idx="36">
                  <c:v>18181.98452181754</c:v>
                </c:pt>
                <c:pt idx="37">
                  <c:v>18797.658128300278</c:v>
                </c:pt>
                <c:pt idx="38">
                  <c:v>19410.684560341062</c:v>
                </c:pt>
                <c:pt idx="39">
                  <c:v>20020.387063475209</c:v>
                </c:pt>
                <c:pt idx="40">
                  <c:v>20626.088883238037</c:v>
                </c:pt>
                <c:pt idx="41">
                  <c:v>21227.113265164851</c:v>
                </c:pt>
                <c:pt idx="42">
                  <c:v>21822.78345479097</c:v>
                </c:pt>
                <c:pt idx="43">
                  <c:v>22412.422697651709</c:v>
                </c:pt>
                <c:pt idx="44">
                  <c:v>22995.354239282377</c:v>
                </c:pt>
                <c:pt idx="45">
                  <c:v>23570.901325218289</c:v>
                </c:pt>
              </c:numCache>
            </c:numRef>
          </c:val>
          <c:smooth val="0"/>
          <c:extLst>
            <c:ext xmlns:c16="http://schemas.microsoft.com/office/drawing/2014/chart" uri="{C3380CC4-5D6E-409C-BE32-E72D297353CC}">
              <c16:uniqueId val="{00000002-410F-6A40-AEFB-7628A71CE145}"/>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 ##0_-;\-* #\ ##0_-;_-* "-"??_-;_-@_-</c:formatCode>
                <c:ptCount val="46"/>
                <c:pt idx="0">
                  <c:v>144.08000000000001</c:v>
                </c:pt>
                <c:pt idx="1">
                  <c:v>188.43600000000001</c:v>
                </c:pt>
                <c:pt idx="2">
                  <c:v>255.48599999999999</c:v>
                </c:pt>
                <c:pt idx="3">
                  <c:v>613.95656254992707</c:v>
                </c:pt>
                <c:pt idx="4">
                  <c:v>790.92309092309085</c:v>
                </c:pt>
                <c:pt idx="5">
                  <c:v>1059.7677303498244</c:v>
                </c:pt>
                <c:pt idx="6">
                  <c:v>1411.57711731534</c:v>
                </c:pt>
                <c:pt idx="7">
                  <c:v>1779.5946680268141</c:v>
                </c:pt>
                <c:pt idx="8">
                  <c:v>2182.5885066506667</c:v>
                </c:pt>
                <c:pt idx="9">
                  <c:v>2617.9455803635078</c:v>
                </c:pt>
                <c:pt idx="10">
                  <c:v>3108.2532030422185</c:v>
                </c:pt>
                <c:pt idx="11">
                  <c:v>3575.297221762592</c:v>
                </c:pt>
                <c:pt idx="12">
                  <c:v>4092.0656838020536</c:v>
                </c:pt>
                <c:pt idx="13">
                  <c:v>4630.7451696369426</c:v>
                </c:pt>
                <c:pt idx="14">
                  <c:v>5240.319482272108</c:v>
                </c:pt>
                <c:pt idx="15">
                  <c:v>5868.5327894881748</c:v>
                </c:pt>
                <c:pt idx="16">
                  <c:v>6352.1192416802551</c:v>
                </c:pt>
                <c:pt idx="17">
                  <c:v>6952.3122944629431</c:v>
                </c:pt>
                <c:pt idx="18">
                  <c:v>7561.3511069241022</c:v>
                </c:pt>
                <c:pt idx="19">
                  <c:v>8176.6226262403434</c:v>
                </c:pt>
                <c:pt idx="20">
                  <c:v>8795.6380846401316</c:v>
                </c:pt>
                <c:pt idx="21">
                  <c:v>9415.4115741445112</c:v>
                </c:pt>
                <c:pt idx="22">
                  <c:v>10033.702897085657</c:v>
                </c:pt>
                <c:pt idx="23">
                  <c:v>10647.774715588326</c:v>
                </c:pt>
                <c:pt idx="24">
                  <c:v>11255.013976829121</c:v>
                </c:pt>
                <c:pt idx="25">
                  <c:v>11862.796709940254</c:v>
                </c:pt>
                <c:pt idx="26">
                  <c:v>12438.542616231542</c:v>
                </c:pt>
                <c:pt idx="27">
                  <c:v>13009.605888746381</c:v>
                </c:pt>
                <c:pt idx="28">
                  <c:v>13563.384392705788</c:v>
                </c:pt>
                <c:pt idx="29">
                  <c:v>14097.265075286377</c:v>
                </c:pt>
                <c:pt idx="30">
                  <c:v>14631.731088882805</c:v>
                </c:pt>
                <c:pt idx="31">
                  <c:v>15164.636980017205</c:v>
                </c:pt>
                <c:pt idx="32">
                  <c:v>15785.365590739639</c:v>
                </c:pt>
                <c:pt idx="33">
                  <c:v>16406.745726598299</c:v>
                </c:pt>
                <c:pt idx="34">
                  <c:v>17028.100633128499</c:v>
                </c:pt>
                <c:pt idx="35">
                  <c:v>17741.907651344725</c:v>
                </c:pt>
                <c:pt idx="36">
                  <c:v>18181.98452181754</c:v>
                </c:pt>
                <c:pt idx="37">
                  <c:v>18797.658128300278</c:v>
                </c:pt>
                <c:pt idx="38">
                  <c:v>19410.684560341062</c:v>
                </c:pt>
                <c:pt idx="39">
                  <c:v>20020.387063475209</c:v>
                </c:pt>
                <c:pt idx="40">
                  <c:v>20626.088883238037</c:v>
                </c:pt>
                <c:pt idx="41">
                  <c:v>21227.113265164851</c:v>
                </c:pt>
                <c:pt idx="42">
                  <c:v>21822.78345479097</c:v>
                </c:pt>
                <c:pt idx="43">
                  <c:v>22412.422697651709</c:v>
                </c:pt>
                <c:pt idx="44">
                  <c:v>22995.354239282377</c:v>
                </c:pt>
                <c:pt idx="45">
                  <c:v>23570.901325218289</c:v>
                </c:pt>
              </c:numCache>
            </c:numRef>
          </c:val>
          <c:smooth val="0"/>
          <c:extLst>
            <c:ext xmlns:c16="http://schemas.microsoft.com/office/drawing/2014/chart" uri="{C3380CC4-5D6E-409C-BE32-E72D297353CC}">
              <c16:uniqueId val="{00000003-410F-6A40-AEFB-7628A71CE145}"/>
            </c:ext>
          </c:extLst>
        </c:ser>
        <c:dLbls>
          <c:showLegendKey val="0"/>
          <c:showVal val="0"/>
          <c:showCatName val="0"/>
          <c:showSerName val="0"/>
          <c:showPercent val="0"/>
          <c:showBubbleSize val="0"/>
        </c:dLbls>
        <c:smooth val="0"/>
        <c:axId val="860800176"/>
        <c:axId val="860804528"/>
        <c:extLst>
          <c:ext xmlns:c15="http://schemas.microsoft.com/office/drawing/2012/chart" uri="{02D57815-91ED-43cb-92C2-25804820EDAC}">
            <c15:filteredLineSeries>
              <c15:ser>
                <c:idx val="4"/>
                <c:order val="1"/>
                <c:tx>
                  <c:strRef>
                    <c:extLst>
                      <c:ext uri="{02D57815-91ED-43cb-92C2-25804820EDAC}">
                        <c15:formulaRef>
                          <c15:sqref>'file:///C:/Users/Furness/Documents/Professional Initiatives/Project Drawdown/RRS Solutions/Transportation/Airplane FE/[AirplaneFE-RRSv1.1b-24Aug18.xlsm]Unit Adoption Calculations'!$AZ$135</c15:sqref>
                        </c15:formulaRef>
                      </c:ext>
                    </c:extLst>
                    <c:strCache>
                      <c:ptCount val="1"/>
                      <c:pt idx="0">
                        <c:v>OECD90</c:v>
                      </c:pt>
                    </c:strCache>
                  </c:strRef>
                </c:tx>
                <c:marker>
                  <c:symbol val="none"/>
                </c:marker>
                <c:cat>
                  <c:numRef>
                    <c:extLst>
                      <c:ex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c:ext uri="{02D57815-91ED-43cb-92C2-25804820EDAC}">
                        <c15:formulaRef>
                          <c15:sqref>'[1]Unit Adoption Calculations'!$AZ$136:$AZ$182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c:ext xmlns:c16="http://schemas.microsoft.com/office/drawing/2014/chart" uri="{C3380CC4-5D6E-409C-BE32-E72D297353CC}">
                    <c16:uniqueId val="{00000004-410F-6A40-AEFB-7628A71CE145}"/>
                  </c:ext>
                </c:extLst>
              </c15:ser>
            </c15:filteredLineSeries>
            <c15:filteredLineSeries>
              <c15:ser>
                <c:idx val="5"/>
                <c:order val="2"/>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Calculations'!$BA$135</c15:sqref>
                        </c15:formulaRef>
                      </c:ext>
                    </c:extLst>
                    <c:strCache>
                      <c:ptCount val="1"/>
                      <c:pt idx="0">
                        <c:v>Eastern Europe</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Calculations'!$BA$136:$BA$182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5-410F-6A40-AEFB-7628A71CE145}"/>
                  </c:ext>
                </c:extLst>
              </c15:ser>
            </c15:filteredLineSeries>
            <c15:filteredLineSeries>
              <c15:ser>
                <c:idx val="6"/>
                <c:order val="3"/>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Calculations'!$BB$135</c15:sqref>
                        </c15:formulaRef>
                      </c:ext>
                    </c:extLst>
                    <c:strCache>
                      <c:ptCount val="1"/>
                      <c:pt idx="0">
                        <c:v>Asia (Sans Japan)</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Calculations'!$BB$136:$BB$182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6-410F-6A40-AEFB-7628A71CE145}"/>
                  </c:ext>
                </c:extLst>
              </c15:ser>
            </c15:filteredLineSeries>
            <c15:filteredLineSeries>
              <c15:ser>
                <c:idx val="7"/>
                <c:order val="4"/>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Calculations'!$BC$135</c15:sqref>
                        </c15:formulaRef>
                      </c:ext>
                    </c:extLst>
                    <c:strCache>
                      <c:ptCount val="1"/>
                      <c:pt idx="0">
                        <c:v>Middle East and Africa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Calculations'!$BC$136:$BC$182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7-410F-6A40-AEFB-7628A71CE145}"/>
                  </c:ext>
                </c:extLst>
              </c15:ser>
            </c15:filteredLineSeries>
            <c15:filteredLineSeries>
              <c15:ser>
                <c:idx val="8"/>
                <c:order val="5"/>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Calculations'!$BD$135</c15:sqref>
                        </c15:formulaRef>
                      </c:ext>
                    </c:extLst>
                    <c:strCache>
                      <c:ptCount val="1"/>
                      <c:pt idx="0">
                        <c:v>Latin America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Calculations'!$BD$136:$BD$182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8-410F-6A40-AEFB-7628A71CE145}"/>
                  </c:ext>
                </c:extLst>
              </c15:ser>
            </c15:filteredLineSeries>
            <c15:filteredLineSeries>
              <c15:ser>
                <c:idx val="9"/>
                <c:order val="6"/>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Calculations'!$BE$135</c15:sqref>
                        </c15:formulaRef>
                      </c:ext>
                    </c:extLst>
                    <c:strCache>
                      <c:ptCount val="1"/>
                      <c:pt idx="0">
                        <c:v>China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Calculations'!$BE$136:$BE$166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9-410F-6A40-AEFB-7628A71CE145}"/>
                  </c:ext>
                </c:extLst>
              </c15:ser>
            </c15:filteredLineSeries>
            <c15:filteredLineSeries>
              <c15:ser>
                <c:idx val="10"/>
                <c:order val="7"/>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Calculations'!$BF$135</c15:sqref>
                        </c15:formulaRef>
                      </c:ext>
                    </c:extLst>
                    <c:strCache>
                      <c:ptCount val="1"/>
                      <c:pt idx="0">
                        <c:v>India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Calculations'!$BF$136:$BF$166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A-410F-6A40-AEFB-7628A71CE145}"/>
                  </c:ext>
                </c:extLst>
              </c15:ser>
            </c15:filteredLineSeries>
            <c15:filteredLineSeries>
              <c15:ser>
                <c:idx val="11"/>
                <c:order val="8"/>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Calculations'!$BG$135</c15:sqref>
                        </c15:formulaRef>
                      </c:ext>
                    </c:extLst>
                    <c:strCache>
                      <c:ptCount val="1"/>
                      <c:pt idx="0">
                        <c:v>EU</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Calculations'!$BG$136:$BG$166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B-410F-6A40-AEFB-7628A71CE145}"/>
                  </c:ext>
                </c:extLst>
              </c15:ser>
            </c15:filteredLineSeries>
            <c15:filteredLineSeries>
              <c15:ser>
                <c:idx val="12"/>
                <c:order val="9"/>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Calculations'!$BH$135</c15:sqref>
                        </c15:formulaRef>
                      </c:ext>
                    </c:extLst>
                    <c:strCache>
                      <c:ptCount val="1"/>
                      <c:pt idx="0">
                        <c:v>USA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Calculations'!$BH$136:$BH$166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C-410F-6A40-AEFB-7628A71CE145}"/>
                  </c:ext>
                </c:extLst>
              </c15:ser>
            </c15:filteredLineSeries>
          </c:ext>
        </c:extLst>
      </c:lineChart>
      <c:catAx>
        <c:axId val="860800176"/>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6305844485488684"/>
              <c:y val="0.9237116692959594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860804528"/>
        <c:crossesAt val="0"/>
        <c:auto val="1"/>
        <c:lblAlgn val="ctr"/>
        <c:lblOffset val="100"/>
        <c:tickLblSkip val="5"/>
        <c:tickMarkSkip val="5"/>
        <c:noMultiLvlLbl val="0"/>
      </c:catAx>
      <c:valAx>
        <c:axId val="860804528"/>
        <c:scaling>
          <c:orientation val="minMax"/>
        </c:scaling>
        <c:delete val="0"/>
        <c:axPos val="l"/>
        <c:majorGridlines/>
        <c:title>
          <c:tx>
            <c:rich>
              <a:bodyPr/>
              <a:lstStyle/>
              <a:p>
                <a:pPr>
                  <a:defRPr sz="900"/>
                </a:pPr>
                <a:r>
                  <a:rPr lang="en-US" sz="900" b="0" i="0" baseline="0">
                    <a:effectLst/>
                  </a:rPr>
                  <a:t>Global Adoption (Electricity generated by solution) (TWh)</a:t>
                </a:r>
                <a:endParaRPr lang="en-US" sz="900">
                  <a:effectLst/>
                </a:endParaRP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860800176"/>
        <c:crosses val="autoZero"/>
        <c:crossBetween val="between"/>
      </c:valAx>
    </c:plotArea>
    <c:legend>
      <c:legendPos val="r"/>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'Emissions Plots'!$J$7</c:f>
          <c:strCache>
            <c:ptCount val="1"/>
            <c:pt idx="0">
              <c:v>World Annual Emissions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 ##0_-;\-* #\ ##0_-;_-* "-"??_-;_-@_-</c:formatCode>
                <c:ptCount val="46"/>
                <c:pt idx="0">
                  <c:v>0</c:v>
                </c:pt>
                <c:pt idx="1">
                  <c:v>0</c:v>
                </c:pt>
                <c:pt idx="2">
                  <c:v>0</c:v>
                </c:pt>
                <c:pt idx="3">
                  <c:v>48.126969865657543</c:v>
                </c:pt>
                <c:pt idx="4">
                  <c:v>83.155039796595602</c:v>
                </c:pt>
                <c:pt idx="5">
                  <c:v>120.45136046420076</c:v>
                </c:pt>
                <c:pt idx="6">
                  <c:v>160.50915618204002</c:v>
                </c:pt>
                <c:pt idx="7">
                  <c:v>203.70453607098074</c:v>
                </c:pt>
                <c:pt idx="8">
                  <c:v>250.43408042215751</c:v>
                </c:pt>
                <c:pt idx="9">
                  <c:v>301.07659887706524</c:v>
                </c:pt>
                <c:pt idx="10">
                  <c:v>356.2220794012394</c:v>
                </c:pt>
                <c:pt idx="11">
                  <c:v>415.56658553345369</c:v>
                </c:pt>
                <c:pt idx="12">
                  <c:v>480.12288706149377</c:v>
                </c:pt>
                <c:pt idx="13">
                  <c:v>550.00993853917123</c:v>
                </c:pt>
                <c:pt idx="14">
                  <c:v>625.55810431856924</c:v>
                </c:pt>
                <c:pt idx="15">
                  <c:v>707.26797156377484</c:v>
                </c:pt>
                <c:pt idx="16">
                  <c:v>794.91033029287826</c:v>
                </c:pt>
                <c:pt idx="17">
                  <c:v>889.32568136398902</c:v>
                </c:pt>
                <c:pt idx="18">
                  <c:v>990.624256478961</c:v>
                </c:pt>
                <c:pt idx="19">
                  <c:v>1099.0855716623557</c:v>
                </c:pt>
                <c:pt idx="20">
                  <c:v>1214.7836339990067</c:v>
                </c:pt>
                <c:pt idx="21">
                  <c:v>1338.5129216791167</c:v>
                </c:pt>
                <c:pt idx="22">
                  <c:v>1469.9835707129778</c:v>
                </c:pt>
                <c:pt idx="23">
                  <c:v>1609.6079357222445</c:v>
                </c:pt>
                <c:pt idx="24">
                  <c:v>1757.5550068176371</c:v>
                </c:pt>
                <c:pt idx="25">
                  <c:v>1913.2434026787662</c:v>
                </c:pt>
                <c:pt idx="26">
                  <c:v>2079.3945490009833</c:v>
                </c:pt>
                <c:pt idx="27">
                  <c:v>2253.6516406016535</c:v>
                </c:pt>
                <c:pt idx="28">
                  <c:v>2437.0064629499843</c:v>
                </c:pt>
                <c:pt idx="29">
                  <c:v>2629.6019772055001</c:v>
                </c:pt>
                <c:pt idx="30">
                  <c:v>2830.9242807582386</c:v>
                </c:pt>
                <c:pt idx="31">
                  <c:v>3043.0006405308714</c:v>
                </c:pt>
                <c:pt idx="32">
                  <c:v>3264.0009418174723</c:v>
                </c:pt>
                <c:pt idx="33">
                  <c:v>3494.6344798536993</c:v>
                </c:pt>
                <c:pt idx="34">
                  <c:v>3738.7248032759453</c:v>
                </c:pt>
                <c:pt idx="35">
                  <c:v>4001.10093267209</c:v>
                </c:pt>
                <c:pt idx="36">
                  <c:v>4273.5507206840894</c:v>
                </c:pt>
                <c:pt idx="37">
                  <c:v>4558.5226590919638</c:v>
                </c:pt>
                <c:pt idx="38">
                  <c:v>4855.1617036704965</c:v>
                </c:pt>
                <c:pt idx="39">
                  <c:v>5163.5502508621139</c:v>
                </c:pt>
                <c:pt idx="40">
                  <c:v>5483.2474732602313</c:v>
                </c:pt>
                <c:pt idx="41">
                  <c:v>5815.8115998196345</c:v>
                </c:pt>
                <c:pt idx="42">
                  <c:v>6159.7535403955117</c:v>
                </c:pt>
                <c:pt idx="43">
                  <c:v>6515.5820787632065</c:v>
                </c:pt>
                <c:pt idx="44">
                  <c:v>6883.2804131514367</c:v>
                </c:pt>
                <c:pt idx="45">
                  <c:v>7265.5025418782616</c:v>
                </c:pt>
              </c:numCache>
            </c:numRef>
          </c:val>
          <c:smooth val="0"/>
          <c:extLst>
            <c:ext xmlns:c16="http://schemas.microsoft.com/office/drawing/2014/chart" uri="{C3380CC4-5D6E-409C-BE32-E72D297353CC}">
              <c16:uniqueId val="{00000000-A567-A34B-89E9-2A2B62F0C8A5}"/>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 ##0_-;\-* #\ ##0_-;_-* "-"??_-;_-@_-</c:formatCode>
                <c:ptCount val="46"/>
                <c:pt idx="0">
                  <c:v>0</c:v>
                </c:pt>
                <c:pt idx="1">
                  <c:v>0</c:v>
                </c:pt>
                <c:pt idx="2">
                  <c:v>0</c:v>
                </c:pt>
                <c:pt idx="3">
                  <c:v>187.97503947960294</c:v>
                </c:pt>
                <c:pt idx="4">
                  <c:v>278.93874954862963</c:v>
                </c:pt>
                <c:pt idx="5">
                  <c:v>418.6158992836157</c:v>
                </c:pt>
                <c:pt idx="6">
                  <c:v>601.54063974865232</c:v>
                </c:pt>
                <c:pt idx="7">
                  <c:v>790.84709043878786</c:v>
                </c:pt>
                <c:pt idx="8">
                  <c:v>996.52706707719415</c:v>
                </c:pt>
                <c:pt idx="9">
                  <c:v>1216.9126971039968</c:v>
                </c:pt>
                <c:pt idx="10">
                  <c:v>1464.6132992047578</c:v>
                </c:pt>
                <c:pt idx="11">
                  <c:v>1695.3205093992519</c:v>
                </c:pt>
                <c:pt idx="12">
                  <c:v>1950.1887238482516</c:v>
                </c:pt>
                <c:pt idx="13">
                  <c:v>2213.4494921627252</c:v>
                </c:pt>
                <c:pt idx="14">
                  <c:v>2510.2459455405929</c:v>
                </c:pt>
                <c:pt idx="15">
                  <c:v>2813.8656355101302</c:v>
                </c:pt>
                <c:pt idx="16">
                  <c:v>3038.7027839431344</c:v>
                </c:pt>
                <c:pt idx="17">
                  <c:v>3320.778087359397</c:v>
                </c:pt>
                <c:pt idx="18">
                  <c:v>3603.9928852711701</c:v>
                </c:pt>
                <c:pt idx="19">
                  <c:v>3886.9682405363396</c:v>
                </c:pt>
                <c:pt idx="20">
                  <c:v>4167.7423874692113</c:v>
                </c:pt>
                <c:pt idx="21">
                  <c:v>4446.6438535824836</c:v>
                </c:pt>
                <c:pt idx="22">
                  <c:v>4720.715276712067</c:v>
                </c:pt>
                <c:pt idx="23">
                  <c:v>4989.224776503258</c:v>
                </c:pt>
                <c:pt idx="24">
                  <c:v>5250.7566081995965</c:v>
                </c:pt>
                <c:pt idx="25">
                  <c:v>5506.6557252784351</c:v>
                </c:pt>
                <c:pt idx="26">
                  <c:v>5748.4722075449527</c:v>
                </c:pt>
                <c:pt idx="27">
                  <c:v>5982.2264339358208</c:v>
                </c:pt>
                <c:pt idx="28">
                  <c:v>6204.3044484365782</c:v>
                </c:pt>
                <c:pt idx="29">
                  <c:v>6413.5588068033412</c:v>
                </c:pt>
                <c:pt idx="30">
                  <c:v>6618.2174518746142</c:v>
                </c:pt>
                <c:pt idx="31">
                  <c:v>6821.6864194775962</c:v>
                </c:pt>
                <c:pt idx="32">
                  <c:v>7060.8416205540989</c:v>
                </c:pt>
                <c:pt idx="33">
                  <c:v>7296.1523946492116</c:v>
                </c:pt>
                <c:pt idx="34">
                  <c:v>7534.8113167696692</c:v>
                </c:pt>
                <c:pt idx="35">
                  <c:v>7827.4479317481137</c:v>
                </c:pt>
                <c:pt idx="36">
                  <c:v>7989.9799418122093</c:v>
                </c:pt>
                <c:pt idx="37">
                  <c:v>8231.5859195945395</c:v>
                </c:pt>
                <c:pt idx="38">
                  <c:v>8469.0273662600521</c:v>
                </c:pt>
                <c:pt idx="39">
                  <c:v>8701.9076934500335</c:v>
                </c:pt>
                <c:pt idx="40">
                  <c:v>8929.012132666503</c:v>
                </c:pt>
                <c:pt idx="41">
                  <c:v>9152.4166479254382</c:v>
                </c:pt>
                <c:pt idx="42">
                  <c:v>9369.2719148228498</c:v>
                </c:pt>
                <c:pt idx="43">
                  <c:v>9580.0205670237992</c:v>
                </c:pt>
                <c:pt idx="44">
                  <c:v>9784.2895061460458</c:v>
                </c:pt>
                <c:pt idx="45">
                  <c:v>9985.41246909234</c:v>
                </c:pt>
              </c:numCache>
            </c:numRef>
          </c:val>
          <c:smooth val="0"/>
          <c:extLst>
            <c:ext xmlns:c16="http://schemas.microsoft.com/office/drawing/2014/chart" uri="{C3380CC4-5D6E-409C-BE32-E72D297353CC}">
              <c16:uniqueId val="{00000001-A567-A34B-89E9-2A2B62F0C8A5}"/>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 ##0_-;\-* #\ ##0_-;_-* "-"??_-;_-@_-</c:formatCode>
                <c:ptCount val="46"/>
                <c:pt idx="0">
                  <c:v>0</c:v>
                </c:pt>
                <c:pt idx="1">
                  <c:v>0</c:v>
                </c:pt>
                <c:pt idx="2">
                  <c:v>0</c:v>
                </c:pt>
                <c:pt idx="3">
                  <c:v>187.97503947960294</c:v>
                </c:pt>
                <c:pt idx="4">
                  <c:v>278.93874954862963</c:v>
                </c:pt>
                <c:pt idx="5">
                  <c:v>418.6158992836157</c:v>
                </c:pt>
                <c:pt idx="6">
                  <c:v>601.54063974865232</c:v>
                </c:pt>
                <c:pt idx="7">
                  <c:v>790.84709043878786</c:v>
                </c:pt>
                <c:pt idx="8">
                  <c:v>996.52706707719415</c:v>
                </c:pt>
                <c:pt idx="9">
                  <c:v>1216.9126971039968</c:v>
                </c:pt>
                <c:pt idx="10">
                  <c:v>1464.6132992047578</c:v>
                </c:pt>
                <c:pt idx="11">
                  <c:v>1695.3205093992519</c:v>
                </c:pt>
                <c:pt idx="12">
                  <c:v>1950.1887238482516</c:v>
                </c:pt>
                <c:pt idx="13">
                  <c:v>2213.4494921627252</c:v>
                </c:pt>
                <c:pt idx="14">
                  <c:v>2510.2459455405929</c:v>
                </c:pt>
                <c:pt idx="15">
                  <c:v>2813.8656355101302</c:v>
                </c:pt>
                <c:pt idx="16">
                  <c:v>3038.7027839431344</c:v>
                </c:pt>
                <c:pt idx="17">
                  <c:v>3320.778087359397</c:v>
                </c:pt>
                <c:pt idx="18">
                  <c:v>3603.9928852711701</c:v>
                </c:pt>
                <c:pt idx="19">
                  <c:v>3886.9682405363396</c:v>
                </c:pt>
                <c:pt idx="20">
                  <c:v>4167.7423874692113</c:v>
                </c:pt>
                <c:pt idx="21">
                  <c:v>4446.6438535824836</c:v>
                </c:pt>
                <c:pt idx="22">
                  <c:v>4720.715276712067</c:v>
                </c:pt>
                <c:pt idx="23">
                  <c:v>4989.224776503258</c:v>
                </c:pt>
                <c:pt idx="24">
                  <c:v>5250.7566081995965</c:v>
                </c:pt>
                <c:pt idx="25">
                  <c:v>5506.6557252784351</c:v>
                </c:pt>
                <c:pt idx="26">
                  <c:v>5748.4722075449527</c:v>
                </c:pt>
                <c:pt idx="27">
                  <c:v>5982.2264339358208</c:v>
                </c:pt>
                <c:pt idx="28">
                  <c:v>6204.3044484365782</c:v>
                </c:pt>
                <c:pt idx="29">
                  <c:v>6413.5588068033412</c:v>
                </c:pt>
                <c:pt idx="30">
                  <c:v>6618.2174518746142</c:v>
                </c:pt>
                <c:pt idx="31">
                  <c:v>6821.6864194775962</c:v>
                </c:pt>
                <c:pt idx="32">
                  <c:v>7060.8416205540989</c:v>
                </c:pt>
                <c:pt idx="33">
                  <c:v>7296.1523946492116</c:v>
                </c:pt>
                <c:pt idx="34">
                  <c:v>7534.8113167696692</c:v>
                </c:pt>
                <c:pt idx="35">
                  <c:v>7827.4479317481137</c:v>
                </c:pt>
                <c:pt idx="36">
                  <c:v>7989.9799418122093</c:v>
                </c:pt>
                <c:pt idx="37">
                  <c:v>8231.5859195945395</c:v>
                </c:pt>
                <c:pt idx="38">
                  <c:v>8469.0273662600521</c:v>
                </c:pt>
                <c:pt idx="39">
                  <c:v>8701.9076934500335</c:v>
                </c:pt>
                <c:pt idx="40">
                  <c:v>8929.012132666503</c:v>
                </c:pt>
                <c:pt idx="41">
                  <c:v>9152.4166479254382</c:v>
                </c:pt>
                <c:pt idx="42">
                  <c:v>9369.2719148228498</c:v>
                </c:pt>
                <c:pt idx="43">
                  <c:v>9580.0205670237992</c:v>
                </c:pt>
                <c:pt idx="44">
                  <c:v>9784.2895061460458</c:v>
                </c:pt>
                <c:pt idx="45">
                  <c:v>9985.41246909234</c:v>
                </c:pt>
              </c:numCache>
            </c:numRef>
          </c:val>
          <c:smooth val="0"/>
          <c:extLst>
            <c:ext xmlns:c16="http://schemas.microsoft.com/office/drawing/2014/chart" uri="{C3380CC4-5D6E-409C-BE32-E72D297353CC}">
              <c16:uniqueId val="{00000002-A567-A34B-89E9-2A2B62F0C8A5}"/>
            </c:ext>
          </c:extLst>
        </c:ser>
        <c:dLbls>
          <c:showLegendKey val="0"/>
          <c:showVal val="0"/>
          <c:showCatName val="0"/>
          <c:showSerName val="0"/>
          <c:showPercent val="0"/>
          <c:showBubbleSize val="0"/>
        </c:dLbls>
        <c:smooth val="0"/>
        <c:axId val="1085025488"/>
        <c:axId val="1085026032"/>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A567-A34B-89E9-2A2B62F0C8A5}"/>
                  </c:ext>
                </c:extLst>
              </c15:ser>
            </c15:filteredLineSeries>
            <c15:filteredLineSeries>
              <c15:ser>
                <c:idx val="4"/>
                <c:order val="1"/>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Calculations'!$AZ$135</c15:sqref>
                        </c15:formulaRef>
                      </c:ext>
                    </c:extLst>
                    <c:strCache>
                      <c:ptCount val="1"/>
                      <c:pt idx="0">
                        <c:v>OECD90</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Calculations'!$AZ$136:$AZ$182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4-A567-A34B-89E9-2A2B62F0C8A5}"/>
                  </c:ext>
                </c:extLst>
              </c15:ser>
            </c15:filteredLineSeries>
            <c15:filteredLineSeries>
              <c15:ser>
                <c:idx val="5"/>
                <c:order val="2"/>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Calculations'!$BA$135</c15:sqref>
                        </c15:formulaRef>
                      </c:ext>
                    </c:extLst>
                    <c:strCache>
                      <c:ptCount val="1"/>
                      <c:pt idx="0">
                        <c:v>Eastern Europe</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Calculations'!$BA$136:$BA$182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5-A567-A34B-89E9-2A2B62F0C8A5}"/>
                  </c:ext>
                </c:extLst>
              </c15:ser>
            </c15:filteredLineSeries>
            <c15:filteredLineSeries>
              <c15:ser>
                <c:idx val="6"/>
                <c:order val="3"/>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Calculations'!$BB$135</c15:sqref>
                        </c15:formulaRef>
                      </c:ext>
                    </c:extLst>
                    <c:strCache>
                      <c:ptCount val="1"/>
                      <c:pt idx="0">
                        <c:v>Asia (Sans Japan)</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Calculations'!$BB$136:$BB$182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6-A567-A34B-89E9-2A2B62F0C8A5}"/>
                  </c:ext>
                </c:extLst>
              </c15:ser>
            </c15:filteredLineSeries>
            <c15:filteredLineSeries>
              <c15:ser>
                <c:idx val="7"/>
                <c:order val="4"/>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Calculations'!$BC$135</c15:sqref>
                        </c15:formulaRef>
                      </c:ext>
                    </c:extLst>
                    <c:strCache>
                      <c:ptCount val="1"/>
                      <c:pt idx="0">
                        <c:v>Middle East and Africa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Calculations'!$BC$136:$BC$182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7-A567-A34B-89E9-2A2B62F0C8A5}"/>
                  </c:ext>
                </c:extLst>
              </c15:ser>
            </c15:filteredLineSeries>
            <c15:filteredLineSeries>
              <c15:ser>
                <c:idx val="8"/>
                <c:order val="5"/>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Calculations'!$BD$135</c15:sqref>
                        </c15:formulaRef>
                      </c:ext>
                    </c:extLst>
                    <c:strCache>
                      <c:ptCount val="1"/>
                      <c:pt idx="0">
                        <c:v>Latin America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Calculations'!$BD$136:$BD$182</c15:sqref>
                        </c15:formulaRef>
                      </c:ext>
                    </c:extLst>
                    <c:numCache>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Cache>
                  </c:numRef>
                </c:val>
                <c:smooth val="1"/>
                <c:extLst xmlns:c15="http://schemas.microsoft.com/office/drawing/2012/chart">
                  <c:ext xmlns:c16="http://schemas.microsoft.com/office/drawing/2014/chart" uri="{C3380CC4-5D6E-409C-BE32-E72D297353CC}">
                    <c16:uniqueId val="{00000008-A567-A34B-89E9-2A2B62F0C8A5}"/>
                  </c:ext>
                </c:extLst>
              </c15:ser>
            </c15:filteredLineSeries>
            <c15:filteredLineSeries>
              <c15:ser>
                <c:idx val="9"/>
                <c:order val="6"/>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Calculations'!$BE$135</c15:sqref>
                        </c15:formulaRef>
                      </c:ext>
                    </c:extLst>
                    <c:strCache>
                      <c:ptCount val="1"/>
                      <c:pt idx="0">
                        <c:v>China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Calculations'!$BE$136:$BE$166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9-A567-A34B-89E9-2A2B62F0C8A5}"/>
                  </c:ext>
                </c:extLst>
              </c15:ser>
            </c15:filteredLineSeries>
            <c15:filteredLineSeries>
              <c15:ser>
                <c:idx val="10"/>
                <c:order val="7"/>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Calculations'!$BF$135</c15:sqref>
                        </c15:formulaRef>
                      </c:ext>
                    </c:extLst>
                    <c:strCache>
                      <c:ptCount val="1"/>
                      <c:pt idx="0">
                        <c:v>India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Calculations'!$BF$136:$BF$166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A-A567-A34B-89E9-2A2B62F0C8A5}"/>
                  </c:ext>
                </c:extLst>
              </c15:ser>
            </c15:filteredLineSeries>
            <c15:filteredLineSeries>
              <c15:ser>
                <c:idx val="11"/>
                <c:order val="8"/>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Calculations'!$BG$135</c15:sqref>
                        </c15:formulaRef>
                      </c:ext>
                    </c:extLst>
                    <c:strCache>
                      <c:ptCount val="1"/>
                      <c:pt idx="0">
                        <c:v>EU</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Calculations'!$BG$136:$BG$166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B-A567-A34B-89E9-2A2B62F0C8A5}"/>
                  </c:ext>
                </c:extLst>
              </c15:ser>
            </c15:filteredLineSeries>
            <c15:filteredLineSeries>
              <c15:ser>
                <c:idx val="12"/>
                <c:order val="9"/>
                <c:tx>
                  <c:strRef>
                    <c:extLst xmlns:c15="http://schemas.microsoft.com/office/drawing/2012/chart">
                      <c:ext xmlns:c15="http://schemas.microsoft.com/office/drawing/2012/chart" uri="{02D57815-91ED-43cb-92C2-25804820EDAC}">
                        <c15:formulaRef>
                          <c15:sqref>'file:///C:/Users/Furness/Documents/Professional Initiatives/Project Drawdown/RRS Solutions/Transportation/Airplane FE/[AirplaneFE-RRSv1.1b-24Aug18.xlsm]Unit Adoption Calculations'!$BH$135</c15:sqref>
                        </c15:formulaRef>
                      </c:ext>
                    </c:extLst>
                    <c:strCache>
                      <c:ptCount val="1"/>
                      <c:pt idx="0">
                        <c:v>USA</c:v>
                      </c:pt>
                    </c:strCache>
                  </c:strRef>
                </c:tx>
                <c:marker>
                  <c:symbol val="none"/>
                </c:marker>
                <c:cat>
                  <c:numRef>
                    <c:extLst xmlns:c15="http://schemas.microsoft.com/office/drawing/2012/chart">
                      <c:ext xmlns:c15="http://schemas.microsoft.com/office/drawing/2012/chart" uri="{02D57815-91ED-43cb-92C2-25804820EDAC}">
                        <c15:formulaRef>
                          <c15:sqref>'[1]Unit Adoption Calculations'!$AX$136:$AX$182</c15:sqref>
                        </c15:formulaRef>
                      </c:ext>
                    </c:extLst>
                    <c:numCache>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Cache>
                  </c:numRef>
                </c:cat>
                <c:val>
                  <c:numRef>
                    <c:extLst xmlns:c15="http://schemas.microsoft.com/office/drawing/2012/chart">
                      <c:ext xmlns:c15="http://schemas.microsoft.com/office/drawing/2012/chart" uri="{02D57815-91ED-43cb-92C2-25804820EDAC}">
                        <c15:formulaRef>
                          <c15:sqref>'[1]Unit Adoption Calculations'!$BH$136:$BH$166</c15:sqref>
                        </c15:formulaRef>
                      </c:ext>
                    </c:extLst>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val>
                <c:smooth val="1"/>
                <c:extLst xmlns:c15="http://schemas.microsoft.com/office/drawing/2012/chart">
                  <c:ext xmlns:c16="http://schemas.microsoft.com/office/drawing/2014/chart" uri="{C3380CC4-5D6E-409C-BE32-E72D297353CC}">
                    <c16:uniqueId val="{0000000C-A567-A34B-89E9-2A2B62F0C8A5}"/>
                  </c:ext>
                </c:extLst>
              </c15:ser>
            </c15:filteredLineSeries>
          </c:ext>
        </c:extLst>
      </c:lineChart>
      <c:catAx>
        <c:axId val="108502548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246495712813535"/>
              <c:y val="0.9414468774751932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1085026032"/>
        <c:crossesAt val="0"/>
        <c:auto val="1"/>
        <c:lblAlgn val="ctr"/>
        <c:lblOffset val="100"/>
        <c:tickLblSkip val="5"/>
        <c:tickMarkSkip val="5"/>
        <c:noMultiLvlLbl val="0"/>
      </c:catAx>
      <c:valAx>
        <c:axId val="108502603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GT CO2-eq</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1085025488"/>
        <c:crosses val="autoZero"/>
        <c:crossBetween val="between"/>
      </c:valAx>
    </c:plotArea>
    <c:legend>
      <c:legendPos val="r"/>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AutoResults!$BF$8</c:f>
          <c:strCache>
            <c:ptCount val="1"/>
            <c:pt idx="0">
              <c:v>World Operating Cost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0"/>
          <c:tx>
            <c:strRef>
              <c:f>AutoResults!$BH$10</c:f>
              <c:strCache>
                <c:ptCount val="1"/>
                <c:pt idx="0">
                  <c:v>Plausible</c:v>
                </c:pt>
              </c:strCache>
            </c:strRef>
          </c:tx>
          <c:spPr>
            <a:ln>
              <a:solidFill>
                <a:srgbClr val="3571B6"/>
              </a:solidFill>
            </a:ln>
          </c:spPr>
          <c:marker>
            <c:symbol val="none"/>
          </c:marker>
          <c:cat>
            <c:numRef>
              <c:extLst>
                <c:ext xmlns:c15="http://schemas.microsoft.com/office/drawing/2012/chart" uri="{02D57815-91ED-43cb-92C2-25804820EDAC}">
                  <c15:fullRef>
                    <c15:sqref>AutoResults!$BF$11:$BF$57</c15:sqref>
                  </c15:fullRef>
                </c:ext>
              </c:extLst>
              <c:f>AutoResults!$BF$12:$BF$57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xmlns:c15="http://schemas.microsoft.com/office/drawing/2012/chart" uri="{02D57815-91ED-43cb-92C2-25804820EDAC}">
                  <c15:fullRef>
                    <c15:sqref>AutoResults!$BH$12:$BH$57</c15:sqref>
                  </c15:fullRef>
                </c:ext>
              </c:extLst>
              <c:f>AutoResults!$BH$13:$BH$57</c:f>
              <c:numCache>
                <c:formatCode>_-* #\ ##0_-;\-* #\ ##0_-;_-* "-"??_-;_-@_-</c:formatCode>
                <c:ptCount val="45"/>
                <c:pt idx="0">
                  <c:v>0</c:v>
                </c:pt>
                <c:pt idx="1">
                  <c:v>0</c:v>
                </c:pt>
                <c:pt idx="2">
                  <c:v>4534374238.7320356</c:v>
                </c:pt>
                <c:pt idx="3">
                  <c:v>7879238222.8586588</c:v>
                </c:pt>
                <c:pt idx="4">
                  <c:v>11491279449.184929</c:v>
                </c:pt>
                <c:pt idx="5">
                  <c:v>15413419672.148651</c:v>
                </c:pt>
                <c:pt idx="6">
                  <c:v>19688580646.187069</c:v>
                </c:pt>
                <c:pt idx="7">
                  <c:v>24359684125.737598</c:v>
                </c:pt>
                <c:pt idx="8">
                  <c:v>29469651865.237675</c:v>
                </c:pt>
                <c:pt idx="9">
                  <c:v>35061405619.124535</c:v>
                </c:pt>
                <c:pt idx="10">
                  <c:v>41177867141.835976</c:v>
                </c:pt>
                <c:pt idx="11">
                  <c:v>47861958187.80925</c:v>
                </c:pt>
                <c:pt idx="12">
                  <c:v>55156600511.481758</c:v>
                </c:pt>
                <c:pt idx="13">
                  <c:v>63104715867.290955</c:v>
                </c:pt>
                <c:pt idx="14">
                  <c:v>71749226009.674072</c:v>
                </c:pt>
                <c:pt idx="15">
                  <c:v>81133052693.068924</c:v>
                </c:pt>
                <c:pt idx="16">
                  <c:v>91299117671.912704</c:v>
                </c:pt>
                <c:pt idx="17">
                  <c:v>102290342700.64287</c:v>
                </c:pt>
                <c:pt idx="18">
                  <c:v>114149649533.69687</c:v>
                </c:pt>
                <c:pt idx="19">
                  <c:v>126919959925.5119</c:v>
                </c:pt>
                <c:pt idx="20">
                  <c:v>140644195630.52579</c:v>
                </c:pt>
                <c:pt idx="21">
                  <c:v>155365278403.17578</c:v>
                </c:pt>
                <c:pt idx="22">
                  <c:v>171126129997.89926</c:v>
                </c:pt>
                <c:pt idx="23">
                  <c:v>187969672169.1337</c:v>
                </c:pt>
                <c:pt idx="24">
                  <c:v>205938826671.31647</c:v>
                </c:pt>
                <c:pt idx="25">
                  <c:v>225076515258.88492</c:v>
                </c:pt>
                <c:pt idx="26">
                  <c:v>245425659686.27673</c:v>
                </c:pt>
                <c:pt idx="27">
                  <c:v>267029181707.92923</c:v>
                </c:pt>
                <c:pt idx="28">
                  <c:v>289930003078.27979</c:v>
                </c:pt>
                <c:pt idx="29">
                  <c:v>314171045551.76587</c:v>
                </c:pt>
                <c:pt idx="30">
                  <c:v>339795230882.82471</c:v>
                </c:pt>
                <c:pt idx="31">
                  <c:v>366845480825.89398</c:v>
                </c:pt>
                <c:pt idx="32">
                  <c:v>395364717135.41107</c:v>
                </c:pt>
                <c:pt idx="33">
                  <c:v>425395861565.81342</c:v>
                </c:pt>
                <c:pt idx="34">
                  <c:v>453348755387.44354</c:v>
                </c:pt>
                <c:pt idx="35">
                  <c:v>448336313039.04346</c:v>
                </c:pt>
                <c:pt idx="36">
                  <c:v>442851622843.90912</c:v>
                </c:pt>
                <c:pt idx="37">
                  <c:v>436851763047.60321</c:v>
                </c:pt>
                <c:pt idx="38">
                  <c:v>430293811895.68811</c:v>
                </c:pt>
                <c:pt idx="39">
                  <c:v>423134847633.7265</c:v>
                </c:pt>
                <c:pt idx="40">
                  <c:v>415331948507.28101</c:v>
                </c:pt>
                <c:pt idx="41">
                  <c:v>406842192761.91425</c:v>
                </c:pt>
                <c:pt idx="42">
                  <c:v>397622658643.18866</c:v>
                </c:pt>
                <c:pt idx="43">
                  <c:v>387630424396.66693</c:v>
                </c:pt>
                <c:pt idx="44">
                  <c:v>376822568267.9115</c:v>
                </c:pt>
              </c:numCache>
            </c:numRef>
          </c:val>
          <c:smooth val="0"/>
          <c:extLst>
            <c:ext xmlns:c16="http://schemas.microsoft.com/office/drawing/2014/chart" uri="{C3380CC4-5D6E-409C-BE32-E72D297353CC}">
              <c16:uniqueId val="{00000000-0079-7648-82FA-001C38AE178F}"/>
            </c:ext>
          </c:extLst>
        </c:ser>
        <c:ser>
          <c:idx val="2"/>
          <c:order val="1"/>
          <c:tx>
            <c:strRef>
              <c:f>AutoResults!$BI$10</c:f>
              <c:strCache>
                <c:ptCount val="1"/>
                <c:pt idx="0">
                  <c:v>Drawdown</c:v>
                </c:pt>
              </c:strCache>
            </c:strRef>
          </c:tx>
          <c:spPr>
            <a:ln>
              <a:solidFill>
                <a:srgbClr val="6A9FDD"/>
              </a:solidFill>
            </a:ln>
          </c:spPr>
          <c:marker>
            <c:symbol val="none"/>
          </c:marker>
          <c:cat>
            <c:numRef>
              <c:extLst>
                <c:ext xmlns:c15="http://schemas.microsoft.com/office/drawing/2012/chart" uri="{02D57815-91ED-43cb-92C2-25804820EDAC}">
                  <c15:fullRef>
                    <c15:sqref>AutoResults!$BF$11:$BF$57</c15:sqref>
                  </c15:fullRef>
                </c:ext>
              </c:extLst>
              <c:f>AutoResults!$BF$12:$BF$57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xmlns:c15="http://schemas.microsoft.com/office/drawing/2012/chart" uri="{02D57815-91ED-43cb-92C2-25804820EDAC}">
                  <c15:fullRef>
                    <c15:sqref>AutoResults!$BI$12:$BI$57</c15:sqref>
                  </c15:fullRef>
                </c:ext>
              </c:extLst>
              <c:f>AutoResults!$BI$13:$BI$57</c:f>
              <c:numCache>
                <c:formatCode>_-* #\ ##0_-;\-* #\ ##0_-;_-* "-"??_-;_-@_-</c:formatCode>
                <c:ptCount val="45"/>
                <c:pt idx="0">
                  <c:v>0</c:v>
                </c:pt>
                <c:pt idx="1">
                  <c:v>0</c:v>
                </c:pt>
                <c:pt idx="2">
                  <c:v>17710426792.29985</c:v>
                </c:pt>
                <c:pt idx="3">
                  <c:v>26430446821.455803</c:v>
                </c:pt>
                <c:pt idx="4">
                  <c:v>39936720199.765495</c:v>
                </c:pt>
                <c:pt idx="5">
                  <c:v>57764918530.773643</c:v>
                </c:pt>
                <c:pt idx="6">
                  <c:v>76437457011.172729</c:v>
                </c:pt>
                <c:pt idx="7">
                  <c:v>96932033115.571167</c:v>
                </c:pt>
                <c:pt idx="8">
                  <c:v>119112523749.09843</c:v>
                </c:pt>
                <c:pt idx="9">
                  <c:v>144155581385.90656</c:v>
                </c:pt>
                <c:pt idx="10">
                  <c:v>167986756224.05722</c:v>
                </c:pt>
                <c:pt idx="11">
                  <c:v>194408251875.74783</c:v>
                </c:pt>
                <c:pt idx="12">
                  <c:v>221971169677.08527</c:v>
                </c:pt>
                <c:pt idx="13">
                  <c:v>253227247887.57254</c:v>
                </c:pt>
                <c:pt idx="14">
                  <c:v>285454296759.24011</c:v>
                </c:pt>
                <c:pt idx="15">
                  <c:v>310147225030.27258</c:v>
                </c:pt>
                <c:pt idx="16">
                  <c:v>340914600481.49194</c:v>
                </c:pt>
                <c:pt idx="17">
                  <c:v>372142782608.00531</c:v>
                </c:pt>
                <c:pt idx="18">
                  <c:v>403695648314.94226</c:v>
                </c:pt>
                <c:pt idx="19">
                  <c:v>435443548952.09448</c:v>
                </c:pt>
                <c:pt idx="20">
                  <c:v>467230938090.60486</c:v>
                </c:pt>
                <c:pt idx="21">
                  <c:v>498941115969.58972</c:v>
                </c:pt>
                <c:pt idx="22">
                  <c:v>530431485049.51624</c:v>
                </c:pt>
                <c:pt idx="23">
                  <c:v>561565922235.51355</c:v>
                </c:pt>
                <c:pt idx="24">
                  <c:v>592728670779.13184</c:v>
                </c:pt>
                <c:pt idx="25">
                  <c:v>622222508546.23926</c:v>
                </c:pt>
                <c:pt idx="26">
                  <c:v>651472411481.22644</c:v>
                </c:pt>
                <c:pt idx="27">
                  <c:v>679821890142.80273</c:v>
                </c:pt>
                <c:pt idx="28">
                  <c:v>707134821436.09778</c:v>
                </c:pt>
                <c:pt idx="29">
                  <c:v>734478244676.85217</c:v>
                </c:pt>
                <c:pt idx="30">
                  <c:v>761740395661.64307</c:v>
                </c:pt>
                <c:pt idx="31">
                  <c:v>793577540417.42004</c:v>
                </c:pt>
                <c:pt idx="32">
                  <c:v>825448625404.7666</c:v>
                </c:pt>
                <c:pt idx="33">
                  <c:v>857318396107.82422</c:v>
                </c:pt>
                <c:pt idx="34">
                  <c:v>878064096009.07227</c:v>
                </c:pt>
                <c:pt idx="35">
                  <c:v>856258253048.68457</c:v>
                </c:pt>
                <c:pt idx="36">
                  <c:v>831851321412.60571</c:v>
                </c:pt>
                <c:pt idx="37">
                  <c:v>807750839285.8645</c:v>
                </c:pt>
                <c:pt idx="38">
                  <c:v>781904970481.62708</c:v>
                </c:pt>
                <c:pt idx="39">
                  <c:v>754595702046.87793</c:v>
                </c:pt>
                <c:pt idx="40">
                  <c:v>724160326149.53503</c:v>
                </c:pt>
                <c:pt idx="41">
                  <c:v>692149048535.90759</c:v>
                </c:pt>
                <c:pt idx="42">
                  <c:v>665781871242.51172</c:v>
                </c:pt>
                <c:pt idx="43">
                  <c:v>636364372942.44507</c:v>
                </c:pt>
                <c:pt idx="44">
                  <c:v>605238592299.33044</c:v>
                </c:pt>
              </c:numCache>
            </c:numRef>
          </c:val>
          <c:smooth val="0"/>
          <c:extLst>
            <c:ext xmlns:c16="http://schemas.microsoft.com/office/drawing/2014/chart" uri="{C3380CC4-5D6E-409C-BE32-E72D297353CC}">
              <c16:uniqueId val="{00000001-0079-7648-82FA-001C38AE178F}"/>
            </c:ext>
          </c:extLst>
        </c:ser>
        <c:ser>
          <c:idx val="3"/>
          <c:order val="2"/>
          <c:tx>
            <c:strRef>
              <c:f>AutoResults!$BJ$10</c:f>
              <c:strCache>
                <c:ptCount val="1"/>
                <c:pt idx="0">
                  <c:v>Optimum</c:v>
                </c:pt>
              </c:strCache>
            </c:strRef>
          </c:tx>
          <c:spPr>
            <a:ln>
              <a:solidFill>
                <a:srgbClr val="B5D5FA"/>
              </a:solidFill>
            </a:ln>
          </c:spPr>
          <c:marker>
            <c:symbol val="none"/>
          </c:marker>
          <c:cat>
            <c:numRef>
              <c:extLst>
                <c:ext xmlns:c15="http://schemas.microsoft.com/office/drawing/2012/chart" uri="{02D57815-91ED-43cb-92C2-25804820EDAC}">
                  <c15:fullRef>
                    <c15:sqref>AutoResults!$BF$11:$BF$57</c15:sqref>
                  </c15:fullRef>
                </c:ext>
              </c:extLst>
              <c:f>AutoResults!$BF$12:$BF$57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xmlns:c15="http://schemas.microsoft.com/office/drawing/2012/chart" uri="{02D57815-91ED-43cb-92C2-25804820EDAC}">
                  <c15:fullRef>
                    <c15:sqref>AutoResults!$BJ$12:$BJ$57</c15:sqref>
                  </c15:fullRef>
                </c:ext>
              </c:extLst>
              <c:f>AutoResults!$BJ$13:$BJ$57</c:f>
              <c:numCache>
                <c:formatCode>_-* #\ ##0_-;\-* #\ ##0_-;_-* "-"??_-;_-@_-</c:formatCode>
                <c:ptCount val="45"/>
                <c:pt idx="0">
                  <c:v>0</c:v>
                </c:pt>
                <c:pt idx="1">
                  <c:v>0</c:v>
                </c:pt>
                <c:pt idx="2">
                  <c:v>17710426792.29985</c:v>
                </c:pt>
                <c:pt idx="3">
                  <c:v>26430446821.455803</c:v>
                </c:pt>
                <c:pt idx="4">
                  <c:v>39936720199.765495</c:v>
                </c:pt>
                <c:pt idx="5">
                  <c:v>57764918530.773643</c:v>
                </c:pt>
                <c:pt idx="6">
                  <c:v>76437457011.172729</c:v>
                </c:pt>
                <c:pt idx="7">
                  <c:v>96932033115.571167</c:v>
                </c:pt>
                <c:pt idx="8">
                  <c:v>119112523749.09843</c:v>
                </c:pt>
                <c:pt idx="9">
                  <c:v>144155581385.90656</c:v>
                </c:pt>
                <c:pt idx="10">
                  <c:v>167986756224.05722</c:v>
                </c:pt>
                <c:pt idx="11">
                  <c:v>194408251875.74783</c:v>
                </c:pt>
                <c:pt idx="12">
                  <c:v>221971169677.08527</c:v>
                </c:pt>
                <c:pt idx="13">
                  <c:v>253227247887.57254</c:v>
                </c:pt>
                <c:pt idx="14">
                  <c:v>285454296759.24011</c:v>
                </c:pt>
                <c:pt idx="15">
                  <c:v>310147225030.27258</c:v>
                </c:pt>
                <c:pt idx="16">
                  <c:v>340914600481.49194</c:v>
                </c:pt>
                <c:pt idx="17">
                  <c:v>372142782608.00531</c:v>
                </c:pt>
                <c:pt idx="18">
                  <c:v>403695648314.94226</c:v>
                </c:pt>
                <c:pt idx="19">
                  <c:v>435443548952.09448</c:v>
                </c:pt>
                <c:pt idx="20">
                  <c:v>467230938090.60486</c:v>
                </c:pt>
                <c:pt idx="21">
                  <c:v>498941115969.58972</c:v>
                </c:pt>
                <c:pt idx="22">
                  <c:v>530431485049.51624</c:v>
                </c:pt>
                <c:pt idx="23">
                  <c:v>561565922235.51355</c:v>
                </c:pt>
                <c:pt idx="24">
                  <c:v>592728670779.13184</c:v>
                </c:pt>
                <c:pt idx="25">
                  <c:v>622222508546.23926</c:v>
                </c:pt>
                <c:pt idx="26">
                  <c:v>651472411481.22644</c:v>
                </c:pt>
                <c:pt idx="27">
                  <c:v>679821890142.80273</c:v>
                </c:pt>
                <c:pt idx="28">
                  <c:v>707134821436.09778</c:v>
                </c:pt>
                <c:pt idx="29">
                  <c:v>734478244676.85217</c:v>
                </c:pt>
                <c:pt idx="30">
                  <c:v>761740395661.64307</c:v>
                </c:pt>
                <c:pt idx="31">
                  <c:v>793577540417.42004</c:v>
                </c:pt>
                <c:pt idx="32">
                  <c:v>825448625404.7666</c:v>
                </c:pt>
                <c:pt idx="33">
                  <c:v>857318396107.82422</c:v>
                </c:pt>
                <c:pt idx="34">
                  <c:v>878064096009.07227</c:v>
                </c:pt>
                <c:pt idx="35">
                  <c:v>856258253048.68457</c:v>
                </c:pt>
                <c:pt idx="36">
                  <c:v>831851321412.60571</c:v>
                </c:pt>
                <c:pt idx="37">
                  <c:v>807750839285.8645</c:v>
                </c:pt>
                <c:pt idx="38">
                  <c:v>781904970481.62708</c:v>
                </c:pt>
                <c:pt idx="39">
                  <c:v>754595702046.87793</c:v>
                </c:pt>
                <c:pt idx="40">
                  <c:v>724160326149.53503</c:v>
                </c:pt>
                <c:pt idx="41">
                  <c:v>692149048535.90759</c:v>
                </c:pt>
                <c:pt idx="42">
                  <c:v>665781871242.51172</c:v>
                </c:pt>
                <c:pt idx="43">
                  <c:v>636364372942.44507</c:v>
                </c:pt>
                <c:pt idx="44">
                  <c:v>605238592299.33044</c:v>
                </c:pt>
              </c:numCache>
            </c:numRef>
          </c:val>
          <c:smooth val="0"/>
          <c:extLst>
            <c:ext xmlns:c16="http://schemas.microsoft.com/office/drawing/2014/chart" uri="{C3380CC4-5D6E-409C-BE32-E72D297353CC}">
              <c16:uniqueId val="{00000002-0079-7648-82FA-001C38AE178F}"/>
            </c:ext>
          </c:extLst>
        </c:ser>
        <c:dLbls>
          <c:showLegendKey val="0"/>
          <c:showVal val="0"/>
          <c:showCatName val="0"/>
          <c:showSerName val="0"/>
          <c:showPercent val="0"/>
          <c:showBubbleSize val="0"/>
        </c:dLbls>
        <c:smooth val="0"/>
        <c:axId val="-835309760"/>
        <c:axId val="-835293984"/>
        <c:extLst/>
      </c:lineChart>
      <c:catAx>
        <c:axId val="-835309760"/>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835293984"/>
        <c:crossesAt val="0"/>
        <c:auto val="1"/>
        <c:lblAlgn val="ctr"/>
        <c:lblOffset val="100"/>
        <c:tickLblSkip val="5"/>
        <c:tickMarkSkip val="5"/>
        <c:noMultiLvlLbl val="0"/>
      </c:catAx>
      <c:valAx>
        <c:axId val="-835293984"/>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835309760"/>
        <c:crosses val="autoZero"/>
        <c:crossBetween val="between"/>
        <c:dispUnits>
          <c:builtInUnit val="billions"/>
        </c:dispUnits>
      </c:valAx>
    </c:plotArea>
    <c:legend>
      <c:legendPos val="r"/>
      <c:layout>
        <c:manualLayout>
          <c:xMode val="edge"/>
          <c:yMode val="edge"/>
          <c:x val="0.78721468402992245"/>
          <c:y val="0.27668875047650093"/>
          <c:w val="0.21278528455547996"/>
          <c:h val="0.38950472581974943"/>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Per04</b:Tag>
    <b:SourceType>Report</b:SourceType>
    <b:Guid>{6584132D-5D02-4FAE-8E01-4571B08BE88C}</b:Guid>
    <b:Author>
      <b:Author>
        <b:NameList>
          <b:Person>
            <b:Last>Perlin</b:Last>
            <b:First>J.</b:First>
          </b:Person>
        </b:NameList>
      </b:Author>
    </b:Author>
    <b:Title>Silicon solar cell turns 50. National Renewable Energy Laboratory, Golden, CO (US). Retrieved from http://www.osti.gov/scitech/biblio/15009471</b:Title>
    <b:Year>2004</b:Year>
    <b:RefOrder>1</b:RefOrder>
  </b:Source>
  <b:Source>
    <b:Tag>ITRPV</b:Tag>
    <b:SourceType>Report</b:SourceType>
    <b:Guid>{0258240F-EE43-4186-A7A3-CD13ABA37856}</b:Guid>
    <b:Author>
      <b:Author>
        <b:Corporate>ITRPV</b:Corporate>
      </b:Author>
    </b:Author>
    <b:Title>International technology roadmap for Photovoltaic ITRPV, 2018. Retrieved from https://pv.vdma.org/documents/105945/26776337/ITRPV%20Ninth%20Edition%202018%20including%20maturity%20report%2020180904_1536055215523.pdf/a907157c-a241-eec0-310d-fd76f1685b2a</b:Title>
    <b:Year>2018</b:Year>
    <b:RefOrder>2</b:RefOrder>
  </b:Source>
  <b:Source>
    <b:Tag>Sol14</b:Tag>
    <b:SourceType>JournalArticle</b:SourceType>
    <b:Guid>{362FC4E5-D685-41A8-A810-6F5019DD5A36}</b:Guid>
    <b:Title>Solar cell efficiency tables (Version 45). Progress in Photovoltaics: Research and Applications, 23(1), 1–9. https://doi.org/10.1002/pip.2573</b:Title>
    <b:Year>2014</b:Year>
    <b:RefOrder>54</b:RefOrder>
  </b:Source>
  <b:Source>
    <b:Tag>Mat15</b:Tag>
    <b:SourceType>JournalArticle</b:SourceType>
    <b:Guid>{BDFA5E43-6709-487F-9B5E-8F9473E494A9}</b:Guid>
    <b:Author>
      <b:Author>
        <b:NameList>
          <b:Person>
            <b:Last>Gunther</b:Last>
            <b:First>Matthew</b:First>
          </b:Person>
        </b:NameList>
      </b:Author>
    </b:Author>
    <b:Title>Meteoritic rise of perovskite solar cells under scrutiny over efficiencies. Retrieved March 2, 2015, from http://www.rsc.org/chemistryworld/2015/02/meteoritic-rise-perovskite-solar-cells-under-scrutiny-over-efficiencies</b:Title>
    <b:Year>2015</b:Year>
    <b:RefOrder>6</b:RefOrder>
  </b:Source>
  <b:Source>
    <b:Tag>Vie16</b:Tag>
    <b:SourceType>JournalArticle</b:SourceType>
    <b:Guid>{AD646F49-30C0-4891-A244-E3765DB73F92}</b:Guid>
    <b:Author>
      <b:Author>
        <b:NameList>
          <b:Person>
            <b:Last>Vieira</b:Last>
          </b:Person>
        </b:NameList>
      </b:Author>
    </b:Author>
    <b:Title>Comparative performance analysis between static solar panels and single-axis tracking system on a hot climate region near to the equator. Renewable and Sustainable Energy Reviews, 64, 672–681. http://doi.org/10.1016/j.rser.2016.06.089</b:Title>
    <b:Year>2016</b:Year>
    <b:RefOrder>55</b:RefOrder>
  </b:Source>
  <b:Source>
    <b:Tag>Com</b:Tag>
    <b:SourceType>JournalArticle</b:SourceType>
    <b:Guid>{6EA47D82-125E-4459-B2D2-E18A43AC3A04}</b:Guid>
    <b:Title>Comparative performance analysis between static solar panels and single-axis tracking system on a hot climate region near to the equator. Renewable and Sustainable Energy Reviews, 64, 672–681. http://doi.org/10.1016/j.rser.2016.06.089</b:Title>
    <b:RefOrder>56</b:RefOrder>
  </b:Source>
  <b:Source>
    <b:Tag>Vie161</b:Tag>
    <b:SourceType>JournalArticle</b:SourceType>
    <b:Guid>{A8DC0C17-BA1E-4370-B1B2-D44D1CEF9E36}</b:Guid>
    <b:Author>
      <b:Author>
        <b:NameList>
          <b:Person>
            <b:Last>Vieira</b:Last>
          </b:Person>
        </b:NameList>
      </b:Author>
    </b:Author>
    <b:Title>Comparative performance analysis between static solar panels and single-axis tracking system on a hot climate region near to the equator. Renewable and Sustainable Energy Reviews, 64, 672–681. http://doi.org/10.1016/j.rser.2016.06.089</b:Title>
    <b:Year>2016</b:Year>
    <b:RefOrder>57</b:RefOrder>
  </b:Source>
  <b:Source>
    <b:Tag>WEO18</b:Tag>
    <b:SourceType>Report</b:SourceType>
    <b:Guid>{012518EB-5F41-45A5-B73F-804033A8FE99}</b:Guid>
    <b:Title>World Energy Outlook 2018</b:Title>
    <b:Year>2018</b:Year>
    <b:City>Paris</b:City>
    <b:Publisher>International Energy Agency</b:Publisher>
    <b:Author>
      <b:Author>
        <b:Corporate>IEA</b:Corporate>
      </b:Author>
    </b:Author>
    <b:RefOrder>13</b:RefOrder>
  </b:Source>
  <b:Source>
    <b:Tag>Tsa06</b:Tag>
    <b:SourceType>Report</b:SourceType>
    <b:Guid>{4A5A1247-04A4-4FFB-9E16-F78F42F492AE}</b:Guid>
    <b:Author>
      <b:Author>
        <b:NameList>
          <b:Person>
            <b:Last>Tsao</b:Last>
            <b:First>J.</b:First>
            <b:Middle>et al</b:Middle>
          </b:Person>
        </b:NameList>
      </b:Author>
    </b:Author>
    <b:Title>Solar FAQs. US Department of Energy, Office of Basic Energy Sceince.</b:Title>
    <b:Year>2006</b:Year>
    <b:RefOrder>27</b:RefOrder>
  </b:Source>
  <b:Source>
    <b:Tag>MIT151</b:Tag>
    <b:SourceType>Report</b:SourceType>
    <b:Guid>{97CCB140-ABDE-4669-B9C3-11398D1FAC28}</b:Guid>
    <b:Author>
      <b:Author>
        <b:Corporate>MIT</b:Corporate>
      </b:Author>
    </b:Author>
    <b:Title>The Future of Solar Energy : An Interdisciplinary MIT Study. Retrieved from http://energy.mit.edu/publication/future-solar-energy/ </b:Title>
    <b:Year>2015</b:Year>
    <b:RefOrder>29</b:RefOrder>
  </b:Source>
  <b:Source>
    <b:Tag>NRE13</b:Tag>
    <b:SourceType>Report</b:SourceType>
    <b:Guid>{19741DFE-DCEE-4F6C-9D14-124510699119}</b:Guid>
    <b:Author>
      <b:Author>
        <b:Corporate>NREL</b:Corporate>
      </b:Author>
    </b:Author>
    <b:Title>Solar Energy and Capacity Value. Retrieved from http://www.nrel.gov/docs/fy13osti/57582.pdf</b:Title>
    <b:Year>2013</b:Year>
    <b:RefOrder>30</b:RefOrder>
  </b:Source>
  <b:Source>
    <b:Tag>The</b:Tag>
    <b:SourceType>Report</b:SourceType>
    <b:Guid>{BF0FB2D4-2872-4812-A776-8344A87F76A1}</b:Guid>
    <b:Title>The looming revolution: How photovoltaics will change electricity markets in Europe fundamentally. Energy, 57, 38–43. http://doi.org/10.1016/</b:Title>
    <b:Author>
      <b:Author>
        <b:NameList>
          <b:Person>
            <b:Last>Haas</b:Last>
            <b:First>R.,</b:First>
            <b:Middle>et al</b:Middle>
          </b:Person>
        </b:NameList>
      </b:Author>
    </b:Author>
    <b:Year>2013</b:Year>
    <b:RefOrder>31</b:RefOrder>
  </b:Source>
  <b:Source>
    <b:Tag>Nik11</b:Tag>
    <b:SourceType>Report</b:SourceType>
    <b:Guid>{F8616DA8-319A-4A6B-BE0B-81A169639C30}</b:Guid>
    <b:Author>
      <b:Author>
        <b:NameList>
          <b:Person>
            <b:Last>Nikolakakis</b:Last>
            <b:First>T.,</b:First>
            <b:Middle>et al</b:Middle>
          </b:Person>
        </b:NameList>
      </b:Author>
    </b:Author>
    <b:Title>The optimum mix of electricity from wind- and solar-sources in conventional power systems: Evaluating the case for New York State. Energy Policy, 39(11), 6972–6980.</b:Title>
    <b:Year>2011</b:Year>
    <b:RefOrder>32</b:RefOrder>
  </b:Source>
  <b:Source>
    <b:Tag>Wei13</b:Tag>
    <b:SourceType>JournalArticle</b:SourceType>
    <b:Guid>{51BFF532-6A06-44AA-913E-51658DB12B0B}</b:Guid>
    <b:Author>
      <b:Author>
        <b:NameList>
          <b:Person>
            <b:Last>WeiBbach</b:Last>
            <b:First>D.,</b:First>
            <b:Middle>et al</b:Middle>
          </b:Person>
        </b:NameList>
      </b:Author>
    </b:Author>
    <b:Title>Energy intensities, EROIs (energy returned on invested), and energy payback times of electricity generating power plants. Energy, 52, 210–221. http://doi.org/10.1016/j.energy.2013.01.029</b:Title>
    <b:Year>2013</b:Year>
    <b:JournalName>Energy</b:JournalName>
    <b:Pages>210-221</b:Pages>
    <b:RefOrder>33</b:RefOrder>
  </b:Source>
  <b:Source>
    <b:Tag>Bol15</b:Tag>
    <b:SourceType>JournalArticle</b:SourceType>
    <b:Guid>{B49F3C6D-8869-402B-8E25-861646A644A5}</b:Guid>
    <b:Author>
      <b:Author>
        <b:NameList>
          <b:Person>
            <b:Last>Bolinger</b:Last>
            <b:First>M.,</b:First>
            <b:Middle>and Seel, J.,</b:Middle>
          </b:Person>
        </b:NameList>
      </b:Author>
    </b:Author>
    <b:Title>Utility-scale Solar 2014 (No. LBNL-1000917) (pp. 1–43). Lawrence Berkeley National Laboratory. Retrieved from https://emp.lbl.gov/sites/all/files/lbnl-1000917.pdf</b:Title>
    <b:JournalName>Utility-scale Solar</b:JournalName>
    <b:Year>2015</b:Year>
    <b:RefOrder>58</b:RefOrder>
  </b:Source>
  <b:Source>
    <b:Tag>LoC14</b:Tag>
    <b:SourceType>JournalArticle</b:SourceType>
    <b:Guid>{8C067A6A-92FB-4D4E-9C0F-A113E1421B58}</b:Guid>
    <b:Author>
      <b:Author>
        <b:NameList>
          <b:Person>
            <b:Last>Lo</b:Last>
            <b:First>C.,</b:First>
          </b:Person>
        </b:NameList>
      </b:Author>
    </b:Author>
    <b:Title>Power plant O&amp;M: how does the industry stack up on cost? Retrieved July 30, 2016, from http://www.power-technology.com/features/featurepower-plant-om-how-does-the-industry-stack-up-on-cost-4417756/</b:Title>
    <b:Year>2014</b:Year>
    <b:RefOrder>40</b:RefOrder>
  </b:Source>
  <b:Source>
    <b:Tag>EIA16</b:Tag>
    <b:SourceType>JournalArticle</b:SourceType>
    <b:Guid>{7A6B3A6E-36FC-4D3B-8C98-484AE3A12C09}</b:Guid>
    <b:Author>
      <b:Author>
        <b:Corporate>EIA</b:Corporate>
      </b:Author>
    </b:Author>
    <b:Title>Updated Capital Cost Estimates for Utility-scale Electricity Generating Plants. Washington: U.S. Energy Information Administration. Retrieved from http://www.eia.gov/forecasts/capitalcost/</b:Title>
    <b:Year>2015</b:Year>
    <b:RefOrder>38</b:RefOrder>
  </b:Source>
  <b:Source>
    <b:Tag>IPC14</b:Tag>
    <b:SourceType>JournalArticle</b:SourceType>
    <b:Guid>{ED520457-BF02-4ED9-AD42-77441222A097}</b:Guid>
    <b:Author>
      <b:Author>
        <b:Corporate>IPCC</b:Corporate>
      </b:Author>
    </b:Author>
    <b:Title>Climate Change 2014: Mitigation of Climate Change. Contribution of Working Group III to the Fifth Assessment Report of the Intergovernmental Panel on Climate Change [Edenhofer, O., R. Pichs-Madruga, Y. Sokona, E. Farahani, S. Kadner, K. Seyboth, A. Adler,</b:Title>
    <b:Year>2014</b:Year>
    <b:RefOrder>42</b:RefOrder>
  </b:Source>
  <b:Source>
    <b:Tag>Wor15</b:Tag>
    <b:SourceType>JournalArticle</b:SourceType>
    <b:Guid>{32A03915-9C31-47CC-A258-246E21329CC1}</b:Guid>
    <b:Author>
      <b:Author>
        <b:Corporate>World Bank</b:Corporate>
      </b:Author>
    </b:Author>
    <b:Title>Breakdown of Electricity Generation by Energy Source. World Development Indicators. The World Bank data in The Shift project Data Portal. Retrieved from http://www.tsp-data-portal.org/Breakdown-of-Electricity-Generation-by-Energy-Source#tspQvChart</b:Title>
    <b:Year>2015</b:Year>
    <b:RefOrder>44</b:RefOrder>
  </b:Source>
  <b:Source>
    <b:Tag>IEA2014a</b:Tag>
    <b:SourceType>Report</b:SourceType>
    <b:Guid>{27884839-8EBF-499D-8DBA-69953957344C}</b:Guid>
    <b:Author>
      <b:Author>
        <b:Corporate>IEA</b:Corporate>
      </b:Author>
    </b:Author>
    <b:Title>Projected Costs of Generating Electricity – edition 2010. Organisation for Economic Co-operation and Development - International Energy Agency and Nuclear Energy Agency. France. Retrieved from http://www.worldenergyoutlook.org/media/weowebsite/energymodel</b:Title>
    <b:Year>2014</b:Year>
    <b:RefOrder>59</b:RefOrder>
  </b:Source>
  <b:Source>
    <b:Tag>Hsu12</b:Tag>
    <b:SourceType>Report</b:SourceType>
    <b:Guid>{BD02AB84-4C75-4F3B-8B1A-AAC436047AE2}</b:Guid>
    <b:Author>
      <b:Author>
        <b:NameList>
          <b:Person>
            <b:Last>Hsu</b:Last>
            <b:First>D.,</b:First>
            <b:Middle>et al</b:Middle>
          </b:Person>
        </b:NameList>
      </b:Author>
    </b:Author>
    <b:Title>Life cycle greenhouse gas emissions of crystalline silicon photovoltaic electricity generation: systematic review and harmonization. Journal of Industrial Ecology, 16, S122–S135. http://doi.org/10.1111/j.1530-9290.2011.00439.x</b:Title>
    <b:Year>2012</b:Year>
    <b:RefOrder>47</b:RefOrder>
  </b:Source>
  <b:Source>
    <b:Tag>Kim12</b:Tag>
    <b:SourceType>Report</b:SourceType>
    <b:Guid>{64BD23A3-4768-475D-8FDA-D1837AD117F0}</b:Guid>
    <b:Author>
      <b:Author>
        <b:NameList>
          <b:Person>
            <b:Last>Kim</b:Last>
            <b:First>et</b:First>
            <b:Middle>al</b:Middle>
          </b:Person>
        </b:NameList>
      </b:Author>
    </b:Author>
    <b:Title>Life Cycle Greenhouse Gas Emissions of Thin-film Photovoltaic Electricity Generation: Systematic Review and Harmonization. Journal of Industrial Ecology, 16, S110–S121. http://doi.org/10.1111/j.1530-9290.2011.00423.x</b:Title>
    <b:Year>2012</b:Year>
    <b:RefOrder>48</b:RefOrder>
  </b:Source>
  <b:Source>
    <b:Tag>BP181</b:Tag>
    <b:SourceType>Report</b:SourceType>
    <b:Guid>{18868CB9-655C-4618-953B-F04FAB577564}</b:Guid>
    <b:Author>
      <b:Author>
        <b:Corporate>BP</b:Corporate>
      </b:Author>
    </b:Author>
    <b:Title>BP Statistical Review of World Energy, June 2018</b:Title>
    <b:Year>2018</b:Year>
    <b:Publisher>BP</b:Publisher>
    <b:RefOrder>60</b:RefOrder>
  </b:Source>
  <b:Source>
    <b:Tag>EIA181</b:Tag>
    <b:SourceType>Report</b:SourceType>
    <b:Guid>{FB634DAF-DC29-4F6E-A497-F884232B5EE5}</b:Guid>
    <b:Author>
      <b:Author>
        <b:Corporate>EIA, US</b:Corporate>
      </b:Author>
    </b:Author>
    <b:Title>Frequently Asked Questions</b:Title>
    <b:Year>2018</b:Year>
    <b:Publisher>EIA, US</b:Publisher>
    <b:RefOrder>61</b:RefOrder>
  </b:Source>
  <b:Source>
    <b:Tag>REN18</b:Tag>
    <b:SourceType>Report</b:SourceType>
    <b:Guid>{A2C4E977-AFFB-4F3C-90CD-055DCB60DD3C}</b:Guid>
    <b:Author>
      <b:Author>
        <b:Corporate>REN21</b:Corporate>
      </b:Author>
    </b:Author>
    <b:Title>Renewables 2018 : Global Status Report</b:Title>
    <b:Year>2018</b:Year>
    <b:Publisher>REN21</b:Publisher>
    <b:City>Paris</b:City>
    <b:RefOrder>36</b:RefOrder>
  </b:Source>
  <b:Source>
    <b:Tag>NREa171</b:Tag>
    <b:SourceType>Report</b:SourceType>
    <b:Guid>{A6050E35-5EC5-459B-A6E8-9ADC47A69595}</b:Guid>
    <b:Author>
      <b:Author>
        <b:Corporate>NREL</b:Corporate>
      </b:Author>
    </b:Author>
    <b:Title>SPV O &amp; M Cost Model and Cost Reduction</b:Title>
    <b:Year>2017</b:Year>
    <b:Publisher>NREL</b:Publisher>
    <b:City>Golden</b:City>
    <b:RefOrder>39</b:RefOrder>
  </b:Source>
  <b:Source>
    <b:Tag>NREb18</b:Tag>
    <b:SourceType>Report</b:SourceType>
    <b:Guid>{1116A304-719B-4AE1-B076-713DE430FB88}</b:Guid>
    <b:Author>
      <b:Author>
        <b:Corporate>NREL</b:Corporate>
      </b:Author>
    </b:Author>
    <b:Title>Annual Technology Baseline</b:Title>
    <b:Year>2018</b:Year>
    <b:Publisher>NREL</b:Publisher>
    <b:City>Golden</b:City>
    <b:RefOrder>62</b:RefOrder>
  </b:Source>
  <b:Source>
    <b:Tag>Cas17</b:Tag>
    <b:SourceType>JournalArticle</b:SourceType>
    <b:Guid>{F826D11F-E7AE-4A52-A0D7-3ACE7658AC6D}</b:Guid>
    <b:Title>Large-Scale Solar PV LCOE Comprehensive Breakdown Methodology</b:Title>
    <b:Year>2017</b:Year>
    <b:Author>
      <b:Author>
        <b:NameList>
          <b:Person>
            <b:Last>Castillo-Ramírez</b:Last>
            <b:First>R.,</b:First>
            <b:Middle>Mejia-Giraldo, D., Munoz-Galeano, N.</b:Middle>
          </b:Person>
        </b:NameList>
      </b:Author>
    </b:Author>
    <b:JournalName>CT &amp; F - Ciencia, Tecnologia y Futuro</b:JournalName>
    <b:Pages>117-136</b:Pages>
    <b:Month>December</b:Month>
    <b:StandardNumber>ISSN(Online) 2382-4581</b:StandardNumber>
    <b:YearAccessed>2018</b:YearAccessed>
    <b:MonthAccessed>November</b:MonthAccessed>
    <b:DayAccessed>25</b:DayAccessed>
    <b:URL>http://www.scielo.org.co/pdf/ctyf/v7n1/0122-5383-ctyf-7-01-00117.pdf</b:URL>
    <b:RefOrder>63</b:RefOrder>
  </b:Source>
  <b:Source>
    <b:Tag>Els18</b:Tag>
    <b:SourceType>JournalArticle</b:SourceType>
    <b:Guid>{268751BD-3402-4330-9C30-504D9BA8E109}</b:Guid>
    <b:Title>Estimating the learning curve of solar PV balance–of–system for over 20 countries: Implications and policy recommendations</b:Title>
    <b:Year>2018</b:Year>
    <b:Author>
      <b:Author>
        <b:NameList>
          <b:Person>
            <b:Last>Elshurafa</b:Last>
            <b:First>M</b:First>
            <b:Middle>A., Albardi, S R., Bigerna S., Bollino C A.,</b:Middle>
          </b:Person>
        </b:NameList>
      </b:Author>
    </b:Author>
    <b:JournalName>Journal of Cleaner Production</b:JournalName>
    <b:Pages>122-134</b:Pages>
    <b:RefOrder>64</b:RefOrder>
  </b:Source>
  <b:Source>
    <b:Tag>Pac08</b:Tag>
    <b:SourceType>JournalArticle</b:SourceType>
    <b:Guid>{FC623A73-39C0-43CE-90E8-C91705FCA0DE}</b:Guid>
    <b:Author>
      <b:Author>
        <b:NameList>
          <b:Person>
            <b:Last>Pacca S</b:Last>
            <b:First>Sivaraman</b:First>
            <b:Middle>D, Keoleian G A.</b:Middle>
          </b:Person>
        </b:NameList>
      </b:Author>
    </b:Author>
    <b:Title>Parameters affecting the life cycle performance of PV technologies and systems</b:Title>
    <b:JournalName>Energy Policy</b:JournalName>
    <b:Year>2007</b:Year>
    <b:Pages>3316-3326</b:Pages>
    <b:RefOrder>65</b:RefOrder>
  </b:Source>
  <b:Source>
    <b:Tag>Agu98</b:Tag>
    <b:SourceType>Report</b:SourceType>
    <b:Guid>{8987DC5F-6552-41D5-A1AE-D783B930D13F}</b:Guid>
    <b:Title>The environmental impact of photovoltaic technology</b:Title>
    <b:Year>1998</b:Year>
    <b:Author>
      <b:Author>
        <b:NameList>
          <b:Person>
            <b:Last>Aguado-Monsonet</b:Last>
            <b:First>M</b:First>
            <b:Middle>A.</b:Middle>
          </b:Person>
        </b:NameList>
      </b:Author>
    </b:Author>
    <b:Publisher>European Commission, Joint Research Centre</b:Publisher>
    <b:City>Sevilla</b:City>
    <b:RefOrder>66</b:RefOrder>
  </b:Source>
  <b:Source>
    <b:Tag>Nug14</b:Tag>
    <b:SourceType>JournalArticle</b:SourceType>
    <b:Guid>{0726CE8C-5742-4843-B2D7-901A2527DE13}</b:Guid>
    <b:Author>
      <b:Author>
        <b:NameList>
          <b:Person>
            <b:Last>Nugent D</b:Last>
            <b:First>Sovacool</b:First>
            <b:Middle>B K.,</b:Middle>
          </b:Person>
        </b:NameList>
      </b:Author>
    </b:Author>
    <b:Title>Assessing the lifecycle greenhouse gas emissions from solar PV and wind energy: A critical meta-survey</b:Title>
    <b:JournalName>Energy Policy</b:JournalName>
    <b:Year>2014</b:Year>
    <b:Pages>229-244</b:Pages>
    <b:RefOrder>67</b:RefOrder>
  </b:Source>
  <b:Source>
    <b:Tag>Nil16</b:Tag>
    <b:SourceType>ArticleInAPeriodical</b:SourceType>
    <b:Guid>{9C9E8239-153A-403D-AE86-0FB29FF5B1D8}</b:Guid>
    <b:Title>Greenhouse Gas Emissions and Energy Payback Time for multi- and mono-Si Photovoltaic Systems - A Study on Solar Energy from Photovoltaic Systems Located in Sweden</b:Title>
    <b:Year>2016</b:Year>
    <b:Author>
      <b:Author>
        <b:NameList>
          <b:Person>
            <b:Last>Nils M.</b:Last>
            <b:First>Hannes</b:First>
            <b:Middle>O T.</b:Middle>
          </b:Person>
        </b:NameList>
      </b:Author>
    </b:Author>
    <b:PeriodicalTitle>LUP Student papers</b:PeriodicalTitle>
    <b:RefOrder>68</b:RefOrder>
  </b:Source>
  <b:Source>
    <b:Tag>Als07</b:Tag>
    <b:SourceType>ConferenceProceedings</b:SourceType>
    <b:Guid>{6460AF6F-AD74-40BC-85D2-0E29D7E72993}</b:Guid>
    <b:Title>Fluorinated Greenhouse Gases in Photovoltaic Module Manufacturing: Potential Emissions and Abatement Strategies</b:Title>
    <b:Year>2007</b:Year>
    <b:Author>
      <b:Author>
        <b:NameList>
          <b:Person>
            <b:Last>Alsema</b:Last>
            <b:First>E.N.,</b:First>
            <b:Middle>Wild-Scholten, M D., Fthenakis, Kinzig, V., Agostinelli, G., Dekkers, H., Roth, K.,</b:Middle>
          </b:Person>
        </b:NameList>
      </b:Author>
    </b:Author>
    <b:ConferenceName>22nd European Photovoltaic Solar Energy Conference</b:ConferenceName>
    <b:City>Milan</b:City>
    <b:Publisher>Reserachgate</b:Publisher>
    <b:RefOrder>69</b:RefOrder>
  </b:Source>
  <b:Source>
    <b:Tag>Als05</b:Tag>
    <b:SourceType>ConferenceProceedings</b:SourceType>
    <b:Guid>{2D9BC600-B660-4CE0-B04B-4A24494F5FD8}</b:Guid>
    <b:Author>
      <b:Author>
        <b:NameList>
          <b:Person>
            <b:Last>Alsema</b:Last>
            <b:First>E.,</b:First>
            <b:Middle>Wild, M J.,</b:Middle>
          </b:Person>
        </b:NameList>
      </b:Author>
    </b:Author>
    <b:Title>Environmental Impact of Crystalline Silicon Photovoltaic Module Production</b:Title>
    <b:Pages>Vol 895</b:Pages>
    <b:Year>2011</b:Year>
    <b:ConferenceName>Symposium G – Life-Cycle Analysis Tools for “Green” Materials and Process Selection)</b:ConferenceName>
    <b:Publisher>Materials Research Society</b:Publisher>
    <b:RefOrder>70</b:RefOrder>
  </b:Source>
  <b:Source>
    <b:Tag>Ram171</b:Tag>
    <b:SourceType>Report</b:SourceType>
    <b:Guid>{2A03E7CF-F673-4910-A22A-D96E7B8CAFE5}</b:Guid>
    <b:Author>
      <b:Author>
        <b:NameList>
          <b:Person>
            <b:Last>Ram M.</b:Last>
            <b:First>Bogdanov</b:First>
            <b:Middle>D., Aghahosseini A., Oyewo A S., Gulagi A., Child M., Fell H-J., Breyer C.</b:Middle>
          </b:Person>
        </b:NameList>
      </b:Author>
    </b:Author>
    <b:Title>Global Energy System Based on 100% Renewable Energy  - Power Sector</b:Title>
    <b:Year>2017</b:Year>
    <b:Publisher>LUT and Energy Watch Group</b:Publisher>
    <b:City>Berlin</b:City>
    <b:RefOrder>71</b:RefOrder>
  </b:Source>
  <b:Source>
    <b:Tag>ITR18</b:Tag>
    <b:SourceType>Report</b:SourceType>
    <b:Guid>{9B921E12-8496-423E-A841-341E68DC1087}</b:Guid>
    <b:Author>
      <b:Author>
        <b:Corporate>ITRPV</b:Corporate>
      </b:Author>
    </b:Author>
    <b:Title>International technology Roadmap for Photovoltaic : Results 2017 including maturity report 2018</b:Title>
    <b:Year>2018</b:Year>
    <b:Publisher>VDMA</b:Publisher>
    <b:RefOrder>72</b:RefOrder>
  </b:Source>
  <b:Source>
    <b:Tag>ITRPVb</b:Tag>
    <b:SourceType>Report</b:SourceType>
    <b:Guid>{0E00B6B2-991A-46C8-9672-F321B11A656C}</b:Guid>
    <b:Author>
      <b:Author>
        <b:Corporate>ITRPVb</b:Corporate>
      </b:Author>
    </b:Author>
    <b:Title>International technology roadmap for Photovoltaic ITRPV, 2018. Retrieved from https://pv.vdma.org/documents/105945/26776337/ITRPV%20Ninth%20Edition%202018%20including%20maturity%20report%2020180904_1536055215523.pdf/a907157c-a241-eec0-310d-fd76f1685b2a</b:Title>
    <b:Year>2018</b:Year>
    <b:RefOrder>73</b:RefOrder>
  </b:Source>
  <b:Source>
    <b:Tag>Fra15</b:Tag>
    <b:SourceType>Report</b:SourceType>
    <b:Guid>{271EC148-A87D-4DC6-A140-958102FFEC5E}</b:Guid>
    <b:Author>
      <b:Author>
        <b:Corporate>Fraunhofer ISE</b:Corporate>
      </b:Author>
    </b:Author>
    <b:Title>Current and Future Cost of Photovoltaics. Long-term Scenarios for Market Development, System Prices and LCOE of Utility-Scale </b:Title>
    <b:Year>2015</b:Year>
    <b:Publisher>Fraunhofer ISE</b:Publisher>
    <b:City>berlin</b:City>
    <b:RefOrder>74</b:RefOrder>
  </b:Source>
  <b:Source>
    <b:Tag>Placeholder3</b:Tag>
    <b:SourceType>Report</b:SourceType>
    <b:Guid>{590332E4-BDAE-4898-9EE1-5AB928AF254E}</b:Guid>
    <b:Author>
      <b:Author>
        <b:Corporate>IEA</b:Corporate>
      </b:Author>
    </b:Author>
    <b:Title>TRENDS 2018 : Snapshot of Global Photovoltaic markets</b:Title>
    <b:Publisher>IEA</b:Publisher>
    <b:Year>2018b</b:Year>
    <b:RefOrder>75</b:RefOrder>
  </b:Source>
  <b:Source>
    <b:Tag>Bol17</b:Tag>
    <b:SourceType>Report</b:SourceType>
    <b:Guid>{778A6BC9-9C0F-4F68-9E23-E92F4519EB4F}</b:Guid>
    <b:Author>
      <b:Author>
        <b:NameList>
          <b:Person>
            <b:Last>Bolinger</b:Last>
            <b:First>M.,</b:First>
            <b:Middle>Seel, J., LaCommare, H.,</b:Middle>
          </b:Person>
        </b:NameList>
      </b:Author>
    </b:Author>
    <b:Title>An Empirical Analysis of Project Cost, Performance, and Pricing Trends in the United States</b:Title>
    <b:Year>2017</b:Year>
    <b:Publisher>LBNL</b:Publisher>
    <b:RefOrder>76</b:RefOrder>
  </b:Source>
  <b:Source>
    <b:Tag>Fin18</b:Tag>
    <b:SourceType>JournalArticle</b:SourceType>
    <b:Guid>{6D9F9A15-D992-4A31-BB06-CE0FB3CF79F0}</b:Guid>
    <b:Title>The embodied CO2e of sustainable energy technologies used in buildings: A review article</b:Title>
    <b:Year>2018</b:Year>
    <b:Author>
      <b:Author>
        <b:NameList>
          <b:Person>
            <b:Last>Finnegan S.</b:Last>
            <b:First>Jones</b:First>
            <b:Middle>C., Sharples S.</b:Middle>
          </b:Person>
        </b:NameList>
      </b:Author>
    </b:Author>
    <b:JournalName>Energy and Buildings</b:JournalName>
    <b:Pages>50-61</b:Pages>
    <b:RefOrder>77</b:RefOrder>
  </b:Source>
  <b:Source>
    <b:Tag>Hay17</b:Tag>
    <b:SourceType>Report</b:SourceType>
    <b:Guid>{A5509DCD-66C0-48CA-A5BE-9F91941A90B7}</b:Guid>
    <b:Author>
      <b:Author>
        <b:NameList>
          <b:Person>
            <b:Last>Hayward J A</b:Last>
            <b:First>Graham</b:First>
            <b:Middle>P W,</b:Middle>
          </b:Person>
        </b:NameList>
      </b:Author>
    </b:Author>
    <b:Title>Electricity generation technology cost projections</b:Title>
    <b:Year>2017</b:Year>
    <b:Publisher>CSIRO</b:Publisher>
    <b:City>Australia</b:City>
    <b:RefOrder>78</b:RefOrder>
  </b:Source>
  <b:Source>
    <b:Tag>Leu18</b:Tag>
    <b:SourceType>Report</b:SourceType>
    <b:Guid>{C4BD7477-F2CE-4796-B1D9-68F2081ECDA2}</b:Guid>
    <b:Author>
      <b:Author>
        <b:NameList>
          <b:Person>
            <b:Last>Leun K v d.</b:Last>
          </b:Person>
        </b:NameList>
      </b:Author>
    </b:Author>
    <b:Title>Solar PV shows a record learning rate</b:Title>
    <b:Year>2018</b:Year>
    <b:Publisher>Rapidshift</b:Publisher>
    <b:RefOrder>79</b:RefOrder>
  </b:Source>
  <b:Source>
    <b:Tag>New17</b:Tag>
    <b:SourceType>JournalArticle</b:SourceType>
    <b:Guid>{D2C4629B-3BDE-4D7A-B58F-45D33E49AC2E}</b:Guid>
    <b:Title>How to judge whether supporting solar PV is justified</b:Title>
    <b:Year>2017</b:Year>
    <b:Author>
      <b:Author>
        <b:NameList>
          <b:Person>
            <b:Last>Newbery D.</b:Last>
          </b:Person>
        </b:NameList>
      </b:Author>
    </b:Author>
    <b:JournalName>Cambridge Working Paper in Economics</b:JournalName>
    <b:RefOrder>80</b:RefOrder>
  </b:Source>
  <b:Source>
    <b:Tag>Placeholder4</b:Tag>
    <b:SourceType>Report</b:SourceType>
    <b:Guid>{22BA025E-4BD6-4A1B-AB48-C2DC381A07E1}</b:Guid>
    <b:Author>
      <b:Author>
        <b:NameList>
          <b:Person>
            <b:Last>Philipps</b:Last>
            <b:First>D.S.,</b:First>
            <b:Middle>et al</b:Middle>
          </b:Person>
        </b:NameList>
      </b:Author>
    </b:Author>
    <b:Title>Photovoltaics Report 47</b:Title>
    <b:Year>2018</b:Year>
    <b:RefOrder>81</b:RefOrder>
  </b:Source>
  <b:Source>
    <b:Tag>Tou13</b:Tag>
    <b:SourceType>JournalArticle</b:SourceType>
    <b:Guid>{9E91DBC6-E466-439D-B924-94930777A5CD}</b:Guid>
    <b:Author>
      <b:Author>
        <b:NameList>
          <b:Person>
            <b:Last>Tour A D L.</b:Last>
            <b:First>Glachant</b:First>
            <b:Middle>M., Meniere Y.,</b:Middle>
          </b:Person>
        </b:NameList>
      </b:Author>
    </b:Author>
    <b:Title>What cost for photovoltaic modules in 2020? Lessons from experience curve models</b:Title>
    <b:JournalName>HAL</b:JournalName>
    <b:Year>2013</b:Year>
    <b:PeriodicalTitle>HAL</b:PeriodicalTitle>
    <b:Month>March</b:Month>
    <b:RefOrder>82</b:RefOrder>
  </b:Source>
  <b:Source>
    <b:Tag>Phi</b:Tag>
    <b:SourceType>Report</b:SourceType>
    <b:Guid>{7A04A18D-4CF6-449D-9B47-8AC791689713}</b:Guid>
    <b:Author>
      <b:Author>
        <b:NameList>
          <b:Person>
            <b:Last>Philipps</b:Last>
            <b:First>D.S.,</b:First>
            <b:Middle>et al</b:Middle>
          </b:Person>
        </b:NameList>
      </b:Author>
    </b:Author>
    <b:Title>Photovoltaics Report 47</b:Title>
    <b:Year>2015</b:Year>
    <b:RefOrder>26</b:RefOrder>
  </b:Source>
  <b:Source>
    <b:Tag>Fra18</b:Tag>
    <b:SourceType>DocumentFromInternetSite</b:SourceType>
    <b:Guid>{D3BE172A-CD88-41D9-BDDA-B8AA323D9892}</b:Guid>
    <b:Author>
      <b:Author>
        <b:Corporate>Fraunhofer, ISE</b:Corporate>
      </b:Author>
    </b:Author>
    <b:Title>Photovoltaics Report</b:Title>
    <b:Year>2018</b:Year>
    <b:Month>August</b:Month>
    <b:Day>27</b:Day>
    <b:InternetSiteTitle>www.ise.fraunhofer.de</b:InternetSiteTitle>
    <b:URL>https://www.ise.fraunhofer.de/content/dam/ise/de/documents/publications/studies/Photovoltaics-Report.pdf</b:URL>
    <b:RefOrder>3</b:RefOrder>
  </b:Source>
  <b:Source>
    <b:Tag>MIT15</b:Tag>
    <b:SourceType>Report</b:SourceType>
    <b:Guid>{3266B9B4-E561-445E-B779-C1EAAACBA3A6}</b:Guid>
    <b:Title>The Future of Solar Energy: An Interdisciplinary MIT Study. Retrieved from http://energy.mit.edu/publication/future-solar-energy/</b:Title>
    <b:Year>2015</b:Year>
    <b:Author>
      <b:Author>
        <b:Corporate>MIT</b:Corporate>
      </b:Author>
    </b:Author>
    <b:Publisher>MIT</b:Publisher>
    <b:City>Boston</b:City>
    <b:RefOrder>4</b:RefOrder>
  </b:Source>
  <b:Source>
    <b:Tag>alI17</b:Tag>
    <b:SourceType>JournalArticle</b:SourceType>
    <b:Guid>{E79EDEB3-0597-4FDF-A00C-527C7DE0BC8D}</b:Guid>
    <b:Author>
      <b:Author>
        <b:NameList>
          <b:Person>
            <b:Last>Ibn-Mohammed</b:Last>
          </b:Person>
        </b:NameList>
      </b:Author>
    </b:Author>
    <b:Title>Perovskite solar cells: An integrated hybrid lifecycle assessment and review in comparison with other photovoltaic technologies .</b:Title>
    <b:Year>2017</b:Year>
    <b:JournalName>Renewable and Sustainable Energy Reviews</b:JournalName>
    <b:Pages>1321–1344</b:Pages>
    <b:URL> https://doi.org/10.1016/j.rser.2017.05.095</b:URL>
    <b:DOI>doi.org/10.1016/j.rser.2017.05.095</b:DOI>
    <b:RefOrder>5</b:RefOrder>
  </b:Source>
  <b:Source>
    <b:Tag>Gre</b:Tag>
    <b:SourceType>JournalArticle</b:SourceType>
    <b:Guid>{D43B7F90-8208-4C68-A030-22D419D43DF9}</b:Guid>
    <b:Author>
      <b:Author>
        <b:NameList>
          <b:Person>
            <b:Last>Green</b:Last>
            <b:First>M.</b:First>
            <b:Middle>A., Emery, K., Hishikawa, Y., Warta, W., &amp; Dunlop, E. D.</b:Middle>
          </b:Person>
        </b:NameList>
      </b:Author>
    </b:Author>
    <b:Title>Solar cell efficiency tables (Version 45)</b:Title>
    <b:Year>2014</b:Year>
    <b:JournalName>Progress in Photovoltaics: Research and Applications</b:JournalName>
    <b:Pages>1–9</b:Pages>
    <b:URL>https://doi.org/10.1002/pip.2573</b:URL>
    <b:DOI>doi.org/10.1002/pip.2573</b:DOI>
    <b:RefOrder>83</b:RefOrder>
  </b:Source>
  <b:Source>
    <b:Tag>NREL17</b:Tag>
    <b:SourceType>ArticleInAPeriodical</b:SourceType>
    <b:Guid>{73489AA2-1290-41E3-896A-25104130005A}</b:Guid>
    <b:Author>
      <b:Author>
        <b:Corporate>NREL</b:Corporate>
      </b:Author>
    </b:Author>
    <b:Title>NREL Report Shows Utility-Scale Solar PV System Cost Fell Nearly 30% Last Year</b:Title>
    <b:Year>2017</b:Year>
    <b:PeriodicalTitle>NREL News</b:PeriodicalTitle>
    <b:Month>September</b:Month>
    <b:Day>12</b:Day>
    <b:RefOrder>7</b:RefOrder>
  </b:Source>
  <b:Source>
    <b:Tag>Sol18</b:Tag>
    <b:SourceType>DocumentFromInternetSite</b:SourceType>
    <b:Guid>{35DDC483-2D09-4876-BDD4-A6943A7F0771}</b:Guid>
    <b:Author>
      <b:Author>
        <b:Corporate>SolarGIS</b:Corporate>
      </b:Author>
    </b:Author>
    <b:Title>Maps of Global horizontal irradiation (GHI)</b:Title>
    <b:Year>2018</b:Year>
    <b:InternetSiteTitle>SolarGIS</b:InternetSiteTitle>
    <b:Month>November</b:Month>
    <b:Day>20</b:Day>
    <b:URL>https://solargis.com/maps-and-gis-data/overview/</b:URL>
    <b:RefOrder>8</b:RefOrder>
  </b:Source>
  <b:Source>
    <b:Tag>Vie162</b:Tag>
    <b:SourceType>JournalArticle</b:SourceType>
    <b:Guid>{92A5A984-2EA8-447D-8CF0-7079840B4510}</b:Guid>
    <b:Author>
      <b:Author>
        <b:NameList>
          <b:Person>
            <b:Last>Vieira</b:Last>
            <b:First>R.G.,</b:First>
            <b:Middle>Guerra, F.K.O.M.V., Vale, M.R.B.G. &amp; Araujo, M.M.</b:Middle>
          </b:Person>
        </b:NameList>
      </b:Author>
    </b:Author>
    <b:Title>Comparative performance analysis between static solar panels and single-axis tracking system on a hot climate region near to the equator</b:Title>
    <b:Year>2016</b:Year>
    <b:JournalName>Renewable and Sustainable Energy Reviews</b:JournalName>
    <b:Pages>672–681</b:Pages>
    <b:Month>October</b:Month>
    <b:URL>http://doi.org/10.1016/j.rser.2016.06.089</b:URL>
    <b:RefOrder>84</b:RefOrder>
  </b:Source>
  <b:Source>
    <b:Tag>NRE17</b:Tag>
    <b:SourceType>Report</b:SourceType>
    <b:Guid>{2A5F39CB-91F1-4074-9E8B-23975C143C2C}</b:Guid>
    <b:Author>
      <b:Author>
        <b:Corporate>NREL</b:Corporate>
      </b:Author>
    </b:Author>
    <b:Title>US Solar Photovoltaic System Cost Benchmark : Q1 2017</b:Title>
    <b:Year>2017b</b:Year>
    <b:Publisher>NREL</b:Publisher>
    <b:City>Golden</b:City>
    <b:RefOrder>10</b:RefOrder>
  </b:Source>
  <b:Source>
    <b:Tag>LBN14</b:Tag>
    <b:SourceType>Report</b:SourceType>
    <b:Guid>{48D8CC07-D193-4E16-98F6-663118E0AC6E}</b:Guid>
    <b:Author>
      <b:Author>
        <b:NameList>
          <b:Person>
            <b:Last>Bolinger</b:Last>
            <b:First>M.,</b:First>
            <b:Middle>&amp; Seel, J.</b:Middle>
          </b:Person>
        </b:NameList>
      </b:Author>
    </b:Author>
    <b:Title>Utility-scale Solar 2014 (No. LBNL-1000917) (pp. 1–43). . Retrieved from https://emp.lbl.gov/sites/all/files/lbnl-1000917.pdf</b:Title>
    <b:Year>2015</b:Year>
    <b:Publisher>Lawrence Berkeley National Laboratory</b:Publisher>
    <b:URL> https://emp.lbl.gov/sites/all/files/lbnl-1000917.pdf</b:URL>
    <b:RefOrder>37</b:RefOrder>
  </b:Source>
  <b:Source>
    <b:Tag>MNRE15</b:Tag>
    <b:SourceType>DocumentFromInternetSite</b:SourceType>
    <b:Guid>{65094F56-8392-47C4-A6AF-B95EDA043E28}</b:Guid>
    <b:Author>
      <b:Author>
        <b:Corporate>MNRE</b:Corporate>
      </b:Author>
    </b:Author>
    <b:Title>Solar-Park-Guidelines</b:Title>
    <b:Year>2016</b:Year>
    <b:InternetSiteTitle>www.mnre.gov.in</b:InternetSiteTitle>
    <b:URL> https://mnre.gov.in/file-manager/UserFiles/Solar-Park-Guidelines.pdf</b:URL>
    <b:RefOrder>11</b:RefOrder>
  </b:Source>
  <b:Source>
    <b:Tag>IEA18</b:Tag>
    <b:SourceType>Report</b:SourceType>
    <b:Guid>{EE546F9A-A5BC-4A9D-84EA-C910FA92D001}</b:Guid>
    <b:Author>
      <b:Author>
        <b:Corporate>IEA</b:Corporate>
      </b:Author>
    </b:Author>
    <b:Title>World Energy Outlook 2018</b:Title>
    <b:Year>2018</b:Year>
    <b:Publisher>IEA</b:Publisher>
    <b:City>Paris</b:City>
    <b:RefOrder>12</b:RefOrder>
  </b:Source>
  <b:Source>
    <b:Tag>IRE182</b:Tag>
    <b:SourceType>InternetSite</b:SourceType>
    <b:Guid>{10C6E393-3605-45D0-B25B-60B3F36F3FEB}</b:Guid>
    <b:Author>
      <b:Author>
        <b:Corporate>IRENA</b:Corporate>
      </b:Author>
    </b:Author>
    <b:Title>IRENA : Renewable Energy Topic; featured Dashboard</b:Title>
    <b:Year>2018c</b:Year>
    <b:InternetSiteTitle>www.irena.org</b:InternetSiteTitle>
    <b:Month>November </b:Month>
    <b:Day>25</b:Day>
    <b:URL>http://resourceirena.irena.org/gateway/dashboard/</b:URL>
    <b:RefOrder>85</b:RefOrder>
  </b:Source>
  <b:Source>
    <b:Tag>She18</b:Tag>
    <b:SourceType>Report</b:SourceType>
    <b:Guid>{182E2DD2-689D-4442-BDDD-1B9EEFB882A3}</b:Guid>
    <b:Author>
      <b:Author>
        <b:Corporate>Shell</b:Corporate>
      </b:Author>
    </b:Author>
    <b:Title>Shell Scenarios : Sky; Meeting the goals of the Paris Agreement</b:Title>
    <b:Year>2018</b:Year>
    <b:Publisher>Shell</b:Publisher>
    <b:RefOrder>18</b:RefOrder>
  </b:Source>
  <b:Source>
    <b:Tag>Sus17</b:Tag>
    <b:SourceType>Report</b:SourceType>
    <b:Guid>{988FD118-E6A0-462E-BED4-A3DE334BB374}</b:Guid>
    <b:Title>Expect the Unexpected : the Disruptive Power of Low-carbon Technology</b:Title>
    <b:Year>2017</b:Year>
    <b:Author>
      <b:Author>
        <b:NameList>
          <b:Person>
            <b:Last>Sussams</b:Last>
            <b:First>L.,</b:First>
            <b:Middle>Leaton, J.,</b:Middle>
          </b:Person>
        </b:NameList>
      </b:Author>
    </b:Author>
    <b:Publisher>Carbon Tracker Initiative</b:Publisher>
    <b:City>London</b:City>
    <b:RefOrder>19</b:RefOrder>
  </b:Source>
  <b:Source>
    <b:Tag>CPU15</b:Tag>
    <b:SourceType>Report</b:SourceType>
    <b:Guid>{89C9FEDE-30AB-49EB-B93B-B71DD5AC1F74}</b:Guid>
    <b:Author>
      <b:Author>
        <b:Corporate>CPUC</b:Corporate>
      </b:Author>
    </b:Author>
    <b:Title>California Renewables Portfolio Standard (RPS). Retrieved July 21, 2016, from http://www.cpuc.ca.gov/RPS_Homepage/</b:Title>
    <b:Year>2015</b:Year>
    <b:Publisher>California Public Utilities Commission</b:Publisher>
    <b:City>San Francisco</b:City>
    <b:RefOrder>23</b:RefOrder>
  </b:Source>
  <b:Source>
    <b:Tag>Blo18</b:Tag>
    <b:SourceType>Report</b:SourceType>
    <b:Guid>{6D729FE0-B712-436D-BBA1-4201F93C7547}</b:Guid>
    <b:Author>
      <b:Author>
        <b:NameList>
          <b:Person>
            <b:Last>Blok</b:Last>
            <b:First>K.,</b:First>
            <b:Middle>Exter, P.v. &amp; Terlouw, W.</b:Middle>
          </b:Person>
        </b:NameList>
      </b:Author>
    </b:Author>
    <b:Title>ECOFYS : Energy Transition within 1.5ōC: A disruptive approach to 100% decarbonisation of the global energy system by 2050</b:Title>
    <b:Year>2018</b:Year>
    <b:Publisher>ECOFYS</b:Publisher>
    <b:City>Utrecht</b:City>
    <b:RefOrder>25</b:RefOrder>
  </b:Source>
  <b:Source>
    <b:Tag>Ram17</b:Tag>
    <b:SourceType>Report</b:SourceType>
    <b:Guid>{D2D53C9A-C002-4562-939F-86E7458A86DD}</b:Guid>
    <b:Author>
      <b:Author>
        <b:NameList>
          <b:Person>
            <b:Last>Ram</b:Last>
            <b:First>M.,</b:First>
            <b:Middle>Bogdanov, D., Aghahosseini, A., Oyewo, A.S., Gulagi, A., Child, M., Fell, H.J. &amp; Breyer, C.</b:Middle>
          </b:Person>
        </b:NameList>
      </b:Author>
    </b:Author>
    <b:Title>Global Energy System based on 100% Renewable Energy - Power Sector</b:Title>
    <b:Year>2017</b:Year>
    <b:Publisher>LUT and EnergyWatchGroup</b:Publisher>
    <b:City>Utrecht</b:City>
    <b:RefOrder>24</b:RefOrder>
  </b:Source>
  <b:Source>
    <b:Tag>Rau12</b:Tag>
    <b:SourceType>JournalArticle</b:SourceType>
    <b:Guid>{31C56AFF-0FC1-42A2-BAD0-5F8417D914E3}</b:Guid>
    <b:Author>
      <b:Author>
        <b:NameList>
          <b:Person>
            <b:Last>Raugei</b:Last>
            <b:First>M.,</b:First>
            <b:Middle>Fullana-i-Palmer, P., &amp; Fthenakis, V. 45, .</b:Middle>
          </b:Person>
        </b:NameList>
      </b:Author>
    </b:Author>
    <b:Title>The energy return on energy investment (EROI) of photovoltaics: Methodology and comparisons with fossil fuel life cycles</b:Title>
    <b:JournalName>Energy Policy</b:JournalName>
    <b:Year>2012</b:Year>
    <b:Pages>576–582</b:Pages>
    <b:URL>http://doi.org/10.1016/j.enpol.2012.03.008</b:URL>
    <b:RefOrder>86</b:RefOrder>
  </b:Source>
  <b:Source>
    <b:Tag>Hou12</b:Tag>
    <b:SourceType>Report</b:SourceType>
    <b:Guid>{00BAEA8C-BBE3-473B-BEA9-F720D412D25D}</b:Guid>
    <b:Author>
      <b:Author>
        <b:NameList>
          <b:Person>
            <b:Last>Hou</b:Last>
            <b:First>et</b:First>
            <b:Middle>al.</b:Middle>
          </b:Person>
        </b:NameList>
      </b:Author>
    </b:Author>
    <b:Title>Life cycle assessment of grid-connected photovoltaic power generation from crystalline silicon solar modules in China. Applied Energy, 164, 882–890. http://doi.org/10.1016/j.apenergy.2015.11.023</b:Title>
    <b:Year>2012</b:Year>
    <b:RefOrder>50</b:RefOrder>
  </b:Source>
  <b:Source>
    <b:Tag>IEA10</b:Tag>
    <b:SourceType>Report</b:SourceType>
    <b:Guid>{D6347AF5-9049-4BA9-9155-9FC015B507BE}</b:Guid>
    <b:Title>Technology Roadmap: Solar Photovoltaic Energy 2010. Retrieved from https://www.iea.org/media/freepublications/technologyroadmaps/solar/</b:Title>
    <b:Year>2010</b:Year>
    <b:City>Paris</b:City>
    <b:Publisher> International Energy Agency</b:Publisher>
    <b:Author>
      <b:Author>
        <b:Corporate>IEA</b:Corporate>
      </b:Author>
    </b:Author>
    <b:RefOrder>52</b:RefOrder>
  </b:Source>
  <b:Source>
    <b:Tag>REN16</b:Tag>
    <b:SourceType>Report</b:SourceType>
    <b:Guid>{45795D2F-448D-4B35-B409-E7F295AC5FF3}</b:Guid>
    <b:Author>
      <b:Author>
        <b:Corporate>REN21</b:Corporate>
      </b:Author>
    </b:Author>
    <b:Title>Renewables 2016: Global Status Report</b:Title>
    <b:Year>2016</b:Year>
    <b:Publisher>REN21</b:Publisher>
    <b:City>Paris</b:City>
    <b:RefOrder>9</b:RefOrder>
  </b:Source>
  <b:Source>
    <b:Tag>NRE16</b:Tag>
    <b:SourceType>Report</b:SourceType>
    <b:Guid>{25060E47-71AF-4834-8508-7E8E2C5A491B}</b:Guid>
    <b:Author>
      <b:Author>
        <b:Corporate>NREL,US.</b:Corporate>
      </b:Author>
    </b:Author>
    <b:Title>On the Path to Sunshot : The role of Advancements in Solar Photovoltaic Efficiency, Reliability and Costs</b:Title>
    <b:Year>2016</b:Year>
    <b:Publisher>NREL, US Deptt of Energy</b:Publisher>
    <b:City>Golden</b:City>
    <b:RefOrder>87</b:RefOrder>
  </b:Source>
  <b:Source>
    <b:Tag>USD12</b:Tag>
    <b:SourceType>Report</b:SourceType>
    <b:Guid>{40A4F9E0-33C8-4BE9-99FE-9A50C4EFB97D}</b:Guid>
    <b:Author>
      <b:Author>
        <b:Corporate>USDOE</b:Corporate>
      </b:Author>
    </b:Author>
    <b:Title>Analysis of PV and CSP Growth in the SunShot Scenario in SunShot Vision Study 2012.</b:Title>
    <b:Year>2012</b:Year>
    <b:Publisher>US Department of Energy</b:Publisher>
    <b:City>Washington</b:City>
    <b:RefOrder>53</b:RefOrder>
  </b:Source>
  <b:Source>
    <b:Tag>BP18</b:Tag>
    <b:SourceType>Report</b:SourceType>
    <b:Guid>{D4FC39FD-EFCB-4308-BFB0-A18AEA915BCA}</b:Guid>
    <b:Author>
      <b:Author>
        <b:Corporate>BP</b:Corporate>
      </b:Author>
    </b:Author>
    <b:Title>BP Statistical Review of World Energy; retrieved on 25 November, 2018 from : https://www.bp.com/content/dam/bp/en/corporate/pdf/energy-economics/statistical-review/bp-stats-review-2018-full-report.pdf</b:Title>
    <b:Year>2018</b:Year>
    <b:Publisher>BP</b:Publisher>
    <b:City>London</b:City>
    <b:RefOrder>15</b:RefOrder>
  </b:Source>
  <b:Source>
    <b:Tag>EER16</b:Tag>
    <b:SourceType>Report</b:SourceType>
    <b:Guid>{A794CB5C-A893-4195-8135-BA4CCA6FF43A}</b:Guid>
    <b:Author>
      <b:Author>
        <b:Corporate>EERE</b:Corporate>
      </b:Author>
    </b:Author>
    <b:Title>Sunshot 2030 retrieved on 2 December 2018 from https://www.energy.gov/eere/solar/sunshot-2030</b:Title>
    <b:Year>2016</b:Year>
    <b:Publisher>US Department of Energy</b:Publisher>
    <b:City>Washington</b:City>
    <b:RefOrder>21</b:RefOrder>
  </b:Source>
  <b:Source>
    <b:Tag>USE18</b:Tag>
    <b:SourceType>DocumentFromInternetSite</b:SourceType>
    <b:Guid>{12399901-6C28-4DB0-9CAF-074EE6724577}</b:Guid>
    <b:Author>
      <b:Author>
        <b:Corporate>US Energy Information Administration</b:Corporate>
      </b:Author>
    </b:Author>
    <b:Title>US Energy Information Administration : Independent Statistics and Analysis</b:Title>
    <b:InternetSiteTitle>Frequently Asked Questions : General Energy</b:InternetSiteTitle>
    <b:Year>2018</b:Year>
    <b:Month>November</b:Month>
    <b:Day>25</b:Day>
    <b:URL>https://www.eia.gov/tools/faqs/</b:URL>
    <b:RefOrder>88</b:RefOrder>
  </b:Source>
  <b:Source>
    <b:Tag>EIA161</b:Tag>
    <b:SourceType>Report</b:SourceType>
    <b:Guid>{9FD65D0C-4D15-4E54-A8B4-6F638132441D}</b:Guid>
    <b:Author>
      <b:Author>
        <b:Corporate>EIA, US.</b:Corporate>
      </b:Author>
    </b:Author>
    <b:Title>Capital Cost Estimates for Utility Scale Electricity Generating Plants retrieved on 25 November from : https://www.eia.gov/analysis/studies/powerplants/capitalcost/pdf/capcost_assumption.pdf</b:Title>
    <b:Year>2016</b:Year>
    <b:Publisher>US Deptt of Energy</b:Publisher>
    <b:City>Washington</b:City>
    <b:RefOrder>45</b:RefOrder>
  </b:Source>
  <b:Source>
    <b:Tag>EIA18</b:Tag>
    <b:SourceType>Report</b:SourceType>
    <b:Guid>{312E7B6A-5452-4EB1-BA2A-4DFE5B63802A}</b:Guid>
    <b:Author>
      <b:Author>
        <b:Corporate>EIA</b:Corporate>
      </b:Author>
    </b:Author>
    <b:Title>International Energy Outlook 2017 retrieved on 29 November 2018 from : https://www.eia.gov/outlooks/ieo/pdf/0484(2017).pdf</b:Title>
    <b:Year>2018</b:Year>
    <b:Publisher>US Department of Energy</b:Publisher>
    <b:City>Washington</b:City>
    <b:RefOrder>20</b:RefOrder>
  </b:Source>
  <b:Source>
    <b:Tag>Gre15</b:Tag>
    <b:SourceType>Report</b:SourceType>
    <b:Guid>{86569C8E-C9F8-4CBD-82AF-0EDF27A09919}</b:Guid>
    <b:Author>
      <b:Author>
        <b:Corporate>Teske, S., Sawyer, S. &amp; Schafer, O.</b:Corporate>
      </b:Author>
    </b:Author>
    <b:Title>energy [R]evolution : A sustainable world energy outlook 2015; 100% Renewable Energy for All</b:Title>
    <b:Year>2015</b:Year>
    <b:Publisher>Greenpeace</b:Publisher>
    <b:City>Brussels</b:City>
    <b:RefOrder>89</b:RefOrder>
  </b:Source>
  <b:Source>
    <b:Tag>Her15</b:Tag>
    <b:SourceType>ConferenceProceedings</b:SourceType>
    <b:Guid>{1BBDAE2C-EA1F-4974-89B6-4907EF0D73F7}</b:Guid>
    <b:Author>
      <b:Author>
        <b:NameList>
          <b:Person>
            <b:Last>Hertwich</b:Last>
            <b:First>E.G.,</b:First>
            <b:Middle>Gibon, T., Bouman, E.A., Arvesen, A., Suh, S., Heath, G.A., Bergesen, J.D., Ramirez, A., Vega, M.I. &amp; Shi, L.</b:Middle>
          </b:Person>
        </b:NameList>
      </b:Author>
      <b:Editor>
        <b:NameList>
          <b:Person>
            <b:Last>Clark</b:Last>
            <b:First>W.C.</b:First>
          </b:Person>
        </b:NameList>
      </b:Editor>
    </b:Author>
    <b:Title>Integrated life-cycle assessment of electricity-supply scenarios confirms global environmental benefit of low-carbon technologies. Proceedings of the National Academy of Sciences, 112(20), 6277–6282. https://doi.org/10.1073/pnas.1312753111</b:Title>
    <b:Year>2015</b:Year>
    <b:Publisher>PNAS</b:Publisher>
    <b:City>Cambridge</b:City>
    <b:Pages>6277-6282</b:Pages>
    <b:ConferenceName>Proceedings of the National Academy of Sciences of the United States of America</b:ConferenceName>
    <b:Volume>112(20)</b:Volume>
    <b:YearAccessed>2018</b:YearAccessed>
    <b:MonthAccessed>November</b:MonthAccessed>
    <b:DayAccessed>20</b:DayAccessed>
    <b:URL>https://www.pnas.org/content/112/20/6277</b:URL>
    <b:DOI>https://doi.org/10.1073/pnas.1312753111</b:DOI>
    <b:RefOrder>49</b:RefOrder>
  </b:Source>
  <b:Source>
    <b:Tag>IEA17</b:Tag>
    <b:SourceType>Report</b:SourceType>
    <b:Guid>{0835AE24-DC43-4919-B5AE-FDB138E6FFE3}</b:Guid>
    <b:Author>
      <b:Author>
        <b:Corporate>IEA-PVPS</b:Corporate>
      </b:Author>
    </b:Author>
    <b:Title>Trends 2016 in Photovoltaic Applications : Survey report of selected countries between 1992 and 2015</b:Title>
    <b:Year>2017</b:Year>
    <b:Publisher>IEA-PVPS</b:Publisher>
    <b:City>Paris</b:City>
    <b:URL>https://www.cansia.ca/uploads/7/2/5/1/72513707/iea_pvps_trends_2016.pdf</b:URL>
    <b:RefOrder>90</b:RefOrder>
  </b:Source>
  <b:Source>
    <b:Tag>Tre18</b:Tag>
    <b:SourceType>Report</b:SourceType>
    <b:Guid>{54002319-0749-4760-9DE5-16FCEC8CD426}</b:Guid>
    <b:Title>Trends 2018 in Photovoltaic Applications : Survey report of selected IEA countries between 1992 and 2017</b:Title>
    <b:Year>2018</b:Year>
    <b:Publisher>IEA PVPS</b:Publisher>
    <b:City>Paris</b:City>
    <b:Author>
      <b:Author>
        <b:Corporate>IEA-PVPS</b:Corporate>
      </b:Author>
    </b:Author>
    <b:RefOrder>51</b:RefOrder>
  </b:Source>
  <b:Source>
    <b:Tag>IEA14</b:Tag>
    <b:SourceType>Report</b:SourceType>
    <b:Guid>{CC5ACCF3-0384-4123-9927-37515946A011}</b:Guid>
    <b:Author>
      <b:Author>
        <b:Corporate>IEA</b:Corporate>
      </b:Author>
    </b:Author>
    <b:Title>Technology Roadmap: Solar Photovoltaic Energy. Retrieved from http://www.iea.org/publications/freepublications/publication/TechnologyRoadmapSolarPhotovoltaicEnergy_2014edition.pdf</b:Title>
    <b:Year>2014</b:Year>
    <b:RefOrder>28</b:RefOrder>
  </b:Source>
  <b:Source>
    <b:Tag>IEA15</b:Tag>
    <b:SourceType>Report</b:SourceType>
    <b:Guid>{2BF63ADD-54D1-47BB-AAE8-84C832695D07}</b:Guid>
    <b:Author>
      <b:Author>
        <b:Corporate>IEA-PVPS</b:Corporate>
      </b:Author>
    </b:Author>
    <b:Title>Life Cycle Inventories and Life Cycle Assessments of Photovoltaic Systems</b:Title>
    <b:Year>2015a</b:Year>
    <b:Publisher>IEA-PVPS</b:Publisher>
    <b:City>Paris</b:City>
    <b:RefOrder>91</b:RefOrder>
  </b:Source>
  <b:Source>
    <b:Tag>IEA18a</b:Tag>
    <b:SourceType>Report</b:SourceType>
    <b:Guid>{22B8046F-BFB1-4491-8E06-D0130D724339}</b:Guid>
    <b:Title>Renewables 2018 ; retrieved from https://www.iea.org/renewables2018/</b:Title>
    <b:Year>2018c</b:Year>
    <b:Author>
      <b:Author>
        <b:Corporate>IEA</b:Corporate>
      </b:Author>
    </b:Author>
    <b:Publisher>IEA</b:Publisher>
    <b:City>Paris</b:City>
    <b:RefOrder>92</b:RefOrder>
  </b:Source>
  <b:Source>
    <b:Tag>IEA6a</b:Tag>
    <b:SourceType>Book</b:SourceType>
    <b:Guid>{9AECB792-0CDF-42A8-A1C5-F8F3D00E8515}</b:Guid>
    <b:Author>
      <b:Author>
        <b:Corporate>IEA</b:Corporate>
      </b:Author>
    </b:Author>
    <b:Title>Energy Prices and Taxes – Third quarter 2016. Quarterly Statistics. International Energy Agency.</b:Title>
    <b:Year>2016a</b:Year>
    <b:City>Paris</b:City>
    <b:Publisher>International Energy Agency</b:Publisher>
    <b:RefOrder>41</b:RefOrder>
  </b:Source>
  <b:Source>
    <b:Tag>IEA6b</b:Tag>
    <b:SourceType>Report</b:SourceType>
    <b:Guid>{78C19A41-941F-4916-B255-92023C24B05F}</b:Guid>
    <b:Author>
      <b:Author>
        <b:Corporate>IEA</b:Corporate>
      </b:Author>
    </b:Author>
    <b:Title>Energy Technology Perspectives 2016 - Towards Sustainable Urban Energy Systems. Paris, France: International Energy Agency. Retrieved from http://www.iea.org/etp/etp2016/</b:Title>
    <b:Year>2016b</b:Year>
    <b:Publisher>International Energy Agency</b:Publisher>
    <b:City>Paris</b:City>
    <b:RefOrder>46</b:RefOrder>
  </b:Source>
  <b:Source>
    <b:Tag>IEA171</b:Tag>
    <b:SourceType>Report</b:SourceType>
    <b:Guid>{A12D4A2B-773A-4F38-8A53-6CECBF6E5BBB}</b:Guid>
    <b:Author>
      <b:Author>
        <b:Corporate>IEA</b:Corporate>
      </b:Author>
    </b:Author>
    <b:Title>Energy Technology Perspectives 2017 : Catalysing energy technology transformations; retrieved from : https://www.iea.org/etp2017/</b:Title>
    <b:Year>2017</b:Year>
    <b:Publisher>International Energy Agency</b:Publisher>
    <b:City>Paris</b:City>
    <b:RefOrder>93</b:RefOrder>
  </b:Source>
  <b:Source>
    <b:Tag>IEA</b:Tag>
    <b:SourceType>Report</b:SourceType>
    <b:Guid>{73B893E3-C17B-473F-9383-55A8D54A93E1}</b:Guid>
    <b:Author>
      <b:Author>
        <b:Corporate>IEA-PVPS</b:Corporate>
      </b:Author>
    </b:Author>
    <b:Title>2018 : Snapshot of Global Photovoltaic markets</b:Title>
    <b:Publisher>IEA-PVPS</b:Publisher>
    <b:Year>2018a</b:Year>
    <b:City>Paris</b:City>
    <b:RefOrder>16</b:RefOrder>
  </b:Source>
  <b:Source>
    <b:Tag>IRENA18</b:Tag>
    <b:SourceType>Report</b:SourceType>
    <b:Guid>{CE1A4E37-CB4C-49A2-8D91-FC2F05F691FC}</b:Guid>
    <b:Author>
      <b:Author>
        <b:Corporate>IRENA</b:Corporate>
      </b:Author>
    </b:Author>
    <b:Title>Global Trends in Renewable Energy Costs</b:Title>
    <b:Year>2018a</b:Year>
    <b:City>Abu Dhabi</b:City>
    <b:Publisher>IRENA</b:Publisher>
    <b:RefOrder>35</b:RefOrder>
  </b:Source>
  <b:Source>
    <b:Tag>IREa182</b:Tag>
    <b:SourceType>Report</b:SourceType>
    <b:Guid>{639049AB-C607-4383-9E82-DD7BCAFECA3E}</b:Guid>
    <b:Author>
      <b:Author>
        <b:Corporate>IRENA</b:Corporate>
      </b:Author>
    </b:Author>
    <b:Title>Power Generation Costs in 2017; retrieved on 25 November 2018 from https://www.irena.org/publications/2018/Jan/Renewable-power-generation-costs-in-2017</b:Title>
    <b:Year>2018b</b:Year>
    <b:Publisher>IRENA</b:Publisher>
    <b:City>Abu Dhabi</b:City>
    <b:RefOrder>22</b:RefOrder>
  </b:Source>
  <b:Source>
    <b:Tag>IRE15</b:Tag>
    <b:SourceType>Report</b:SourceType>
    <b:Guid>{6A7D31B0-2C26-430C-A02A-68DEFA6F6846}</b:Guid>
    <b:Author>
      <b:Author>
        <b:Corporate>IRENA</b:Corporate>
      </b:Author>
    </b:Author>
    <b:Title>Renewable Power Generation Costs in 2014; Retreived on 10 November 2018 from https://www.irena.org/publications/2015/Jan/Renewable-Power-Generation-Costs-in-2014</b:Title>
    <b:Year>2015</b:Year>
    <b:Publisher>IRENA</b:Publisher>
    <b:City>Abu Dhabi</b:City>
    <b:RefOrder>94</b:RefOrder>
  </b:Source>
  <b:Source>
    <b:Tag>IRE16</b:Tag>
    <b:SourceType>Report</b:SourceType>
    <b:Guid>{FE4413B1-0737-4F8A-BE18-025C93112847}</b:Guid>
    <b:Author>
      <b:Author>
        <b:Corporate>IRENA</b:Corporate>
      </b:Author>
    </b:Author>
    <b:Title>The Power to Change: Solar and Wind Cost Reduction Potential to 2025 ; retrieved on 20 November 2018 from https://www.irena.org/publications/2016/Jun/The-Power-to-Change-Solar-and-Wind-Cost-Reduction-Potential-to-2025</b:Title>
    <b:Year>2016</b:Year>
    <b:Publisher>IRENA</b:Publisher>
    <b:City>Abu Dhabi</b:City>
    <b:RefOrder>95</b:RefOrder>
  </b:Source>
  <b:Source>
    <b:Tag>IRE181</b:Tag>
    <b:SourceType>Report</b:SourceType>
    <b:Guid>{186BE953-BAF2-4BFD-9AD6-8B1A4E7BBD05}</b:Guid>
    <b:Author>
      <b:Author>
        <b:Corporate>IRENA</b:Corporate>
      </b:Author>
    </b:Author>
    <b:Title>Global Energy Transformation : A Roadmap to 2050; retireved on 15 November 2018 from https://www.irena.org/-/media/Files/IRENA/Agency/Publication/2018/Apr/IRENA_Report_GET_2018.pdf</b:Title>
    <b:Year>2018d</b:Year>
    <b:Publisher>IRENA</b:Publisher>
    <b:City>Abu Dhabi</b:City>
    <b:RefOrder>17</b:RefOrder>
  </b:Source>
  <b:Source>
    <b:Tag>IRE8b</b:Tag>
    <b:SourceType>Report</b:SourceType>
    <b:Guid>{8583A930-2CE7-41EE-8C49-0CC3477DAE0F}</b:Guid>
    <b:Author>
      <b:Author>
        <b:Corporate>IRENA</b:Corporate>
      </b:Author>
    </b:Author>
    <b:Title>Renewable Energy Statistics 2018;  retrieved on 15 November 2018 from https://www.irena.org/publications/2018/Jul/Renewable-Energy-Statistics-2018</b:Title>
    <b:Year>2018</b:Year>
    <b:Publisher>IRENA</b:Publisher>
    <b:City>Abu Dhabi</b:City>
    <b:RefOrder>14</b:RefOrder>
  </b:Source>
  <b:Source>
    <b:Tag>Laz17</b:Tag>
    <b:SourceType>Report</b:SourceType>
    <b:Guid>{A14B0383-8690-41AD-AE5F-5048A2BA822F}</b:Guid>
    <b:Author>
      <b:Author>
        <b:Corporate>Lazard</b:Corporate>
      </b:Author>
    </b:Author>
    <b:Title>Lazard's Levelized Cost of Energy Analysis - Version 11.0; retrieved on 11 November 2018 from https://www.lazard.com/media/450337/lazard-levelized-cost-of-energy-version-110.pdf</b:Title>
    <b:Year>2017</b:Year>
    <b:Publisher>Lazard</b:Publisher>
    <b:City>New York</b:City>
    <b:RefOrder>96</b:RefOrder>
  </b:Source>
  <b:Source>
    <b:Tag>Laz16</b:Tag>
    <b:SourceType>Report</b:SourceType>
    <b:Guid>{C6C7EA2C-4B17-4DC1-8180-1B92504B05E6}</b:Guid>
    <b:Author>
      <b:Author>
        <b:Corporate>Lazard</b:Corporate>
      </b:Author>
    </b:Author>
    <b:Title>Lazard's Levelized Cost of Energy Analysis - Version 10.0 ; retrieved on 10 November 2018 from https://www.lazard.com/media/438038/levelized-cost-of-energy-v100.pdf</b:Title>
    <b:Year>2016</b:Year>
    <b:Publisher>Lazard</b:Publisher>
    <b:City>New York</b:City>
    <b:RefOrder>43</b:RefOrder>
  </b:Source>
  <b:Source>
    <b:Tag>Laz18</b:Tag>
    <b:SourceType>Report</b:SourceType>
    <b:Guid>{3AF9078A-39CD-4D0F-AEFA-8FDE6DB08197}</b:Guid>
    <b:Author>
      <b:Author>
        <b:Corporate>Lazard</b:Corporate>
      </b:Author>
    </b:Author>
    <b:Title>Lazard's Levelized Cost of Energy Analysis - Version 12.0; retreived on 10 November 2018 from https://www.lazard.com/media/450784/lazards-levelized-cost-of-energy-version-120-vfinal.pdf</b:Title>
    <b:Year>2018</b:Year>
    <b:Publisher>Lazard</b:Publisher>
    <b:RefOrder>34</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923F15B-F8CB-4945-9500-B13CF1C2B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202</TotalTime>
  <Pages>58</Pages>
  <Words>20908</Words>
  <Characters>119181</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dc:creator>
  <cp:keywords/>
  <dc:description/>
  <cp:lastModifiedBy>João Pedro Gouveia</cp:lastModifiedBy>
  <cp:revision>28</cp:revision>
  <cp:lastPrinted>2018-07-24T17:02:00Z</cp:lastPrinted>
  <dcterms:created xsi:type="dcterms:W3CDTF">2019-01-05T11:30:00Z</dcterms:created>
  <dcterms:modified xsi:type="dcterms:W3CDTF">2020-07-01T18:25:00Z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ZOTERO_PREF_1">
    <vt:lpwstr>&lt;data data-version="3" zotero-version="5.0.58"&gt;&lt;session id="eyscL8gK"/&gt;&lt;style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y fmtid="{D5CDD505-2E9C-101B-9397-08002B2CF9AE}" pid="5" name="_DocHome">
    <vt:i4>-2057712726</vt:i4>
  </property>
</Properties>
</file>