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E069AC" w:rsidRDefault="00630CD1" w:rsidP="00EB247F">
      <w:pPr>
        <w:pStyle w:val="TableofFigures"/>
        <w:tabs>
          <w:tab w:val="right" w:leader="dot" w:pos="9350"/>
        </w:tabs>
        <w:rPr>
          <w:rStyle w:val="Hyperlink"/>
          <w:noProof/>
        </w:rPr>
      </w:pPr>
      <w:r w:rsidRPr="00E069A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5A2BD" w14:textId="05B6F6A8" w:rsidR="0081554D" w:rsidRPr="00EB247F" w:rsidRDefault="0081554D" w:rsidP="00EB247F">
                            <w:pPr>
                              <w:spacing w:line="240" w:lineRule="auto"/>
                              <w:jc w:val="center"/>
                              <w:rPr>
                                <w:rFonts w:cs="Times New Roman"/>
                                <w:b/>
                                <w:smallCaps/>
                                <w:color w:val="404040" w:themeColor="text1" w:themeTint="BF"/>
                                <w:sz w:val="48"/>
                                <w:szCs w:val="48"/>
                              </w:rPr>
                            </w:pPr>
                            <w:r w:rsidRPr="00EB247F">
                              <w:rPr>
                                <w:rFonts w:cs="Times New Roman"/>
                                <w:b/>
                                <w:smallCaps/>
                                <w:color w:val="404040" w:themeColor="text1" w:themeTint="BF"/>
                                <w:sz w:val="48"/>
                                <w:szCs w:val="48"/>
                              </w:rPr>
                              <w:t>Technical assessment for</w:t>
                            </w:r>
                          </w:p>
                          <w:p w14:paraId="7B870425" w14:textId="1E966E73" w:rsidR="0081554D" w:rsidRPr="00EB247F" w:rsidRDefault="0081554D" w:rsidP="00504415">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 xml:space="preserve">Utility Scale Energy Storage </w:t>
                            </w:r>
                          </w:p>
                          <w:p w14:paraId="6774E85B" w14:textId="77777777" w:rsidR="0081554D" w:rsidRPr="00EB247F" w:rsidRDefault="0081554D" w:rsidP="00EB247F">
                            <w:pPr>
                              <w:spacing w:line="240" w:lineRule="auto"/>
                              <w:jc w:val="center"/>
                              <w:rPr>
                                <w:rFonts w:cs="Times New Roman"/>
                                <w:smallCaps/>
                                <w:color w:val="404040" w:themeColor="text1" w:themeTint="BF"/>
                                <w:sz w:val="36"/>
                                <w:szCs w:val="36"/>
                              </w:rPr>
                            </w:pPr>
                          </w:p>
                          <w:p w14:paraId="30E4023E" w14:textId="5F3CC6ED" w:rsidR="0081554D" w:rsidRPr="00EB247F" w:rsidRDefault="0081554D"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Sector: Electricity generation</w:t>
                            </w:r>
                          </w:p>
                          <w:p w14:paraId="0B5B69D5" w14:textId="5E723A8B" w:rsidR="0081554D" w:rsidRPr="00EB247F" w:rsidRDefault="0081554D"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Agency Level: Utilities</w:t>
                            </w:r>
                          </w:p>
                          <w:p w14:paraId="4CF7CB6C" w14:textId="12C9B4AE" w:rsidR="0081554D" w:rsidRPr="00EB247F" w:rsidRDefault="0081554D"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 xml:space="preserve">Keywords: Electricity Generation, </w:t>
                            </w:r>
                            <w:r>
                              <w:rPr>
                                <w:rFonts w:cs="Times New Roman"/>
                                <w:smallCaps/>
                                <w:color w:val="404040" w:themeColor="text1" w:themeTint="BF"/>
                                <w:sz w:val="36"/>
                                <w:szCs w:val="36"/>
                              </w:rPr>
                              <w:t xml:space="preserve">Storage, </w:t>
                            </w:r>
                            <w:r w:rsidRPr="00EB247F">
                              <w:rPr>
                                <w:rFonts w:cs="Times New Roman"/>
                                <w:smallCaps/>
                                <w:color w:val="404040" w:themeColor="text1" w:themeTint="BF"/>
                                <w:sz w:val="36"/>
                                <w:szCs w:val="36"/>
                              </w:rPr>
                              <w:t>Grid, Renewable Energy Source</w:t>
                            </w:r>
                          </w:p>
                          <w:p w14:paraId="5943CD2B" w14:textId="77777777" w:rsidR="0081554D" w:rsidRPr="00EB247F" w:rsidRDefault="0081554D" w:rsidP="00EB247F">
                            <w:pPr>
                              <w:spacing w:line="240" w:lineRule="auto"/>
                              <w:rPr>
                                <w:rFonts w:cs="Times New Roman"/>
                                <w:smallCaps/>
                                <w:color w:val="404040" w:themeColor="text1" w:themeTint="BF"/>
                                <w:sz w:val="36"/>
                                <w:szCs w:val="36"/>
                              </w:rPr>
                            </w:pPr>
                          </w:p>
                          <w:p w14:paraId="1922C9C8" w14:textId="77777777" w:rsidR="0081554D" w:rsidRPr="00EB247F" w:rsidRDefault="0081554D" w:rsidP="00EB247F">
                            <w:pPr>
                              <w:spacing w:line="240" w:lineRule="auto"/>
                              <w:rPr>
                                <w:rFonts w:cs="Times New Roman"/>
                                <w:smallCaps/>
                                <w:color w:val="404040" w:themeColor="text1" w:themeTint="BF"/>
                                <w:sz w:val="36"/>
                                <w:szCs w:val="36"/>
                              </w:rPr>
                            </w:pPr>
                          </w:p>
                          <w:p w14:paraId="66A3CB5B" w14:textId="77777777" w:rsidR="0081554D" w:rsidRPr="00EB247F" w:rsidRDefault="0081554D" w:rsidP="00EB247F">
                            <w:pPr>
                              <w:spacing w:line="240" w:lineRule="auto"/>
                              <w:rPr>
                                <w:rFonts w:cs="Times New Roman"/>
                                <w:smallCaps/>
                                <w:color w:val="404040" w:themeColor="text1" w:themeTint="BF"/>
                                <w:sz w:val="36"/>
                                <w:szCs w:val="36"/>
                              </w:rPr>
                            </w:pPr>
                          </w:p>
                          <w:p w14:paraId="0B02E81E" w14:textId="77777777" w:rsidR="0081554D" w:rsidRPr="00EB247F" w:rsidRDefault="0081554D" w:rsidP="00EB247F">
                            <w:pPr>
                              <w:spacing w:line="240" w:lineRule="auto"/>
                              <w:rPr>
                                <w:rFonts w:cs="Times New Roman"/>
                                <w:smallCaps/>
                                <w:color w:val="404040" w:themeColor="text1" w:themeTint="BF"/>
                                <w:sz w:val="36"/>
                                <w:szCs w:val="36"/>
                              </w:rPr>
                            </w:pPr>
                          </w:p>
                          <w:p w14:paraId="596D7C93" w14:textId="5B99F30B" w:rsidR="0081554D" w:rsidRPr="00EB247F" w:rsidRDefault="00E466C7" w:rsidP="00820BA5">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w:t>
                            </w:r>
                            <w:r w:rsidR="0081554D">
                              <w:rPr>
                                <w:rFonts w:cs="Times New Roman"/>
                                <w:smallCaps/>
                                <w:color w:val="404040" w:themeColor="text1" w:themeTint="BF"/>
                                <w:sz w:val="36"/>
                                <w:szCs w:val="36"/>
                              </w:rPr>
                              <w:t xml:space="preserve"> 2 (</w:t>
                            </w:r>
                            <w:r w:rsidR="003B4F35">
                              <w:rPr>
                                <w:rFonts w:cs="Times New Roman"/>
                                <w:smallCaps/>
                                <w:color w:val="404040" w:themeColor="text1" w:themeTint="BF"/>
                                <w:sz w:val="36"/>
                                <w:szCs w:val="36"/>
                              </w:rPr>
                              <w:t>November</w:t>
                            </w:r>
                            <w:r w:rsidR="0081554D">
                              <w:rPr>
                                <w:rFonts w:cs="Times New Roman"/>
                                <w:smallCaps/>
                                <w:color w:val="404040" w:themeColor="text1" w:themeTint="BF"/>
                                <w:sz w:val="36"/>
                                <w:szCs w:val="36"/>
                              </w:rPr>
                              <w:t xml:space="preserve"> 2019)</w:t>
                            </w:r>
                          </w:p>
                          <w:p w14:paraId="5850EC6A" w14:textId="77777777" w:rsidR="0081554D" w:rsidRPr="00EB247F" w:rsidRDefault="0081554D" w:rsidP="00EB247F">
                            <w:pPr>
                              <w:spacing w:after="0" w:line="240" w:lineRule="auto"/>
                              <w:rPr>
                                <w:rFonts w:cs="Times New Roman"/>
                                <w:smallCaps/>
                                <w:color w:val="404040" w:themeColor="text1" w:themeTint="BF"/>
                                <w:sz w:val="36"/>
                                <w:szCs w:val="36"/>
                              </w:rPr>
                            </w:pPr>
                          </w:p>
                          <w:p w14:paraId="338A969E" w14:textId="77777777" w:rsidR="0081554D" w:rsidRPr="00EB247F" w:rsidRDefault="0081554D" w:rsidP="00EB247F">
                            <w:pPr>
                              <w:spacing w:after="0" w:line="240" w:lineRule="auto"/>
                              <w:rPr>
                                <w:rFonts w:cs="Times New Roman"/>
                                <w:smallCaps/>
                                <w:color w:val="404040" w:themeColor="text1" w:themeTint="BF"/>
                                <w:sz w:val="36"/>
                                <w:szCs w:val="36"/>
                              </w:rPr>
                            </w:pPr>
                          </w:p>
                          <w:p w14:paraId="392B7194" w14:textId="77777777" w:rsidR="0081554D" w:rsidRPr="00EB247F" w:rsidRDefault="0081554D" w:rsidP="00EB247F">
                            <w:pPr>
                              <w:spacing w:after="0" w:line="240" w:lineRule="auto"/>
                              <w:rPr>
                                <w:rFonts w:cs="Times New Roman"/>
                                <w:smallCaps/>
                                <w:color w:val="404040" w:themeColor="text1" w:themeTint="BF"/>
                                <w:sz w:val="36"/>
                                <w:szCs w:val="36"/>
                              </w:rPr>
                            </w:pPr>
                          </w:p>
                          <w:p w14:paraId="21B2BC32" w14:textId="77777777" w:rsidR="0081554D" w:rsidRPr="00EB247F" w:rsidRDefault="0081554D" w:rsidP="00EB247F">
                            <w:pPr>
                              <w:spacing w:after="0" w:line="240" w:lineRule="auto"/>
                              <w:rPr>
                                <w:rFonts w:cs="Times New Roman"/>
                                <w:smallCaps/>
                                <w:color w:val="404040" w:themeColor="text1" w:themeTint="BF"/>
                                <w:sz w:val="36"/>
                                <w:szCs w:val="36"/>
                              </w:rPr>
                            </w:pPr>
                          </w:p>
                          <w:p w14:paraId="0EF4437F" w14:textId="77777777" w:rsidR="0081554D" w:rsidRPr="00EB247F" w:rsidRDefault="0081554D" w:rsidP="00EB247F">
                            <w:pPr>
                              <w:spacing w:after="0" w:line="240" w:lineRule="auto"/>
                              <w:rPr>
                                <w:rFonts w:cs="Times New Roman"/>
                                <w:smallCaps/>
                                <w:color w:val="404040" w:themeColor="text1" w:themeTint="BF"/>
                                <w:sz w:val="36"/>
                                <w:szCs w:val="36"/>
                              </w:rPr>
                            </w:pPr>
                          </w:p>
                          <w:p w14:paraId="66C10BC1" w14:textId="77777777" w:rsidR="0081554D" w:rsidRPr="00EB247F" w:rsidRDefault="0081554D" w:rsidP="00EB247F">
                            <w:pPr>
                              <w:spacing w:after="0" w:line="240" w:lineRule="auto"/>
                              <w:rPr>
                                <w:rFonts w:cs="Times New Roman"/>
                                <w:b/>
                                <w:smallCaps/>
                                <w:color w:val="404040" w:themeColor="text1" w:themeTint="BF"/>
                                <w:sz w:val="28"/>
                                <w:szCs w:val="28"/>
                              </w:rPr>
                            </w:pPr>
                            <w:r w:rsidRPr="00EB247F">
                              <w:rPr>
                                <w:rFonts w:cs="Times New Roman"/>
                                <w:b/>
                                <w:smallCaps/>
                                <w:color w:val="404040" w:themeColor="text1" w:themeTint="BF"/>
                                <w:sz w:val="28"/>
                                <w:szCs w:val="28"/>
                              </w:rPr>
                              <w:t>Prepared by:</w:t>
                            </w:r>
                          </w:p>
                          <w:p w14:paraId="296080F7" w14:textId="77777777" w:rsidR="0081554D" w:rsidRDefault="0081554D" w:rsidP="006C7A39">
                            <w:pPr>
                              <w:spacing w:line="240" w:lineRule="auto"/>
                              <w:rPr>
                                <w:smallCaps/>
                                <w:color w:val="404040" w:themeColor="text1" w:themeTint="BF"/>
                                <w:sz w:val="28"/>
                                <w:szCs w:val="28"/>
                              </w:rPr>
                            </w:pPr>
                            <w:r w:rsidRPr="00816FC7">
                              <w:rPr>
                                <w:smallCaps/>
                                <w:color w:val="404040" w:themeColor="text1" w:themeTint="BF"/>
                                <w:sz w:val="28"/>
                                <w:szCs w:val="28"/>
                              </w:rPr>
                              <w:t>Mahmoud Abdelhamid, Research Fellow</w:t>
                            </w:r>
                          </w:p>
                          <w:p w14:paraId="7262451A" w14:textId="5388EB03" w:rsidR="0081554D" w:rsidRDefault="0081554D" w:rsidP="006C7A39">
                            <w:pPr>
                              <w:spacing w:line="240" w:lineRule="auto"/>
                              <w:rPr>
                                <w:smallCaps/>
                                <w:color w:val="404040" w:themeColor="text1" w:themeTint="BF"/>
                                <w:sz w:val="28"/>
                                <w:szCs w:val="28"/>
                              </w:rPr>
                            </w:pPr>
                            <w:r>
                              <w:rPr>
                                <w:smallCaps/>
                                <w:color w:val="404040" w:themeColor="text1" w:themeTint="BF"/>
                                <w:sz w:val="28"/>
                                <w:szCs w:val="28"/>
                              </w:rPr>
                              <w:t>Ariel Horowitz</w:t>
                            </w:r>
                            <w:r w:rsidRPr="000829DC">
                              <w:rPr>
                                <w:smallCaps/>
                                <w:color w:val="404040" w:themeColor="text1" w:themeTint="BF"/>
                                <w:sz w:val="28"/>
                                <w:szCs w:val="28"/>
                              </w:rPr>
                              <w:t xml:space="preserve">, Research Fellow </w:t>
                            </w:r>
                          </w:p>
                          <w:p w14:paraId="46ACA3E9" w14:textId="10DC5E35" w:rsidR="00E466C7" w:rsidRPr="003B4F35" w:rsidRDefault="00E466C7" w:rsidP="006C7A39">
                            <w:pPr>
                              <w:spacing w:line="240" w:lineRule="auto"/>
                              <w:rPr>
                                <w:smallCaps/>
                                <w:color w:val="404040" w:themeColor="text1" w:themeTint="BF"/>
                                <w:sz w:val="28"/>
                                <w:szCs w:val="28"/>
                              </w:rPr>
                            </w:pPr>
                            <w:r w:rsidRPr="003B4F35">
                              <w:rPr>
                                <w:smallCaps/>
                                <w:color w:val="404040" w:themeColor="text1" w:themeTint="BF"/>
                                <w:sz w:val="28"/>
                                <w:szCs w:val="28"/>
                              </w:rPr>
                              <w:t>João pedro Gouveia, Senior Research fellow</w:t>
                            </w:r>
                          </w:p>
                          <w:p w14:paraId="6C4588F0" w14:textId="77777777" w:rsidR="0081554D" w:rsidRPr="003B4F35" w:rsidRDefault="0081554D" w:rsidP="000829DC">
                            <w:pPr>
                              <w:rPr>
                                <w:rFonts w:cs="Times New Roman"/>
                                <w:smallCaps/>
                                <w:color w:val="404040" w:themeColor="text1" w:themeTint="BF"/>
                              </w:rPr>
                            </w:pPr>
                          </w:p>
                          <w:p w14:paraId="1C3CFB47" w14:textId="77777777" w:rsidR="0081554D" w:rsidRPr="003B4F35" w:rsidRDefault="0081554D" w:rsidP="007864AB">
                            <w:pPr>
                              <w:rPr>
                                <w:rFonts w:cs="Times New Roman"/>
                                <w:smallCaps/>
                                <w:color w:val="404040" w:themeColor="text1" w:themeTint="BF"/>
                              </w:rPr>
                            </w:pPr>
                          </w:p>
                          <w:p w14:paraId="4481356F" w14:textId="6C098178" w:rsidR="0081554D" w:rsidRPr="00EB247F" w:rsidRDefault="0081554D"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7116C568" w:rsidR="0081554D" w:rsidRPr="003B4F35" w:rsidRDefault="00D17EFD" w:rsidP="007864AB">
                            <w:pPr>
                              <w:rPr>
                                <w:rFonts w:asciiTheme="minorHAnsi" w:hAnsiTheme="minorHAnsi"/>
                                <w:smallCaps/>
                                <w:color w:val="808080" w:themeColor="background1" w:themeShade="80"/>
                                <w:sz w:val="20"/>
                                <w:szCs w:val="20"/>
                              </w:rPr>
                            </w:pPr>
                            <w:hyperlink r:id="rId10" w:history="1">
                              <w:r w:rsidR="0081554D" w:rsidRPr="003B4F35">
                                <w:rPr>
                                  <w:rFonts w:asciiTheme="minorHAnsi" w:hAnsiTheme="minorHAnsi"/>
                                  <w:color w:val="808080" w:themeColor="background1" w:themeShade="80"/>
                                </w:rPr>
                                <w:t>info@drawdown.org</w:t>
                              </w:r>
                            </w:hyperlink>
                            <w:r w:rsidR="0081554D" w:rsidRPr="003B4F35">
                              <w:rPr>
                                <w:rFonts w:asciiTheme="minorHAnsi" w:hAnsiTheme="minorHAnsi"/>
                                <w:smallCaps/>
                                <w:color w:val="808080" w:themeColor="background1" w:themeShade="80"/>
                                <w:sz w:val="20"/>
                                <w:szCs w:val="20"/>
                              </w:rPr>
                              <w:t xml:space="preserve">             </w:t>
                            </w:r>
                            <w:hyperlink r:id="rId11" w:history="1">
                              <w:r w:rsidR="0081554D" w:rsidRPr="003B4F35">
                                <w:rPr>
                                  <w:rFonts w:asciiTheme="minorHAnsi" w:hAnsiTheme="minorHAnsi"/>
                                  <w:color w:val="808080" w:themeColor="background1" w:themeShade="80"/>
                                </w:rPr>
                                <w:t>www.drawdown.org</w:t>
                              </w:r>
                            </w:hyperlink>
                            <w:r w:rsidR="0081554D" w:rsidRPr="003B4F35">
                              <w:rPr>
                                <w:rFonts w:asciiTheme="minorHAnsi" w:hAnsiTheme="minorHAnsi"/>
                                <w:smallCaps/>
                                <w:color w:val="808080" w:themeColor="background1" w:themeShade="80"/>
                                <w:sz w:val="20"/>
                                <w:szCs w:val="20"/>
                              </w:rPr>
                              <w:t xml:space="preserve">  </w:t>
                            </w:r>
                          </w:p>
                          <w:p w14:paraId="05DAFFE7" w14:textId="77777777" w:rsidR="0081554D" w:rsidRPr="003B4F35" w:rsidRDefault="0081554D" w:rsidP="00C81D94">
                            <w:pPr>
                              <w:rPr>
                                <w:rFonts w:cs="Times New Roman"/>
                                <w:smallCaps/>
                                <w:color w:val="404040" w:themeColor="text1" w:themeTint="BF"/>
                                <w:sz w:val="36"/>
                                <w:szCs w:val="36"/>
                              </w:rPr>
                            </w:pPr>
                          </w:p>
                          <w:p w14:paraId="3D97FBF6" w14:textId="77777777" w:rsidR="0081554D" w:rsidRPr="003B4F35" w:rsidRDefault="0081554D" w:rsidP="00C81D94">
                            <w:pPr>
                              <w:rPr>
                                <w:rFonts w:cs="Times New Roman"/>
                                <w:smallCaps/>
                                <w:color w:val="404040" w:themeColor="text1" w:themeTint="BF"/>
                                <w:sz w:val="36"/>
                                <w:szCs w:val="36"/>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RMfgIAAGAFAAAOAAAAZHJzL2Uyb0RvYy54bWysVE1v2zAMvQ/YfxB0X51kSZEFcYqsRYcB&#13;&#10;RVusHXpWZCkxJomapMTOfv1I2U6LbpcOu8g0+Ujx8UPLi9YadlAh1uBKPj4bcaachKp225J/f7z+&#13;&#10;MOcsJuEqYcCpkh9V5Ber9++WjV+oCezAVCowDOLiovEl36XkF0UR5U5ZEc/AK4dGDcGKhL9hW1RB&#13;&#10;NBjdmmIyGp0XDYTKB5AqRtRedUa+yvG1VjLdaR1VYqbkmFvKZ8jnhs5itRSLbRB+V8s+DfEPWVhR&#13;&#10;O7z0FOpKJMH2of4jlK1lgAg6nUmwBWhdS5U5IJvx6BWbh53wKnPB4kR/KlP8f2Hl7eE+sLrC3s2m&#13;&#10;nDlhsUmPqk3sM7SMdFihxscFAh88QlOLBkQP+ohKIt7qYOmLlBjasdbHU30pnETl+WQ6n47QJNE2&#13;&#10;J8KTGcUpnt19iOmLAstIKHnABua6isNNTB10gNBtDq5rY3ITjWMNXvFxNsoOJwsGN46wKo9DH4Yo&#13;&#10;dalnKR2NIoxx35TGcmQGpMiDqC5NYAeBIySkVC5l8jkuogmlMYm3OPb456ze4tzxGG4Gl07OtnYQ&#13;&#10;MvtXaVc/hpR1h8eav+BNYmo3bd/qDVRH7HSAbluil9c1duNGxHQvAq4HdhBXPt3hoQ1g1aGXONtB&#13;&#10;+PU3PeFxatHKWYPrVvL4cy+C4sx8dTjPn8bTKe1n/kEhZOF8PpvTvGwGtdvbS8A+jPFV8TKLBE5m&#13;&#10;EHUA+4RPwpquQ5NwEi8t+WYQL1O3/fikSLVeZxCuohfpxj14SaGpLTRkj+2TCL6fxIRDfAvDRorF&#13;&#10;q4HssOTpYL1PoOs8rVTZrpx9xXGN87z3Tw69Ey//M+r5YVz9BgAA//8DAFBLAwQUAAYACAAAACEA&#13;&#10;hSwTuuQAAAASAQAADwAAAGRycy9kb3ducmV2LnhtbExPwU7DMAy9I/EPkZG4sbRTO1jXdJpAiBsS&#13;&#10;BSHtljVZ2i1xqiZry9/jneBivWc/Pz+X29lZNuohdB4FpIsEmMbGqw6NgK/P14cnYCFKVNJ61AJ+&#13;&#10;dIBtdXtTykL5CT/0WEfDyARDIQW0MfYF56FptZNh4XuNNDv6wclIdDBcDXIic2f5MklW3MkO6UIr&#13;&#10;e/3c6uZcX5yAbv1Wj+b7uH+3xobzad499mYS4v5uftlQ2W2ART3Hvw24/kD5oaJgB39BFZglvkqX&#13;&#10;JCWQZxmwqyLNcmodCGVZvgZelfz/K9UvAAAA//8DAFBLAQItABQABgAIAAAAIQC2gziS/gAAAOEB&#13;&#10;AAATAAAAAAAAAAAAAAAAAAAAAABbQ29udGVudF9UeXBlc10ueG1sUEsBAi0AFAAGAAgAAAAhADj9&#13;&#10;If/WAAAAlAEAAAsAAAAAAAAAAAAAAAAALwEAAF9yZWxzLy5yZWxzUEsBAi0AFAAGAAgAAAAhAD7J&#13;&#10;tEx+AgAAYAUAAA4AAAAAAAAAAAAAAAAALgIAAGRycy9lMm9Eb2MueG1sUEsBAi0AFAAGAAgAAAAh&#13;&#10;AIUsE7rkAAAAEgEAAA8AAAAAAAAAAAAAAAAA2AQAAGRycy9kb3ducmV2LnhtbFBLBQYAAAAABAAE&#13;&#10;APMAAADpBQAAAAA=&#13;&#10;" filled="f" stroked="f" strokeweight=".5pt">
                <v:textbox inset=",0,54pt,0">
                  <w:txbxContent>
                    <w:p w14:paraId="1E55A2BD" w14:textId="05B6F6A8" w:rsidR="0081554D" w:rsidRPr="00EB247F" w:rsidRDefault="0081554D" w:rsidP="00EB247F">
                      <w:pPr>
                        <w:spacing w:line="240" w:lineRule="auto"/>
                        <w:jc w:val="center"/>
                        <w:rPr>
                          <w:rFonts w:cs="Times New Roman"/>
                          <w:b/>
                          <w:smallCaps/>
                          <w:color w:val="404040" w:themeColor="text1" w:themeTint="BF"/>
                          <w:sz w:val="48"/>
                          <w:szCs w:val="48"/>
                        </w:rPr>
                      </w:pPr>
                      <w:r w:rsidRPr="00EB247F">
                        <w:rPr>
                          <w:rFonts w:cs="Times New Roman"/>
                          <w:b/>
                          <w:smallCaps/>
                          <w:color w:val="404040" w:themeColor="text1" w:themeTint="BF"/>
                          <w:sz w:val="48"/>
                          <w:szCs w:val="48"/>
                        </w:rPr>
                        <w:t>Technical assessment for</w:t>
                      </w:r>
                    </w:p>
                    <w:p w14:paraId="7B870425" w14:textId="1E966E73" w:rsidR="0081554D" w:rsidRPr="00EB247F" w:rsidRDefault="0081554D" w:rsidP="00504415">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 xml:space="preserve">Utility Scale Energy Storage </w:t>
                      </w:r>
                    </w:p>
                    <w:p w14:paraId="6774E85B" w14:textId="77777777" w:rsidR="0081554D" w:rsidRPr="00EB247F" w:rsidRDefault="0081554D" w:rsidP="00EB247F">
                      <w:pPr>
                        <w:spacing w:line="240" w:lineRule="auto"/>
                        <w:jc w:val="center"/>
                        <w:rPr>
                          <w:rFonts w:cs="Times New Roman"/>
                          <w:smallCaps/>
                          <w:color w:val="404040" w:themeColor="text1" w:themeTint="BF"/>
                          <w:sz w:val="36"/>
                          <w:szCs w:val="36"/>
                        </w:rPr>
                      </w:pPr>
                    </w:p>
                    <w:p w14:paraId="30E4023E" w14:textId="5F3CC6ED" w:rsidR="0081554D" w:rsidRPr="00EB247F" w:rsidRDefault="0081554D"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Sector: Electricity generation</w:t>
                      </w:r>
                    </w:p>
                    <w:p w14:paraId="0B5B69D5" w14:textId="5E723A8B" w:rsidR="0081554D" w:rsidRPr="00EB247F" w:rsidRDefault="0081554D"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Agency Level: Utilities</w:t>
                      </w:r>
                    </w:p>
                    <w:p w14:paraId="4CF7CB6C" w14:textId="12C9B4AE" w:rsidR="0081554D" w:rsidRPr="00EB247F" w:rsidRDefault="0081554D"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 xml:space="preserve">Keywords: Electricity Generation, </w:t>
                      </w:r>
                      <w:r>
                        <w:rPr>
                          <w:rFonts w:cs="Times New Roman"/>
                          <w:smallCaps/>
                          <w:color w:val="404040" w:themeColor="text1" w:themeTint="BF"/>
                          <w:sz w:val="36"/>
                          <w:szCs w:val="36"/>
                        </w:rPr>
                        <w:t xml:space="preserve">Storage, </w:t>
                      </w:r>
                      <w:r w:rsidRPr="00EB247F">
                        <w:rPr>
                          <w:rFonts w:cs="Times New Roman"/>
                          <w:smallCaps/>
                          <w:color w:val="404040" w:themeColor="text1" w:themeTint="BF"/>
                          <w:sz w:val="36"/>
                          <w:szCs w:val="36"/>
                        </w:rPr>
                        <w:t>Grid, Renewable Energy Source</w:t>
                      </w:r>
                    </w:p>
                    <w:p w14:paraId="5943CD2B" w14:textId="77777777" w:rsidR="0081554D" w:rsidRPr="00EB247F" w:rsidRDefault="0081554D" w:rsidP="00EB247F">
                      <w:pPr>
                        <w:spacing w:line="240" w:lineRule="auto"/>
                        <w:rPr>
                          <w:rFonts w:cs="Times New Roman"/>
                          <w:smallCaps/>
                          <w:color w:val="404040" w:themeColor="text1" w:themeTint="BF"/>
                          <w:sz w:val="36"/>
                          <w:szCs w:val="36"/>
                        </w:rPr>
                      </w:pPr>
                    </w:p>
                    <w:p w14:paraId="1922C9C8" w14:textId="77777777" w:rsidR="0081554D" w:rsidRPr="00EB247F" w:rsidRDefault="0081554D" w:rsidP="00EB247F">
                      <w:pPr>
                        <w:spacing w:line="240" w:lineRule="auto"/>
                        <w:rPr>
                          <w:rFonts w:cs="Times New Roman"/>
                          <w:smallCaps/>
                          <w:color w:val="404040" w:themeColor="text1" w:themeTint="BF"/>
                          <w:sz w:val="36"/>
                          <w:szCs w:val="36"/>
                        </w:rPr>
                      </w:pPr>
                    </w:p>
                    <w:p w14:paraId="66A3CB5B" w14:textId="77777777" w:rsidR="0081554D" w:rsidRPr="00EB247F" w:rsidRDefault="0081554D" w:rsidP="00EB247F">
                      <w:pPr>
                        <w:spacing w:line="240" w:lineRule="auto"/>
                        <w:rPr>
                          <w:rFonts w:cs="Times New Roman"/>
                          <w:smallCaps/>
                          <w:color w:val="404040" w:themeColor="text1" w:themeTint="BF"/>
                          <w:sz w:val="36"/>
                          <w:szCs w:val="36"/>
                        </w:rPr>
                      </w:pPr>
                    </w:p>
                    <w:p w14:paraId="0B02E81E" w14:textId="77777777" w:rsidR="0081554D" w:rsidRPr="00EB247F" w:rsidRDefault="0081554D" w:rsidP="00EB247F">
                      <w:pPr>
                        <w:spacing w:line="240" w:lineRule="auto"/>
                        <w:rPr>
                          <w:rFonts w:cs="Times New Roman"/>
                          <w:smallCaps/>
                          <w:color w:val="404040" w:themeColor="text1" w:themeTint="BF"/>
                          <w:sz w:val="36"/>
                          <w:szCs w:val="36"/>
                        </w:rPr>
                      </w:pPr>
                    </w:p>
                    <w:p w14:paraId="596D7C93" w14:textId="5B99F30B" w:rsidR="0081554D" w:rsidRPr="00EB247F" w:rsidRDefault="00E466C7" w:rsidP="00820BA5">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w:t>
                      </w:r>
                      <w:r w:rsidR="0081554D">
                        <w:rPr>
                          <w:rFonts w:cs="Times New Roman"/>
                          <w:smallCaps/>
                          <w:color w:val="404040" w:themeColor="text1" w:themeTint="BF"/>
                          <w:sz w:val="36"/>
                          <w:szCs w:val="36"/>
                        </w:rPr>
                        <w:t xml:space="preserve"> 2 (</w:t>
                      </w:r>
                      <w:r w:rsidR="003B4F35">
                        <w:rPr>
                          <w:rFonts w:cs="Times New Roman"/>
                          <w:smallCaps/>
                          <w:color w:val="404040" w:themeColor="text1" w:themeTint="BF"/>
                          <w:sz w:val="36"/>
                          <w:szCs w:val="36"/>
                        </w:rPr>
                        <w:t>November</w:t>
                      </w:r>
                      <w:bookmarkStart w:id="1" w:name="_GoBack"/>
                      <w:bookmarkEnd w:id="1"/>
                      <w:r w:rsidR="0081554D">
                        <w:rPr>
                          <w:rFonts w:cs="Times New Roman"/>
                          <w:smallCaps/>
                          <w:color w:val="404040" w:themeColor="text1" w:themeTint="BF"/>
                          <w:sz w:val="36"/>
                          <w:szCs w:val="36"/>
                        </w:rPr>
                        <w:t xml:space="preserve"> 2019)</w:t>
                      </w:r>
                    </w:p>
                    <w:p w14:paraId="5850EC6A" w14:textId="77777777" w:rsidR="0081554D" w:rsidRPr="00EB247F" w:rsidRDefault="0081554D" w:rsidP="00EB247F">
                      <w:pPr>
                        <w:spacing w:after="0" w:line="240" w:lineRule="auto"/>
                        <w:rPr>
                          <w:rFonts w:cs="Times New Roman"/>
                          <w:smallCaps/>
                          <w:color w:val="404040" w:themeColor="text1" w:themeTint="BF"/>
                          <w:sz w:val="36"/>
                          <w:szCs w:val="36"/>
                        </w:rPr>
                      </w:pPr>
                    </w:p>
                    <w:p w14:paraId="338A969E" w14:textId="77777777" w:rsidR="0081554D" w:rsidRPr="00EB247F" w:rsidRDefault="0081554D" w:rsidP="00EB247F">
                      <w:pPr>
                        <w:spacing w:after="0" w:line="240" w:lineRule="auto"/>
                        <w:rPr>
                          <w:rFonts w:cs="Times New Roman"/>
                          <w:smallCaps/>
                          <w:color w:val="404040" w:themeColor="text1" w:themeTint="BF"/>
                          <w:sz w:val="36"/>
                          <w:szCs w:val="36"/>
                        </w:rPr>
                      </w:pPr>
                    </w:p>
                    <w:p w14:paraId="392B7194" w14:textId="77777777" w:rsidR="0081554D" w:rsidRPr="00EB247F" w:rsidRDefault="0081554D" w:rsidP="00EB247F">
                      <w:pPr>
                        <w:spacing w:after="0" w:line="240" w:lineRule="auto"/>
                        <w:rPr>
                          <w:rFonts w:cs="Times New Roman"/>
                          <w:smallCaps/>
                          <w:color w:val="404040" w:themeColor="text1" w:themeTint="BF"/>
                          <w:sz w:val="36"/>
                          <w:szCs w:val="36"/>
                        </w:rPr>
                      </w:pPr>
                    </w:p>
                    <w:p w14:paraId="21B2BC32" w14:textId="77777777" w:rsidR="0081554D" w:rsidRPr="00EB247F" w:rsidRDefault="0081554D" w:rsidP="00EB247F">
                      <w:pPr>
                        <w:spacing w:after="0" w:line="240" w:lineRule="auto"/>
                        <w:rPr>
                          <w:rFonts w:cs="Times New Roman"/>
                          <w:smallCaps/>
                          <w:color w:val="404040" w:themeColor="text1" w:themeTint="BF"/>
                          <w:sz w:val="36"/>
                          <w:szCs w:val="36"/>
                        </w:rPr>
                      </w:pPr>
                    </w:p>
                    <w:p w14:paraId="0EF4437F" w14:textId="77777777" w:rsidR="0081554D" w:rsidRPr="00EB247F" w:rsidRDefault="0081554D" w:rsidP="00EB247F">
                      <w:pPr>
                        <w:spacing w:after="0" w:line="240" w:lineRule="auto"/>
                        <w:rPr>
                          <w:rFonts w:cs="Times New Roman"/>
                          <w:smallCaps/>
                          <w:color w:val="404040" w:themeColor="text1" w:themeTint="BF"/>
                          <w:sz w:val="36"/>
                          <w:szCs w:val="36"/>
                        </w:rPr>
                      </w:pPr>
                    </w:p>
                    <w:p w14:paraId="66C10BC1" w14:textId="77777777" w:rsidR="0081554D" w:rsidRPr="00EB247F" w:rsidRDefault="0081554D" w:rsidP="00EB247F">
                      <w:pPr>
                        <w:spacing w:after="0" w:line="240" w:lineRule="auto"/>
                        <w:rPr>
                          <w:rFonts w:cs="Times New Roman"/>
                          <w:b/>
                          <w:smallCaps/>
                          <w:color w:val="404040" w:themeColor="text1" w:themeTint="BF"/>
                          <w:sz w:val="28"/>
                          <w:szCs w:val="28"/>
                        </w:rPr>
                      </w:pPr>
                      <w:r w:rsidRPr="00EB247F">
                        <w:rPr>
                          <w:rFonts w:cs="Times New Roman"/>
                          <w:b/>
                          <w:smallCaps/>
                          <w:color w:val="404040" w:themeColor="text1" w:themeTint="BF"/>
                          <w:sz w:val="28"/>
                          <w:szCs w:val="28"/>
                        </w:rPr>
                        <w:t>Prepared by:</w:t>
                      </w:r>
                    </w:p>
                    <w:p w14:paraId="296080F7" w14:textId="77777777" w:rsidR="0081554D" w:rsidRDefault="0081554D" w:rsidP="006C7A39">
                      <w:pPr>
                        <w:spacing w:line="240" w:lineRule="auto"/>
                        <w:rPr>
                          <w:smallCaps/>
                          <w:color w:val="404040" w:themeColor="text1" w:themeTint="BF"/>
                          <w:sz w:val="28"/>
                          <w:szCs w:val="28"/>
                        </w:rPr>
                      </w:pPr>
                      <w:r w:rsidRPr="00816FC7">
                        <w:rPr>
                          <w:smallCaps/>
                          <w:color w:val="404040" w:themeColor="text1" w:themeTint="BF"/>
                          <w:sz w:val="28"/>
                          <w:szCs w:val="28"/>
                        </w:rPr>
                        <w:t>Mahmoud Abdelhamid, Research Fellow</w:t>
                      </w:r>
                    </w:p>
                    <w:p w14:paraId="7262451A" w14:textId="5388EB03" w:rsidR="0081554D" w:rsidRDefault="0081554D" w:rsidP="006C7A39">
                      <w:pPr>
                        <w:spacing w:line="240" w:lineRule="auto"/>
                        <w:rPr>
                          <w:smallCaps/>
                          <w:color w:val="404040" w:themeColor="text1" w:themeTint="BF"/>
                          <w:sz w:val="28"/>
                          <w:szCs w:val="28"/>
                        </w:rPr>
                      </w:pPr>
                      <w:r>
                        <w:rPr>
                          <w:smallCaps/>
                          <w:color w:val="404040" w:themeColor="text1" w:themeTint="BF"/>
                          <w:sz w:val="28"/>
                          <w:szCs w:val="28"/>
                        </w:rPr>
                        <w:t>Ariel Horowitz</w:t>
                      </w:r>
                      <w:r w:rsidRPr="000829DC">
                        <w:rPr>
                          <w:smallCaps/>
                          <w:color w:val="404040" w:themeColor="text1" w:themeTint="BF"/>
                          <w:sz w:val="28"/>
                          <w:szCs w:val="28"/>
                        </w:rPr>
                        <w:t xml:space="preserve">, Research Fellow </w:t>
                      </w:r>
                    </w:p>
                    <w:p w14:paraId="46ACA3E9" w14:textId="10DC5E35" w:rsidR="00E466C7" w:rsidRPr="003B4F35" w:rsidRDefault="00E466C7" w:rsidP="006C7A39">
                      <w:pPr>
                        <w:spacing w:line="240" w:lineRule="auto"/>
                        <w:rPr>
                          <w:smallCaps/>
                          <w:color w:val="404040" w:themeColor="text1" w:themeTint="BF"/>
                          <w:sz w:val="28"/>
                          <w:szCs w:val="28"/>
                        </w:rPr>
                      </w:pPr>
                      <w:r w:rsidRPr="003B4F35">
                        <w:rPr>
                          <w:smallCaps/>
                          <w:color w:val="404040" w:themeColor="text1" w:themeTint="BF"/>
                          <w:sz w:val="28"/>
                          <w:szCs w:val="28"/>
                        </w:rPr>
                        <w:t>João pedro Gouveia, Senior Research fellow</w:t>
                      </w:r>
                    </w:p>
                    <w:p w14:paraId="6C4588F0" w14:textId="77777777" w:rsidR="0081554D" w:rsidRPr="003B4F35" w:rsidRDefault="0081554D" w:rsidP="000829DC">
                      <w:pPr>
                        <w:rPr>
                          <w:rFonts w:cs="Times New Roman"/>
                          <w:smallCaps/>
                          <w:color w:val="404040" w:themeColor="text1" w:themeTint="BF"/>
                        </w:rPr>
                      </w:pPr>
                    </w:p>
                    <w:p w14:paraId="1C3CFB47" w14:textId="77777777" w:rsidR="0081554D" w:rsidRPr="003B4F35" w:rsidRDefault="0081554D" w:rsidP="007864AB">
                      <w:pPr>
                        <w:rPr>
                          <w:rFonts w:cs="Times New Roman"/>
                          <w:smallCaps/>
                          <w:color w:val="404040" w:themeColor="text1" w:themeTint="BF"/>
                        </w:rPr>
                      </w:pPr>
                    </w:p>
                    <w:p w14:paraId="4481356F" w14:textId="6C098178" w:rsidR="0081554D" w:rsidRPr="00EB247F" w:rsidRDefault="0081554D"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7116C568" w:rsidR="0081554D" w:rsidRPr="003B4F35" w:rsidRDefault="006076CA" w:rsidP="007864AB">
                      <w:pPr>
                        <w:rPr>
                          <w:rFonts w:asciiTheme="minorHAnsi" w:hAnsiTheme="minorHAnsi"/>
                          <w:smallCaps/>
                          <w:color w:val="808080" w:themeColor="background1" w:themeShade="80"/>
                          <w:sz w:val="20"/>
                          <w:szCs w:val="20"/>
                        </w:rPr>
                      </w:pPr>
                      <w:hyperlink r:id="rId13" w:history="1">
                        <w:r w:rsidR="0081554D" w:rsidRPr="003B4F35">
                          <w:rPr>
                            <w:rFonts w:asciiTheme="minorHAnsi" w:hAnsiTheme="minorHAnsi"/>
                            <w:color w:val="808080" w:themeColor="background1" w:themeShade="80"/>
                          </w:rPr>
                          <w:t>info@drawdown.org</w:t>
                        </w:r>
                      </w:hyperlink>
                      <w:r w:rsidR="0081554D" w:rsidRPr="003B4F35">
                        <w:rPr>
                          <w:rFonts w:asciiTheme="minorHAnsi" w:hAnsiTheme="minorHAnsi"/>
                          <w:smallCaps/>
                          <w:color w:val="808080" w:themeColor="background1" w:themeShade="80"/>
                          <w:sz w:val="20"/>
                          <w:szCs w:val="20"/>
                        </w:rPr>
                        <w:t xml:space="preserve">             </w:t>
                      </w:r>
                      <w:hyperlink r:id="rId14" w:history="1">
                        <w:r w:rsidR="0081554D" w:rsidRPr="003B4F35">
                          <w:rPr>
                            <w:rFonts w:asciiTheme="minorHAnsi" w:hAnsiTheme="minorHAnsi"/>
                            <w:color w:val="808080" w:themeColor="background1" w:themeShade="80"/>
                          </w:rPr>
                          <w:t>www.drawdown.org</w:t>
                        </w:r>
                      </w:hyperlink>
                      <w:r w:rsidR="0081554D" w:rsidRPr="003B4F35">
                        <w:rPr>
                          <w:rFonts w:asciiTheme="minorHAnsi" w:hAnsiTheme="minorHAnsi"/>
                          <w:smallCaps/>
                          <w:color w:val="808080" w:themeColor="background1" w:themeShade="80"/>
                          <w:sz w:val="20"/>
                          <w:szCs w:val="20"/>
                        </w:rPr>
                        <w:t xml:space="preserve">  </w:t>
                      </w:r>
                    </w:p>
                    <w:p w14:paraId="05DAFFE7" w14:textId="77777777" w:rsidR="0081554D" w:rsidRPr="003B4F35" w:rsidRDefault="0081554D" w:rsidP="00C81D94">
                      <w:pPr>
                        <w:rPr>
                          <w:rFonts w:cs="Times New Roman"/>
                          <w:smallCaps/>
                          <w:color w:val="404040" w:themeColor="text1" w:themeTint="BF"/>
                          <w:sz w:val="36"/>
                          <w:szCs w:val="36"/>
                        </w:rPr>
                      </w:pPr>
                    </w:p>
                    <w:p w14:paraId="3D97FBF6" w14:textId="77777777" w:rsidR="0081554D" w:rsidRPr="003B4F35" w:rsidRDefault="0081554D" w:rsidP="00C81D94">
                      <w:pPr>
                        <w:rPr>
                          <w:rFonts w:cs="Times New Roman"/>
                          <w:smallCaps/>
                          <w:color w:val="404040" w:themeColor="text1" w:themeTint="BF"/>
                          <w:sz w:val="36"/>
                          <w:szCs w:val="36"/>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E069AC" w:rsidRDefault="551A77D0" w:rsidP="00EB247F">
          <w:pPr>
            <w:rPr>
              <w:rStyle w:val="Heading1Char"/>
            </w:rPr>
          </w:pPr>
          <w:r w:rsidRPr="00E069AC">
            <w:rPr>
              <w:rStyle w:val="Heading1Char"/>
            </w:rPr>
            <w:t>Table of Contents</w:t>
          </w:r>
        </w:p>
        <w:p w14:paraId="15BDFE52" w14:textId="3A6D7F86" w:rsidR="0091000D" w:rsidRDefault="00640665">
          <w:pPr>
            <w:pStyle w:val="TOC1"/>
            <w:tabs>
              <w:tab w:val="right" w:leader="dot" w:pos="9350"/>
            </w:tabs>
            <w:rPr>
              <w:rFonts w:asciiTheme="minorHAnsi" w:hAnsiTheme="minorHAnsi"/>
              <w:noProof/>
              <w:sz w:val="24"/>
              <w:szCs w:val="24"/>
              <w:lang w:eastAsia="en-US"/>
            </w:rPr>
          </w:pPr>
          <w:r w:rsidRPr="00E069AC">
            <w:fldChar w:fldCharType="begin"/>
          </w:r>
          <w:r w:rsidRPr="00E069AC">
            <w:instrText xml:space="preserve"> TOC \o "1-3" \h \z \u </w:instrText>
          </w:r>
          <w:r w:rsidRPr="00E069AC">
            <w:fldChar w:fldCharType="separate"/>
          </w:r>
          <w:hyperlink w:anchor="_Toc10921930" w:history="1">
            <w:r w:rsidR="0091000D" w:rsidRPr="00EF55B4">
              <w:rPr>
                <w:rStyle w:val="Hyperlink"/>
                <w:noProof/>
              </w:rPr>
              <w:t>List of Figures</w:t>
            </w:r>
            <w:r w:rsidR="0091000D">
              <w:rPr>
                <w:noProof/>
                <w:webHidden/>
              </w:rPr>
              <w:tab/>
            </w:r>
            <w:r w:rsidR="0091000D">
              <w:rPr>
                <w:noProof/>
                <w:webHidden/>
              </w:rPr>
              <w:fldChar w:fldCharType="begin"/>
            </w:r>
            <w:r w:rsidR="0091000D">
              <w:rPr>
                <w:noProof/>
                <w:webHidden/>
              </w:rPr>
              <w:instrText xml:space="preserve"> PAGEREF _Toc10921930 \h </w:instrText>
            </w:r>
            <w:r w:rsidR="0091000D">
              <w:rPr>
                <w:noProof/>
                <w:webHidden/>
              </w:rPr>
            </w:r>
            <w:r w:rsidR="0091000D">
              <w:rPr>
                <w:noProof/>
                <w:webHidden/>
              </w:rPr>
              <w:fldChar w:fldCharType="separate"/>
            </w:r>
            <w:r w:rsidR="0091000D">
              <w:rPr>
                <w:noProof/>
                <w:webHidden/>
              </w:rPr>
              <w:t>3</w:t>
            </w:r>
            <w:r w:rsidR="0091000D">
              <w:rPr>
                <w:noProof/>
                <w:webHidden/>
              </w:rPr>
              <w:fldChar w:fldCharType="end"/>
            </w:r>
          </w:hyperlink>
        </w:p>
        <w:p w14:paraId="34D24FC7" w14:textId="1734ACA1" w:rsidR="0091000D" w:rsidRDefault="00D17EFD">
          <w:pPr>
            <w:pStyle w:val="TOC1"/>
            <w:tabs>
              <w:tab w:val="right" w:leader="dot" w:pos="9350"/>
            </w:tabs>
            <w:rPr>
              <w:rFonts w:asciiTheme="minorHAnsi" w:hAnsiTheme="minorHAnsi"/>
              <w:noProof/>
              <w:sz w:val="24"/>
              <w:szCs w:val="24"/>
              <w:lang w:eastAsia="en-US"/>
            </w:rPr>
          </w:pPr>
          <w:hyperlink w:anchor="_Toc10921931" w:history="1">
            <w:r w:rsidR="0091000D" w:rsidRPr="00EF55B4">
              <w:rPr>
                <w:rStyle w:val="Hyperlink"/>
                <w:noProof/>
              </w:rPr>
              <w:t>List of Tables</w:t>
            </w:r>
            <w:r w:rsidR="0091000D">
              <w:rPr>
                <w:noProof/>
                <w:webHidden/>
              </w:rPr>
              <w:tab/>
            </w:r>
            <w:r w:rsidR="0091000D">
              <w:rPr>
                <w:noProof/>
                <w:webHidden/>
              </w:rPr>
              <w:fldChar w:fldCharType="begin"/>
            </w:r>
            <w:r w:rsidR="0091000D">
              <w:rPr>
                <w:noProof/>
                <w:webHidden/>
              </w:rPr>
              <w:instrText xml:space="preserve"> PAGEREF _Toc10921931 \h </w:instrText>
            </w:r>
            <w:r w:rsidR="0091000D">
              <w:rPr>
                <w:noProof/>
                <w:webHidden/>
              </w:rPr>
            </w:r>
            <w:r w:rsidR="0091000D">
              <w:rPr>
                <w:noProof/>
                <w:webHidden/>
              </w:rPr>
              <w:fldChar w:fldCharType="separate"/>
            </w:r>
            <w:r w:rsidR="0091000D">
              <w:rPr>
                <w:noProof/>
                <w:webHidden/>
              </w:rPr>
              <w:t>3</w:t>
            </w:r>
            <w:r w:rsidR="0091000D">
              <w:rPr>
                <w:noProof/>
                <w:webHidden/>
              </w:rPr>
              <w:fldChar w:fldCharType="end"/>
            </w:r>
          </w:hyperlink>
        </w:p>
        <w:p w14:paraId="034B63C8" w14:textId="296BF021" w:rsidR="0091000D" w:rsidRDefault="00D17EFD">
          <w:pPr>
            <w:pStyle w:val="TOC1"/>
            <w:tabs>
              <w:tab w:val="right" w:leader="dot" w:pos="9350"/>
            </w:tabs>
            <w:rPr>
              <w:rFonts w:asciiTheme="minorHAnsi" w:hAnsiTheme="minorHAnsi"/>
              <w:noProof/>
              <w:sz w:val="24"/>
              <w:szCs w:val="24"/>
              <w:lang w:eastAsia="en-US"/>
            </w:rPr>
          </w:pPr>
          <w:hyperlink w:anchor="_Toc10921932" w:history="1">
            <w:r w:rsidR="0091000D" w:rsidRPr="00EF55B4">
              <w:rPr>
                <w:rStyle w:val="Hyperlink"/>
                <w:noProof/>
              </w:rPr>
              <w:t>Acronyms and Symbols Used</w:t>
            </w:r>
            <w:r w:rsidR="0091000D">
              <w:rPr>
                <w:noProof/>
                <w:webHidden/>
              </w:rPr>
              <w:tab/>
            </w:r>
            <w:r w:rsidR="0091000D">
              <w:rPr>
                <w:noProof/>
                <w:webHidden/>
              </w:rPr>
              <w:fldChar w:fldCharType="begin"/>
            </w:r>
            <w:r w:rsidR="0091000D">
              <w:rPr>
                <w:noProof/>
                <w:webHidden/>
              </w:rPr>
              <w:instrText xml:space="preserve"> PAGEREF _Toc10921932 \h </w:instrText>
            </w:r>
            <w:r w:rsidR="0091000D">
              <w:rPr>
                <w:noProof/>
                <w:webHidden/>
              </w:rPr>
            </w:r>
            <w:r w:rsidR="0091000D">
              <w:rPr>
                <w:noProof/>
                <w:webHidden/>
              </w:rPr>
              <w:fldChar w:fldCharType="separate"/>
            </w:r>
            <w:r w:rsidR="0091000D">
              <w:rPr>
                <w:noProof/>
                <w:webHidden/>
              </w:rPr>
              <w:t>4</w:t>
            </w:r>
            <w:r w:rsidR="0091000D">
              <w:rPr>
                <w:noProof/>
                <w:webHidden/>
              </w:rPr>
              <w:fldChar w:fldCharType="end"/>
            </w:r>
          </w:hyperlink>
        </w:p>
        <w:p w14:paraId="7E3FA500" w14:textId="0439108D" w:rsidR="0091000D" w:rsidRDefault="00D17EFD">
          <w:pPr>
            <w:pStyle w:val="TOC1"/>
            <w:tabs>
              <w:tab w:val="right" w:leader="dot" w:pos="9350"/>
            </w:tabs>
            <w:rPr>
              <w:rFonts w:asciiTheme="minorHAnsi" w:hAnsiTheme="minorHAnsi"/>
              <w:noProof/>
              <w:sz w:val="24"/>
              <w:szCs w:val="24"/>
              <w:lang w:eastAsia="en-US"/>
            </w:rPr>
          </w:pPr>
          <w:hyperlink w:anchor="_Toc10921933" w:history="1">
            <w:r w:rsidR="0091000D" w:rsidRPr="00EF55B4">
              <w:rPr>
                <w:rStyle w:val="Hyperlink"/>
                <w:noProof/>
              </w:rPr>
              <w:t>Executive Summary</w:t>
            </w:r>
            <w:r w:rsidR="0091000D">
              <w:rPr>
                <w:noProof/>
                <w:webHidden/>
              </w:rPr>
              <w:tab/>
            </w:r>
            <w:r w:rsidR="0091000D">
              <w:rPr>
                <w:noProof/>
                <w:webHidden/>
              </w:rPr>
              <w:fldChar w:fldCharType="begin"/>
            </w:r>
            <w:r w:rsidR="0091000D">
              <w:rPr>
                <w:noProof/>
                <w:webHidden/>
              </w:rPr>
              <w:instrText xml:space="preserve"> PAGEREF _Toc10921933 \h </w:instrText>
            </w:r>
            <w:r w:rsidR="0091000D">
              <w:rPr>
                <w:noProof/>
                <w:webHidden/>
              </w:rPr>
            </w:r>
            <w:r w:rsidR="0091000D">
              <w:rPr>
                <w:noProof/>
                <w:webHidden/>
              </w:rPr>
              <w:fldChar w:fldCharType="separate"/>
            </w:r>
            <w:r w:rsidR="0091000D">
              <w:rPr>
                <w:noProof/>
                <w:webHidden/>
              </w:rPr>
              <w:t>5</w:t>
            </w:r>
            <w:r w:rsidR="0091000D">
              <w:rPr>
                <w:noProof/>
                <w:webHidden/>
              </w:rPr>
              <w:fldChar w:fldCharType="end"/>
            </w:r>
          </w:hyperlink>
        </w:p>
        <w:p w14:paraId="6AA9FDCA" w14:textId="5A6AE5C2" w:rsidR="0091000D" w:rsidRDefault="00D17EFD">
          <w:pPr>
            <w:pStyle w:val="TOC1"/>
            <w:tabs>
              <w:tab w:val="right" w:leader="dot" w:pos="9350"/>
            </w:tabs>
            <w:rPr>
              <w:rFonts w:asciiTheme="minorHAnsi" w:hAnsiTheme="minorHAnsi"/>
              <w:noProof/>
              <w:sz w:val="24"/>
              <w:szCs w:val="24"/>
              <w:lang w:eastAsia="en-US"/>
            </w:rPr>
          </w:pPr>
          <w:hyperlink w:anchor="_Toc10921934" w:history="1">
            <w:r w:rsidR="0091000D" w:rsidRPr="00EF55B4">
              <w:rPr>
                <w:rStyle w:val="Hyperlink"/>
                <w:noProof/>
              </w:rPr>
              <w:t>Literature Review</w:t>
            </w:r>
            <w:r w:rsidR="0091000D">
              <w:rPr>
                <w:noProof/>
                <w:webHidden/>
              </w:rPr>
              <w:tab/>
            </w:r>
            <w:r w:rsidR="0091000D">
              <w:rPr>
                <w:noProof/>
                <w:webHidden/>
              </w:rPr>
              <w:fldChar w:fldCharType="begin"/>
            </w:r>
            <w:r w:rsidR="0091000D">
              <w:rPr>
                <w:noProof/>
                <w:webHidden/>
              </w:rPr>
              <w:instrText xml:space="preserve"> PAGEREF _Toc10921934 \h </w:instrText>
            </w:r>
            <w:r w:rsidR="0091000D">
              <w:rPr>
                <w:noProof/>
                <w:webHidden/>
              </w:rPr>
            </w:r>
            <w:r w:rsidR="0091000D">
              <w:rPr>
                <w:noProof/>
                <w:webHidden/>
              </w:rPr>
              <w:fldChar w:fldCharType="separate"/>
            </w:r>
            <w:r w:rsidR="0091000D">
              <w:rPr>
                <w:noProof/>
                <w:webHidden/>
              </w:rPr>
              <w:t>6</w:t>
            </w:r>
            <w:r w:rsidR="0091000D">
              <w:rPr>
                <w:noProof/>
                <w:webHidden/>
              </w:rPr>
              <w:fldChar w:fldCharType="end"/>
            </w:r>
          </w:hyperlink>
        </w:p>
        <w:p w14:paraId="167A2AD7" w14:textId="4D47ACB8" w:rsidR="0091000D" w:rsidRDefault="00D17EFD">
          <w:pPr>
            <w:pStyle w:val="TOC2"/>
            <w:tabs>
              <w:tab w:val="left" w:pos="960"/>
              <w:tab w:val="right" w:leader="dot" w:pos="9350"/>
            </w:tabs>
            <w:rPr>
              <w:rFonts w:asciiTheme="minorHAnsi" w:hAnsiTheme="minorHAnsi"/>
              <w:noProof/>
              <w:sz w:val="24"/>
              <w:szCs w:val="24"/>
              <w:lang w:eastAsia="en-US"/>
            </w:rPr>
          </w:pPr>
          <w:hyperlink w:anchor="_Toc10921935" w:history="1">
            <w:r w:rsidR="0091000D" w:rsidRPr="00EF55B4">
              <w:rPr>
                <w:rStyle w:val="Hyperlink"/>
                <w:noProof/>
              </w:rPr>
              <w:t>1.1.</w:t>
            </w:r>
            <w:r w:rsidR="0091000D">
              <w:rPr>
                <w:rFonts w:asciiTheme="minorHAnsi" w:hAnsiTheme="minorHAnsi"/>
                <w:noProof/>
                <w:sz w:val="24"/>
                <w:szCs w:val="24"/>
                <w:lang w:eastAsia="en-US"/>
              </w:rPr>
              <w:tab/>
            </w:r>
            <w:r w:rsidR="0091000D" w:rsidRPr="00EF55B4">
              <w:rPr>
                <w:rStyle w:val="Hyperlink"/>
                <w:noProof/>
              </w:rPr>
              <w:t>State of Utility Scale Energy Storage technologies</w:t>
            </w:r>
            <w:r w:rsidR="0091000D">
              <w:rPr>
                <w:noProof/>
                <w:webHidden/>
              </w:rPr>
              <w:tab/>
            </w:r>
            <w:r w:rsidR="0091000D">
              <w:rPr>
                <w:noProof/>
                <w:webHidden/>
              </w:rPr>
              <w:fldChar w:fldCharType="begin"/>
            </w:r>
            <w:r w:rsidR="0091000D">
              <w:rPr>
                <w:noProof/>
                <w:webHidden/>
              </w:rPr>
              <w:instrText xml:space="preserve"> PAGEREF _Toc10921935 \h </w:instrText>
            </w:r>
            <w:r w:rsidR="0091000D">
              <w:rPr>
                <w:noProof/>
                <w:webHidden/>
              </w:rPr>
            </w:r>
            <w:r w:rsidR="0091000D">
              <w:rPr>
                <w:noProof/>
                <w:webHidden/>
              </w:rPr>
              <w:fldChar w:fldCharType="separate"/>
            </w:r>
            <w:r w:rsidR="0091000D">
              <w:rPr>
                <w:noProof/>
                <w:webHidden/>
              </w:rPr>
              <w:t>6</w:t>
            </w:r>
            <w:r w:rsidR="0091000D">
              <w:rPr>
                <w:noProof/>
                <w:webHidden/>
              </w:rPr>
              <w:fldChar w:fldCharType="end"/>
            </w:r>
          </w:hyperlink>
        </w:p>
        <w:p w14:paraId="67CA48A1" w14:textId="160DD799" w:rsidR="0091000D" w:rsidRDefault="00D17EFD">
          <w:pPr>
            <w:pStyle w:val="TOC2"/>
            <w:tabs>
              <w:tab w:val="left" w:pos="960"/>
              <w:tab w:val="right" w:leader="dot" w:pos="9350"/>
            </w:tabs>
            <w:rPr>
              <w:rFonts w:asciiTheme="minorHAnsi" w:hAnsiTheme="minorHAnsi"/>
              <w:noProof/>
              <w:sz w:val="24"/>
              <w:szCs w:val="24"/>
              <w:lang w:eastAsia="en-US"/>
            </w:rPr>
          </w:pPr>
          <w:hyperlink w:anchor="_Toc10921936" w:history="1">
            <w:r w:rsidR="0091000D" w:rsidRPr="00EF55B4">
              <w:rPr>
                <w:rStyle w:val="Hyperlink"/>
                <w:noProof/>
              </w:rPr>
              <w:t>1.2.</w:t>
            </w:r>
            <w:r w:rsidR="0091000D">
              <w:rPr>
                <w:rFonts w:asciiTheme="minorHAnsi" w:hAnsiTheme="minorHAnsi"/>
                <w:noProof/>
                <w:sz w:val="24"/>
                <w:szCs w:val="24"/>
                <w:lang w:eastAsia="en-US"/>
              </w:rPr>
              <w:tab/>
            </w:r>
            <w:r w:rsidR="0091000D" w:rsidRPr="00EF55B4">
              <w:rPr>
                <w:rStyle w:val="Hyperlink"/>
                <w:noProof/>
              </w:rPr>
              <w:t>Adoption Path</w:t>
            </w:r>
            <w:r w:rsidR="0091000D">
              <w:rPr>
                <w:noProof/>
                <w:webHidden/>
              </w:rPr>
              <w:tab/>
            </w:r>
            <w:r w:rsidR="0091000D">
              <w:rPr>
                <w:noProof/>
                <w:webHidden/>
              </w:rPr>
              <w:fldChar w:fldCharType="begin"/>
            </w:r>
            <w:r w:rsidR="0091000D">
              <w:rPr>
                <w:noProof/>
                <w:webHidden/>
              </w:rPr>
              <w:instrText xml:space="preserve"> PAGEREF _Toc10921936 \h </w:instrText>
            </w:r>
            <w:r w:rsidR="0091000D">
              <w:rPr>
                <w:noProof/>
                <w:webHidden/>
              </w:rPr>
            </w:r>
            <w:r w:rsidR="0091000D">
              <w:rPr>
                <w:noProof/>
                <w:webHidden/>
              </w:rPr>
              <w:fldChar w:fldCharType="separate"/>
            </w:r>
            <w:r w:rsidR="0091000D">
              <w:rPr>
                <w:noProof/>
                <w:webHidden/>
              </w:rPr>
              <w:t>10</w:t>
            </w:r>
            <w:r w:rsidR="0091000D">
              <w:rPr>
                <w:noProof/>
                <w:webHidden/>
              </w:rPr>
              <w:fldChar w:fldCharType="end"/>
            </w:r>
          </w:hyperlink>
        </w:p>
        <w:p w14:paraId="5651301D" w14:textId="387ABCC8" w:rsidR="0091000D" w:rsidRDefault="00D17EFD">
          <w:pPr>
            <w:pStyle w:val="TOC3"/>
            <w:tabs>
              <w:tab w:val="left" w:pos="1200"/>
              <w:tab w:val="right" w:leader="dot" w:pos="9350"/>
            </w:tabs>
            <w:rPr>
              <w:rFonts w:asciiTheme="minorHAnsi" w:hAnsiTheme="minorHAnsi"/>
              <w:noProof/>
              <w:sz w:val="24"/>
              <w:szCs w:val="24"/>
              <w:lang w:eastAsia="en-US"/>
            </w:rPr>
          </w:pPr>
          <w:hyperlink w:anchor="_Toc10921937" w:history="1">
            <w:r w:rsidR="0091000D" w:rsidRPr="00EF55B4">
              <w:rPr>
                <w:rStyle w:val="Hyperlink"/>
                <w:noProof/>
              </w:rPr>
              <w:t>1.2.1</w:t>
            </w:r>
            <w:r w:rsidR="0091000D">
              <w:rPr>
                <w:rFonts w:asciiTheme="minorHAnsi" w:hAnsiTheme="minorHAnsi"/>
                <w:noProof/>
                <w:sz w:val="24"/>
                <w:szCs w:val="24"/>
                <w:lang w:eastAsia="en-US"/>
              </w:rPr>
              <w:tab/>
            </w:r>
            <w:r w:rsidR="0091000D" w:rsidRPr="00EF55B4">
              <w:rPr>
                <w:rStyle w:val="Hyperlink"/>
                <w:noProof/>
              </w:rPr>
              <w:t>Current Adoption</w:t>
            </w:r>
            <w:r w:rsidR="0091000D">
              <w:rPr>
                <w:noProof/>
                <w:webHidden/>
              </w:rPr>
              <w:tab/>
            </w:r>
            <w:r w:rsidR="0091000D">
              <w:rPr>
                <w:noProof/>
                <w:webHidden/>
              </w:rPr>
              <w:fldChar w:fldCharType="begin"/>
            </w:r>
            <w:r w:rsidR="0091000D">
              <w:rPr>
                <w:noProof/>
                <w:webHidden/>
              </w:rPr>
              <w:instrText xml:space="preserve"> PAGEREF _Toc10921937 \h </w:instrText>
            </w:r>
            <w:r w:rsidR="0091000D">
              <w:rPr>
                <w:noProof/>
                <w:webHidden/>
              </w:rPr>
            </w:r>
            <w:r w:rsidR="0091000D">
              <w:rPr>
                <w:noProof/>
                <w:webHidden/>
              </w:rPr>
              <w:fldChar w:fldCharType="separate"/>
            </w:r>
            <w:r w:rsidR="0091000D">
              <w:rPr>
                <w:noProof/>
                <w:webHidden/>
              </w:rPr>
              <w:t>10</w:t>
            </w:r>
            <w:r w:rsidR="0091000D">
              <w:rPr>
                <w:noProof/>
                <w:webHidden/>
              </w:rPr>
              <w:fldChar w:fldCharType="end"/>
            </w:r>
          </w:hyperlink>
        </w:p>
        <w:p w14:paraId="03AFAA65" w14:textId="67E39B25" w:rsidR="0091000D" w:rsidRDefault="00D17EFD">
          <w:pPr>
            <w:pStyle w:val="TOC3"/>
            <w:tabs>
              <w:tab w:val="left" w:pos="1200"/>
              <w:tab w:val="right" w:leader="dot" w:pos="9350"/>
            </w:tabs>
            <w:rPr>
              <w:rFonts w:asciiTheme="minorHAnsi" w:hAnsiTheme="minorHAnsi"/>
              <w:noProof/>
              <w:sz w:val="24"/>
              <w:szCs w:val="24"/>
              <w:lang w:eastAsia="en-US"/>
            </w:rPr>
          </w:pPr>
          <w:hyperlink w:anchor="_Toc10921938" w:history="1">
            <w:r w:rsidR="0091000D" w:rsidRPr="00EF55B4">
              <w:rPr>
                <w:rStyle w:val="Hyperlink"/>
                <w:noProof/>
              </w:rPr>
              <w:t>1.2.2</w:t>
            </w:r>
            <w:r w:rsidR="0091000D">
              <w:rPr>
                <w:rFonts w:asciiTheme="minorHAnsi" w:hAnsiTheme="minorHAnsi"/>
                <w:noProof/>
                <w:sz w:val="24"/>
                <w:szCs w:val="24"/>
                <w:lang w:eastAsia="en-US"/>
              </w:rPr>
              <w:tab/>
            </w:r>
            <w:r w:rsidR="0091000D" w:rsidRPr="00EF55B4">
              <w:rPr>
                <w:rStyle w:val="Hyperlink"/>
                <w:noProof/>
              </w:rPr>
              <w:t>Trends to Accelerate Adoption</w:t>
            </w:r>
            <w:r w:rsidR="0091000D">
              <w:rPr>
                <w:noProof/>
                <w:webHidden/>
              </w:rPr>
              <w:tab/>
            </w:r>
            <w:r w:rsidR="0091000D">
              <w:rPr>
                <w:noProof/>
                <w:webHidden/>
              </w:rPr>
              <w:fldChar w:fldCharType="begin"/>
            </w:r>
            <w:r w:rsidR="0091000D">
              <w:rPr>
                <w:noProof/>
                <w:webHidden/>
              </w:rPr>
              <w:instrText xml:space="preserve"> PAGEREF _Toc10921938 \h </w:instrText>
            </w:r>
            <w:r w:rsidR="0091000D">
              <w:rPr>
                <w:noProof/>
                <w:webHidden/>
              </w:rPr>
            </w:r>
            <w:r w:rsidR="0091000D">
              <w:rPr>
                <w:noProof/>
                <w:webHidden/>
              </w:rPr>
              <w:fldChar w:fldCharType="separate"/>
            </w:r>
            <w:r w:rsidR="0091000D">
              <w:rPr>
                <w:noProof/>
                <w:webHidden/>
              </w:rPr>
              <w:t>11</w:t>
            </w:r>
            <w:r w:rsidR="0091000D">
              <w:rPr>
                <w:noProof/>
                <w:webHidden/>
              </w:rPr>
              <w:fldChar w:fldCharType="end"/>
            </w:r>
          </w:hyperlink>
        </w:p>
        <w:p w14:paraId="0528A0B6" w14:textId="634CB88A" w:rsidR="0091000D" w:rsidRDefault="00D17EFD">
          <w:pPr>
            <w:pStyle w:val="TOC3"/>
            <w:tabs>
              <w:tab w:val="left" w:pos="1200"/>
              <w:tab w:val="right" w:leader="dot" w:pos="9350"/>
            </w:tabs>
            <w:rPr>
              <w:rFonts w:asciiTheme="minorHAnsi" w:hAnsiTheme="minorHAnsi"/>
              <w:noProof/>
              <w:sz w:val="24"/>
              <w:szCs w:val="24"/>
              <w:lang w:eastAsia="en-US"/>
            </w:rPr>
          </w:pPr>
          <w:hyperlink w:anchor="_Toc10921939" w:history="1">
            <w:r w:rsidR="0091000D" w:rsidRPr="00EF55B4">
              <w:rPr>
                <w:rStyle w:val="Hyperlink"/>
                <w:noProof/>
              </w:rPr>
              <w:t>1.2.3</w:t>
            </w:r>
            <w:r w:rsidR="0091000D">
              <w:rPr>
                <w:rFonts w:asciiTheme="minorHAnsi" w:hAnsiTheme="minorHAnsi"/>
                <w:noProof/>
                <w:sz w:val="24"/>
                <w:szCs w:val="24"/>
                <w:lang w:eastAsia="en-US"/>
              </w:rPr>
              <w:tab/>
            </w:r>
            <w:r w:rsidR="0091000D" w:rsidRPr="00EF55B4">
              <w:rPr>
                <w:rStyle w:val="Hyperlink"/>
                <w:noProof/>
              </w:rPr>
              <w:t>Barriers to Adoption</w:t>
            </w:r>
            <w:r w:rsidR="0091000D">
              <w:rPr>
                <w:noProof/>
                <w:webHidden/>
              </w:rPr>
              <w:tab/>
            </w:r>
            <w:r w:rsidR="0091000D">
              <w:rPr>
                <w:noProof/>
                <w:webHidden/>
              </w:rPr>
              <w:fldChar w:fldCharType="begin"/>
            </w:r>
            <w:r w:rsidR="0091000D">
              <w:rPr>
                <w:noProof/>
                <w:webHidden/>
              </w:rPr>
              <w:instrText xml:space="preserve"> PAGEREF _Toc10921939 \h </w:instrText>
            </w:r>
            <w:r w:rsidR="0091000D">
              <w:rPr>
                <w:noProof/>
                <w:webHidden/>
              </w:rPr>
            </w:r>
            <w:r w:rsidR="0091000D">
              <w:rPr>
                <w:noProof/>
                <w:webHidden/>
              </w:rPr>
              <w:fldChar w:fldCharType="separate"/>
            </w:r>
            <w:r w:rsidR="0091000D">
              <w:rPr>
                <w:noProof/>
                <w:webHidden/>
              </w:rPr>
              <w:t>12</w:t>
            </w:r>
            <w:r w:rsidR="0091000D">
              <w:rPr>
                <w:noProof/>
                <w:webHidden/>
              </w:rPr>
              <w:fldChar w:fldCharType="end"/>
            </w:r>
          </w:hyperlink>
        </w:p>
        <w:p w14:paraId="02AA2C8E" w14:textId="01A71E84" w:rsidR="0091000D" w:rsidRDefault="00D17EFD">
          <w:pPr>
            <w:pStyle w:val="TOC3"/>
            <w:tabs>
              <w:tab w:val="left" w:pos="1200"/>
              <w:tab w:val="right" w:leader="dot" w:pos="9350"/>
            </w:tabs>
            <w:rPr>
              <w:rFonts w:asciiTheme="minorHAnsi" w:hAnsiTheme="minorHAnsi"/>
              <w:noProof/>
              <w:sz w:val="24"/>
              <w:szCs w:val="24"/>
              <w:lang w:eastAsia="en-US"/>
            </w:rPr>
          </w:pPr>
          <w:hyperlink w:anchor="_Toc10921940" w:history="1">
            <w:r w:rsidR="0091000D" w:rsidRPr="00EF55B4">
              <w:rPr>
                <w:rStyle w:val="Hyperlink"/>
                <w:noProof/>
              </w:rPr>
              <w:t>1.2.4</w:t>
            </w:r>
            <w:r w:rsidR="0091000D">
              <w:rPr>
                <w:rFonts w:asciiTheme="minorHAnsi" w:hAnsiTheme="minorHAnsi"/>
                <w:noProof/>
                <w:sz w:val="24"/>
                <w:szCs w:val="24"/>
                <w:lang w:eastAsia="en-US"/>
              </w:rPr>
              <w:tab/>
            </w:r>
            <w:r w:rsidR="0091000D" w:rsidRPr="00EF55B4">
              <w:rPr>
                <w:rStyle w:val="Hyperlink"/>
                <w:noProof/>
              </w:rPr>
              <w:t>Adoption Potential</w:t>
            </w:r>
            <w:r w:rsidR="0091000D">
              <w:rPr>
                <w:noProof/>
                <w:webHidden/>
              </w:rPr>
              <w:tab/>
            </w:r>
            <w:r w:rsidR="0091000D">
              <w:rPr>
                <w:noProof/>
                <w:webHidden/>
              </w:rPr>
              <w:fldChar w:fldCharType="begin"/>
            </w:r>
            <w:r w:rsidR="0091000D">
              <w:rPr>
                <w:noProof/>
                <w:webHidden/>
              </w:rPr>
              <w:instrText xml:space="preserve"> PAGEREF _Toc10921940 \h </w:instrText>
            </w:r>
            <w:r w:rsidR="0091000D">
              <w:rPr>
                <w:noProof/>
                <w:webHidden/>
              </w:rPr>
            </w:r>
            <w:r w:rsidR="0091000D">
              <w:rPr>
                <w:noProof/>
                <w:webHidden/>
              </w:rPr>
              <w:fldChar w:fldCharType="separate"/>
            </w:r>
            <w:r w:rsidR="0091000D">
              <w:rPr>
                <w:noProof/>
                <w:webHidden/>
              </w:rPr>
              <w:t>13</w:t>
            </w:r>
            <w:r w:rsidR="0091000D">
              <w:rPr>
                <w:noProof/>
                <w:webHidden/>
              </w:rPr>
              <w:fldChar w:fldCharType="end"/>
            </w:r>
          </w:hyperlink>
        </w:p>
        <w:p w14:paraId="557BED2C" w14:textId="31E81323" w:rsidR="0091000D" w:rsidRDefault="00D17EFD">
          <w:pPr>
            <w:pStyle w:val="TOC2"/>
            <w:tabs>
              <w:tab w:val="left" w:pos="960"/>
              <w:tab w:val="right" w:leader="dot" w:pos="9350"/>
            </w:tabs>
            <w:rPr>
              <w:rFonts w:asciiTheme="minorHAnsi" w:hAnsiTheme="minorHAnsi"/>
              <w:noProof/>
              <w:sz w:val="24"/>
              <w:szCs w:val="24"/>
              <w:lang w:eastAsia="en-US"/>
            </w:rPr>
          </w:pPr>
          <w:hyperlink w:anchor="_Toc10921941" w:history="1">
            <w:r w:rsidR="0091000D" w:rsidRPr="00EF55B4">
              <w:rPr>
                <w:rStyle w:val="Hyperlink"/>
                <w:noProof/>
              </w:rPr>
              <w:t>1.3</w:t>
            </w:r>
            <w:r w:rsidR="0091000D">
              <w:rPr>
                <w:rFonts w:asciiTheme="minorHAnsi" w:hAnsiTheme="minorHAnsi"/>
                <w:noProof/>
                <w:sz w:val="24"/>
                <w:szCs w:val="24"/>
                <w:lang w:eastAsia="en-US"/>
              </w:rPr>
              <w:tab/>
            </w:r>
            <w:r w:rsidR="0091000D" w:rsidRPr="00EF55B4">
              <w:rPr>
                <w:rStyle w:val="Hyperlink"/>
                <w:noProof/>
              </w:rPr>
              <w:t>Advantages and Disadvantages of Utility Scale Energy Storage</w:t>
            </w:r>
            <w:r w:rsidR="0091000D">
              <w:rPr>
                <w:noProof/>
                <w:webHidden/>
              </w:rPr>
              <w:tab/>
            </w:r>
            <w:r w:rsidR="0091000D">
              <w:rPr>
                <w:noProof/>
                <w:webHidden/>
              </w:rPr>
              <w:fldChar w:fldCharType="begin"/>
            </w:r>
            <w:r w:rsidR="0091000D">
              <w:rPr>
                <w:noProof/>
                <w:webHidden/>
              </w:rPr>
              <w:instrText xml:space="preserve"> PAGEREF _Toc10921941 \h </w:instrText>
            </w:r>
            <w:r w:rsidR="0091000D">
              <w:rPr>
                <w:noProof/>
                <w:webHidden/>
              </w:rPr>
            </w:r>
            <w:r w:rsidR="0091000D">
              <w:rPr>
                <w:noProof/>
                <w:webHidden/>
              </w:rPr>
              <w:fldChar w:fldCharType="separate"/>
            </w:r>
            <w:r w:rsidR="0091000D">
              <w:rPr>
                <w:noProof/>
                <w:webHidden/>
              </w:rPr>
              <w:t>13</w:t>
            </w:r>
            <w:r w:rsidR="0091000D">
              <w:rPr>
                <w:noProof/>
                <w:webHidden/>
              </w:rPr>
              <w:fldChar w:fldCharType="end"/>
            </w:r>
          </w:hyperlink>
        </w:p>
        <w:p w14:paraId="0E468390" w14:textId="7FE32016" w:rsidR="0091000D" w:rsidRDefault="00D17EFD">
          <w:pPr>
            <w:pStyle w:val="TOC3"/>
            <w:tabs>
              <w:tab w:val="left" w:pos="1200"/>
              <w:tab w:val="right" w:leader="dot" w:pos="9350"/>
            </w:tabs>
            <w:rPr>
              <w:rFonts w:asciiTheme="minorHAnsi" w:hAnsiTheme="minorHAnsi"/>
              <w:noProof/>
              <w:sz w:val="24"/>
              <w:szCs w:val="24"/>
              <w:lang w:eastAsia="en-US"/>
            </w:rPr>
          </w:pPr>
          <w:hyperlink w:anchor="_Toc10921942" w:history="1">
            <w:r w:rsidR="0091000D" w:rsidRPr="00EF55B4">
              <w:rPr>
                <w:rStyle w:val="Hyperlink"/>
                <w:noProof/>
              </w:rPr>
              <w:t>1.3.1</w:t>
            </w:r>
            <w:r w:rsidR="0091000D">
              <w:rPr>
                <w:rFonts w:asciiTheme="minorHAnsi" w:hAnsiTheme="minorHAnsi"/>
                <w:noProof/>
                <w:sz w:val="24"/>
                <w:szCs w:val="24"/>
                <w:lang w:eastAsia="en-US"/>
              </w:rPr>
              <w:tab/>
            </w:r>
            <w:r w:rsidR="0091000D" w:rsidRPr="00EF55B4">
              <w:rPr>
                <w:rStyle w:val="Hyperlink"/>
                <w:noProof/>
              </w:rPr>
              <w:t>Similar Solutions</w:t>
            </w:r>
            <w:r w:rsidR="0091000D">
              <w:rPr>
                <w:noProof/>
                <w:webHidden/>
              </w:rPr>
              <w:tab/>
            </w:r>
            <w:r w:rsidR="0091000D">
              <w:rPr>
                <w:noProof/>
                <w:webHidden/>
              </w:rPr>
              <w:fldChar w:fldCharType="begin"/>
            </w:r>
            <w:r w:rsidR="0091000D">
              <w:rPr>
                <w:noProof/>
                <w:webHidden/>
              </w:rPr>
              <w:instrText xml:space="preserve"> PAGEREF _Toc10921942 \h </w:instrText>
            </w:r>
            <w:r w:rsidR="0091000D">
              <w:rPr>
                <w:noProof/>
                <w:webHidden/>
              </w:rPr>
            </w:r>
            <w:r w:rsidR="0091000D">
              <w:rPr>
                <w:noProof/>
                <w:webHidden/>
              </w:rPr>
              <w:fldChar w:fldCharType="separate"/>
            </w:r>
            <w:r w:rsidR="0091000D">
              <w:rPr>
                <w:noProof/>
                <w:webHidden/>
              </w:rPr>
              <w:t>13</w:t>
            </w:r>
            <w:r w:rsidR="0091000D">
              <w:rPr>
                <w:noProof/>
                <w:webHidden/>
              </w:rPr>
              <w:fldChar w:fldCharType="end"/>
            </w:r>
          </w:hyperlink>
        </w:p>
        <w:p w14:paraId="4231D5DF" w14:textId="72E5DA04" w:rsidR="0091000D" w:rsidRDefault="00D17EFD">
          <w:pPr>
            <w:pStyle w:val="TOC3"/>
            <w:tabs>
              <w:tab w:val="left" w:pos="1200"/>
              <w:tab w:val="right" w:leader="dot" w:pos="9350"/>
            </w:tabs>
            <w:rPr>
              <w:rFonts w:asciiTheme="minorHAnsi" w:hAnsiTheme="minorHAnsi"/>
              <w:noProof/>
              <w:sz w:val="24"/>
              <w:szCs w:val="24"/>
              <w:lang w:eastAsia="en-US"/>
            </w:rPr>
          </w:pPr>
          <w:hyperlink w:anchor="_Toc10921943" w:history="1">
            <w:r w:rsidR="0091000D" w:rsidRPr="00EF55B4">
              <w:rPr>
                <w:rStyle w:val="Hyperlink"/>
                <w:noProof/>
              </w:rPr>
              <w:t>1.3.2</w:t>
            </w:r>
            <w:r w:rsidR="0091000D">
              <w:rPr>
                <w:rFonts w:asciiTheme="minorHAnsi" w:hAnsiTheme="minorHAnsi"/>
                <w:noProof/>
                <w:sz w:val="24"/>
                <w:szCs w:val="24"/>
                <w:lang w:eastAsia="en-US"/>
              </w:rPr>
              <w:tab/>
            </w:r>
            <w:r w:rsidR="0091000D" w:rsidRPr="00EF55B4">
              <w:rPr>
                <w:rStyle w:val="Hyperlink"/>
                <w:noProof/>
              </w:rPr>
              <w:t>Arguments for Adoption</w:t>
            </w:r>
            <w:r w:rsidR="0091000D">
              <w:rPr>
                <w:noProof/>
                <w:webHidden/>
              </w:rPr>
              <w:tab/>
            </w:r>
            <w:r w:rsidR="0091000D">
              <w:rPr>
                <w:noProof/>
                <w:webHidden/>
              </w:rPr>
              <w:fldChar w:fldCharType="begin"/>
            </w:r>
            <w:r w:rsidR="0091000D">
              <w:rPr>
                <w:noProof/>
                <w:webHidden/>
              </w:rPr>
              <w:instrText xml:space="preserve"> PAGEREF _Toc10921943 \h </w:instrText>
            </w:r>
            <w:r w:rsidR="0091000D">
              <w:rPr>
                <w:noProof/>
                <w:webHidden/>
              </w:rPr>
            </w:r>
            <w:r w:rsidR="0091000D">
              <w:rPr>
                <w:noProof/>
                <w:webHidden/>
              </w:rPr>
              <w:fldChar w:fldCharType="separate"/>
            </w:r>
            <w:r w:rsidR="0091000D">
              <w:rPr>
                <w:noProof/>
                <w:webHidden/>
              </w:rPr>
              <w:t>14</w:t>
            </w:r>
            <w:r w:rsidR="0091000D">
              <w:rPr>
                <w:noProof/>
                <w:webHidden/>
              </w:rPr>
              <w:fldChar w:fldCharType="end"/>
            </w:r>
          </w:hyperlink>
        </w:p>
        <w:p w14:paraId="0CE6AC73" w14:textId="73FD5229" w:rsidR="0091000D" w:rsidRDefault="00D17EFD">
          <w:pPr>
            <w:pStyle w:val="TOC1"/>
            <w:tabs>
              <w:tab w:val="left" w:pos="440"/>
              <w:tab w:val="right" w:leader="dot" w:pos="9350"/>
            </w:tabs>
            <w:rPr>
              <w:rFonts w:asciiTheme="minorHAnsi" w:hAnsiTheme="minorHAnsi"/>
              <w:noProof/>
              <w:sz w:val="24"/>
              <w:szCs w:val="24"/>
              <w:lang w:eastAsia="en-US"/>
            </w:rPr>
          </w:pPr>
          <w:hyperlink w:anchor="_Toc10921944" w:history="1">
            <w:r w:rsidR="0091000D" w:rsidRPr="00EF55B4">
              <w:rPr>
                <w:rStyle w:val="Hyperlink"/>
                <w:noProof/>
              </w:rPr>
              <w:t>2.</w:t>
            </w:r>
            <w:r w:rsidR="0091000D">
              <w:rPr>
                <w:rFonts w:asciiTheme="minorHAnsi" w:hAnsiTheme="minorHAnsi"/>
                <w:noProof/>
                <w:sz w:val="24"/>
                <w:szCs w:val="24"/>
                <w:lang w:eastAsia="en-US"/>
              </w:rPr>
              <w:tab/>
            </w:r>
            <w:r w:rsidR="0091000D" w:rsidRPr="00EF55B4">
              <w:rPr>
                <w:rStyle w:val="Hyperlink"/>
                <w:noProof/>
              </w:rPr>
              <w:t>Discussion</w:t>
            </w:r>
            <w:r w:rsidR="0091000D">
              <w:rPr>
                <w:noProof/>
                <w:webHidden/>
              </w:rPr>
              <w:tab/>
            </w:r>
            <w:r w:rsidR="0091000D">
              <w:rPr>
                <w:noProof/>
                <w:webHidden/>
              </w:rPr>
              <w:fldChar w:fldCharType="begin"/>
            </w:r>
            <w:r w:rsidR="0091000D">
              <w:rPr>
                <w:noProof/>
                <w:webHidden/>
              </w:rPr>
              <w:instrText xml:space="preserve"> PAGEREF _Toc10921944 \h </w:instrText>
            </w:r>
            <w:r w:rsidR="0091000D">
              <w:rPr>
                <w:noProof/>
                <w:webHidden/>
              </w:rPr>
            </w:r>
            <w:r w:rsidR="0091000D">
              <w:rPr>
                <w:noProof/>
                <w:webHidden/>
              </w:rPr>
              <w:fldChar w:fldCharType="separate"/>
            </w:r>
            <w:r w:rsidR="0091000D">
              <w:rPr>
                <w:noProof/>
                <w:webHidden/>
              </w:rPr>
              <w:t>15</w:t>
            </w:r>
            <w:r w:rsidR="0091000D">
              <w:rPr>
                <w:noProof/>
                <w:webHidden/>
              </w:rPr>
              <w:fldChar w:fldCharType="end"/>
            </w:r>
          </w:hyperlink>
        </w:p>
        <w:p w14:paraId="0872627D" w14:textId="76E53E4A" w:rsidR="0091000D" w:rsidRDefault="00D17EFD">
          <w:pPr>
            <w:pStyle w:val="TOC1"/>
            <w:tabs>
              <w:tab w:val="left" w:pos="440"/>
              <w:tab w:val="right" w:leader="dot" w:pos="9350"/>
            </w:tabs>
            <w:rPr>
              <w:rFonts w:asciiTheme="minorHAnsi" w:hAnsiTheme="minorHAnsi"/>
              <w:noProof/>
              <w:sz w:val="24"/>
              <w:szCs w:val="24"/>
              <w:lang w:eastAsia="en-US"/>
            </w:rPr>
          </w:pPr>
          <w:hyperlink w:anchor="_Toc10921945" w:history="1">
            <w:r w:rsidR="0091000D" w:rsidRPr="00EF55B4">
              <w:rPr>
                <w:rStyle w:val="Hyperlink"/>
                <w:noProof/>
              </w:rPr>
              <w:t>3.</w:t>
            </w:r>
            <w:r w:rsidR="0091000D">
              <w:rPr>
                <w:rFonts w:asciiTheme="minorHAnsi" w:hAnsiTheme="minorHAnsi"/>
                <w:noProof/>
                <w:sz w:val="24"/>
                <w:szCs w:val="24"/>
                <w:lang w:eastAsia="en-US"/>
              </w:rPr>
              <w:tab/>
            </w:r>
            <w:r w:rsidR="0091000D" w:rsidRPr="00EF55B4">
              <w:rPr>
                <w:rStyle w:val="Hyperlink"/>
                <w:noProof/>
              </w:rPr>
              <w:t>References</w:t>
            </w:r>
            <w:r w:rsidR="0091000D">
              <w:rPr>
                <w:noProof/>
                <w:webHidden/>
              </w:rPr>
              <w:tab/>
            </w:r>
            <w:r w:rsidR="0091000D">
              <w:rPr>
                <w:noProof/>
                <w:webHidden/>
              </w:rPr>
              <w:fldChar w:fldCharType="begin"/>
            </w:r>
            <w:r w:rsidR="0091000D">
              <w:rPr>
                <w:noProof/>
                <w:webHidden/>
              </w:rPr>
              <w:instrText xml:space="preserve"> PAGEREF _Toc10921945 \h </w:instrText>
            </w:r>
            <w:r w:rsidR="0091000D">
              <w:rPr>
                <w:noProof/>
                <w:webHidden/>
              </w:rPr>
            </w:r>
            <w:r w:rsidR="0091000D">
              <w:rPr>
                <w:noProof/>
                <w:webHidden/>
              </w:rPr>
              <w:fldChar w:fldCharType="separate"/>
            </w:r>
            <w:r w:rsidR="0091000D">
              <w:rPr>
                <w:noProof/>
                <w:webHidden/>
              </w:rPr>
              <w:t>17</w:t>
            </w:r>
            <w:r w:rsidR="0091000D">
              <w:rPr>
                <w:noProof/>
                <w:webHidden/>
              </w:rPr>
              <w:fldChar w:fldCharType="end"/>
            </w:r>
          </w:hyperlink>
        </w:p>
        <w:p w14:paraId="27391D6B" w14:textId="7CF7AFF4" w:rsidR="0091000D" w:rsidRDefault="00D17EFD">
          <w:pPr>
            <w:pStyle w:val="TOC1"/>
            <w:tabs>
              <w:tab w:val="right" w:leader="dot" w:pos="9350"/>
            </w:tabs>
            <w:rPr>
              <w:rFonts w:asciiTheme="minorHAnsi" w:hAnsiTheme="minorHAnsi"/>
              <w:noProof/>
              <w:sz w:val="24"/>
              <w:szCs w:val="24"/>
              <w:lang w:eastAsia="en-US"/>
            </w:rPr>
          </w:pPr>
          <w:hyperlink w:anchor="_Toc10921946" w:history="1">
            <w:r w:rsidR="0091000D" w:rsidRPr="00EF55B4">
              <w:rPr>
                <w:rStyle w:val="Hyperlink"/>
                <w:noProof/>
              </w:rPr>
              <w:t>Glossary</w:t>
            </w:r>
            <w:r w:rsidR="0091000D">
              <w:rPr>
                <w:noProof/>
                <w:webHidden/>
              </w:rPr>
              <w:tab/>
            </w:r>
            <w:r w:rsidR="0091000D">
              <w:rPr>
                <w:noProof/>
                <w:webHidden/>
              </w:rPr>
              <w:fldChar w:fldCharType="begin"/>
            </w:r>
            <w:r w:rsidR="0091000D">
              <w:rPr>
                <w:noProof/>
                <w:webHidden/>
              </w:rPr>
              <w:instrText xml:space="preserve"> PAGEREF _Toc10921946 \h </w:instrText>
            </w:r>
            <w:r w:rsidR="0091000D">
              <w:rPr>
                <w:noProof/>
                <w:webHidden/>
              </w:rPr>
            </w:r>
            <w:r w:rsidR="0091000D">
              <w:rPr>
                <w:noProof/>
                <w:webHidden/>
              </w:rPr>
              <w:fldChar w:fldCharType="separate"/>
            </w:r>
            <w:r w:rsidR="0091000D">
              <w:rPr>
                <w:noProof/>
                <w:webHidden/>
              </w:rPr>
              <w:t>20</w:t>
            </w:r>
            <w:r w:rsidR="0091000D">
              <w:rPr>
                <w:noProof/>
                <w:webHidden/>
              </w:rPr>
              <w:fldChar w:fldCharType="end"/>
            </w:r>
          </w:hyperlink>
        </w:p>
        <w:p w14:paraId="12C7DAF6" w14:textId="5E76FC68" w:rsidR="00640665" w:rsidRPr="00E069AC" w:rsidRDefault="00640665" w:rsidP="00EB247F">
          <w:pPr>
            <w:spacing w:after="0"/>
          </w:pPr>
          <w:r w:rsidRPr="00E069AC">
            <w:rPr>
              <w:b/>
              <w:bCs/>
              <w:noProof/>
            </w:rPr>
            <w:fldChar w:fldCharType="end"/>
          </w:r>
        </w:p>
      </w:sdtContent>
    </w:sdt>
    <w:p w14:paraId="1827C10C" w14:textId="3B09BCA5" w:rsidR="00F15AEE" w:rsidRPr="00E069AC" w:rsidRDefault="00F15AEE" w:rsidP="00EB247F">
      <w:pPr>
        <w:spacing w:after="0"/>
      </w:pPr>
      <w:r w:rsidRPr="00E069AC">
        <w:br w:type="page"/>
      </w:r>
    </w:p>
    <w:p w14:paraId="325B3971" w14:textId="4DF0A92F" w:rsidR="2D56E7D4" w:rsidRPr="00E069AC" w:rsidRDefault="00C23CAC" w:rsidP="0081554D">
      <w:pPr>
        <w:pStyle w:val="Heading1"/>
        <w:rPr>
          <w:noProof/>
        </w:rPr>
      </w:pPr>
      <w:bookmarkStart w:id="0" w:name="_Toc10921930"/>
      <w:r w:rsidRPr="00E069AC">
        <w:rPr>
          <w:noProof/>
        </w:rPr>
        <w:lastRenderedPageBreak/>
        <w:t xml:space="preserve">List of </w:t>
      </w:r>
      <w:r w:rsidR="2D56E7D4" w:rsidRPr="00E069AC">
        <w:rPr>
          <w:noProof/>
        </w:rPr>
        <w:t>Figures</w:t>
      </w:r>
      <w:bookmarkEnd w:id="0"/>
    </w:p>
    <w:p w14:paraId="777C07C3" w14:textId="16C6FC51" w:rsidR="0091000D" w:rsidRDefault="00F15AEE">
      <w:pPr>
        <w:pStyle w:val="TableofFigures"/>
        <w:tabs>
          <w:tab w:val="right" w:leader="dot" w:pos="9350"/>
        </w:tabs>
        <w:rPr>
          <w:rFonts w:asciiTheme="minorHAnsi" w:hAnsiTheme="minorHAnsi"/>
          <w:noProof/>
          <w:sz w:val="24"/>
          <w:szCs w:val="24"/>
          <w:lang w:eastAsia="en-US"/>
        </w:rPr>
      </w:pPr>
      <w:r w:rsidRPr="00E069AC">
        <w:fldChar w:fldCharType="begin"/>
      </w:r>
      <w:r w:rsidRPr="00E069AC">
        <w:instrText xml:space="preserve"> TOC \h \z \c "Figure" </w:instrText>
      </w:r>
      <w:r w:rsidRPr="00E069AC">
        <w:fldChar w:fldCharType="separate"/>
      </w:r>
      <w:hyperlink w:anchor="_Toc10921958" w:history="1">
        <w:r w:rsidR="0091000D" w:rsidRPr="004B004F">
          <w:rPr>
            <w:rStyle w:val="Hyperlink"/>
            <w:noProof/>
          </w:rPr>
          <w:t>Figure 1.1. Hypothetical deployment of storage assets across an electric power system (Source: U.S EIA, 2012)</w:t>
        </w:r>
        <w:r w:rsidR="0091000D">
          <w:rPr>
            <w:noProof/>
            <w:webHidden/>
          </w:rPr>
          <w:tab/>
        </w:r>
        <w:r w:rsidR="0091000D">
          <w:rPr>
            <w:noProof/>
            <w:webHidden/>
          </w:rPr>
          <w:fldChar w:fldCharType="begin"/>
        </w:r>
        <w:r w:rsidR="0091000D">
          <w:rPr>
            <w:noProof/>
            <w:webHidden/>
          </w:rPr>
          <w:instrText xml:space="preserve"> PAGEREF _Toc10921958 \h </w:instrText>
        </w:r>
        <w:r w:rsidR="0091000D">
          <w:rPr>
            <w:noProof/>
            <w:webHidden/>
          </w:rPr>
        </w:r>
        <w:r w:rsidR="0091000D">
          <w:rPr>
            <w:noProof/>
            <w:webHidden/>
          </w:rPr>
          <w:fldChar w:fldCharType="separate"/>
        </w:r>
        <w:r w:rsidR="0091000D">
          <w:rPr>
            <w:noProof/>
            <w:webHidden/>
          </w:rPr>
          <w:t>7</w:t>
        </w:r>
        <w:r w:rsidR="0091000D">
          <w:rPr>
            <w:noProof/>
            <w:webHidden/>
          </w:rPr>
          <w:fldChar w:fldCharType="end"/>
        </w:r>
      </w:hyperlink>
    </w:p>
    <w:p w14:paraId="6C42AFE2" w14:textId="1E101D1D" w:rsidR="0091000D" w:rsidRDefault="00D17EFD">
      <w:pPr>
        <w:pStyle w:val="TableofFigures"/>
        <w:tabs>
          <w:tab w:val="right" w:leader="dot" w:pos="9350"/>
        </w:tabs>
        <w:rPr>
          <w:rFonts w:asciiTheme="minorHAnsi" w:hAnsiTheme="minorHAnsi"/>
          <w:noProof/>
          <w:sz w:val="24"/>
          <w:szCs w:val="24"/>
          <w:lang w:eastAsia="en-US"/>
        </w:rPr>
      </w:pPr>
      <w:hyperlink w:anchor="_Toc10921959" w:history="1">
        <w:r w:rsidR="0091000D" w:rsidRPr="004B004F">
          <w:rPr>
            <w:rStyle w:val="Hyperlink"/>
            <w:noProof/>
          </w:rPr>
          <w:t>Figure 1.2. Diagram of a pumped hydropower storage plant. (Directorate-General for Energy, 2013)</w:t>
        </w:r>
        <w:r w:rsidR="0091000D">
          <w:rPr>
            <w:noProof/>
            <w:webHidden/>
          </w:rPr>
          <w:tab/>
        </w:r>
        <w:r w:rsidR="0091000D">
          <w:rPr>
            <w:noProof/>
            <w:webHidden/>
          </w:rPr>
          <w:fldChar w:fldCharType="begin"/>
        </w:r>
        <w:r w:rsidR="0091000D">
          <w:rPr>
            <w:noProof/>
            <w:webHidden/>
          </w:rPr>
          <w:instrText xml:space="preserve"> PAGEREF _Toc10921959 \h </w:instrText>
        </w:r>
        <w:r w:rsidR="0091000D">
          <w:rPr>
            <w:noProof/>
            <w:webHidden/>
          </w:rPr>
        </w:r>
        <w:r w:rsidR="0091000D">
          <w:rPr>
            <w:noProof/>
            <w:webHidden/>
          </w:rPr>
          <w:fldChar w:fldCharType="separate"/>
        </w:r>
        <w:r w:rsidR="0091000D">
          <w:rPr>
            <w:noProof/>
            <w:webHidden/>
          </w:rPr>
          <w:t>8</w:t>
        </w:r>
        <w:r w:rsidR="0091000D">
          <w:rPr>
            <w:noProof/>
            <w:webHidden/>
          </w:rPr>
          <w:fldChar w:fldCharType="end"/>
        </w:r>
      </w:hyperlink>
    </w:p>
    <w:p w14:paraId="55626E9B" w14:textId="442CC9EE" w:rsidR="0091000D" w:rsidRDefault="00D17EFD">
      <w:pPr>
        <w:pStyle w:val="TableofFigures"/>
        <w:tabs>
          <w:tab w:val="right" w:leader="dot" w:pos="9350"/>
        </w:tabs>
        <w:rPr>
          <w:rFonts w:asciiTheme="minorHAnsi" w:hAnsiTheme="minorHAnsi"/>
          <w:noProof/>
          <w:sz w:val="24"/>
          <w:szCs w:val="24"/>
          <w:lang w:eastAsia="en-US"/>
        </w:rPr>
      </w:pPr>
      <w:hyperlink w:anchor="_Toc10921960" w:history="1">
        <w:r w:rsidR="0091000D" w:rsidRPr="004B004F">
          <w:rPr>
            <w:rStyle w:val="Hyperlink"/>
            <w:noProof/>
          </w:rPr>
          <w:t>Figure 1.3. The maximum power output of different energy storage technologies versus their discharge times (EIA, 2011)</w:t>
        </w:r>
        <w:r w:rsidR="0091000D">
          <w:rPr>
            <w:noProof/>
            <w:webHidden/>
          </w:rPr>
          <w:tab/>
        </w:r>
        <w:r w:rsidR="0091000D">
          <w:rPr>
            <w:noProof/>
            <w:webHidden/>
          </w:rPr>
          <w:fldChar w:fldCharType="begin"/>
        </w:r>
        <w:r w:rsidR="0091000D">
          <w:rPr>
            <w:noProof/>
            <w:webHidden/>
          </w:rPr>
          <w:instrText xml:space="preserve"> PAGEREF _Toc10921960 \h </w:instrText>
        </w:r>
        <w:r w:rsidR="0091000D">
          <w:rPr>
            <w:noProof/>
            <w:webHidden/>
          </w:rPr>
        </w:r>
        <w:r w:rsidR="0091000D">
          <w:rPr>
            <w:noProof/>
            <w:webHidden/>
          </w:rPr>
          <w:fldChar w:fldCharType="separate"/>
        </w:r>
        <w:r w:rsidR="0091000D">
          <w:rPr>
            <w:noProof/>
            <w:webHidden/>
          </w:rPr>
          <w:t>9</w:t>
        </w:r>
        <w:r w:rsidR="0091000D">
          <w:rPr>
            <w:noProof/>
            <w:webHidden/>
          </w:rPr>
          <w:fldChar w:fldCharType="end"/>
        </w:r>
      </w:hyperlink>
    </w:p>
    <w:p w14:paraId="3C3A13BD" w14:textId="7B0F2C38" w:rsidR="0091000D" w:rsidRDefault="00D17EFD">
      <w:pPr>
        <w:pStyle w:val="TableofFigures"/>
        <w:tabs>
          <w:tab w:val="right" w:leader="dot" w:pos="9350"/>
        </w:tabs>
        <w:rPr>
          <w:rFonts w:asciiTheme="minorHAnsi" w:hAnsiTheme="minorHAnsi"/>
          <w:noProof/>
          <w:sz w:val="24"/>
          <w:szCs w:val="24"/>
          <w:lang w:eastAsia="en-US"/>
        </w:rPr>
      </w:pPr>
      <w:hyperlink w:anchor="_Toc10921961" w:history="1">
        <w:r w:rsidR="0091000D" w:rsidRPr="004B004F">
          <w:rPr>
            <w:rStyle w:val="Hyperlink"/>
            <w:noProof/>
          </w:rPr>
          <w:t>Figure 1.4. Energy storage applications and technologies (IEA, 2014)</w:t>
        </w:r>
        <w:r w:rsidR="0091000D">
          <w:rPr>
            <w:noProof/>
            <w:webHidden/>
          </w:rPr>
          <w:tab/>
        </w:r>
        <w:r w:rsidR="0091000D">
          <w:rPr>
            <w:noProof/>
            <w:webHidden/>
          </w:rPr>
          <w:fldChar w:fldCharType="begin"/>
        </w:r>
        <w:r w:rsidR="0091000D">
          <w:rPr>
            <w:noProof/>
            <w:webHidden/>
          </w:rPr>
          <w:instrText xml:space="preserve"> PAGEREF _Toc10921961 \h </w:instrText>
        </w:r>
        <w:r w:rsidR="0091000D">
          <w:rPr>
            <w:noProof/>
            <w:webHidden/>
          </w:rPr>
        </w:r>
        <w:r w:rsidR="0091000D">
          <w:rPr>
            <w:noProof/>
            <w:webHidden/>
          </w:rPr>
          <w:fldChar w:fldCharType="separate"/>
        </w:r>
        <w:r w:rsidR="0091000D">
          <w:rPr>
            <w:noProof/>
            <w:webHidden/>
          </w:rPr>
          <w:t>9</w:t>
        </w:r>
        <w:r w:rsidR="0091000D">
          <w:rPr>
            <w:noProof/>
            <w:webHidden/>
          </w:rPr>
          <w:fldChar w:fldCharType="end"/>
        </w:r>
      </w:hyperlink>
    </w:p>
    <w:p w14:paraId="1B1414ED" w14:textId="4C67C532" w:rsidR="0091000D" w:rsidRDefault="00D17EFD">
      <w:pPr>
        <w:pStyle w:val="TableofFigures"/>
        <w:tabs>
          <w:tab w:val="right" w:leader="dot" w:pos="9350"/>
        </w:tabs>
        <w:rPr>
          <w:rFonts w:asciiTheme="minorHAnsi" w:hAnsiTheme="minorHAnsi"/>
          <w:noProof/>
          <w:sz w:val="24"/>
          <w:szCs w:val="24"/>
          <w:lang w:eastAsia="en-US"/>
        </w:rPr>
      </w:pPr>
      <w:hyperlink w:anchor="_Toc10921962" w:history="1">
        <w:r w:rsidR="0091000D" w:rsidRPr="004B004F">
          <w:rPr>
            <w:rStyle w:val="Hyperlink"/>
            <w:noProof/>
          </w:rPr>
          <w:t>Figure 1.5. Top 10 countries by installed Utility-scale Energy Storage Technologies and capacity (Data Source: US DOE 2016)</w:t>
        </w:r>
        <w:r w:rsidR="0091000D">
          <w:rPr>
            <w:noProof/>
            <w:webHidden/>
          </w:rPr>
          <w:tab/>
        </w:r>
        <w:r w:rsidR="0091000D">
          <w:rPr>
            <w:noProof/>
            <w:webHidden/>
          </w:rPr>
          <w:fldChar w:fldCharType="begin"/>
        </w:r>
        <w:r w:rsidR="0091000D">
          <w:rPr>
            <w:noProof/>
            <w:webHidden/>
          </w:rPr>
          <w:instrText xml:space="preserve"> PAGEREF _Toc10921962 \h </w:instrText>
        </w:r>
        <w:r w:rsidR="0091000D">
          <w:rPr>
            <w:noProof/>
            <w:webHidden/>
          </w:rPr>
        </w:r>
        <w:r w:rsidR="0091000D">
          <w:rPr>
            <w:noProof/>
            <w:webHidden/>
          </w:rPr>
          <w:fldChar w:fldCharType="separate"/>
        </w:r>
        <w:r w:rsidR="0091000D">
          <w:rPr>
            <w:noProof/>
            <w:webHidden/>
          </w:rPr>
          <w:t>10</w:t>
        </w:r>
        <w:r w:rsidR="0091000D">
          <w:rPr>
            <w:noProof/>
            <w:webHidden/>
          </w:rPr>
          <w:fldChar w:fldCharType="end"/>
        </w:r>
      </w:hyperlink>
    </w:p>
    <w:p w14:paraId="6C7384B6" w14:textId="1AA17ED6" w:rsidR="0091000D" w:rsidRDefault="00D17EFD">
      <w:pPr>
        <w:pStyle w:val="TableofFigures"/>
        <w:tabs>
          <w:tab w:val="right" w:leader="dot" w:pos="9350"/>
        </w:tabs>
        <w:rPr>
          <w:rFonts w:asciiTheme="minorHAnsi" w:hAnsiTheme="minorHAnsi"/>
          <w:noProof/>
          <w:sz w:val="24"/>
          <w:szCs w:val="24"/>
          <w:lang w:eastAsia="en-US"/>
        </w:rPr>
      </w:pPr>
      <w:hyperlink w:anchor="_Toc10921963" w:history="1">
        <w:r w:rsidR="0091000D" w:rsidRPr="004B004F">
          <w:rPr>
            <w:rStyle w:val="Hyperlink"/>
            <w:noProof/>
          </w:rPr>
          <w:t>Figure 1.6. Electricity storage capacity by region in 2011 and 2050 Scenarios (IEA, 2014)</w:t>
        </w:r>
        <w:r w:rsidR="0091000D">
          <w:rPr>
            <w:noProof/>
            <w:webHidden/>
          </w:rPr>
          <w:tab/>
        </w:r>
        <w:r w:rsidR="0091000D">
          <w:rPr>
            <w:noProof/>
            <w:webHidden/>
          </w:rPr>
          <w:fldChar w:fldCharType="begin"/>
        </w:r>
        <w:r w:rsidR="0091000D">
          <w:rPr>
            <w:noProof/>
            <w:webHidden/>
          </w:rPr>
          <w:instrText xml:space="preserve"> PAGEREF _Toc10921963 \h </w:instrText>
        </w:r>
        <w:r w:rsidR="0091000D">
          <w:rPr>
            <w:noProof/>
            <w:webHidden/>
          </w:rPr>
        </w:r>
        <w:r w:rsidR="0091000D">
          <w:rPr>
            <w:noProof/>
            <w:webHidden/>
          </w:rPr>
          <w:fldChar w:fldCharType="separate"/>
        </w:r>
        <w:r w:rsidR="0091000D">
          <w:rPr>
            <w:noProof/>
            <w:webHidden/>
          </w:rPr>
          <w:t>13</w:t>
        </w:r>
        <w:r w:rsidR="0091000D">
          <w:rPr>
            <w:noProof/>
            <w:webHidden/>
          </w:rPr>
          <w:fldChar w:fldCharType="end"/>
        </w:r>
      </w:hyperlink>
    </w:p>
    <w:p w14:paraId="26B7384C" w14:textId="040F5748" w:rsidR="0091000D" w:rsidRDefault="00D17EFD">
      <w:pPr>
        <w:pStyle w:val="TableofFigures"/>
        <w:tabs>
          <w:tab w:val="right" w:leader="dot" w:pos="9350"/>
        </w:tabs>
        <w:rPr>
          <w:rFonts w:asciiTheme="minorHAnsi" w:hAnsiTheme="minorHAnsi"/>
          <w:noProof/>
          <w:sz w:val="24"/>
          <w:szCs w:val="24"/>
          <w:lang w:eastAsia="en-US"/>
        </w:rPr>
      </w:pPr>
      <w:hyperlink w:anchor="_Toc10921964" w:history="1">
        <w:r w:rsidR="0091000D" w:rsidRPr="004B004F">
          <w:rPr>
            <w:rStyle w:val="Hyperlink"/>
            <w:rFonts w:cs="Times New Roman"/>
            <w:noProof/>
          </w:rPr>
          <w:t>Figure 1.7. Land and water footprint for electricity storage and generation technologies (IEA, 2014)</w:t>
        </w:r>
        <w:r w:rsidR="0091000D">
          <w:rPr>
            <w:noProof/>
            <w:webHidden/>
          </w:rPr>
          <w:tab/>
        </w:r>
        <w:r w:rsidR="0091000D">
          <w:rPr>
            <w:noProof/>
            <w:webHidden/>
          </w:rPr>
          <w:fldChar w:fldCharType="begin"/>
        </w:r>
        <w:r w:rsidR="0091000D">
          <w:rPr>
            <w:noProof/>
            <w:webHidden/>
          </w:rPr>
          <w:instrText xml:space="preserve"> PAGEREF _Toc10921964 \h </w:instrText>
        </w:r>
        <w:r w:rsidR="0091000D">
          <w:rPr>
            <w:noProof/>
            <w:webHidden/>
          </w:rPr>
        </w:r>
        <w:r w:rsidR="0091000D">
          <w:rPr>
            <w:noProof/>
            <w:webHidden/>
          </w:rPr>
          <w:fldChar w:fldCharType="separate"/>
        </w:r>
        <w:r w:rsidR="0091000D">
          <w:rPr>
            <w:noProof/>
            <w:webHidden/>
          </w:rPr>
          <w:t>15</w:t>
        </w:r>
        <w:r w:rsidR="0091000D">
          <w:rPr>
            <w:noProof/>
            <w:webHidden/>
          </w:rPr>
          <w:fldChar w:fldCharType="end"/>
        </w:r>
      </w:hyperlink>
    </w:p>
    <w:p w14:paraId="5AD133BD" w14:textId="2B22F775" w:rsidR="00640665" w:rsidRPr="00E069AC" w:rsidRDefault="00F15AEE" w:rsidP="00483FFA">
      <w:r w:rsidRPr="00E069AC">
        <w:fldChar w:fldCharType="end"/>
      </w:r>
    </w:p>
    <w:p w14:paraId="6055DED9" w14:textId="24973E3A" w:rsidR="006A4A08" w:rsidRPr="00E069AC" w:rsidRDefault="00C23CAC" w:rsidP="0081554D">
      <w:pPr>
        <w:pStyle w:val="Heading1"/>
      </w:pPr>
      <w:bookmarkStart w:id="1" w:name="_Toc10921931"/>
      <w:r w:rsidRPr="00E069AC">
        <w:t xml:space="preserve">List of </w:t>
      </w:r>
      <w:r w:rsidR="2D56E7D4" w:rsidRPr="00E069AC">
        <w:t>Tables</w:t>
      </w:r>
      <w:bookmarkEnd w:id="1"/>
    </w:p>
    <w:p w14:paraId="4376D019" w14:textId="1199E27E" w:rsidR="0091000D" w:rsidRDefault="006A4A08">
      <w:pPr>
        <w:pStyle w:val="TableofFigures"/>
        <w:tabs>
          <w:tab w:val="right" w:leader="dot" w:pos="9350"/>
        </w:tabs>
        <w:rPr>
          <w:rFonts w:asciiTheme="minorHAnsi" w:hAnsiTheme="minorHAnsi"/>
          <w:noProof/>
          <w:sz w:val="24"/>
          <w:szCs w:val="24"/>
          <w:lang w:eastAsia="en-US"/>
        </w:rPr>
      </w:pPr>
      <w:r w:rsidRPr="00E069AC">
        <w:fldChar w:fldCharType="begin"/>
      </w:r>
      <w:r w:rsidRPr="00E069AC">
        <w:instrText xml:space="preserve"> TOC \h \z \c "Table" </w:instrText>
      </w:r>
      <w:r w:rsidRPr="00E069AC">
        <w:fldChar w:fldCharType="separate"/>
      </w:r>
      <w:hyperlink w:anchor="_Toc10921956" w:history="1">
        <w:r w:rsidR="0091000D" w:rsidRPr="009019D4">
          <w:rPr>
            <w:rStyle w:val="Hyperlink"/>
            <w:noProof/>
          </w:rPr>
          <w:t>Table 1.1. Utility-energy storage capacity and projects Worldwide, Installed, announced, under construction by 2020 (US DOE, 2016)</w:t>
        </w:r>
        <w:r w:rsidR="0091000D">
          <w:rPr>
            <w:noProof/>
            <w:webHidden/>
          </w:rPr>
          <w:tab/>
        </w:r>
        <w:r w:rsidR="0091000D">
          <w:rPr>
            <w:noProof/>
            <w:webHidden/>
          </w:rPr>
          <w:fldChar w:fldCharType="begin"/>
        </w:r>
        <w:r w:rsidR="0091000D">
          <w:rPr>
            <w:noProof/>
            <w:webHidden/>
          </w:rPr>
          <w:instrText xml:space="preserve"> PAGEREF _Toc10921956 \h </w:instrText>
        </w:r>
        <w:r w:rsidR="0091000D">
          <w:rPr>
            <w:noProof/>
            <w:webHidden/>
          </w:rPr>
        </w:r>
        <w:r w:rsidR="0091000D">
          <w:rPr>
            <w:noProof/>
            <w:webHidden/>
          </w:rPr>
          <w:fldChar w:fldCharType="separate"/>
        </w:r>
        <w:r w:rsidR="0091000D">
          <w:rPr>
            <w:noProof/>
            <w:webHidden/>
          </w:rPr>
          <w:t>10</w:t>
        </w:r>
        <w:r w:rsidR="0091000D">
          <w:rPr>
            <w:noProof/>
            <w:webHidden/>
          </w:rPr>
          <w:fldChar w:fldCharType="end"/>
        </w:r>
      </w:hyperlink>
    </w:p>
    <w:p w14:paraId="401A3998" w14:textId="3C890D43" w:rsidR="0091000D" w:rsidRDefault="00D17EFD">
      <w:pPr>
        <w:pStyle w:val="TableofFigures"/>
        <w:tabs>
          <w:tab w:val="right" w:leader="dot" w:pos="9350"/>
        </w:tabs>
        <w:rPr>
          <w:rFonts w:asciiTheme="minorHAnsi" w:hAnsiTheme="minorHAnsi"/>
          <w:noProof/>
          <w:sz w:val="24"/>
          <w:szCs w:val="24"/>
          <w:lang w:eastAsia="en-US"/>
        </w:rPr>
      </w:pPr>
      <w:hyperlink w:anchor="_Toc10921957" w:history="1">
        <w:r w:rsidR="0091000D" w:rsidRPr="009019D4">
          <w:rPr>
            <w:rStyle w:val="Hyperlink"/>
            <w:rFonts w:cs="Times New Roman"/>
            <w:noProof/>
          </w:rPr>
          <w:t>Table 1.2. Energy Storage Technology Characteristics (IEA, 2014)</w:t>
        </w:r>
        <w:r w:rsidR="0091000D">
          <w:rPr>
            <w:noProof/>
            <w:webHidden/>
          </w:rPr>
          <w:tab/>
        </w:r>
        <w:r w:rsidR="0091000D">
          <w:rPr>
            <w:noProof/>
            <w:webHidden/>
          </w:rPr>
          <w:fldChar w:fldCharType="begin"/>
        </w:r>
        <w:r w:rsidR="0091000D">
          <w:rPr>
            <w:noProof/>
            <w:webHidden/>
          </w:rPr>
          <w:instrText xml:space="preserve"> PAGEREF _Toc10921957 \h </w:instrText>
        </w:r>
        <w:r w:rsidR="0091000D">
          <w:rPr>
            <w:noProof/>
            <w:webHidden/>
          </w:rPr>
        </w:r>
        <w:r w:rsidR="0091000D">
          <w:rPr>
            <w:noProof/>
            <w:webHidden/>
          </w:rPr>
          <w:fldChar w:fldCharType="separate"/>
        </w:r>
        <w:r w:rsidR="0091000D">
          <w:rPr>
            <w:noProof/>
            <w:webHidden/>
          </w:rPr>
          <w:t>14</w:t>
        </w:r>
        <w:r w:rsidR="0091000D">
          <w:rPr>
            <w:noProof/>
            <w:webHidden/>
          </w:rPr>
          <w:fldChar w:fldCharType="end"/>
        </w:r>
      </w:hyperlink>
    </w:p>
    <w:p w14:paraId="4825AD3F" w14:textId="05D124A0" w:rsidR="00640665" w:rsidRPr="00E069AC" w:rsidRDefault="006A4A08" w:rsidP="00E069AC">
      <w:r w:rsidRPr="00E069AC">
        <w:fldChar w:fldCharType="end"/>
      </w:r>
      <w:r w:rsidR="00640665" w:rsidRPr="00E069AC">
        <w:br w:type="page"/>
      </w:r>
    </w:p>
    <w:p w14:paraId="314CD877" w14:textId="0A90708E" w:rsidR="00FA6897" w:rsidRPr="00E069AC" w:rsidRDefault="2D56E7D4" w:rsidP="0081554D">
      <w:pPr>
        <w:pStyle w:val="Heading1"/>
      </w:pPr>
      <w:bookmarkStart w:id="2" w:name="_Toc10921932"/>
      <w:r w:rsidRPr="00E069AC">
        <w:lastRenderedPageBreak/>
        <w:t>Acronyms and Symbols Used</w:t>
      </w:r>
      <w:bookmarkEnd w:id="2"/>
    </w:p>
    <w:p w14:paraId="68513834" w14:textId="77777777" w:rsidR="0091000D" w:rsidRPr="0091000D" w:rsidRDefault="0091000D" w:rsidP="0027545E">
      <w:pPr>
        <w:pStyle w:val="ListParagraph"/>
        <w:numPr>
          <w:ilvl w:val="0"/>
          <w:numId w:val="31"/>
        </w:numPr>
        <w:spacing w:after="0"/>
      </w:pPr>
      <w:r w:rsidRPr="0091000D">
        <w:t>AC – Alternating Current</w:t>
      </w:r>
    </w:p>
    <w:p w14:paraId="0EE61C81" w14:textId="77777777" w:rsidR="0091000D" w:rsidRPr="0091000D" w:rsidRDefault="0091000D" w:rsidP="0027545E">
      <w:pPr>
        <w:pStyle w:val="ListParagraph"/>
        <w:numPr>
          <w:ilvl w:val="0"/>
          <w:numId w:val="31"/>
        </w:numPr>
        <w:spacing w:after="0"/>
      </w:pPr>
      <w:r w:rsidRPr="0091000D">
        <w:t xml:space="preserve">CAES - compressed air energy storage </w:t>
      </w:r>
    </w:p>
    <w:p w14:paraId="2CE02CC6" w14:textId="77777777" w:rsidR="0091000D" w:rsidRPr="0091000D" w:rsidRDefault="0091000D" w:rsidP="0027545E">
      <w:pPr>
        <w:pStyle w:val="ListParagraph"/>
        <w:numPr>
          <w:ilvl w:val="0"/>
          <w:numId w:val="31"/>
        </w:numPr>
        <w:spacing w:after="0"/>
      </w:pPr>
      <w:r w:rsidRPr="0091000D">
        <w:t>CCGT – Combined Cycle Gas Turbine</w:t>
      </w:r>
    </w:p>
    <w:p w14:paraId="2F226C57" w14:textId="77777777" w:rsidR="0091000D" w:rsidRPr="0091000D" w:rsidRDefault="0091000D" w:rsidP="0027545E">
      <w:pPr>
        <w:pStyle w:val="ListParagraph"/>
        <w:numPr>
          <w:ilvl w:val="0"/>
          <w:numId w:val="31"/>
        </w:numPr>
        <w:spacing w:after="0"/>
      </w:pPr>
      <w:r w:rsidRPr="0091000D">
        <w:t xml:space="preserve">CSP - concentrated solar power </w:t>
      </w:r>
    </w:p>
    <w:p w14:paraId="56A31939" w14:textId="77777777" w:rsidR="0091000D" w:rsidRPr="0091000D" w:rsidRDefault="0091000D" w:rsidP="0027545E">
      <w:pPr>
        <w:pStyle w:val="ListParagraph"/>
        <w:numPr>
          <w:ilvl w:val="0"/>
          <w:numId w:val="31"/>
        </w:numPr>
        <w:spacing w:after="0"/>
      </w:pPr>
      <w:r w:rsidRPr="0091000D">
        <w:rPr>
          <w:rFonts w:cs="Times New Roman"/>
          <w:bCs/>
        </w:rPr>
        <w:t>DOE – Department of Energy</w:t>
      </w:r>
    </w:p>
    <w:p w14:paraId="4A0B94D2" w14:textId="77777777" w:rsidR="0091000D" w:rsidRPr="0091000D" w:rsidRDefault="0091000D" w:rsidP="0027545E">
      <w:pPr>
        <w:pStyle w:val="ListParagraph"/>
        <w:numPr>
          <w:ilvl w:val="0"/>
          <w:numId w:val="31"/>
        </w:numPr>
        <w:spacing w:after="0"/>
      </w:pPr>
      <w:r w:rsidRPr="0091000D">
        <w:t xml:space="preserve">EES - energy storage systems </w:t>
      </w:r>
    </w:p>
    <w:p w14:paraId="39591275" w14:textId="77777777" w:rsidR="0091000D" w:rsidRPr="0091000D" w:rsidRDefault="0091000D" w:rsidP="0027545E">
      <w:pPr>
        <w:pStyle w:val="ListParagraph"/>
        <w:numPr>
          <w:ilvl w:val="0"/>
          <w:numId w:val="31"/>
        </w:numPr>
        <w:spacing w:after="0"/>
      </w:pPr>
      <w:r w:rsidRPr="0091000D">
        <w:rPr>
          <w:rFonts w:eastAsia="Times New Roman"/>
        </w:rPr>
        <w:t xml:space="preserve">FERC - Federal Energy Regulatory Commission </w:t>
      </w:r>
    </w:p>
    <w:p w14:paraId="2925E800" w14:textId="77777777" w:rsidR="0091000D" w:rsidRPr="0091000D" w:rsidRDefault="0091000D" w:rsidP="0027545E">
      <w:pPr>
        <w:pStyle w:val="ListParagraph"/>
        <w:numPr>
          <w:ilvl w:val="0"/>
          <w:numId w:val="31"/>
        </w:numPr>
        <w:spacing w:after="0"/>
      </w:pPr>
      <w:r w:rsidRPr="0091000D">
        <w:t>GW – Gigawatts</w:t>
      </w:r>
    </w:p>
    <w:p w14:paraId="2E420525" w14:textId="77777777" w:rsidR="0091000D" w:rsidRPr="0091000D" w:rsidRDefault="0091000D" w:rsidP="0027545E">
      <w:pPr>
        <w:pStyle w:val="ListParagraph"/>
        <w:numPr>
          <w:ilvl w:val="0"/>
          <w:numId w:val="31"/>
        </w:numPr>
        <w:spacing w:after="0"/>
      </w:pPr>
      <w:r w:rsidRPr="0091000D">
        <w:t>IEA – International Energy Agency</w:t>
      </w:r>
    </w:p>
    <w:p w14:paraId="35CC184F" w14:textId="77777777" w:rsidR="0091000D" w:rsidRPr="0091000D" w:rsidRDefault="0091000D" w:rsidP="0027545E">
      <w:pPr>
        <w:pStyle w:val="ListParagraph"/>
        <w:numPr>
          <w:ilvl w:val="0"/>
          <w:numId w:val="31"/>
        </w:numPr>
        <w:spacing w:after="0"/>
      </w:pPr>
      <w:r w:rsidRPr="0091000D">
        <w:t>LCOE – Levelized Cost of Electricity</w:t>
      </w:r>
    </w:p>
    <w:p w14:paraId="71CD6D8E" w14:textId="77777777" w:rsidR="0091000D" w:rsidRPr="0091000D" w:rsidRDefault="0091000D" w:rsidP="0027545E">
      <w:pPr>
        <w:pStyle w:val="ListParagraph"/>
        <w:numPr>
          <w:ilvl w:val="0"/>
          <w:numId w:val="31"/>
        </w:numPr>
        <w:spacing w:after="0"/>
      </w:pPr>
      <w:r w:rsidRPr="0091000D">
        <w:t>PHS -  Pumped hydroelectric energy storage</w:t>
      </w:r>
    </w:p>
    <w:p w14:paraId="70F0DF23" w14:textId="77777777" w:rsidR="0091000D" w:rsidRPr="0091000D" w:rsidRDefault="0091000D" w:rsidP="0027545E">
      <w:pPr>
        <w:pStyle w:val="ListParagraph"/>
        <w:numPr>
          <w:ilvl w:val="0"/>
          <w:numId w:val="31"/>
        </w:numPr>
        <w:spacing w:after="0"/>
      </w:pPr>
      <w:r w:rsidRPr="0091000D">
        <w:rPr>
          <w:rFonts w:cs="Times New Roman"/>
          <w:bCs/>
        </w:rPr>
        <w:t xml:space="preserve">T&amp;D - transmission and distribution </w:t>
      </w:r>
    </w:p>
    <w:p w14:paraId="1F7B5C3E" w14:textId="77777777" w:rsidR="00436B5E" w:rsidRDefault="00436B5E">
      <w:pPr>
        <w:spacing w:after="160" w:line="259" w:lineRule="auto"/>
        <w:jc w:val="left"/>
        <w:rPr>
          <w:rFonts w:asciiTheme="majorHAnsi" w:eastAsiaTheme="majorEastAsia" w:hAnsiTheme="majorHAnsi" w:cs="Times New Roman (Headings CS)"/>
          <w:b/>
          <w:bCs/>
          <w:smallCaps/>
          <w:color w:val="4F81BD" w:themeColor="accent1"/>
          <w:sz w:val="36"/>
          <w:szCs w:val="36"/>
        </w:rPr>
      </w:pPr>
      <w:r>
        <w:br w:type="page"/>
      </w:r>
    </w:p>
    <w:p w14:paraId="258D1C7E" w14:textId="0A1D420B" w:rsidR="00E844EA" w:rsidRPr="00E069AC" w:rsidRDefault="551A77D0" w:rsidP="0081554D">
      <w:pPr>
        <w:pStyle w:val="Heading1"/>
      </w:pPr>
      <w:bookmarkStart w:id="3" w:name="_Toc10921933"/>
      <w:r w:rsidRPr="00E069AC">
        <w:lastRenderedPageBreak/>
        <w:t>Executive Summary</w:t>
      </w:r>
      <w:bookmarkEnd w:id="3"/>
    </w:p>
    <w:p w14:paraId="6912A573" w14:textId="376DFE90" w:rsidR="0081554D" w:rsidRPr="0081554D" w:rsidRDefault="0081554D" w:rsidP="0081554D">
      <w:pPr>
        <w:spacing w:line="240" w:lineRule="auto"/>
      </w:pPr>
      <w:r w:rsidRPr="0081554D">
        <w:t>Project Drawdown defines energy storage (utilities) as: new technologies and practices to store energy on a utility level. This solution does not replace a conventional practice, but is key to the development of variable renewable energy sources. Energy storage allows for power to be generated at a time different from when it is consumed (a process known as “time shift”). In a power system with significant amounts of large-scale energy storage, every type of generation can be used in the most optimal fashion. Large centralized generators can run at a steady rate, with no need to undergo inefficient cycling to respond to changes in demand. If the power generated by solar or wind installations exceeds demand, it can be stored for later use rather than rejected by the grid (or “curtailed”). The most rapidly-responding forms of energy storage can account for fluctuations in demand in a second or less, far outpacing even the natural gas-fired plants currently used to respond to demand peaks. In addition, energy storage can provide a number of other valuable services. Storage can relieve congestion on transmission lines, increasing reliability and performance and allowing for the efficient use of existing infrastructure. Moreover, storage makes the power system more resilient, reducing outages and aiding in emergency preparedness.</w:t>
      </w:r>
    </w:p>
    <w:p w14:paraId="0B621F59" w14:textId="77777777" w:rsidR="0081554D" w:rsidRPr="0081554D" w:rsidRDefault="0081554D" w:rsidP="0081554D">
      <w:pPr>
        <w:spacing w:line="240" w:lineRule="auto"/>
      </w:pPr>
      <w:r w:rsidRPr="0081554D">
        <w:t>While it is not possible to store energy in the form of electricity, it is possible to convert electrical energy to another form that can be stored. There are many possible forms in which the energy can be stored, including: (1) gravitational potential energy (pumped hydroelectric energy storage); (2) chemical energy (batteries); (3) mechanical energy (flywheels or compressed air energy storage); (4) thermal energy storage (molten salt); or (5) hydrogen storage.</w:t>
      </w:r>
    </w:p>
    <w:p w14:paraId="530CB10F" w14:textId="1C80E8D4" w:rsidR="0081554D" w:rsidRPr="0081554D" w:rsidRDefault="0081554D" w:rsidP="0081554D">
      <w:pPr>
        <w:spacing w:line="240" w:lineRule="auto"/>
      </w:pPr>
      <w:r w:rsidRPr="0081554D">
        <w:t>According to the U.S. Department of Energy’s global energy storage databases (2016), there are around 188 gigawatts of large-scale energy storage currently installed, announced, or under construction in electricity grids worldwide by 2020. The vast majority (99 percent) of this capacity is comprised of pumped hydroelectric technology. The primary use of energy storage at present is power arbitrage (time shift): pumped hydropower facilities buy electricity when prices are low (i.e. at night), and use it to pump water from a low reservoir to an elevated one. During the day, when prices are high, the stored water is allowed to run downhill through turbines, generating electricity that can then be sold back to the grid. This has been the primary mechanism through which energy storage projects earn revenue. Currently, more than 94 percent of this technology’s capacity is used for the time shift application. The remaining energy storage technologies are used to enable penetration of variable renewable generation sources: 25 percent of the compressed air installation capacity is used for wind energy application, 28 percent of the batteries’ capacity is used for solar, and 100 percent of molten salt storage is used for concentrated solar power.</w:t>
      </w:r>
    </w:p>
    <w:p w14:paraId="4B4F13DC" w14:textId="3C35E9AC" w:rsidR="0081554D" w:rsidRPr="0081554D" w:rsidRDefault="0081554D" w:rsidP="0081554D">
      <w:pPr>
        <w:spacing w:line="240" w:lineRule="auto"/>
      </w:pPr>
      <w:r w:rsidRPr="0081554D">
        <w:t>This solution is key for: integrating variable renewable generation sources into the electricity grid; balancing the supply and demand for electricity; replacing natural gas peaking plants; allowing increased reliance on base load generation; and avoiding the need to cycle base load units. Without storage, variable renewable energy technologies face high curtailment rates; thus, storage is a crucial aspect of enabling a low-carbon grid.</w:t>
      </w:r>
      <w:r>
        <w:t xml:space="preserve"> </w:t>
      </w:r>
      <w:r w:rsidRPr="0081554D">
        <w:t>To avoid double-counting, the climate impact of the bulk of the technologies under the energy storage (utilities) solution is accounted for in the adoption of distributed electricity generation technologies such as wind and solar. Molten salt storage is accounted for in the impact of increased adoption of concentrated solar.</w:t>
      </w:r>
    </w:p>
    <w:p w14:paraId="7F52D04E" w14:textId="290CCF62" w:rsidR="0081554D" w:rsidRPr="0081554D" w:rsidRDefault="0081554D" w:rsidP="0081554D">
      <w:pPr>
        <w:spacing w:line="240" w:lineRule="auto"/>
      </w:pPr>
      <w:r w:rsidRPr="0081554D">
        <w:t>Current and future investments in utility-scale storage units are important when considered in the context of the infrastructure, including transmission and distribution upgrades, expansion of natural gas-fired peaking capacity that storage can replace, and the revenue streams available to storage operators both now and under prospective policy frameworks.</w:t>
      </w:r>
      <w:r>
        <w:t xml:space="preserve"> </w:t>
      </w:r>
      <w:r w:rsidRPr="0081554D">
        <w:t>Utility-scale energy storage transforms the way we produce, deliver, and consume electricity toward a cleaner and more efficient energy mix. While energy storage increases energy demand due to its inefficiency, the increased efficiency of the grid offsets this, meaning that all carbon savings from the use of clean, renewable variable generation sources can be fully realized</w:t>
      </w:r>
      <w:r>
        <w:t>.</w:t>
      </w:r>
    </w:p>
    <w:p w14:paraId="536FB063" w14:textId="77777777" w:rsidR="00F52595" w:rsidRPr="00E069AC" w:rsidRDefault="00F52595" w:rsidP="0081554D">
      <w:pPr>
        <w:pStyle w:val="Heading1"/>
        <w:ind w:left="0" w:firstLine="0"/>
        <w:sectPr w:rsidR="00F52595" w:rsidRPr="00E069AC" w:rsidSect="00BB79D6">
          <w:footerReference w:type="even" r:id="rId15"/>
          <w:footerReference w:type="default" r:id="rId16"/>
          <w:pgSz w:w="12240" w:h="15840"/>
          <w:pgMar w:top="1440" w:right="1440" w:bottom="1440" w:left="1440" w:header="720" w:footer="720" w:gutter="0"/>
          <w:cols w:space="720"/>
        </w:sectPr>
      </w:pPr>
    </w:p>
    <w:p w14:paraId="34916870" w14:textId="0045908A" w:rsidR="00E815C8" w:rsidRPr="00E069AC" w:rsidRDefault="551A77D0" w:rsidP="0081554D">
      <w:pPr>
        <w:pStyle w:val="Heading1"/>
      </w:pPr>
      <w:bookmarkStart w:id="4" w:name="_Toc10921934"/>
      <w:r w:rsidRPr="00E069AC">
        <w:lastRenderedPageBreak/>
        <w:t>Literature Review</w:t>
      </w:r>
      <w:bookmarkEnd w:id="4"/>
    </w:p>
    <w:p w14:paraId="05406D4C" w14:textId="56E638E7" w:rsidR="006A4A08" w:rsidRDefault="551A77D0" w:rsidP="009A25BC">
      <w:pPr>
        <w:pStyle w:val="Heading2"/>
        <w:numPr>
          <w:ilvl w:val="1"/>
          <w:numId w:val="44"/>
        </w:numPr>
      </w:pPr>
      <w:bookmarkStart w:id="5" w:name="_Toc10921935"/>
      <w:r w:rsidRPr="00E069AC">
        <w:t xml:space="preserve">State of </w:t>
      </w:r>
      <w:r w:rsidR="0081554D">
        <w:t>Utility Scale Energy Storage</w:t>
      </w:r>
      <w:r w:rsidR="00FF3A1A">
        <w:t xml:space="preserve"> technologies</w:t>
      </w:r>
      <w:bookmarkEnd w:id="5"/>
    </w:p>
    <w:p w14:paraId="1EFE09F9" w14:textId="77777777" w:rsidR="0081554D" w:rsidRDefault="0081554D" w:rsidP="0081554D">
      <w:r w:rsidRPr="00816FC7">
        <w:t xml:space="preserve">In the present day, electricity is the only major commodity product that is not stored in large quantities </w:t>
      </w:r>
      <w:r w:rsidRPr="00816FC7">
        <w:fldChar w:fldCharType="begin"/>
      </w:r>
      <w:r w:rsidRPr="00816FC7">
        <w:instrText xml:space="preserve"> ADDIN ZOTERO_ITEM CSL_CITATION {"citationID":"1pen35obfa","properties":{"formattedCitation":"(Boos, 2014)","plainCitation":"(Boos, 2014)"},"citationItems":[{"id":3981,"uris":["http://zotero.org/groups/277937/items/H5SNBSVJ"],"uri":["http://zotero.org/groups/277937/items/H5SNBSVJ"],"itemData":{"id":3981,"type":"report","title":"A Technology in Review: Energy Storage","publisher":"Burns &amp; McDonnell","author":[{"family":"Boos","given":"Peter"}],"issued":{"date-parts":[["2014"]]}}}],"schema":"https://github.com/citation-style-language/schema/raw/master/csl-citation.json"} </w:instrText>
      </w:r>
      <w:r w:rsidRPr="00816FC7">
        <w:fldChar w:fldCharType="separate"/>
      </w:r>
      <w:r w:rsidRPr="00816FC7">
        <w:t>(Boos, 2014)</w:t>
      </w:r>
      <w:r w:rsidRPr="00816FC7">
        <w:fldChar w:fldCharType="end"/>
      </w:r>
      <w:r w:rsidRPr="00816FC7">
        <w:t xml:space="preserve">. Although energy storage technologies such as batteries and pumped fluid reservoirs have existed for generations, current-day electricity grids are designed to be basically synchronous in their operation </w:t>
      </w:r>
      <w:r w:rsidRPr="00816FC7">
        <w:fldChar w:fldCharType="begin"/>
      </w:r>
      <w:r w:rsidRPr="00816FC7">
        <w:instrText xml:space="preserve"> ADDIN ZOTERO_ITEM CSL_CITATION {"citationID":"fmm35q4bm","properties":{"formattedCitation":"(European Commission, 2015)","plainCitation":"(European Commission, 2015)"},"citationItems":[{"id":3983,"uris":["http://zotero.org/groups/277937/items/JC4EE5TV"],"uri":["http://zotero.org/groups/277937/items/JC4EE5TV"],"itemData":{"id":3983,"type":"report","title":"Commercialization of Energy Storage in Europe","publisher":"European Commission","issued":{"date-parts":[["2015",3]]}}}],"schema":"https://github.com/citation-style-language/schema/raw/master/csl-citation.json"} </w:instrText>
      </w:r>
      <w:r w:rsidRPr="00816FC7">
        <w:fldChar w:fldCharType="separate"/>
      </w:r>
      <w:r w:rsidRPr="00816FC7">
        <w:t>(European Commission, 2015)</w:t>
      </w:r>
      <w:r w:rsidRPr="00816FC7">
        <w:fldChar w:fldCharType="end"/>
      </w:r>
      <w:r w:rsidRPr="00816FC7">
        <w:t>. Large, centralized generation facilities respond in real-time as load on the grid fluctuates over the course of a day, in order to match supply to demand. A complex system of contracts, hour-by-hour bids, and iterative prediction algorithms has been developed to regulate this system, as it is essential that the electricity supply not fall short of demand.</w:t>
      </w:r>
    </w:p>
    <w:p w14:paraId="6ACFA1BE" w14:textId="4B2890A2" w:rsidR="0081554D" w:rsidRPr="00816FC7" w:rsidRDefault="0081554D" w:rsidP="0081554D">
      <w:r w:rsidRPr="00816FC7">
        <w:t xml:space="preserve">Energy storage has the potential to disrupt this system and make the operation of power grids asynchronous. Just as the transmission and distribution system delivers electric power where it is needed, energy storage enables the grid system to deliver power when it is needed </w:t>
      </w:r>
      <w:r w:rsidRPr="00816FC7">
        <w:fldChar w:fldCharType="begin"/>
      </w:r>
      <w:r w:rsidRPr="00816FC7">
        <w:instrText xml:space="preserve"> ADDIN ZOTERO_ITEM CSL_CITATION {"citationID":"g3jajpeu6","properties":{"formattedCitation":"(Gyuk, 2015)","plainCitation":"(Gyuk, 2015)"},"citationItems":[{"id":3837,"uris":["http://zotero.org/groups/277937/items/RBFB8HKK"],"uri":["http://zotero.org/groups/277937/items/RBFB8HKK"],"itemData":{"id":3837,"type":"report","title":"Statement of Dr. Imre Gyuk, Program Manager for Energy Storage, Research Office of Electricity Delivery and Energy Reliability, U.S. Department of Energy Before the Committee on Science, Space and Technology, Subcommittee on Energy, U.S. House of Representatives","author":[{"family":"Gyuk","given":"Imre"}],"issued":{"date-parts":[["2015",5,1]]}}}],"schema":"https://github.com/citation-style-language/schema/raw/master/csl-citation.json"} </w:instrText>
      </w:r>
      <w:r w:rsidRPr="00816FC7">
        <w:fldChar w:fldCharType="separate"/>
      </w:r>
      <w:r w:rsidRPr="00816FC7">
        <w:t>(Gyuk, 2015)</w:t>
      </w:r>
      <w:r w:rsidRPr="00816FC7">
        <w:fldChar w:fldCharType="end"/>
      </w:r>
      <w:r w:rsidRPr="00816FC7">
        <w:t xml:space="preserve">. For example, imagine a week in June in New England where only one day is above 85°F. On this day, many more residents will be using their air conditioners than the days immediately before and after, increasing the load on the grid. Efficient energy storage capacity can enable fossil fuel-driven power plants to run at a steady rate instead of ramping up and down to meet demand, which is a less efficient and more carbon intensive mode of operation in conventional generators </w:t>
      </w:r>
      <w:r w:rsidRPr="00816FC7">
        <w:fldChar w:fldCharType="begin"/>
      </w:r>
      <w:r w:rsidRPr="00816FC7">
        <w:instrText xml:space="preserve"> ADDIN ZOTERO_ITEM CSL_CITATION {"citationID":"2eas8ogikb","properties":{"formattedCitation":"(Jim Black, 2012)","plainCitation":"(Jim Black, 2012)"},"citationItems":[{"id":3398,"uris":["http://zotero.org/groups/277937/items/EX92NWZ8"],"uri":["http://zotero.org/groups/277937/items/EX92NWZ8"],"itemData":{"id":3398,"type":"report","title":"Impact of Load Following on Power Plant Cost and Performance: Literature Review and Industry Interviews","publisher":"NETL","author":[{"family":"Jim Black","given":""}],"issued":{"date-parts":[["2012",10,1]]}}}],"schema":"https://github.com/citation-style-language/schema/raw/master/csl-citation.json"} </w:instrText>
      </w:r>
      <w:r w:rsidRPr="00816FC7">
        <w:fldChar w:fldCharType="separate"/>
      </w:r>
      <w:r w:rsidRPr="00816FC7">
        <w:t>(Black, 2012)</w:t>
      </w:r>
      <w:r w:rsidRPr="00816FC7">
        <w:fldChar w:fldCharType="end"/>
      </w:r>
      <w:r w:rsidRPr="00816FC7">
        <w:t>.</w:t>
      </w:r>
    </w:p>
    <w:p w14:paraId="66218AD9" w14:textId="0BC93DC7" w:rsidR="0081554D" w:rsidRPr="00816FC7" w:rsidRDefault="0081554D" w:rsidP="0081554D">
      <w:r w:rsidRPr="00816FC7">
        <w:t xml:space="preserve">With the advent of clean, renewable energy sources such as solar and wind power, energy storage has become of crucial importance. Solar and wind power are both “intermittent” or variable sources, meaning that the availability of power from these sources can change from moment to moment. When the energy mix supplying power to the grid consists only of a small percentage of renewable sources, conventional generators can easily make up shortfalls </w:t>
      </w:r>
      <w:r w:rsidRPr="00816FC7">
        <w:fldChar w:fldCharType="begin"/>
      </w:r>
      <w:r w:rsidRPr="00816FC7">
        <w:instrText xml:space="preserve"> ADDIN ZOTERO_ITEM CSL_CITATION {"citationID":"uuqengplt","properties":{"formattedCitation":"(IEA, 2014)","plainCitation":"(IEA, 2014)"},"citationItems":[{"id":3425,"uris":["http://zotero.org/groups/277937/items/H4HSVSR5"],"uri":["http://zotero.org/groups/277937/items/H4HSVSR5"],"itemData":{"id":3425,"type":"report","title":"Technology Roadmap: Energy storage","author":[{"family":"IEA","given":""}],"issued":{"date-parts":[["2014"]]}}}],"schema":"https://github.com/citation-style-language/schema/raw/master/csl-citation.json"} </w:instrText>
      </w:r>
      <w:r w:rsidRPr="00816FC7">
        <w:fldChar w:fldCharType="separate"/>
      </w:r>
      <w:r w:rsidRPr="00816FC7">
        <w:t>(IEA, 2014)</w:t>
      </w:r>
      <w:r w:rsidRPr="00816FC7">
        <w:fldChar w:fldCharType="end"/>
      </w:r>
      <w:r w:rsidRPr="00816FC7">
        <w:t xml:space="preserve">. Due to the limited ramp rates possible for conventional generators, however, a rapid increase in the availability of wind or solar power can often lead to “curtailment,” a practice in which the grid rejects energy generated from clean sources in favor of the steady supply from conventional sources </w:t>
      </w:r>
      <w:r w:rsidRPr="00816FC7">
        <w:fldChar w:fldCharType="begin"/>
      </w:r>
      <w:r w:rsidRPr="00816FC7">
        <w:instrText xml:space="preserve"> ADDIN ZOTERO_ITEM CSL_CITATION {"citationID":"4hrn1jipj","properties":{"formattedCitation":"(US Department of Energy, 2013)","plainCitation":"(US Department of Energy, 2013)"},"citationItems":[{"id":3375,"uris":["http://zotero.org/groups/277937/items/HQ8TTHPB"],"uri":["http://zotero.org/groups/277937/items/HQ8TTHPB"],"itemData":{"id":3375,"type":"report","title":"Grid Energy Storage - December 2013 | Department of Energy","URL":"http://energy.gov/oe/downloads/grid-energy-storage-december-2013","author":[{"family":"US Department of Energy","given":""}],"issued":{"date-parts":[["2013",12]]},"accessed":{"date-parts":[["2015",6,9]]}}}],"schema":"https://github.com/citation-style-language/schema/raw/master/csl-citation.json"} </w:instrText>
      </w:r>
      <w:r w:rsidRPr="00816FC7">
        <w:fldChar w:fldCharType="separate"/>
      </w:r>
      <w:r w:rsidRPr="00816FC7">
        <w:t xml:space="preserve">(US </w:t>
      </w:r>
      <w:r w:rsidR="00114AD0">
        <w:t>DOE</w:t>
      </w:r>
      <w:r w:rsidRPr="00816FC7">
        <w:t>, 2013)</w:t>
      </w:r>
      <w:r w:rsidRPr="00816FC7">
        <w:fldChar w:fldCharType="end"/>
      </w:r>
      <w:r w:rsidRPr="00816FC7">
        <w:t xml:space="preserve">. Moreover, in an energy mix with a high percentage of intermittent, renewable generation capacity, the opposite problem can arise: there might not be enough conventional capacity available to meet demand given a sudden shortfall in the wind or solar resource, leading to a lack of reliability </w:t>
      </w:r>
      <w:r w:rsidRPr="00816FC7">
        <w:fldChar w:fldCharType="begin"/>
      </w:r>
      <w:r w:rsidRPr="00816FC7">
        <w:instrText xml:space="preserve"> ADDIN ZOTERO_ITEM CSL_CITATION {"citationID":"1bmll5f2ab","properties":{"formattedCitation":"(Denholm, Ela, Kirby, &amp; Milligan, 2010)","plainCitation":"(Denholm, Ela, Kirby, &amp; Milligan, 2010)"},"citationItems":[{"id":3429,"uris":["http://zotero.org/groups/277937/items/M2DZ6UQW"],"uri":["http://zotero.org/groups/277937/items/M2DZ6UQW"],"itemData":{"id":3429,"type":"report","title":"The Role of Energy Storage with Renewable Electricity Generation","publisher":"NREL","author":[{"family":"Denholm","given":"Paul"},{"family":"Ela","given":"Erik"},{"family":"Kirby","given":"Brendan"},{"family":"Milligan","given":"Michael"}],"issued":{"date-parts":[["2010",1]]}}}],"schema":"https://github.com/citation-style-language/schema/raw/master/csl-citation.json"} </w:instrText>
      </w:r>
      <w:r w:rsidRPr="00816FC7">
        <w:fldChar w:fldCharType="separate"/>
      </w:r>
      <w:r w:rsidRPr="00816FC7">
        <w:t>(Denholm</w:t>
      </w:r>
      <w:r w:rsidR="00114AD0">
        <w:t xml:space="preserve"> et al., </w:t>
      </w:r>
      <w:r w:rsidRPr="00816FC7">
        <w:t>2010)</w:t>
      </w:r>
      <w:r w:rsidRPr="00816FC7">
        <w:fldChar w:fldCharType="end"/>
      </w:r>
      <w:r w:rsidRPr="00816FC7">
        <w:t>.</w:t>
      </w:r>
    </w:p>
    <w:p w14:paraId="2FD89893" w14:textId="77777777" w:rsidR="0081554D" w:rsidRPr="0081554D" w:rsidRDefault="0081554D" w:rsidP="0081554D"/>
    <w:p w14:paraId="23620EE7" w14:textId="66EEAA85" w:rsidR="0081554D" w:rsidRPr="0081554D" w:rsidRDefault="0081554D" w:rsidP="0081554D">
      <w:r>
        <w:lastRenderedPageBreak/>
        <w:t>Electricity storage can be deployed to any of the five major subsystems in the electric power system: generation, transmission, distribution, and final consumers (see Figure 1</w:t>
      </w:r>
      <w:r w:rsidR="00AC6490">
        <w:t>.1</w:t>
      </w:r>
      <w:r>
        <w:t xml:space="preserve">). </w:t>
      </w:r>
    </w:p>
    <w:p w14:paraId="03E2830C" w14:textId="77777777" w:rsidR="0081554D" w:rsidRDefault="0081554D" w:rsidP="0081554D">
      <w:pPr>
        <w:jc w:val="center"/>
      </w:pPr>
      <w:r w:rsidRPr="00816FC7">
        <w:rPr>
          <w:noProof/>
        </w:rPr>
        <w:drawing>
          <wp:inline distT="0" distB="0" distL="0" distR="0" wp14:anchorId="2CB0C092" wp14:editId="7BE69105">
            <wp:extent cx="4663129" cy="3243957"/>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a:srcRect t="5536"/>
                    <a:stretch/>
                  </pic:blipFill>
                  <pic:spPr bwMode="auto">
                    <a:xfrm>
                      <a:off x="0" y="0"/>
                      <a:ext cx="4663440" cy="3244173"/>
                    </a:xfrm>
                    <a:prstGeom prst="rect">
                      <a:avLst/>
                    </a:prstGeom>
                    <a:ln>
                      <a:noFill/>
                    </a:ln>
                    <a:extLst>
                      <a:ext uri="{53640926-AAD7-44D8-BBD7-CCE9431645EC}">
                        <a14:shadowObscured xmlns:a14="http://schemas.microsoft.com/office/drawing/2010/main"/>
                      </a:ext>
                    </a:extLst>
                  </pic:spPr>
                </pic:pic>
              </a:graphicData>
            </a:graphic>
          </wp:inline>
        </w:drawing>
      </w:r>
    </w:p>
    <w:p w14:paraId="23CA0FA5" w14:textId="52BF8254" w:rsidR="0081554D" w:rsidRPr="0081554D" w:rsidRDefault="0081554D" w:rsidP="0091000D">
      <w:pPr>
        <w:pStyle w:val="Caption"/>
        <w:jc w:val="center"/>
      </w:pPr>
      <w:bookmarkStart w:id="6" w:name="_Toc461406957"/>
      <w:bookmarkStart w:id="7" w:name="_Toc10921958"/>
      <w:r w:rsidRPr="0081554D">
        <w:t xml:space="preserve">Figure </w:t>
      </w:r>
      <w:r w:rsidR="00D17EFD">
        <w:fldChar w:fldCharType="begin"/>
      </w:r>
      <w:r w:rsidR="00D17EFD">
        <w:instrText xml:space="preserve"> SEQ Figure \* ARABIC </w:instrText>
      </w:r>
      <w:r w:rsidR="00D17EFD">
        <w:fldChar w:fldCharType="separate"/>
      </w:r>
      <w:r w:rsidRPr="0081554D">
        <w:t>1</w:t>
      </w:r>
      <w:r w:rsidR="00D17EFD">
        <w:fldChar w:fldCharType="end"/>
      </w:r>
      <w:r>
        <w:t>.1</w:t>
      </w:r>
      <w:r w:rsidRPr="0081554D">
        <w:t>. Hypothetical deployment of storage assets across an electric power system (Source: U.S</w:t>
      </w:r>
      <w:r w:rsidR="00114AD0">
        <w:t xml:space="preserve"> EIA</w:t>
      </w:r>
      <w:r w:rsidRPr="0081554D">
        <w:t>, 2012</w:t>
      </w:r>
      <w:bookmarkEnd w:id="6"/>
      <w:r w:rsidRPr="0081554D">
        <w:t>)</w:t>
      </w:r>
      <w:bookmarkEnd w:id="7"/>
    </w:p>
    <w:p w14:paraId="19C6EDD5" w14:textId="438ACE8D" w:rsidR="0081554D" w:rsidRPr="00114AD0" w:rsidRDefault="0081554D" w:rsidP="0081554D">
      <w:r w:rsidRPr="00816FC7">
        <w:t xml:space="preserve">The availability of large storage reservoirs has the potential to end or significantly reduce the practice of curtailment, and enable energy mixes that rely heavily on clean generation sources. Although the use of energy storage in and of itself does not reduce carbon emissions directly, its ability to enable full usage and high penetration of renewable sources, as well as the decreased carbon intensity of remaining conventional power generators due to a lessened need for power cycling and ramping, show that energy storage is an </w:t>
      </w:r>
      <w:r w:rsidRPr="00114AD0">
        <w:t xml:space="preserve">important part of decarbonizing the electricity generation system. Moreover, energy storage systems (ESS) can add significant resilience to grid systems, reducing an area’s vulnerability towards power outages in the case of grid faults, generator failures, or the severe weather events that have only increased in frequency due to global climate change </w:t>
      </w:r>
      <w:r w:rsidRPr="00114AD0">
        <w:fldChar w:fldCharType="begin"/>
      </w:r>
      <w:r w:rsidRPr="00114AD0">
        <w:instrText xml:space="preserve"> ADDIN ZOTERO_ITEM CSL_CITATION {"citationID":"1u5f7aftt","properties":{"formattedCitation":"(US Department of Energy, 2013)","plainCitation":"(US Department of Energy, 2013)"},"citationItems":[{"id":3375,"uris":["http://zotero.org/groups/277937/items/HQ8TTHPB"],"uri":["http://zotero.org/groups/277937/items/HQ8TTHPB"],"itemData":{"id":3375,"type":"report","title":"Grid Energy Storage - December 2013 | Department of Energy","URL":"http://energy.gov/oe/downloads/grid-energy-storage-december-2013","author":[{"family":"US Department of Energy","given":""}],"issued":{"date-parts":[["2013",12]]},"accessed":{"date-parts":[["2015",6,9]]}}}],"schema":"https://github.com/citation-style-language/schema/raw/master/csl-citation.json"} </w:instrText>
      </w:r>
      <w:r w:rsidRPr="00114AD0">
        <w:fldChar w:fldCharType="separate"/>
      </w:r>
      <w:r w:rsidRPr="00114AD0">
        <w:t xml:space="preserve">(US </w:t>
      </w:r>
      <w:r w:rsidR="00114AD0">
        <w:t>DOE</w:t>
      </w:r>
      <w:r w:rsidRPr="00114AD0">
        <w:t>, 2013)</w:t>
      </w:r>
      <w:r w:rsidRPr="00114AD0">
        <w:fldChar w:fldCharType="end"/>
      </w:r>
      <w:r w:rsidRPr="00114AD0">
        <w:t>.</w:t>
      </w:r>
    </w:p>
    <w:p w14:paraId="00F049FD" w14:textId="3EA32143" w:rsidR="0081554D" w:rsidRDefault="0081554D" w:rsidP="0081554D">
      <w:r w:rsidRPr="00114AD0">
        <w:t xml:space="preserve">A wide variety of technologies exist that can be used to store power on the grid, include; pumped hydroelectric energy storage (PHS), batteries, flywheels, compressed air energy storage (CAES), thermal energy storage (molten salt), and hydrogen storage. </w:t>
      </w:r>
      <w:r w:rsidR="00A048C0" w:rsidRPr="00114AD0">
        <w:t xml:space="preserve">The </w:t>
      </w:r>
      <w:r w:rsidRPr="00114AD0">
        <w:t>vast majority of storage</w:t>
      </w:r>
      <w:r w:rsidRPr="00816FC7">
        <w:t xml:space="preserve"> capacity</w:t>
      </w:r>
      <w:r>
        <w:t xml:space="preserve"> (more than 99% out of 140 GW)</w:t>
      </w:r>
      <w:r w:rsidRPr="00816FC7">
        <w:t xml:space="preserve"> is presently in the form of pumped hydropower</w:t>
      </w:r>
      <w:r>
        <w:t xml:space="preserve"> (</w:t>
      </w:r>
      <w:r w:rsidR="00114AD0">
        <w:t xml:space="preserve">J.P. </w:t>
      </w:r>
      <w:r>
        <w:t xml:space="preserve">Morgan, 2015)  </w:t>
      </w:r>
    </w:p>
    <w:p w14:paraId="1D532A1B" w14:textId="77777777" w:rsidR="0081554D" w:rsidRDefault="0081554D" w:rsidP="0081554D">
      <w:pPr>
        <w:spacing w:after="0"/>
      </w:pPr>
    </w:p>
    <w:p w14:paraId="738C75F3" w14:textId="77777777" w:rsidR="00AC6490" w:rsidRPr="00BF4006" w:rsidRDefault="00AC6490" w:rsidP="00AC6490">
      <w:pPr>
        <w:spacing w:after="0"/>
        <w:rPr>
          <w:bCs/>
        </w:rPr>
      </w:pPr>
    </w:p>
    <w:p w14:paraId="6E95D72A" w14:textId="05A5343F" w:rsidR="00AC6490" w:rsidRPr="00A048C0" w:rsidRDefault="00AC6490" w:rsidP="00A048C0">
      <w:pPr>
        <w:autoSpaceDE w:val="0"/>
        <w:autoSpaceDN w:val="0"/>
        <w:adjustRightInd w:val="0"/>
        <w:spacing w:after="0"/>
        <w:rPr>
          <w:bCs/>
        </w:rPr>
      </w:pPr>
      <w:r w:rsidRPr="00A048C0">
        <w:rPr>
          <w:bCs/>
        </w:rPr>
        <w:lastRenderedPageBreak/>
        <w:t xml:space="preserve">A PHS storage system, which is used primarily for power arbitrage buy electricity when the electricity rate is low (during off-peak hours) to pump water to higher altitude where it is stored as gravitational potential energy. When the electricity price is high (during on-peak hours), the water is released and passes back through a turbine/generator to convert the stored energy back to electricity (see Figure </w:t>
      </w:r>
      <w:r w:rsidR="00A048C0">
        <w:rPr>
          <w:bCs/>
        </w:rPr>
        <w:t>1.</w:t>
      </w:r>
      <w:r w:rsidR="00114AD0">
        <w:rPr>
          <w:bCs/>
        </w:rPr>
        <w:t>2</w:t>
      </w:r>
      <w:r w:rsidRPr="00A048C0">
        <w:rPr>
          <w:bCs/>
        </w:rPr>
        <w:t>).</w:t>
      </w:r>
    </w:p>
    <w:p w14:paraId="25DB05B5" w14:textId="39245162" w:rsidR="00AC6490" w:rsidRPr="00A048C0" w:rsidRDefault="00AC6490" w:rsidP="00A048C0">
      <w:pPr>
        <w:autoSpaceDE w:val="0"/>
        <w:autoSpaceDN w:val="0"/>
        <w:adjustRightInd w:val="0"/>
        <w:spacing w:after="0" w:line="240" w:lineRule="auto"/>
      </w:pPr>
      <w:r w:rsidRPr="00816FC7">
        <w:t xml:space="preserve"> </w:t>
      </w:r>
    </w:p>
    <w:p w14:paraId="5E76C7F8" w14:textId="77777777" w:rsidR="00AC6490" w:rsidRDefault="00AC6490" w:rsidP="00A048C0">
      <w:pPr>
        <w:keepNext/>
        <w:spacing w:after="0"/>
        <w:jc w:val="center"/>
      </w:pPr>
      <w:r>
        <w:rPr>
          <w:noProof/>
          <w:lang w:eastAsia="en-US"/>
        </w:rPr>
        <w:drawing>
          <wp:inline distT="0" distB="0" distL="0" distR="0" wp14:anchorId="789CE134" wp14:editId="3578877F">
            <wp:extent cx="4572000" cy="2619460"/>
            <wp:effectExtent l="0" t="0" r="0" b="9525"/>
            <wp:docPr id="3" name="Picture 3" descr="https://upload.wikimedia.org/wikipedia/commons/9/9a/Pumpstor_racoon_m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9/9a/Pumpstor_racoon_mt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619460"/>
                    </a:xfrm>
                    <a:prstGeom prst="rect">
                      <a:avLst/>
                    </a:prstGeom>
                    <a:noFill/>
                    <a:ln>
                      <a:noFill/>
                    </a:ln>
                  </pic:spPr>
                </pic:pic>
              </a:graphicData>
            </a:graphic>
          </wp:inline>
        </w:drawing>
      </w:r>
    </w:p>
    <w:p w14:paraId="40735C0B" w14:textId="2DD20884" w:rsidR="00AC6490" w:rsidRPr="00114AD0" w:rsidRDefault="00AC6490" w:rsidP="00114AD0">
      <w:pPr>
        <w:pStyle w:val="Caption"/>
        <w:jc w:val="center"/>
      </w:pPr>
      <w:bookmarkStart w:id="8" w:name="_Toc461406960"/>
      <w:bookmarkStart w:id="9" w:name="_Toc10921959"/>
      <w:r>
        <w:t xml:space="preserve">Figure </w:t>
      </w:r>
      <w:r w:rsidR="00114AD0">
        <w:t>1.</w:t>
      </w:r>
      <w:r w:rsidR="00D17EFD">
        <w:fldChar w:fldCharType="begin"/>
      </w:r>
      <w:r w:rsidR="00D17EFD">
        <w:instrText xml:space="preserve"> SEQ Figure \* ARABIC </w:instrText>
      </w:r>
      <w:r w:rsidR="00D17EFD">
        <w:fldChar w:fldCharType="separate"/>
      </w:r>
      <w:r w:rsidR="00114AD0">
        <w:rPr>
          <w:noProof/>
        </w:rPr>
        <w:t>2</w:t>
      </w:r>
      <w:r w:rsidR="00D17EFD">
        <w:rPr>
          <w:noProof/>
        </w:rPr>
        <w:fldChar w:fldCharType="end"/>
      </w:r>
      <w:r>
        <w:t xml:space="preserve">. </w:t>
      </w:r>
      <w:r w:rsidRPr="005258B4">
        <w:t>Diagram of a pumped hydropower storage plant. (Directorate-General for Energy, 2013)</w:t>
      </w:r>
      <w:bookmarkEnd w:id="8"/>
      <w:bookmarkEnd w:id="9"/>
    </w:p>
    <w:p w14:paraId="249EF979" w14:textId="79EB260E" w:rsidR="00AC6490" w:rsidRPr="00A048C0" w:rsidRDefault="00AC6490" w:rsidP="00A048C0">
      <w:r w:rsidRPr="00A048C0">
        <w:rPr>
          <w:rFonts w:cs="Times New Roman"/>
          <w:bCs/>
        </w:rPr>
        <w:t xml:space="preserve">Other pumped-fluid systems, such as compressed-air energy storage (CAES), operate on similar principles. CAES </w:t>
      </w:r>
      <w:r w:rsidRPr="00A048C0">
        <w:t xml:space="preserve">systems can be very cost-effective when based on an existing air reservoir, such as a subterranean cavern, but are often prohibitively expensive and inefficient otherwise, with round-trip efficiencies on the order of 50-60% </w:t>
      </w:r>
      <w:r w:rsidRPr="00A048C0">
        <w:fldChar w:fldCharType="begin"/>
      </w:r>
      <w:r w:rsidRPr="00A048C0">
        <w:instrText xml:space="preserve"> ADDIN ZOTERO_ITEM CSL_CITATION {"citationID":"282hva6153","properties":{"formattedCitation":"(US Department of Energy, 2013)","plainCitation":"(US Department of Energy, 2013)"},"citationItems":[{"id":3375,"uris":["http://zotero.org/groups/277937/items/HQ8TTHPB"],"uri":["http://zotero.org/groups/277937/items/HQ8TTHPB"],"itemData":{"id":3375,"type":"report","title":"Grid Energy Storage - December 2013 | Department of Energy","URL":"http://energy.gov/oe/downloads/grid-energy-storage-december-2013","author":[{"family":"US Department of Energy","given":""}],"issued":{"date-parts":[["2013",12]]},"accessed":{"date-parts":[["2015",6,9]]}}}],"schema":"https://github.com/citation-style-language/schema/raw/master/csl-citation.json"} </w:instrText>
      </w:r>
      <w:r w:rsidRPr="00A048C0">
        <w:fldChar w:fldCharType="separate"/>
      </w:r>
      <w:r w:rsidRPr="00A048C0">
        <w:t xml:space="preserve">(US </w:t>
      </w:r>
      <w:r w:rsidR="00A048C0" w:rsidRPr="00A048C0">
        <w:t>DOE</w:t>
      </w:r>
      <w:r w:rsidRPr="00A048C0">
        <w:t>, 2013)</w:t>
      </w:r>
      <w:r w:rsidRPr="00A048C0">
        <w:fldChar w:fldCharType="end"/>
      </w:r>
      <w:r w:rsidRPr="00A048C0">
        <w:t xml:space="preserve">. One other mechanical storage system of note is that of flywheels, large wheels with significant inertia that store rotational energy. Flywheels are operated with very low friction to minimize losses, which can be significant for long storage durations. As a result, flywheel systems are rarely used for energy management, but they are very well-suited to power conditioning due to their rapid response times </w:t>
      </w:r>
      <w:r w:rsidRPr="00A048C0">
        <w:fldChar w:fldCharType="begin"/>
      </w:r>
      <w:r w:rsidRPr="00A048C0">
        <w:instrText xml:space="preserve"> ADDIN ZOTERO_ITEM CSL_CITATION {"citationID":"b1qlk2p46","properties":{"formattedCitation":"(US Department of Energy, 2013)","plainCitation":"(US Department of Energy, 2013)"},"citationItems":[{"id":3375,"uris":["http://zotero.org/groups/277937/items/HQ8TTHPB"],"uri":["http://zotero.org/groups/277937/items/HQ8TTHPB"],"itemData":{"id":3375,"type":"report","title":"Grid Energy Storage - December 2013 | Department of Energy","URL":"http://energy.gov/oe/downloads/grid-energy-storage-december-2013","author":[{"family":"US Department of Energy","given":""}],"issued":{"date-parts":[["2013",12]]},"accessed":{"date-parts":[["2015",6,9]]}}}],"schema":"https://github.com/citation-style-language/schema/raw/master/csl-citation.json"} </w:instrText>
      </w:r>
      <w:r w:rsidRPr="00A048C0">
        <w:fldChar w:fldCharType="separate"/>
      </w:r>
      <w:r w:rsidRPr="00A048C0">
        <w:t xml:space="preserve">(US </w:t>
      </w:r>
      <w:r w:rsidR="00A048C0" w:rsidRPr="00A048C0">
        <w:t>DOE</w:t>
      </w:r>
      <w:r w:rsidRPr="00A048C0">
        <w:t>, 2013)</w:t>
      </w:r>
      <w:r w:rsidRPr="00A048C0">
        <w:fldChar w:fldCharType="end"/>
      </w:r>
      <w:r w:rsidRPr="00A048C0">
        <w:t xml:space="preserve">. </w:t>
      </w:r>
    </w:p>
    <w:p w14:paraId="7371FDFF" w14:textId="77777777" w:rsidR="00AC6490" w:rsidRPr="00A048C0" w:rsidRDefault="00AC6490" w:rsidP="00A048C0">
      <w:r w:rsidRPr="00A048C0">
        <w:t xml:space="preserve">Finally, energy on the grid can be stored electrochemically, in batteries or supercapacitors. Batteries store energy using chemical reactions, while supercapacitors (a new technology, also called Ultracapacitors) store static electricity. Although batteries are a very familiar technology to consumers, their relatively high costs have prohibited their usage on the scale of bulk storage. Recently, the cost of advanced batteries (especially of lithium-based battery chemistries) has dropped </w:t>
      </w:r>
      <w:r w:rsidRPr="00A048C0">
        <w:fldChar w:fldCharType="begin"/>
      </w:r>
      <w:r w:rsidRPr="00A048C0">
        <w:instrText xml:space="preserve"> ADDIN ZOTERO_ITEM CSL_CITATION {"citationID":"2h0icsjcro","properties":{"formattedCitation":"(Nykvist &amp; Nilsson, 2015)","plainCitation":"(Nykvist &amp; Nilsson, 2015)"},"citationItems":[{"id":3579,"uris":["http://zotero.org/groups/277937/items/S44RNJ3J"],"uri":["http://zotero.org/groups/277937/items/S44RNJ3J"],"itemData":{"id":3579,"type":"article-journal","title":"Rapidly falling costs of battery packs for electric vehicles","container-title":"Nature Climate Change","page":"329-332","volume":"5","issue":"4","source":"CrossRef","DOI":"10.1038/nclimate2564","ISSN":"1758-678X, 1758-6798","author":[{"family":"Nykvist","given":"Björn"},{"family":"Nilsson","given":"Måns"}],"issued":{"date-parts":[["2015",3,23]]},"accessed":{"date-parts":[["2015",6,23]]}}}],"schema":"https://github.com/citation-style-language/schema/raw/master/csl-citation.json"} </w:instrText>
      </w:r>
      <w:r w:rsidRPr="00A048C0">
        <w:fldChar w:fldCharType="separate"/>
      </w:r>
      <w:r w:rsidRPr="00A048C0">
        <w:t>(Nykvist &amp; Nilsson, 2015)</w:t>
      </w:r>
      <w:r w:rsidRPr="00A048C0">
        <w:fldChar w:fldCharType="end"/>
      </w:r>
      <w:r w:rsidRPr="00A048C0">
        <w:t xml:space="preserve">, leading to hopes that they may be able to supply significant grid-scale storage capacity at a reasonable price </w:t>
      </w:r>
      <w:r w:rsidRPr="00A048C0">
        <w:fldChar w:fldCharType="begin"/>
      </w:r>
      <w:r w:rsidRPr="00A048C0">
        <w:instrText xml:space="preserve"> ADDIN ZOTERO_ITEM CSL_CITATION {"citationID":"7mc596vhc","properties":{"formattedCitation":"(Dunn, Kamath, &amp; Tarascon, 2011)","plainCitation":"(Dunn, Kamath, &amp; Tarascon, 2011)"},"citationItems":[{"id":3372,"uris":["http://zotero.org/groups/277937/items/ZXTQJGXW"],"uri":["http://zotero.org/groups/277937/items/ZXTQJGXW"],"itemData":{"id":3372,"type":"article-journal","title":"Electrical energy storage for the grid: a battery of choices","container-title":"Science","page":"928–935","volume":"334","issue":"6058","source":"Google Scholar","shortTitle":"Electrical energy storage for the grid","author":[{"family":"Dunn","given":"Bruce"},{"family":"Kamath","given":"Haresh"},{"family":"Tarascon","given":"Jean-Marie"}],"issued":{"date-parts":[["2011"]]},"accessed":{"date-parts":[["2015",6,9]]}}}],"schema":"https://github.com/citation-style-language/schema/raw/master/csl-citation.json"} </w:instrText>
      </w:r>
      <w:r w:rsidRPr="00A048C0">
        <w:fldChar w:fldCharType="separate"/>
      </w:r>
      <w:r w:rsidRPr="00A048C0">
        <w:t>(Dunn, Kamath, &amp; Tarascon, 2011)</w:t>
      </w:r>
      <w:r w:rsidRPr="00A048C0">
        <w:fldChar w:fldCharType="end"/>
      </w:r>
      <w:r w:rsidRPr="00A048C0">
        <w:t xml:space="preserve">. </w:t>
      </w:r>
    </w:p>
    <w:p w14:paraId="230F26A5" w14:textId="098F1C3C" w:rsidR="00AC6490" w:rsidRPr="00114AD0" w:rsidRDefault="00AC6490" w:rsidP="00A048C0">
      <w:r w:rsidRPr="00A048C0">
        <w:lastRenderedPageBreak/>
        <w:t>Different storage technologies can</w:t>
      </w:r>
      <w:r w:rsidRPr="00A048C0">
        <w:rPr>
          <w:rFonts w:cs="Times New Roman"/>
          <w:bCs/>
        </w:rPr>
        <w:t xml:space="preserve"> be compared to one another by comparing how much energy they can store versus the charge/discharge times they can achieve (Figure 1.</w:t>
      </w:r>
      <w:r w:rsidR="00114AD0">
        <w:rPr>
          <w:rFonts w:cs="Times New Roman"/>
          <w:bCs/>
        </w:rPr>
        <w:t>3</w:t>
      </w:r>
      <w:r w:rsidRPr="00A048C0">
        <w:rPr>
          <w:rFonts w:cs="Times New Roman"/>
          <w:bCs/>
        </w:rPr>
        <w:t xml:space="preserve">). </w:t>
      </w:r>
      <w:r w:rsidR="00114AD0">
        <w:t>The suitable applications of each different energy storage technologies is depicted on Figure 1.4.</w:t>
      </w:r>
    </w:p>
    <w:p w14:paraId="174A5B57" w14:textId="77777777" w:rsidR="00AC6490" w:rsidRDefault="00AC6490" w:rsidP="00AC6490">
      <w:pPr>
        <w:spacing w:after="0"/>
        <w:rPr>
          <w:bCs/>
        </w:rPr>
      </w:pPr>
    </w:p>
    <w:p w14:paraId="1A9ED274" w14:textId="77777777" w:rsidR="00AC6490" w:rsidRDefault="00AC6490" w:rsidP="00AC6490">
      <w:pPr>
        <w:keepNext/>
        <w:spacing w:after="0"/>
        <w:jc w:val="center"/>
      </w:pPr>
      <w:r>
        <w:rPr>
          <w:noProof/>
          <w:lang w:eastAsia="en-US"/>
        </w:rPr>
        <w:drawing>
          <wp:inline distT="0" distB="0" distL="0" distR="0" wp14:anchorId="6BF2D37F" wp14:editId="3D48C941">
            <wp:extent cx="4002760" cy="3159659"/>
            <wp:effectExtent l="0" t="0" r="0" b="3175"/>
            <wp:docPr id="4" name="Picture 4" descr="graph of Electricity storage technologies, as described in the articl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of Electricity storage technologies, as described in the article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9682" cy="3165123"/>
                    </a:xfrm>
                    <a:prstGeom prst="rect">
                      <a:avLst/>
                    </a:prstGeom>
                    <a:noFill/>
                    <a:ln>
                      <a:noFill/>
                    </a:ln>
                  </pic:spPr>
                </pic:pic>
              </a:graphicData>
            </a:graphic>
          </wp:inline>
        </w:drawing>
      </w:r>
    </w:p>
    <w:p w14:paraId="442710F2" w14:textId="6C2D5EA8" w:rsidR="00AC6490" w:rsidRDefault="00AC6490" w:rsidP="00A048C0">
      <w:pPr>
        <w:pStyle w:val="Caption"/>
        <w:jc w:val="center"/>
      </w:pPr>
      <w:bookmarkStart w:id="10" w:name="_Toc461406961"/>
      <w:bookmarkStart w:id="11" w:name="_Toc10921960"/>
      <w:r>
        <w:t xml:space="preserve">Figure </w:t>
      </w:r>
      <w:r w:rsidR="00A048C0">
        <w:t>1.</w:t>
      </w:r>
      <w:r w:rsidR="00D17EFD">
        <w:fldChar w:fldCharType="begin"/>
      </w:r>
      <w:r w:rsidR="00D17EFD">
        <w:instrText xml:space="preserve"> SEQ Figure \* ARABIC </w:instrText>
      </w:r>
      <w:r w:rsidR="00D17EFD">
        <w:fldChar w:fldCharType="separate"/>
      </w:r>
      <w:r w:rsidR="00114AD0">
        <w:rPr>
          <w:noProof/>
        </w:rPr>
        <w:t>3</w:t>
      </w:r>
      <w:r w:rsidR="00D17EFD">
        <w:rPr>
          <w:noProof/>
        </w:rPr>
        <w:fldChar w:fldCharType="end"/>
      </w:r>
      <w:r>
        <w:t xml:space="preserve">. </w:t>
      </w:r>
      <w:r w:rsidRPr="002514C7">
        <w:t>The maximum power output of different energy storage technologies versus their discharge times</w:t>
      </w:r>
      <w:r>
        <w:t xml:space="preserve"> (EIA, 2011)</w:t>
      </w:r>
      <w:bookmarkEnd w:id="10"/>
      <w:bookmarkEnd w:id="11"/>
    </w:p>
    <w:p w14:paraId="04D19E75" w14:textId="77777777" w:rsidR="002D5B66" w:rsidRDefault="002D5B66" w:rsidP="002D5B66">
      <w:pPr>
        <w:keepNext/>
        <w:jc w:val="center"/>
      </w:pPr>
      <w:r>
        <w:rPr>
          <w:noProof/>
          <w:lang w:eastAsia="en-US"/>
        </w:rPr>
        <w:drawing>
          <wp:inline distT="0" distB="0" distL="0" distR="0" wp14:anchorId="5DFCEDEC" wp14:editId="4B406BD9">
            <wp:extent cx="5486400" cy="3180164"/>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80164"/>
                    </a:xfrm>
                    <a:prstGeom prst="rect">
                      <a:avLst/>
                    </a:prstGeom>
                    <a:noFill/>
                    <a:ln>
                      <a:noFill/>
                    </a:ln>
                  </pic:spPr>
                </pic:pic>
              </a:graphicData>
            </a:graphic>
          </wp:inline>
        </w:drawing>
      </w:r>
    </w:p>
    <w:p w14:paraId="12453A13" w14:textId="3860FE28" w:rsidR="002D5B66" w:rsidRPr="002D5B66" w:rsidRDefault="002D5B66" w:rsidP="007910F0">
      <w:pPr>
        <w:pStyle w:val="Caption"/>
        <w:jc w:val="center"/>
      </w:pPr>
      <w:bookmarkStart w:id="12" w:name="_Toc461406964"/>
      <w:bookmarkStart w:id="13" w:name="_Toc10921961"/>
      <w:r>
        <w:t xml:space="preserve">Figure </w:t>
      </w:r>
      <w:r w:rsidR="00114AD0">
        <w:t>1.</w:t>
      </w:r>
      <w:r w:rsidR="00D17EFD">
        <w:fldChar w:fldCharType="begin"/>
      </w:r>
      <w:r w:rsidR="00D17EFD">
        <w:instrText xml:space="preserve"> SEQ Figure \* ARABIC </w:instrText>
      </w:r>
      <w:r w:rsidR="00D17EFD">
        <w:fldChar w:fldCharType="separate"/>
      </w:r>
      <w:r w:rsidR="00114AD0">
        <w:rPr>
          <w:noProof/>
        </w:rPr>
        <w:t>4</w:t>
      </w:r>
      <w:r w:rsidR="00D17EFD">
        <w:rPr>
          <w:noProof/>
        </w:rPr>
        <w:fldChar w:fldCharType="end"/>
      </w:r>
      <w:r>
        <w:t xml:space="preserve">. Energy storage applications </w:t>
      </w:r>
      <w:r w:rsidRPr="00114AD0">
        <w:t>and technologies</w:t>
      </w:r>
      <w:bookmarkEnd w:id="12"/>
      <w:r w:rsidR="007910F0" w:rsidRPr="00114AD0">
        <w:t xml:space="preserve"> (IEA</w:t>
      </w:r>
      <w:r w:rsidR="00114AD0" w:rsidRPr="00114AD0">
        <w:t>, 2014</w:t>
      </w:r>
      <w:r w:rsidR="007910F0" w:rsidRPr="00114AD0">
        <w:t>)</w:t>
      </w:r>
      <w:bookmarkEnd w:id="13"/>
    </w:p>
    <w:p w14:paraId="111F4010" w14:textId="55A27CF3" w:rsidR="00434F61" w:rsidRPr="00E069AC" w:rsidRDefault="551A77D0" w:rsidP="00C83A29">
      <w:pPr>
        <w:pStyle w:val="Heading2"/>
        <w:numPr>
          <w:ilvl w:val="1"/>
          <w:numId w:val="44"/>
        </w:numPr>
      </w:pPr>
      <w:bookmarkStart w:id="14" w:name="_Toc10921936"/>
      <w:bookmarkStart w:id="15" w:name="_Hlk532375010"/>
      <w:r w:rsidRPr="00E069AC">
        <w:lastRenderedPageBreak/>
        <w:t>Adoption Path</w:t>
      </w:r>
      <w:bookmarkEnd w:id="14"/>
    </w:p>
    <w:p w14:paraId="2027DBA6" w14:textId="6C2F79A5" w:rsidR="00D1508C" w:rsidRDefault="551A77D0" w:rsidP="005D49A8">
      <w:pPr>
        <w:pStyle w:val="Heading3"/>
      </w:pPr>
      <w:bookmarkStart w:id="16" w:name="_Toc10921937"/>
      <w:bookmarkEnd w:id="15"/>
      <w:r w:rsidRPr="00E069AC">
        <w:t>Current Adoption</w:t>
      </w:r>
      <w:bookmarkEnd w:id="16"/>
    </w:p>
    <w:p w14:paraId="5503DB5D" w14:textId="146C565C" w:rsidR="00A048C0" w:rsidRPr="00A048C0" w:rsidRDefault="00A048C0" w:rsidP="00A048C0">
      <w:pPr>
        <w:spacing w:after="0"/>
      </w:pPr>
      <w:r w:rsidRPr="00FF6924">
        <w:t xml:space="preserve">Figure </w:t>
      </w:r>
      <w:r>
        <w:t>1.</w:t>
      </w:r>
      <w:r w:rsidR="00114AD0">
        <w:t>5</w:t>
      </w:r>
      <w:r w:rsidRPr="00FF6924">
        <w:t xml:space="preserve"> shows</w:t>
      </w:r>
      <w:r>
        <w:t xml:space="preserve"> top 10 countries by installed capacity for different </w:t>
      </w:r>
      <w:r w:rsidRPr="00FF6924">
        <w:t xml:space="preserve">utility-scale Energy Storage Technologies </w:t>
      </w:r>
      <w:r>
        <w:t>(US DOE, 2016). As shown, the PHS is found Worldwide where China, Japan, United States are the leaders. The electro-chemical (batteries) storage are mainly in United States, Japan and Germany. The electro-mechanical energy storage in terms of CAES and flywheels are mainly found in US and Germany. The thermal storage is mainly in U</w:t>
      </w:r>
      <w:r w:rsidR="00114AD0">
        <w:t>.</w:t>
      </w:r>
      <w:r>
        <w:t>S</w:t>
      </w:r>
      <w:r w:rsidR="00114AD0">
        <w:t>.</w:t>
      </w:r>
      <w:r>
        <w:t xml:space="preserve"> and Spain, it worth mentions that there are many forms of thermal storage and only the molten salt technology is considered here as a technology can be connected to the grid. However, molten salt thermals storage works only with </w:t>
      </w:r>
      <w:r w:rsidRPr="00114AD0">
        <w:t>concentrated solar power (CSP)</w:t>
      </w:r>
      <w:r>
        <w:t xml:space="preserve"> technology. Only PHS is considered mature technology, while the other technologies are in the deployed stage. The hydrogen storage is still in demonstration stage and mainly found in Germany with few MW projects. Table 1.1 summarizes the total utility-energy storage worldwide capacity installed, announced, or under construction by 2020 and number of projects (US DOE, 2016). </w:t>
      </w:r>
    </w:p>
    <w:p w14:paraId="10036584" w14:textId="77777777" w:rsidR="00A048C0" w:rsidRDefault="00A048C0" w:rsidP="00A048C0">
      <w:pPr>
        <w:keepNext/>
        <w:spacing w:after="0"/>
        <w:jc w:val="center"/>
      </w:pPr>
      <w:r w:rsidRPr="00816FC7">
        <w:rPr>
          <w:bCs/>
          <w:noProof/>
          <w:lang w:eastAsia="en-US"/>
        </w:rPr>
        <w:drawing>
          <wp:inline distT="0" distB="0" distL="0" distR="0" wp14:anchorId="60F32612" wp14:editId="6B08755A">
            <wp:extent cx="5943600" cy="1897751"/>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1"/>
                    <a:srcRect t="21083"/>
                    <a:stretch/>
                  </pic:blipFill>
                  <pic:spPr bwMode="auto">
                    <a:xfrm>
                      <a:off x="0" y="0"/>
                      <a:ext cx="5943600" cy="1897751"/>
                    </a:xfrm>
                    <a:prstGeom prst="rect">
                      <a:avLst/>
                    </a:prstGeom>
                    <a:ln>
                      <a:noFill/>
                    </a:ln>
                    <a:extLst>
                      <a:ext uri="{53640926-AAD7-44D8-BBD7-CCE9431645EC}">
                        <a14:shadowObscured xmlns:a14="http://schemas.microsoft.com/office/drawing/2010/main"/>
                      </a:ext>
                    </a:extLst>
                  </pic:spPr>
                </pic:pic>
              </a:graphicData>
            </a:graphic>
          </wp:inline>
        </w:drawing>
      </w:r>
    </w:p>
    <w:p w14:paraId="6D5A2D8D" w14:textId="33C774B6" w:rsidR="00A048C0" w:rsidRDefault="00A048C0" w:rsidP="00A048C0">
      <w:pPr>
        <w:pStyle w:val="Caption"/>
        <w:jc w:val="center"/>
      </w:pPr>
      <w:bookmarkStart w:id="17" w:name="_Toc461406959"/>
      <w:bookmarkStart w:id="18" w:name="_Toc10921962"/>
      <w:r>
        <w:t xml:space="preserve">Figure </w:t>
      </w:r>
      <w:r w:rsidR="00114AD0">
        <w:t>1.</w:t>
      </w:r>
      <w:r w:rsidR="00D17EFD">
        <w:fldChar w:fldCharType="begin"/>
      </w:r>
      <w:r w:rsidR="00D17EFD">
        <w:instrText xml:space="preserve"> SEQ Figure \* ARABIC </w:instrText>
      </w:r>
      <w:r w:rsidR="00D17EFD">
        <w:fldChar w:fldCharType="separate"/>
      </w:r>
      <w:r w:rsidR="00114AD0">
        <w:rPr>
          <w:noProof/>
        </w:rPr>
        <w:t>5</w:t>
      </w:r>
      <w:r w:rsidR="00D17EFD">
        <w:rPr>
          <w:noProof/>
        </w:rPr>
        <w:fldChar w:fldCharType="end"/>
      </w:r>
      <w:r>
        <w:t xml:space="preserve">. </w:t>
      </w:r>
      <w:r w:rsidRPr="00C4633A">
        <w:t>Top 10 countries by installed Utility-scale Energy Storage Technologies and capacity</w:t>
      </w:r>
      <w:r>
        <w:t xml:space="preserve"> (</w:t>
      </w:r>
      <w:r w:rsidRPr="00C4633A">
        <w:t>Data Source:</w:t>
      </w:r>
      <w:r w:rsidRPr="0007270D">
        <w:t xml:space="preserve"> </w:t>
      </w:r>
      <w:r>
        <w:t>US DOE 2016)</w:t>
      </w:r>
      <w:bookmarkEnd w:id="17"/>
      <w:bookmarkEnd w:id="18"/>
    </w:p>
    <w:p w14:paraId="379267B2" w14:textId="77777777" w:rsidR="00A048C0" w:rsidRDefault="00A048C0" w:rsidP="00A048C0">
      <w:pPr>
        <w:pStyle w:val="Caption"/>
        <w:keepNext/>
        <w:jc w:val="center"/>
      </w:pPr>
      <w:bookmarkStart w:id="19" w:name="_Toc461406973"/>
      <w:bookmarkStart w:id="20" w:name="_Toc10921956"/>
      <w:r>
        <w:t>Table 1.</w:t>
      </w:r>
      <w:r w:rsidR="00D17EFD">
        <w:fldChar w:fldCharType="begin"/>
      </w:r>
      <w:r w:rsidR="00D17EFD">
        <w:instrText xml:space="preserve"> SEQ Table \* ARABIC </w:instrText>
      </w:r>
      <w:r w:rsidR="00D17EFD">
        <w:fldChar w:fldCharType="separate"/>
      </w:r>
      <w:r>
        <w:rPr>
          <w:noProof/>
        </w:rPr>
        <w:t>1</w:t>
      </w:r>
      <w:r w:rsidR="00D17EFD">
        <w:rPr>
          <w:noProof/>
        </w:rPr>
        <w:fldChar w:fldCharType="end"/>
      </w:r>
      <w:r>
        <w:t>. Utility-energy storage capacity and projects Worldwide, Installed, announced, under construction by 2020 (US DOE, 2016)</w:t>
      </w:r>
      <w:bookmarkEnd w:id="19"/>
      <w:bookmarkEnd w:id="20"/>
    </w:p>
    <w:tbl>
      <w:tblPr>
        <w:tblStyle w:val="TableGrid"/>
        <w:tblW w:w="0" w:type="auto"/>
        <w:jc w:val="center"/>
        <w:tblLook w:val="04A0" w:firstRow="1" w:lastRow="0" w:firstColumn="1" w:lastColumn="0" w:noHBand="0" w:noVBand="1"/>
      </w:tblPr>
      <w:tblGrid>
        <w:gridCol w:w="4135"/>
        <w:gridCol w:w="1530"/>
        <w:gridCol w:w="2250"/>
      </w:tblGrid>
      <w:tr w:rsidR="00A048C0" w:rsidRPr="00A048C0" w14:paraId="34861AA4" w14:textId="77777777" w:rsidTr="00CD2E0C">
        <w:trPr>
          <w:jc w:val="center"/>
        </w:trPr>
        <w:tc>
          <w:tcPr>
            <w:tcW w:w="4135" w:type="dxa"/>
            <w:shd w:val="clear" w:color="auto" w:fill="4F81BD" w:themeFill="accent1"/>
          </w:tcPr>
          <w:p w14:paraId="06A0D9AE" w14:textId="77777777" w:rsidR="00A048C0" w:rsidRPr="00A048C0" w:rsidRDefault="00A048C0" w:rsidP="00CD2E0C">
            <w:pPr>
              <w:spacing w:line="240" w:lineRule="auto"/>
              <w:jc w:val="center"/>
              <w:rPr>
                <w:color w:val="FFFFFF" w:themeColor="background1"/>
                <w:sz w:val="20"/>
                <w:szCs w:val="20"/>
              </w:rPr>
            </w:pPr>
            <w:r w:rsidRPr="00A048C0">
              <w:rPr>
                <w:color w:val="FFFFFF" w:themeColor="background1"/>
                <w:sz w:val="20"/>
                <w:szCs w:val="20"/>
              </w:rPr>
              <w:t>Technology Type</w:t>
            </w:r>
          </w:p>
        </w:tc>
        <w:tc>
          <w:tcPr>
            <w:tcW w:w="1530" w:type="dxa"/>
            <w:shd w:val="clear" w:color="auto" w:fill="4F81BD" w:themeFill="accent1"/>
          </w:tcPr>
          <w:p w14:paraId="63CB9CA9" w14:textId="77777777" w:rsidR="00A048C0" w:rsidRPr="00A048C0" w:rsidRDefault="00A048C0" w:rsidP="00CD2E0C">
            <w:pPr>
              <w:spacing w:line="240" w:lineRule="auto"/>
              <w:jc w:val="center"/>
              <w:rPr>
                <w:color w:val="FFFFFF" w:themeColor="background1"/>
                <w:sz w:val="20"/>
                <w:szCs w:val="20"/>
              </w:rPr>
            </w:pPr>
            <w:r w:rsidRPr="00A048C0">
              <w:rPr>
                <w:color w:val="FFFFFF" w:themeColor="background1"/>
                <w:sz w:val="20"/>
                <w:szCs w:val="20"/>
              </w:rPr>
              <w:t>Projects</w:t>
            </w:r>
          </w:p>
        </w:tc>
        <w:tc>
          <w:tcPr>
            <w:tcW w:w="2250" w:type="dxa"/>
            <w:shd w:val="clear" w:color="auto" w:fill="4F81BD" w:themeFill="accent1"/>
          </w:tcPr>
          <w:p w14:paraId="1545DEEE" w14:textId="77777777" w:rsidR="00A048C0" w:rsidRPr="00A048C0" w:rsidRDefault="00A048C0" w:rsidP="00CD2E0C">
            <w:pPr>
              <w:spacing w:line="240" w:lineRule="auto"/>
              <w:jc w:val="center"/>
              <w:rPr>
                <w:color w:val="FFFFFF" w:themeColor="background1"/>
                <w:sz w:val="20"/>
                <w:szCs w:val="20"/>
              </w:rPr>
            </w:pPr>
            <w:r w:rsidRPr="00A048C0">
              <w:rPr>
                <w:color w:val="FFFFFF" w:themeColor="background1"/>
                <w:sz w:val="20"/>
                <w:szCs w:val="20"/>
              </w:rPr>
              <w:t>Rated Power (MW)</w:t>
            </w:r>
          </w:p>
        </w:tc>
      </w:tr>
      <w:tr w:rsidR="00A048C0" w:rsidRPr="00A048C0" w14:paraId="3BB1FE71" w14:textId="77777777" w:rsidTr="00CD2E0C">
        <w:trPr>
          <w:jc w:val="center"/>
        </w:trPr>
        <w:tc>
          <w:tcPr>
            <w:tcW w:w="4135" w:type="dxa"/>
          </w:tcPr>
          <w:p w14:paraId="17B8D8AD" w14:textId="77777777" w:rsidR="00A048C0" w:rsidRPr="00A048C0" w:rsidRDefault="00A048C0" w:rsidP="00CD2E0C">
            <w:pPr>
              <w:rPr>
                <w:bCs/>
                <w:i/>
                <w:sz w:val="20"/>
                <w:szCs w:val="20"/>
              </w:rPr>
            </w:pPr>
            <w:r w:rsidRPr="00A048C0">
              <w:rPr>
                <w:bCs/>
                <w:i/>
                <w:sz w:val="20"/>
                <w:szCs w:val="20"/>
              </w:rPr>
              <w:t>Electro-chemical (Batteries)</w:t>
            </w:r>
          </w:p>
        </w:tc>
        <w:tc>
          <w:tcPr>
            <w:tcW w:w="1530" w:type="dxa"/>
          </w:tcPr>
          <w:p w14:paraId="295D292F" w14:textId="77777777" w:rsidR="00A048C0" w:rsidRPr="00A048C0" w:rsidRDefault="00A048C0" w:rsidP="00CD2E0C">
            <w:pPr>
              <w:jc w:val="center"/>
              <w:rPr>
                <w:bCs/>
                <w:sz w:val="20"/>
                <w:szCs w:val="20"/>
              </w:rPr>
            </w:pPr>
            <w:r w:rsidRPr="00A048C0">
              <w:rPr>
                <w:bCs/>
                <w:sz w:val="20"/>
                <w:szCs w:val="20"/>
              </w:rPr>
              <w:t>928</w:t>
            </w:r>
          </w:p>
        </w:tc>
        <w:tc>
          <w:tcPr>
            <w:tcW w:w="2250" w:type="dxa"/>
          </w:tcPr>
          <w:p w14:paraId="7601BCB9" w14:textId="77777777" w:rsidR="00A048C0" w:rsidRPr="00A048C0" w:rsidRDefault="00A048C0" w:rsidP="00CD2E0C">
            <w:pPr>
              <w:jc w:val="center"/>
              <w:rPr>
                <w:bCs/>
                <w:sz w:val="20"/>
                <w:szCs w:val="20"/>
              </w:rPr>
            </w:pPr>
            <w:r w:rsidRPr="00A048C0">
              <w:rPr>
                <w:bCs/>
                <w:sz w:val="20"/>
                <w:szCs w:val="20"/>
              </w:rPr>
              <w:t>2,707</w:t>
            </w:r>
          </w:p>
        </w:tc>
      </w:tr>
      <w:tr w:rsidR="00A048C0" w:rsidRPr="00A048C0" w14:paraId="54A25B82" w14:textId="77777777" w:rsidTr="00CD2E0C">
        <w:trPr>
          <w:jc w:val="center"/>
        </w:trPr>
        <w:tc>
          <w:tcPr>
            <w:tcW w:w="4135" w:type="dxa"/>
          </w:tcPr>
          <w:p w14:paraId="367B0AFF" w14:textId="77777777" w:rsidR="00A048C0" w:rsidRPr="00A048C0" w:rsidRDefault="00A048C0" w:rsidP="00CD2E0C">
            <w:pPr>
              <w:rPr>
                <w:bCs/>
                <w:i/>
                <w:sz w:val="20"/>
                <w:szCs w:val="20"/>
              </w:rPr>
            </w:pPr>
            <w:r w:rsidRPr="00A048C0">
              <w:rPr>
                <w:bCs/>
                <w:i/>
                <w:sz w:val="20"/>
                <w:szCs w:val="20"/>
              </w:rPr>
              <w:t>Pumped Hydro Storage (PHS)</w:t>
            </w:r>
          </w:p>
        </w:tc>
        <w:tc>
          <w:tcPr>
            <w:tcW w:w="1530" w:type="dxa"/>
          </w:tcPr>
          <w:p w14:paraId="2961993A" w14:textId="77777777" w:rsidR="00A048C0" w:rsidRPr="00A048C0" w:rsidRDefault="00A048C0" w:rsidP="00CD2E0C">
            <w:pPr>
              <w:jc w:val="center"/>
              <w:rPr>
                <w:bCs/>
                <w:sz w:val="20"/>
                <w:szCs w:val="20"/>
              </w:rPr>
            </w:pPr>
            <w:r w:rsidRPr="00A048C0">
              <w:rPr>
                <w:bCs/>
                <w:sz w:val="20"/>
                <w:szCs w:val="20"/>
              </w:rPr>
              <w:t>350</w:t>
            </w:r>
          </w:p>
        </w:tc>
        <w:tc>
          <w:tcPr>
            <w:tcW w:w="2250" w:type="dxa"/>
          </w:tcPr>
          <w:p w14:paraId="20400F94" w14:textId="77777777" w:rsidR="00A048C0" w:rsidRPr="00A048C0" w:rsidRDefault="00A048C0" w:rsidP="00CD2E0C">
            <w:pPr>
              <w:jc w:val="center"/>
              <w:rPr>
                <w:bCs/>
                <w:sz w:val="20"/>
                <w:szCs w:val="20"/>
              </w:rPr>
            </w:pPr>
            <w:r w:rsidRPr="00A048C0">
              <w:rPr>
                <w:bCs/>
                <w:sz w:val="20"/>
                <w:szCs w:val="20"/>
              </w:rPr>
              <w:t>179,740</w:t>
            </w:r>
          </w:p>
        </w:tc>
      </w:tr>
      <w:tr w:rsidR="00A048C0" w:rsidRPr="00A048C0" w14:paraId="027761EE" w14:textId="77777777" w:rsidTr="00CD2E0C">
        <w:trPr>
          <w:jc w:val="center"/>
        </w:trPr>
        <w:tc>
          <w:tcPr>
            <w:tcW w:w="4135" w:type="dxa"/>
          </w:tcPr>
          <w:p w14:paraId="739D73A6" w14:textId="77777777" w:rsidR="00A048C0" w:rsidRPr="00A048C0" w:rsidRDefault="00A048C0" w:rsidP="00CD2E0C">
            <w:pPr>
              <w:rPr>
                <w:bCs/>
                <w:i/>
                <w:sz w:val="20"/>
                <w:szCs w:val="20"/>
              </w:rPr>
            </w:pPr>
            <w:r w:rsidRPr="00A048C0">
              <w:rPr>
                <w:bCs/>
                <w:i/>
                <w:sz w:val="20"/>
                <w:szCs w:val="20"/>
              </w:rPr>
              <w:t>Thermal Storage (All types)</w:t>
            </w:r>
          </w:p>
        </w:tc>
        <w:tc>
          <w:tcPr>
            <w:tcW w:w="1530" w:type="dxa"/>
          </w:tcPr>
          <w:p w14:paraId="7A6A96F2" w14:textId="77777777" w:rsidR="00A048C0" w:rsidRPr="00A048C0" w:rsidRDefault="00A048C0" w:rsidP="00CD2E0C">
            <w:pPr>
              <w:jc w:val="center"/>
              <w:rPr>
                <w:bCs/>
                <w:sz w:val="20"/>
                <w:szCs w:val="20"/>
              </w:rPr>
            </w:pPr>
            <w:r w:rsidRPr="00A048C0">
              <w:rPr>
                <w:bCs/>
                <w:sz w:val="20"/>
                <w:szCs w:val="20"/>
              </w:rPr>
              <w:t>203</w:t>
            </w:r>
          </w:p>
        </w:tc>
        <w:tc>
          <w:tcPr>
            <w:tcW w:w="2250" w:type="dxa"/>
          </w:tcPr>
          <w:p w14:paraId="662DB4A1" w14:textId="77777777" w:rsidR="00A048C0" w:rsidRPr="00A048C0" w:rsidRDefault="00A048C0" w:rsidP="00CD2E0C">
            <w:pPr>
              <w:jc w:val="center"/>
              <w:rPr>
                <w:bCs/>
                <w:sz w:val="20"/>
                <w:szCs w:val="20"/>
              </w:rPr>
            </w:pPr>
            <w:r w:rsidRPr="00A048C0">
              <w:rPr>
                <w:bCs/>
                <w:sz w:val="20"/>
                <w:szCs w:val="20"/>
              </w:rPr>
              <w:t>3,615</w:t>
            </w:r>
          </w:p>
        </w:tc>
      </w:tr>
      <w:tr w:rsidR="00A048C0" w:rsidRPr="00A048C0" w14:paraId="40D6F749" w14:textId="77777777" w:rsidTr="00CD2E0C">
        <w:trPr>
          <w:jc w:val="center"/>
        </w:trPr>
        <w:tc>
          <w:tcPr>
            <w:tcW w:w="4135" w:type="dxa"/>
          </w:tcPr>
          <w:p w14:paraId="38F487FB" w14:textId="77777777" w:rsidR="00A048C0" w:rsidRPr="00A048C0" w:rsidRDefault="00A048C0" w:rsidP="00CD2E0C">
            <w:pPr>
              <w:rPr>
                <w:bCs/>
                <w:i/>
                <w:sz w:val="20"/>
                <w:szCs w:val="20"/>
              </w:rPr>
            </w:pPr>
            <w:r w:rsidRPr="00A048C0">
              <w:rPr>
                <w:bCs/>
                <w:i/>
                <w:sz w:val="20"/>
                <w:szCs w:val="20"/>
              </w:rPr>
              <w:t>Electro-mechanical (CAES and Flywheels)</w:t>
            </w:r>
          </w:p>
        </w:tc>
        <w:tc>
          <w:tcPr>
            <w:tcW w:w="1530" w:type="dxa"/>
          </w:tcPr>
          <w:p w14:paraId="18117B95" w14:textId="77777777" w:rsidR="00A048C0" w:rsidRPr="00A048C0" w:rsidRDefault="00A048C0" w:rsidP="00CD2E0C">
            <w:pPr>
              <w:jc w:val="center"/>
              <w:rPr>
                <w:bCs/>
                <w:sz w:val="20"/>
                <w:szCs w:val="20"/>
              </w:rPr>
            </w:pPr>
            <w:r w:rsidRPr="00A048C0">
              <w:rPr>
                <w:bCs/>
                <w:sz w:val="20"/>
                <w:szCs w:val="20"/>
              </w:rPr>
              <w:t>69</w:t>
            </w:r>
          </w:p>
        </w:tc>
        <w:tc>
          <w:tcPr>
            <w:tcW w:w="2250" w:type="dxa"/>
          </w:tcPr>
          <w:p w14:paraId="71BED3F9" w14:textId="77777777" w:rsidR="00A048C0" w:rsidRPr="00A048C0" w:rsidRDefault="00A048C0" w:rsidP="00CD2E0C">
            <w:pPr>
              <w:jc w:val="center"/>
              <w:rPr>
                <w:bCs/>
                <w:sz w:val="20"/>
                <w:szCs w:val="20"/>
              </w:rPr>
            </w:pPr>
            <w:r w:rsidRPr="00A048C0">
              <w:rPr>
                <w:bCs/>
                <w:sz w:val="20"/>
                <w:szCs w:val="20"/>
              </w:rPr>
              <w:t>2,611</w:t>
            </w:r>
          </w:p>
        </w:tc>
      </w:tr>
      <w:tr w:rsidR="00A048C0" w:rsidRPr="00A048C0" w14:paraId="148DEA3C" w14:textId="77777777" w:rsidTr="00CD2E0C">
        <w:trPr>
          <w:jc w:val="center"/>
        </w:trPr>
        <w:tc>
          <w:tcPr>
            <w:tcW w:w="4135" w:type="dxa"/>
          </w:tcPr>
          <w:p w14:paraId="11D980DE" w14:textId="77777777" w:rsidR="00A048C0" w:rsidRPr="00A048C0" w:rsidRDefault="00A048C0" w:rsidP="00CD2E0C">
            <w:pPr>
              <w:rPr>
                <w:bCs/>
                <w:i/>
                <w:sz w:val="20"/>
                <w:szCs w:val="20"/>
              </w:rPr>
            </w:pPr>
            <w:r w:rsidRPr="00A048C0">
              <w:rPr>
                <w:bCs/>
                <w:i/>
                <w:sz w:val="20"/>
                <w:szCs w:val="20"/>
              </w:rPr>
              <w:t>Hydrogen Storage</w:t>
            </w:r>
          </w:p>
        </w:tc>
        <w:tc>
          <w:tcPr>
            <w:tcW w:w="1530" w:type="dxa"/>
          </w:tcPr>
          <w:p w14:paraId="603173DA" w14:textId="77777777" w:rsidR="00A048C0" w:rsidRPr="00A048C0" w:rsidRDefault="00A048C0" w:rsidP="00CD2E0C">
            <w:pPr>
              <w:jc w:val="center"/>
              <w:rPr>
                <w:bCs/>
                <w:sz w:val="20"/>
                <w:szCs w:val="20"/>
              </w:rPr>
            </w:pPr>
            <w:r w:rsidRPr="00A048C0">
              <w:rPr>
                <w:bCs/>
                <w:sz w:val="20"/>
                <w:szCs w:val="20"/>
              </w:rPr>
              <w:t>9</w:t>
            </w:r>
          </w:p>
        </w:tc>
        <w:tc>
          <w:tcPr>
            <w:tcW w:w="2250" w:type="dxa"/>
          </w:tcPr>
          <w:p w14:paraId="64365CAB" w14:textId="77777777" w:rsidR="00A048C0" w:rsidRPr="00A048C0" w:rsidRDefault="00A048C0" w:rsidP="00CD2E0C">
            <w:pPr>
              <w:jc w:val="center"/>
              <w:rPr>
                <w:bCs/>
                <w:sz w:val="20"/>
                <w:szCs w:val="20"/>
              </w:rPr>
            </w:pPr>
            <w:r w:rsidRPr="00A048C0">
              <w:rPr>
                <w:bCs/>
                <w:sz w:val="20"/>
                <w:szCs w:val="20"/>
              </w:rPr>
              <w:t>6</w:t>
            </w:r>
          </w:p>
        </w:tc>
      </w:tr>
      <w:tr w:rsidR="00A048C0" w:rsidRPr="00A048C0" w14:paraId="4342FA91" w14:textId="77777777" w:rsidTr="00CD2E0C">
        <w:trPr>
          <w:jc w:val="center"/>
        </w:trPr>
        <w:tc>
          <w:tcPr>
            <w:tcW w:w="4135" w:type="dxa"/>
          </w:tcPr>
          <w:p w14:paraId="235FB8AB" w14:textId="77777777" w:rsidR="00A048C0" w:rsidRPr="00A048C0" w:rsidRDefault="00A048C0" w:rsidP="00CD2E0C">
            <w:pPr>
              <w:rPr>
                <w:bCs/>
                <w:i/>
                <w:sz w:val="20"/>
                <w:szCs w:val="20"/>
              </w:rPr>
            </w:pPr>
            <w:r w:rsidRPr="00A048C0">
              <w:rPr>
                <w:bCs/>
                <w:i/>
                <w:sz w:val="20"/>
                <w:szCs w:val="20"/>
              </w:rPr>
              <w:lastRenderedPageBreak/>
              <w:t>Liquid Air Energy Storage</w:t>
            </w:r>
          </w:p>
        </w:tc>
        <w:tc>
          <w:tcPr>
            <w:tcW w:w="1530" w:type="dxa"/>
          </w:tcPr>
          <w:p w14:paraId="2A3C4CCB" w14:textId="77777777" w:rsidR="00A048C0" w:rsidRPr="00A048C0" w:rsidRDefault="00A048C0" w:rsidP="00CD2E0C">
            <w:pPr>
              <w:jc w:val="center"/>
              <w:rPr>
                <w:bCs/>
                <w:sz w:val="20"/>
                <w:szCs w:val="20"/>
              </w:rPr>
            </w:pPr>
            <w:r w:rsidRPr="00A048C0">
              <w:rPr>
                <w:bCs/>
                <w:sz w:val="20"/>
                <w:szCs w:val="20"/>
              </w:rPr>
              <w:t>1</w:t>
            </w:r>
          </w:p>
        </w:tc>
        <w:tc>
          <w:tcPr>
            <w:tcW w:w="2250" w:type="dxa"/>
          </w:tcPr>
          <w:p w14:paraId="665AC4F6" w14:textId="77777777" w:rsidR="00A048C0" w:rsidRPr="00A048C0" w:rsidRDefault="00A048C0" w:rsidP="00CD2E0C">
            <w:pPr>
              <w:jc w:val="center"/>
              <w:rPr>
                <w:bCs/>
                <w:sz w:val="20"/>
                <w:szCs w:val="20"/>
              </w:rPr>
            </w:pPr>
            <w:r w:rsidRPr="00A048C0">
              <w:rPr>
                <w:bCs/>
                <w:sz w:val="20"/>
                <w:szCs w:val="20"/>
              </w:rPr>
              <w:t>5</w:t>
            </w:r>
          </w:p>
        </w:tc>
      </w:tr>
    </w:tbl>
    <w:p w14:paraId="18B6D8C9" w14:textId="2A409FB6" w:rsidR="00A048C0" w:rsidRPr="00A048C0" w:rsidRDefault="00A048C0" w:rsidP="00A048C0">
      <w:pPr>
        <w:rPr>
          <w:rFonts w:eastAsia="Times New Roman"/>
        </w:rPr>
      </w:pPr>
    </w:p>
    <w:p w14:paraId="4B6E5C96" w14:textId="0C3BD7F2" w:rsidR="00D1508C" w:rsidRDefault="551A77D0" w:rsidP="005D49A8">
      <w:pPr>
        <w:pStyle w:val="Heading3"/>
      </w:pPr>
      <w:bookmarkStart w:id="21" w:name="_Toc10921938"/>
      <w:r w:rsidRPr="00E069AC">
        <w:t>Trends</w:t>
      </w:r>
      <w:r w:rsidR="000C3205" w:rsidRPr="00E069AC">
        <w:t xml:space="preserve"> </w:t>
      </w:r>
      <w:r w:rsidR="00A53CDF" w:rsidRPr="00E069AC">
        <w:t>to Accelerate Adoption</w:t>
      </w:r>
      <w:bookmarkEnd w:id="21"/>
    </w:p>
    <w:p w14:paraId="72C4D24F" w14:textId="44B016F3" w:rsidR="00A048C0" w:rsidRPr="0091000D" w:rsidRDefault="00A048C0" w:rsidP="00A048C0">
      <w:pPr>
        <w:rPr>
          <w:rFonts w:eastAsia="Times New Roman"/>
        </w:rPr>
      </w:pPr>
      <w:r w:rsidRPr="00A048C0">
        <w:rPr>
          <w:rFonts w:eastAsia="Times New Roman"/>
        </w:rPr>
        <w:t>Energy storage</w:t>
      </w:r>
      <w:r>
        <w:rPr>
          <w:rFonts w:eastAsia="Times New Roman"/>
        </w:rPr>
        <w:t xml:space="preserve"> technologies</w:t>
      </w:r>
      <w:r w:rsidRPr="00A048C0">
        <w:rPr>
          <w:rFonts w:eastAsia="Times New Roman"/>
        </w:rPr>
        <w:t xml:space="preserve"> can act as a generator, a load, or a provider of services depending on how it is operated. While ESS installations can currently participate in the utility-scale power market through arbitraging (buying and storing power when it is </w:t>
      </w:r>
      <w:r w:rsidRPr="00114AD0">
        <w:rPr>
          <w:rFonts w:eastAsia="Times New Roman"/>
        </w:rPr>
        <w:t xml:space="preserve">cheap and selling stored energy to the grid when prices are high), the myriad other services provided by energy storage have yet to be addressed with pricing regulations </w:t>
      </w:r>
      <w:r w:rsidRPr="00114AD0">
        <w:rPr>
          <w:rFonts w:eastAsia="Times New Roman"/>
        </w:rPr>
        <w:fldChar w:fldCharType="begin"/>
      </w:r>
      <w:r w:rsidRPr="00114AD0">
        <w:rPr>
          <w:rFonts w:eastAsia="Times New Roman"/>
        </w:rPr>
        <w:instrText xml:space="preserve"> ADDIN ZOTERO_ITEM CSL_CITATION {"citationID":"2jla54g4j1","properties":{"formattedCitation":"(Bhatnagar, Currier, Hernandez, Ma, &amp; Kirby, 2013)","plainCitation":"(Bhatnagar, Currier, Hernandez, Ma, &amp; Kirby, 2013)"},"citationItems":[{"id":3374,"uris":["http://zotero.org/groups/277937/items/IU2C9R95"],"uri":["http://zotero.org/groups/277937/items/IU2C9R95"],"itemData":{"id":3374,"type":"article-journal","title":"Market and policy barriers to energy storage deployment","container-title":"Sandia National Lab. SAND2013-7606","source":"Google Scholar","URL":"http://consultkirby.com/files/SAND2013-7606_Market_and_Policy_Barriers_to_Energy_Storage_Development_September_2013.pdf","author":[{"family":"Bhatnagar","given":"Dhruv"},{"family":"Currier","given":"Aileen"},{"family":"Hernandez","given":"Jacquelynne"},{"family":"Ma","given":"Ookie"},{"family":"Kirby","given":"Brendan"}],"issued":{"date-parts":[["2013"]]},"accessed":{"date-parts":[["2015",6,9]]}}}],"schema":"https://github.com/citation-style-language/schema/raw/master/csl-citation.json"} </w:instrText>
      </w:r>
      <w:r w:rsidRPr="00114AD0">
        <w:rPr>
          <w:rFonts w:eastAsia="Times New Roman"/>
        </w:rPr>
        <w:fldChar w:fldCharType="separate"/>
      </w:r>
      <w:r w:rsidRPr="00114AD0">
        <w:rPr>
          <w:rFonts w:eastAsia="Times New Roman"/>
        </w:rPr>
        <w:t>(Bhatnagar</w:t>
      </w:r>
      <w:r w:rsidR="00D91E77" w:rsidRPr="00114AD0">
        <w:rPr>
          <w:rFonts w:eastAsia="Times New Roman"/>
        </w:rPr>
        <w:t xml:space="preserve"> et al.,</w:t>
      </w:r>
      <w:r w:rsidRPr="00114AD0">
        <w:rPr>
          <w:rFonts w:eastAsia="Times New Roman"/>
        </w:rPr>
        <w:t xml:space="preserve"> 2013)</w:t>
      </w:r>
      <w:r w:rsidRPr="00114AD0">
        <w:rPr>
          <w:rFonts w:eastAsia="Times New Roman"/>
        </w:rPr>
        <w:fldChar w:fldCharType="end"/>
      </w:r>
      <w:r w:rsidRPr="00114AD0">
        <w:rPr>
          <w:rFonts w:eastAsia="Times New Roman"/>
        </w:rPr>
        <w:t>. These include the load balancing and reliability considerations mentioned above as well as other ancillary services such as power conditioning (making sure that AC power signals are supplied at the proper voltage and frequency) and relieving congestion on transmission</w:t>
      </w:r>
      <w:r w:rsidRPr="00A048C0">
        <w:rPr>
          <w:rFonts w:eastAsia="Times New Roman"/>
        </w:rPr>
        <w:t xml:space="preserve"> lines. Since these services do not involve selling power per se, governments and utilities have struggled to determine pricing models that would allow for operators of ESS facilities to be appropriately remunerated for providing them. As a single ESS may be equipped to provide multiple types of ancillary services, this gap is a major impediment to the economic viability of utility-scale energy storage </w:t>
      </w:r>
      <w:r w:rsidRPr="00A048C0">
        <w:rPr>
          <w:rFonts w:eastAsia="Times New Roman"/>
        </w:rPr>
        <w:fldChar w:fldCharType="begin"/>
      </w:r>
      <w:r w:rsidRPr="00A048C0">
        <w:rPr>
          <w:rFonts w:eastAsia="Times New Roman"/>
        </w:rPr>
        <w:instrText xml:space="preserve"> ADDIN ZOTERO_ITEM CSL_CITATION {"citationID":"10675onem5","properties":{"formattedCitation":"(Bhatnagar et al., 2013)","plainCitation":"(Bhatnagar et al., 2013)"},"citationItems":[{"id":3374,"uris":["http://zotero.org/groups/277937/items/IU2C9R95"],"uri":["http://zotero.org/groups/277937/items/IU2C9R95"],"itemData":{"id":3374,"type":"article-journal","title":"Market and policy barriers to energy storage deployment","container-title":"Sandia National Lab. SAND2013-7606","source":"Google Scholar","URL":"http://consultkirby.com/files/SAND2013-7606_Market_and_Policy_Barriers_to_Energy_Storage_Development_September_2013.pdf","author":[{"family":"Bhatnagar","given":"Dhruv"},{"family":"Currier","given":"Aileen"},{"family":"Hernandez","given":"Jacquelynne"},{"family":"Ma","given":"Ookie"},{"family":"Kirby","given":"Brendan"}],"issued":{"date-parts":[["2013"]]},"accessed":{"date-parts":[["2015",6,9]]}}}],"schema":"https://github.com/citation-style-language/schema/raw/master/csl-citation.json"} </w:instrText>
      </w:r>
      <w:r w:rsidRPr="00A048C0">
        <w:rPr>
          <w:rFonts w:eastAsia="Times New Roman"/>
        </w:rPr>
        <w:fldChar w:fldCharType="separate"/>
      </w:r>
      <w:r w:rsidRPr="00A048C0">
        <w:rPr>
          <w:rFonts w:eastAsia="Times New Roman"/>
        </w:rPr>
        <w:t>(Bhatnagar et al., 2013)</w:t>
      </w:r>
      <w:r w:rsidRPr="00A048C0">
        <w:rPr>
          <w:rFonts w:eastAsia="Times New Roman"/>
        </w:rPr>
        <w:fldChar w:fldCharType="end"/>
      </w:r>
      <w:r w:rsidRPr="00A048C0">
        <w:rPr>
          <w:rFonts w:eastAsia="Times New Roman"/>
        </w:rPr>
        <w:t xml:space="preserve">. The need to determine pricing models is made more </w:t>
      </w:r>
      <w:r w:rsidRPr="0091000D">
        <w:rPr>
          <w:rFonts w:eastAsia="Times New Roman"/>
        </w:rPr>
        <w:t>urgent as opportunities for arbitrage will disappear as ESS penetration increases.</w:t>
      </w:r>
    </w:p>
    <w:p w14:paraId="03C504BC" w14:textId="28F25C24" w:rsidR="00A048C0" w:rsidRPr="00A048C0" w:rsidRDefault="00A048C0" w:rsidP="00A048C0">
      <w:pPr>
        <w:rPr>
          <w:rFonts w:eastAsia="Times New Roman"/>
        </w:rPr>
      </w:pPr>
      <w:r w:rsidRPr="0091000D">
        <w:rPr>
          <w:rFonts w:eastAsia="Times New Roman"/>
        </w:rPr>
        <w:t xml:space="preserve">Governments have attempted to address this gap but progress has been slow. In the United States, a number of states and utilities (most notably in California and Texas) have set installation targets for ESS projects. Moreover, the Federal Energy Regulatory Commission (FERC) has begun the process of adjusting its regulations to allow ESS operators to be paid for providing multiple types of services at once (e.g., both congestion relief and load balancing), which is not allowed for other types of entities under current policies </w:t>
      </w:r>
      <w:r w:rsidRPr="0091000D">
        <w:rPr>
          <w:rFonts w:eastAsia="Times New Roman"/>
        </w:rPr>
        <w:fldChar w:fldCharType="begin"/>
      </w:r>
      <w:r w:rsidRPr="0091000D">
        <w:rPr>
          <w:rFonts w:eastAsia="Times New Roman"/>
        </w:rPr>
        <w:instrText xml:space="preserve"> ADDIN ZOTERO_ITEM CSL_CITATION {"citationID":"2nhrbimp3s","properties":{"formattedCitation":"(Bhatnagar et al., 2013)","plainCitation":"(Bhatnagar et al., 2013)"},"citationItems":[{"id":3374,"uris":["http://zotero.org/groups/277937/items/IU2C9R95"],"uri":["http://zotero.org/groups/277937/items/IU2C9R95"],"itemData":{"id":3374,"type":"article-journal","title":"Market and policy barriers to energy storage deployment","container-title":"Sandia National Lab. SAND2013-7606","source":"Google Scholar","URL":"http://consultkirby.com/files/SAND2013-7606_Market_and_Policy_Barriers_to_Energy_Storage_Development_September_2013.pdf","author":[{"family":"Bhatnagar","given":"Dhruv"},{"family":"Currier","given":"Aileen"},{"family":"Hernandez","given":"Jacquelynne"},{"family":"Ma","given":"Ookie"},{"family":"Kirby","given":"Brendan"}],"issued":{"date-parts":[["2013"]]},"accessed":{"date-parts":[["2015",6,9]]}}}],"schema":"https://github.com/citation-style-language/schema/raw/master/csl-citation.json"} </w:instrText>
      </w:r>
      <w:r w:rsidRPr="0091000D">
        <w:rPr>
          <w:rFonts w:eastAsia="Times New Roman"/>
        </w:rPr>
        <w:fldChar w:fldCharType="separate"/>
      </w:r>
      <w:r w:rsidRPr="0091000D">
        <w:rPr>
          <w:rFonts w:eastAsia="Times New Roman"/>
        </w:rPr>
        <w:t>(Bhatnagar et al., 2013)</w:t>
      </w:r>
      <w:r w:rsidRPr="0091000D">
        <w:rPr>
          <w:rFonts w:eastAsia="Times New Roman"/>
        </w:rPr>
        <w:fldChar w:fldCharType="end"/>
      </w:r>
      <w:r w:rsidRPr="0091000D">
        <w:rPr>
          <w:rFonts w:eastAsia="Times New Roman"/>
        </w:rPr>
        <w:t>. The payment models open to ESS operators vary upon the service provided, ranging from payment based on providing a certain rate of return on capital investments to “pay for performance” to payment based on the marginal cost of the power that would have had to be generated in the absence of ESS. FERC has issued several directives to regional power system operators indicating that these groups must develop models by which ESS facilities are paid</w:t>
      </w:r>
      <w:r w:rsidRPr="00A048C0">
        <w:rPr>
          <w:rFonts w:eastAsia="Times New Roman"/>
        </w:rPr>
        <w:t xml:space="preserve"> for providing reliability and performance services </w:t>
      </w:r>
      <w:r w:rsidRPr="00A048C0">
        <w:rPr>
          <w:rFonts w:eastAsia="Times New Roman"/>
        </w:rPr>
        <w:fldChar w:fldCharType="begin"/>
      </w:r>
      <w:r w:rsidRPr="00A048C0">
        <w:rPr>
          <w:rFonts w:eastAsia="Times New Roman"/>
        </w:rPr>
        <w:instrText xml:space="preserve"> ADDIN ZOTERO_ITEM CSL_CITATION {"citationID":"2pnd622sn9","properties":{"formattedCitation":"(Bhatnagar et al., 2013)","plainCitation":"(Bhatnagar et al., 2013)"},"citationItems":[{"id":3374,"uris":["http://zotero.org/groups/277937/items/IU2C9R95"],"uri":["http://zotero.org/groups/277937/items/IU2C9R95"],"itemData":{"id":3374,"type":"article-journal","title":"Market and policy barriers to energy storage deployment","container-title":"Sandia National Lab. SAND2013-7606","source":"Google Scholar","URL":"http://consultkirby.com/files/SAND2013-7606_Market_and_Policy_Barriers_to_Energy_Storage_Development_September_2013.pdf","author":[{"family":"Bhatnagar","given":"Dhruv"},{"family":"Currier","given":"Aileen"},{"family":"Hernandez","given":"Jacquelynne"},{"family":"Ma","given":"Ookie"},{"family":"Kirby","given":"Brendan"}],"issued":{"date-parts":[["2013"]]},"accessed":{"date-parts":[["2015",6,9]]}}}],"schema":"https://github.com/citation-style-language/schema/raw/master/csl-citation.json"} </w:instrText>
      </w:r>
      <w:r w:rsidRPr="00A048C0">
        <w:rPr>
          <w:rFonts w:eastAsia="Times New Roman"/>
        </w:rPr>
        <w:fldChar w:fldCharType="separate"/>
      </w:r>
      <w:r w:rsidRPr="00A048C0">
        <w:rPr>
          <w:rFonts w:eastAsia="Times New Roman"/>
        </w:rPr>
        <w:t>(Bhatnagar et al., 2013)</w:t>
      </w:r>
      <w:r w:rsidRPr="00A048C0">
        <w:rPr>
          <w:rFonts w:eastAsia="Times New Roman"/>
        </w:rPr>
        <w:fldChar w:fldCharType="end"/>
      </w:r>
      <w:r w:rsidRPr="00A048C0">
        <w:rPr>
          <w:rFonts w:eastAsia="Times New Roman"/>
        </w:rPr>
        <w:t xml:space="preserve">. However, the ISOs themselves have been given freedom to shape their own rules, leading to variability in regulations across regional markets that also serves to complicate the business proposition of utility-scale ESS. </w:t>
      </w:r>
    </w:p>
    <w:p w14:paraId="3853404B" w14:textId="235F7B1D" w:rsidR="00A048C0" w:rsidRPr="0091000D" w:rsidRDefault="00A048C0" w:rsidP="00A048C0">
      <w:pPr>
        <w:rPr>
          <w:rFonts w:eastAsia="Times New Roman"/>
        </w:rPr>
      </w:pPr>
      <w:r w:rsidRPr="00A048C0">
        <w:rPr>
          <w:rFonts w:eastAsia="Times New Roman"/>
        </w:rPr>
        <w:t xml:space="preserve">Globally, a number of governments (including those of China, Japan, and South Korea) have agreed to partially or entirely fund demonstration-scale projects with an aim toward reducing cost and risk </w:t>
      </w:r>
      <w:r w:rsidRPr="00A048C0">
        <w:rPr>
          <w:rFonts w:eastAsia="Times New Roman"/>
        </w:rPr>
        <w:fldChar w:fldCharType="begin"/>
      </w:r>
      <w:r w:rsidRPr="00A048C0">
        <w:rPr>
          <w:rFonts w:eastAsia="Times New Roman"/>
        </w:rPr>
        <w:instrText xml:space="preserve"> ADDIN ZOTERO_ITEM CSL_CITATION {"citationID":"1q863chmo1","properties":{"formattedCitation":"(US Department of Energy, 2013)","plainCitation":"(US Department of Energy, 2013)"},"citationItems":[{"id":3375,"uris":["http://zotero.org/groups/277937/items/HQ8TTHPB"],"uri":["http://zotero.org/groups/277937/items/HQ8TTHPB"],"itemData":{"id":3375,"type":"report","title":"Grid Energy Storage - December 2013 | Department of Energy","URL":"http://energy.gov/oe/downloads/grid-energy-storage-december-2013","author":[{"family":"US Department of Energy","given":""}],"issued":{"date-parts":[["2013",12]]},"accessed":{"date-parts":[["2015",6,9]]}}}],"schema":"https://github.com/citation-style-language/schema/raw/master/csl-citation.json"} </w:instrText>
      </w:r>
      <w:r w:rsidRPr="00A048C0">
        <w:rPr>
          <w:rFonts w:eastAsia="Times New Roman"/>
        </w:rPr>
        <w:fldChar w:fldCharType="separate"/>
      </w:r>
      <w:r w:rsidRPr="00A048C0">
        <w:rPr>
          <w:rFonts w:eastAsia="Times New Roman"/>
        </w:rPr>
        <w:t xml:space="preserve">(US </w:t>
      </w:r>
      <w:r w:rsidR="00D91E77">
        <w:rPr>
          <w:rFonts w:eastAsia="Times New Roman"/>
        </w:rPr>
        <w:t>DOE</w:t>
      </w:r>
      <w:r w:rsidRPr="00A048C0">
        <w:rPr>
          <w:rFonts w:eastAsia="Times New Roman"/>
        </w:rPr>
        <w:t>, 2013)</w:t>
      </w:r>
      <w:r w:rsidRPr="00A048C0">
        <w:rPr>
          <w:rFonts w:eastAsia="Times New Roman"/>
        </w:rPr>
        <w:fldChar w:fldCharType="end"/>
      </w:r>
      <w:r w:rsidRPr="00A048C0">
        <w:rPr>
          <w:rFonts w:eastAsia="Times New Roman"/>
        </w:rPr>
        <w:t xml:space="preserve">. Similarly to the situation in the United States, the European Network of Transmission System </w:t>
      </w:r>
      <w:r w:rsidRPr="00A048C0">
        <w:rPr>
          <w:rFonts w:eastAsia="Times New Roman"/>
        </w:rPr>
        <w:lastRenderedPageBreak/>
        <w:t xml:space="preserve">Operators has begun shaping rules to regular the power balancing market </w:t>
      </w:r>
      <w:r w:rsidRPr="00A048C0">
        <w:rPr>
          <w:rFonts w:eastAsia="Times New Roman"/>
        </w:rPr>
        <w:fldChar w:fldCharType="begin"/>
      </w:r>
      <w:r w:rsidRPr="00A048C0">
        <w:rPr>
          <w:rFonts w:eastAsia="Times New Roman"/>
        </w:rPr>
        <w:instrText xml:space="preserve"> ADDIN ZOTERO_ITEM CSL_CITATION {"citationID":"1qtaul1vg4","properties":{"formattedCitation":"(Directorate-General for Energy, 2013)","plainCitation":"(Directorate-General for Energy, 2013)"},"citationItems":[{"id":3979,"uris":["http://zotero.org/groups/277937/items/94ZJK92I"],"uri":["http://zotero.org/groups/277937/items/94ZJK92I"],"itemData":{"id":3979,"type":"report","title":"The future role and challenges of energy storage","publisher":"European Commission","author":[{"family":"Directorate-General for Energy","given":""}],"issued":{"date-parts":[["2013",1,14]]}}}],"schema":"https://github.com/citation-style-language/schema/raw/master/csl-citation.json"} </w:instrText>
      </w:r>
      <w:r w:rsidRPr="00A048C0">
        <w:rPr>
          <w:rFonts w:eastAsia="Times New Roman"/>
        </w:rPr>
        <w:fldChar w:fldCharType="separate"/>
      </w:r>
      <w:r w:rsidRPr="00A048C0">
        <w:rPr>
          <w:rFonts w:eastAsia="Times New Roman"/>
        </w:rPr>
        <w:t>(Directorate-General for Energy, 2013)</w:t>
      </w:r>
      <w:r w:rsidRPr="00A048C0">
        <w:rPr>
          <w:rFonts w:eastAsia="Times New Roman"/>
        </w:rPr>
        <w:fldChar w:fldCharType="end"/>
      </w:r>
      <w:r w:rsidRPr="00A048C0">
        <w:rPr>
          <w:rFonts w:eastAsia="Times New Roman"/>
        </w:rPr>
        <w:t>. The situation is complicated by the patchwork nature of the world’s electricity markets. In nations with vertically-</w:t>
      </w:r>
      <w:r w:rsidRPr="0091000D">
        <w:rPr>
          <w:rFonts w:eastAsia="Times New Roman"/>
        </w:rPr>
        <w:t>integrated utilities or state control of the electric power system, pricing regulations may be unnecessary as utilities will reap the benefits of ESS without market transactions. In regions where power is traded between nations, however, such variations can lead to difficulty for ESS developers that may need to be able to operate in multiple markets to be profitable.</w:t>
      </w:r>
    </w:p>
    <w:p w14:paraId="6ED815AF" w14:textId="1C299393" w:rsidR="00A048C0" w:rsidRPr="0091000D" w:rsidRDefault="00A048C0" w:rsidP="00A048C0">
      <w:r w:rsidRPr="0091000D">
        <w:rPr>
          <w:rFonts w:eastAsia="Times New Roman"/>
        </w:rPr>
        <w:t>Given the many benefits of energy storage and the recent developments in energy storage technology and related policies, it is reasonable to predict that energy storage capacity will increase in the coming years.</w:t>
      </w:r>
      <w:r w:rsidRPr="0091000D">
        <w:rPr>
          <w:rFonts w:eastAsia="Times New Roman"/>
          <w:rtl/>
        </w:rPr>
        <w:t xml:space="preserve"> </w:t>
      </w:r>
      <w:r w:rsidRPr="0091000D">
        <w:rPr>
          <w:rFonts w:eastAsia="Times New Roman"/>
        </w:rPr>
        <w:t xml:space="preserve">In 2014, there was around 141 GW of utility-energy storage installed </w:t>
      </w:r>
      <w:r w:rsidR="00D91E77" w:rsidRPr="0091000D">
        <w:rPr>
          <w:rFonts w:eastAsia="Times New Roman"/>
        </w:rPr>
        <w:t>w</w:t>
      </w:r>
      <w:r w:rsidRPr="0091000D">
        <w:rPr>
          <w:rFonts w:eastAsia="Times New Roman"/>
        </w:rPr>
        <w:t xml:space="preserve">orldwide (IEA, 2014) which will increase to more than 188 GW by 2020 (US </w:t>
      </w:r>
      <w:r w:rsidR="00D91E77" w:rsidRPr="0091000D">
        <w:rPr>
          <w:rFonts w:eastAsia="Times New Roman"/>
        </w:rPr>
        <w:t>DOE</w:t>
      </w:r>
      <w:r w:rsidRPr="0091000D">
        <w:rPr>
          <w:rFonts w:eastAsia="Times New Roman"/>
        </w:rPr>
        <w:t>, 2016).</w:t>
      </w:r>
    </w:p>
    <w:p w14:paraId="0B8C3EFB" w14:textId="1473D8FA" w:rsidR="00D1508C" w:rsidRPr="0091000D" w:rsidRDefault="551A77D0" w:rsidP="005D49A8">
      <w:pPr>
        <w:pStyle w:val="Heading3"/>
      </w:pPr>
      <w:bookmarkStart w:id="22" w:name="_Toc10921939"/>
      <w:r w:rsidRPr="0091000D">
        <w:t>Barriers to Adoption</w:t>
      </w:r>
      <w:bookmarkEnd w:id="22"/>
    </w:p>
    <w:p w14:paraId="2D10E2BD" w14:textId="77777777" w:rsidR="00A048C0" w:rsidRPr="00A048C0" w:rsidRDefault="00A048C0" w:rsidP="00A048C0">
      <w:pPr>
        <w:rPr>
          <w:rFonts w:eastAsia="Times New Roman"/>
        </w:rPr>
      </w:pPr>
      <w:r w:rsidRPr="0091000D">
        <w:rPr>
          <w:rFonts w:eastAsia="Times New Roman"/>
        </w:rPr>
        <w:t>There are three main barriers inhibiting the widespread adoption of bulk energy storage systems. First, some technical hurdles have yet to be overcome. These include updating the electricity transmission and distribution system to be able to handle more dynamic, multi-directional power flow patterns (an effort which falls under the larger heading of “smart grid”) as well as improvements in ESS technologies themselves. For example, a number of new companies are attempting to commercialize a new form of CAES that combines air compression with heat exchange to improve round</w:t>
      </w:r>
      <w:r w:rsidRPr="00A048C0">
        <w:rPr>
          <w:rFonts w:eastAsia="Times New Roman"/>
        </w:rPr>
        <w:t xml:space="preserve">-trip efficiencies. If successful, such innovations will make CAES a much more favorable and cost-effective storage option. Similarly, many stakeholders anticipate future improvements in battery technology to improve power capabilities, energy densities, cycle lifetimes, and (above all) cost </w:t>
      </w:r>
      <w:r w:rsidRPr="00A048C0">
        <w:rPr>
          <w:rFonts w:eastAsia="Times New Roman"/>
        </w:rPr>
        <w:fldChar w:fldCharType="begin"/>
      </w:r>
      <w:r w:rsidRPr="00A048C0">
        <w:rPr>
          <w:rFonts w:eastAsia="Times New Roman"/>
        </w:rPr>
        <w:instrText xml:space="preserve"> ADDIN ZOTERO_ITEM CSL_CITATION {"citationID":"rpc9km0n1","properties":{"formattedCitation":"(Dunn et al., 2011)","plainCitation":"(Dunn et al., 2011)"},"citationItems":[{"id":3372,"uris":["http://zotero.org/groups/277937/items/ZXTQJGXW"],"uri":["http://zotero.org/groups/277937/items/ZXTQJGXW"],"itemData":{"id":3372,"type":"article-journal","title":"Electrical energy storage for the grid: a battery of choices","container-title":"Science","page":"928–935","volume":"334","issue":"6058","source":"Google Scholar","shortTitle":"Electrical energy storage for the grid","author":[{"family":"Dunn","given":"Bruce"},{"family":"Kamath","given":"Haresh"},{"family":"Tarascon","given":"Jean-Marie"}],"issued":{"date-parts":[["2011"]]},"accessed":{"date-parts":[["2015",6,9]]}}}],"schema":"https://github.com/citation-style-language/schema/raw/master/csl-citation.json"} </w:instrText>
      </w:r>
      <w:r w:rsidRPr="00A048C0">
        <w:rPr>
          <w:rFonts w:eastAsia="Times New Roman"/>
        </w:rPr>
        <w:fldChar w:fldCharType="separate"/>
      </w:r>
      <w:r w:rsidRPr="00A048C0">
        <w:rPr>
          <w:rFonts w:eastAsia="Times New Roman"/>
        </w:rPr>
        <w:t>(Dunn et al., 2011)</w:t>
      </w:r>
      <w:r w:rsidRPr="00A048C0">
        <w:rPr>
          <w:rFonts w:eastAsia="Times New Roman"/>
        </w:rPr>
        <w:fldChar w:fldCharType="end"/>
      </w:r>
      <w:r w:rsidRPr="00A048C0">
        <w:rPr>
          <w:rFonts w:eastAsia="Times New Roman"/>
        </w:rPr>
        <w:t>.</w:t>
      </w:r>
    </w:p>
    <w:p w14:paraId="0A3D2AC2" w14:textId="77777777" w:rsidR="00A048C0" w:rsidRPr="00A048C0" w:rsidRDefault="00A048C0" w:rsidP="00A048C0">
      <w:pPr>
        <w:rPr>
          <w:rFonts w:eastAsia="Times New Roman"/>
        </w:rPr>
      </w:pPr>
      <w:r w:rsidRPr="00A048C0">
        <w:rPr>
          <w:rFonts w:eastAsia="Times New Roman"/>
        </w:rPr>
        <w:t xml:space="preserve">The relatively large expense associated with ESS is a second major barrier. Battery ESS, in particular, are generally 2-4 times more expensive than capital cost targets of ~$250/kWh. As target prices (which include balance-of-system costs for components such as power electronics), ESS can successfully compete with natural gas “peaking plants,” conventional generators that are used primarily to respond to very high loads on the grid. Recently, however, battery ESS have been significantly dropping in price due to a combination of technology improvements and learning curve gains. The extensive use of lithium-based batteries in personal electronics and electric vehicles, in particular, has led to cost reductions that can be leveraged by the electric power industry </w:t>
      </w:r>
      <w:r w:rsidRPr="00A048C0">
        <w:rPr>
          <w:rFonts w:eastAsia="Times New Roman"/>
        </w:rPr>
        <w:fldChar w:fldCharType="begin"/>
      </w:r>
      <w:r w:rsidRPr="00A048C0">
        <w:rPr>
          <w:rFonts w:eastAsia="Times New Roman"/>
        </w:rPr>
        <w:instrText xml:space="preserve"> ADDIN ZOTERO_ITEM CSL_CITATION {"citationID":"Yia5BqwL","properties":{"formattedCitation":"(Dunn et al., 2011; Nykvist &amp; Nilsson, 2015)","plainCitation":"(Dunn et al., 2011; Nykvist &amp; Nilsson, 2015)"},"citationItems":[{"id":3372,"uris":["http://zotero.org/groups/277937/items/ZXTQJGXW"],"uri":["http://zotero.org/groups/277937/items/ZXTQJGXW"],"itemData":{"id":3372,"type":"article-journal","title":"Electrical energy storage for the grid: a battery of choices","container-title":"Science","page":"928–935","volume":"334","issue":"6058","source":"Google Scholar","shortTitle":"Electrical energy storage for the grid","author":[{"family":"Dunn","given":"Bruce"},{"family":"Kamath","given":"Haresh"},{"family":"Tarascon","given":"Jean-Marie"}],"issued":{"date-parts":[["2011"]]},"accessed":{"date-parts":[["2015",6,9]]}}},{"id":3579,"uris":["http://zotero.org/groups/277937/items/S44RNJ3J"],"uri":["http://zotero.org/groups/277937/items/S44RNJ3J"],"itemData":{"id":3579,"type":"article-journal","title":"Rapidly falling costs of battery packs for electric vehicles","container-title":"Nature Climate Change","page":"329-332","volume":"5","issue":"4","source":"CrossRef","DOI":"10.1038/nclimate2564","ISSN":"1758-678X, 1758-6798","author":[{"family":"Nykvist","given":"Björn"},{"family":"Nilsson","given":"Måns"}],"issued":{"date-parts":[["2015",3,23]]},"accessed":{"date-parts":[["2015",6,23]]}}}],"schema":"https://github.com/citation-style-language/schema/raw/master/csl-citation.json"} </w:instrText>
      </w:r>
      <w:r w:rsidRPr="00A048C0">
        <w:rPr>
          <w:rFonts w:eastAsia="Times New Roman"/>
        </w:rPr>
        <w:fldChar w:fldCharType="separate"/>
      </w:r>
      <w:r w:rsidRPr="00A048C0">
        <w:rPr>
          <w:rFonts w:eastAsia="Times New Roman"/>
        </w:rPr>
        <w:t>(Dunn et al., 2011; Nykvist &amp; Nilsson, 2015)</w:t>
      </w:r>
      <w:r w:rsidRPr="00A048C0">
        <w:rPr>
          <w:rFonts w:eastAsia="Times New Roman"/>
        </w:rPr>
        <w:fldChar w:fldCharType="end"/>
      </w:r>
      <w:r w:rsidRPr="00A048C0">
        <w:rPr>
          <w:rFonts w:eastAsia="Times New Roman"/>
        </w:rPr>
        <w:t>.</w:t>
      </w:r>
    </w:p>
    <w:p w14:paraId="3B57A991" w14:textId="51074165" w:rsidR="00A048C0" w:rsidRPr="00A048C0" w:rsidRDefault="00A048C0" w:rsidP="00A048C0">
      <w:pPr>
        <w:rPr>
          <w:rFonts w:eastAsia="Times New Roman"/>
        </w:rPr>
      </w:pPr>
      <w:r w:rsidRPr="00A048C0">
        <w:rPr>
          <w:rFonts w:eastAsia="Times New Roman"/>
        </w:rPr>
        <w:t xml:space="preserve">These cost reductions, however, are difficult to leverage presently due to a lack of regulation. The technologies and policies that govern the electrical power grid were both shaped by an expectation that power would be generated by large, centralized power plants and then synchronously transmitted and distributed to passive consumers. </w:t>
      </w:r>
    </w:p>
    <w:p w14:paraId="34222FBE" w14:textId="1E64A885" w:rsidR="00D1508C" w:rsidRDefault="551A77D0" w:rsidP="005D49A8">
      <w:pPr>
        <w:pStyle w:val="Heading3"/>
      </w:pPr>
      <w:bookmarkStart w:id="23" w:name="_Toc10921940"/>
      <w:r w:rsidRPr="00E069AC">
        <w:t>Adoption</w:t>
      </w:r>
      <w:r w:rsidR="006E6C65" w:rsidRPr="00E069AC">
        <w:t xml:space="preserve"> </w:t>
      </w:r>
      <w:r w:rsidRPr="00E069AC">
        <w:t>Potential</w:t>
      </w:r>
      <w:bookmarkEnd w:id="23"/>
    </w:p>
    <w:p w14:paraId="2C42A56B" w14:textId="73DF236F" w:rsidR="00A048C0" w:rsidRDefault="00A048C0" w:rsidP="00A048C0">
      <w:pPr>
        <w:rPr>
          <w:rFonts w:eastAsia="Times New Roman"/>
        </w:rPr>
      </w:pPr>
      <w:r w:rsidRPr="00A048C0">
        <w:rPr>
          <w:rFonts w:eastAsia="Times New Roman"/>
        </w:rPr>
        <w:t>The IEA energy storage roadmap estimated an energy storage increase by 2050 in United States, Europe, China, and India by three different scenarios; “2DS scenario” assumed an 80% chance of limiting average global temperature increase to 2°C, "breakthrough scenario”, with aggressive cost reductions in storage technologies, "EV scenario”, where demand response from "smart" charging of the electric vehicle fleet in the 2DS provides additional flexibility to the system (IEA, 2014).</w:t>
      </w:r>
      <w:r w:rsidR="001031EC">
        <w:rPr>
          <w:rFonts w:eastAsia="Times New Roman"/>
        </w:rPr>
        <w:t xml:space="preserve"> </w:t>
      </w:r>
      <w:r w:rsidRPr="00A048C0">
        <w:rPr>
          <w:rFonts w:eastAsia="Times New Roman"/>
        </w:rPr>
        <w:t xml:space="preserve">The 2DS scenario is </w:t>
      </w:r>
      <w:r w:rsidR="00D91E77">
        <w:rPr>
          <w:rFonts w:eastAsia="Times New Roman"/>
        </w:rPr>
        <w:t xml:space="preserve">a </w:t>
      </w:r>
      <w:r w:rsidRPr="00A048C0">
        <w:rPr>
          <w:rFonts w:eastAsia="Times New Roman"/>
        </w:rPr>
        <w:t xml:space="preserve">conservative approach compared to </w:t>
      </w:r>
      <w:r w:rsidR="001031EC">
        <w:rPr>
          <w:rFonts w:eastAsia="Times New Roman"/>
        </w:rPr>
        <w:t>B</w:t>
      </w:r>
      <w:r w:rsidRPr="00A048C0">
        <w:rPr>
          <w:rFonts w:eastAsia="Times New Roman"/>
        </w:rPr>
        <w:t xml:space="preserve">reakthrough scenario, which estimated 310 GW of additional grid-connected electricity storage capacity would be needed by 2050 </w:t>
      </w:r>
      <w:r w:rsidR="001031EC">
        <w:rPr>
          <w:rFonts w:eastAsia="Times New Roman"/>
        </w:rPr>
        <w:t xml:space="preserve">(Figure 1.6) </w:t>
      </w:r>
      <w:r w:rsidRPr="00A048C0">
        <w:rPr>
          <w:rFonts w:eastAsia="Times New Roman"/>
        </w:rPr>
        <w:t xml:space="preserve">(IEA, 2014). </w:t>
      </w:r>
    </w:p>
    <w:p w14:paraId="56BBFA84" w14:textId="77777777" w:rsidR="007910F0" w:rsidRDefault="007910F0" w:rsidP="007910F0">
      <w:pPr>
        <w:keepNext/>
        <w:spacing w:after="0"/>
      </w:pPr>
      <w:r w:rsidRPr="00816FC7">
        <w:rPr>
          <w:bCs/>
          <w:noProof/>
          <w:lang w:eastAsia="en-US"/>
        </w:rPr>
        <w:drawing>
          <wp:inline distT="0" distB="0" distL="0" distR="0" wp14:anchorId="34C767E9" wp14:editId="60EA2B36">
            <wp:extent cx="5943600" cy="2510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10155"/>
                    </a:xfrm>
                    <a:prstGeom prst="rect">
                      <a:avLst/>
                    </a:prstGeom>
                    <a:noFill/>
                    <a:ln>
                      <a:noFill/>
                    </a:ln>
                  </pic:spPr>
                </pic:pic>
              </a:graphicData>
            </a:graphic>
          </wp:inline>
        </w:drawing>
      </w:r>
    </w:p>
    <w:p w14:paraId="16A1AE37" w14:textId="0F9F9E88" w:rsidR="00A048C0" w:rsidRPr="007910F0" w:rsidRDefault="007910F0" w:rsidP="007910F0">
      <w:pPr>
        <w:pStyle w:val="Caption"/>
        <w:jc w:val="center"/>
        <w:rPr>
          <w:bCs/>
          <w:i w:val="0"/>
        </w:rPr>
      </w:pPr>
      <w:bookmarkStart w:id="24" w:name="_Toc461406969"/>
      <w:bookmarkStart w:id="25" w:name="_Toc10921963"/>
      <w:r>
        <w:t>Figure 1.</w:t>
      </w:r>
      <w:r w:rsidR="00D17EFD">
        <w:fldChar w:fldCharType="begin"/>
      </w:r>
      <w:r w:rsidR="00D17EFD">
        <w:instrText xml:space="preserve"> SEQ Figure \* ARABIC </w:instrText>
      </w:r>
      <w:r w:rsidR="00D17EFD">
        <w:fldChar w:fldCharType="separate"/>
      </w:r>
      <w:r>
        <w:rPr>
          <w:noProof/>
        </w:rPr>
        <w:t>6</w:t>
      </w:r>
      <w:r w:rsidR="00D17EFD">
        <w:rPr>
          <w:noProof/>
        </w:rPr>
        <w:fldChar w:fldCharType="end"/>
      </w:r>
      <w:r>
        <w:t xml:space="preserve">. Electricity storage capacity by region in 2011 and 2050 Scenarios </w:t>
      </w:r>
      <w:r w:rsidR="0091000D">
        <w:t>(</w:t>
      </w:r>
      <w:r>
        <w:t>IEA, 2014</w:t>
      </w:r>
      <w:bookmarkEnd w:id="24"/>
      <w:r w:rsidR="0091000D">
        <w:t>)</w:t>
      </w:r>
      <w:bookmarkEnd w:id="25"/>
    </w:p>
    <w:p w14:paraId="12A2F24A" w14:textId="1FC76DF6" w:rsidR="001C49CB" w:rsidRPr="00820BA5" w:rsidRDefault="551A77D0" w:rsidP="00820BA5">
      <w:pPr>
        <w:pStyle w:val="Heading2"/>
        <w:numPr>
          <w:ilvl w:val="1"/>
          <w:numId w:val="26"/>
        </w:numPr>
      </w:pPr>
      <w:bookmarkStart w:id="26" w:name="_Toc10921941"/>
      <w:r w:rsidRPr="00820BA5">
        <w:t>Advantages</w:t>
      </w:r>
      <w:r w:rsidRPr="004B7561">
        <w:t xml:space="preserve"> and </w:t>
      </w:r>
      <w:r w:rsidR="00F2636B" w:rsidRPr="004B7561">
        <w:t>D</w:t>
      </w:r>
      <w:r w:rsidRPr="004B7561">
        <w:t xml:space="preserve">isadvantages of </w:t>
      </w:r>
      <w:r w:rsidR="002D5B66">
        <w:t>Utility Scale Energy Storage</w:t>
      </w:r>
      <w:bookmarkEnd w:id="26"/>
    </w:p>
    <w:p w14:paraId="5B3162E8" w14:textId="11D5A089" w:rsidR="002D5B66" w:rsidRDefault="002D5B66" w:rsidP="00820BA5">
      <w:pPr>
        <w:pStyle w:val="Heading3"/>
        <w:numPr>
          <w:ilvl w:val="2"/>
          <w:numId w:val="42"/>
        </w:numPr>
      </w:pPr>
      <w:bookmarkStart w:id="27" w:name="_Toc10921942"/>
      <w:r>
        <w:t>Similar Solutions</w:t>
      </w:r>
      <w:bookmarkEnd w:id="27"/>
    </w:p>
    <w:p w14:paraId="0D6AA08C" w14:textId="18437C6F" w:rsidR="002D5B66" w:rsidRPr="002D5B66" w:rsidRDefault="002D5B66" w:rsidP="002D5B66">
      <w:pPr>
        <w:rPr>
          <w:rFonts w:eastAsia="Times New Roman"/>
        </w:rPr>
      </w:pPr>
      <w:r w:rsidRPr="00D91E77">
        <w:rPr>
          <w:rFonts w:eastAsia="Times New Roman" w:cs="Times New Roman"/>
          <w:color w:val="000000"/>
        </w:rPr>
        <w:t xml:space="preserve">Utility-scale ESS has several competitors, however. The first is so-called “behind-the-meter” storage. These are small energy storage installations that lie on the consumer side of the power system and can be used for shaving peaks in electricity demand. Behind-the-meter storage can also allow a building to rely primarily on its own on-site solar or wind capacity (such as rooftop photovoltaic installations or micro-wind turbines). Due to economies of scale, however, batteries are by far the most practical technology for behind-the-meter storage. It is likely that </w:t>
      </w:r>
      <w:r w:rsidRPr="002D5B66">
        <w:rPr>
          <w:rFonts w:eastAsia="Times New Roman"/>
        </w:rPr>
        <w:t xml:space="preserve">the power system of the future will incorporate both large, utility-scale ESS in the form of pumped hydropower, CAES, and others as well as predominantly battery-based behind-the-meter storage. </w:t>
      </w:r>
    </w:p>
    <w:p w14:paraId="4B7C5F37" w14:textId="24A41FF2" w:rsidR="002D5B66" w:rsidRPr="002D5B66" w:rsidRDefault="002D5B66" w:rsidP="002D5B66">
      <w:pPr>
        <w:rPr>
          <w:rFonts w:eastAsia="Times New Roman" w:cs="Times New Roman"/>
          <w:color w:val="000000"/>
        </w:rPr>
      </w:pPr>
      <w:r w:rsidRPr="002D5B66">
        <w:rPr>
          <w:rFonts w:eastAsia="Times New Roman"/>
        </w:rPr>
        <w:t>What is conventionally thought of as energy storage must also compete with ways to store energy services, such as heating and cooling</w:t>
      </w:r>
      <w:r w:rsidRPr="00D91E77">
        <w:rPr>
          <w:rFonts w:eastAsia="Times New Roman" w:cs="Times New Roman"/>
          <w:color w:val="000000"/>
        </w:rPr>
        <w:t xml:space="preserve">. In France, for example, power demand is managed partially through in-home electric water heaters, which consumer electric power at low-demand times and store hot water until it is needed by domestic consumers </w:t>
      </w:r>
      <w:r w:rsidRPr="00D91E77">
        <w:rPr>
          <w:rFonts w:eastAsia="Times New Roman" w:cs="Times New Roman"/>
          <w:color w:val="000000"/>
        </w:rPr>
        <w:fldChar w:fldCharType="begin"/>
      </w:r>
      <w:r w:rsidRPr="00D91E77">
        <w:rPr>
          <w:rFonts w:eastAsia="Times New Roman" w:cs="Times New Roman"/>
          <w:color w:val="000000"/>
        </w:rPr>
        <w:instrText xml:space="preserve"> ADDIN ZOTERO_ITEM CSL_CITATION {"citationID":"1i21upr9ab","properties":{"formattedCitation":"(IEA, 2014)","plainCitation":"(IEA, 2014)"},"citationItems":[{"id":3425,"uris":["http://zotero.org/groups/277937/items/H4HSVSR5"],"uri":["http://zotero.org/groups/277937/items/H4HSVSR5"],"itemData":{"id":3425,"type":"report","title":"Technology Roadmap: Energy storage","author":[{"family":"IEA","given":""}],"issued":{"date-parts":[["2014"]]}}}],"schema":"https://github.com/citation-style-language/schema/raw/master/csl-citation.json"} </w:instrText>
      </w:r>
      <w:r w:rsidRPr="00D91E77">
        <w:rPr>
          <w:rFonts w:eastAsia="Times New Roman" w:cs="Times New Roman"/>
          <w:color w:val="000000"/>
        </w:rPr>
        <w:fldChar w:fldCharType="separate"/>
      </w:r>
      <w:r w:rsidRPr="00D91E77">
        <w:rPr>
          <w:rFonts w:cs="Times New Roman"/>
        </w:rPr>
        <w:t>(IEA, 2014)</w:t>
      </w:r>
      <w:r w:rsidRPr="00D91E77">
        <w:rPr>
          <w:rFonts w:eastAsia="Times New Roman" w:cs="Times New Roman"/>
          <w:color w:val="000000"/>
        </w:rPr>
        <w:fldChar w:fldCharType="end"/>
      </w:r>
      <w:r w:rsidRPr="00D91E77">
        <w:rPr>
          <w:rFonts w:eastAsia="Times New Roman" w:cs="Times New Roman"/>
          <w:color w:val="000000"/>
        </w:rPr>
        <w:t xml:space="preserve">. Similarly, Australia has begun large-scale implementation of wind-powered water desalination plants, which leverages the high wind resource often found in coastal areas </w:t>
      </w:r>
      <w:r w:rsidRPr="00D91E77">
        <w:rPr>
          <w:rFonts w:eastAsia="Times New Roman" w:cs="Times New Roman"/>
          <w:color w:val="000000"/>
        </w:rPr>
        <w:fldChar w:fldCharType="begin"/>
      </w:r>
      <w:r w:rsidRPr="00D91E77">
        <w:rPr>
          <w:rFonts w:eastAsia="Times New Roman" w:cs="Times New Roman"/>
          <w:color w:val="000000"/>
        </w:rPr>
        <w:instrText xml:space="preserve"> ADDIN ZOTERO_ITEM CSL_CITATION {"citationID":"1n8kg5pr85","properties":{"formattedCitation":"{\\rtf (\\uc0\\u8220{}Wind-Powered Desalination,\\uc0\\u8221{} 2013)}","plainCitation":"(“Wind-Powered Desalination,” 2013)"},"citationItems":[{"id":3985,"uris":["http://zotero.org/groups/277937/items/M8BXGK2A"],"uri":["http://zotero.org/groups/277937/items/M8BXGK2A"],"itemData":{"id":3985,"type":"webpage","title":"Wind-Powered Desalination: The Australian Story","container-title":"Wind4Water","URL":"http://www.wind4water.com/wind-powered-desalination-australian-story/","shortTitle":"Wind-Powered Desalination","issued":{"date-parts":[["2013",6,26]]},"accessed":{"date-parts":[["2015",7,1]]}}}],"schema":"https://github.com/citation-style-language/schema/raw/master/csl-citation.json"} </w:instrText>
      </w:r>
      <w:r w:rsidRPr="00D91E77">
        <w:rPr>
          <w:rFonts w:eastAsia="Times New Roman" w:cs="Times New Roman"/>
          <w:color w:val="000000"/>
        </w:rPr>
        <w:fldChar w:fldCharType="separate"/>
      </w:r>
      <w:r w:rsidRPr="00D91E77">
        <w:rPr>
          <w:rFonts w:cs="Times New Roman"/>
          <w:szCs w:val="24"/>
        </w:rPr>
        <w:t>(“Wind-Powered Desalination”</w:t>
      </w:r>
      <w:r>
        <w:rPr>
          <w:rFonts w:cs="Times New Roman"/>
          <w:szCs w:val="24"/>
        </w:rPr>
        <w:t>,</w:t>
      </w:r>
      <w:r w:rsidRPr="00D91E77">
        <w:rPr>
          <w:rFonts w:cs="Times New Roman"/>
          <w:szCs w:val="24"/>
        </w:rPr>
        <w:t xml:space="preserve"> 2013)</w:t>
      </w:r>
      <w:r w:rsidRPr="00D91E77">
        <w:rPr>
          <w:rFonts w:eastAsia="Times New Roman" w:cs="Times New Roman"/>
          <w:color w:val="000000"/>
        </w:rPr>
        <w:fldChar w:fldCharType="end"/>
      </w:r>
      <w:r w:rsidRPr="00D91E77">
        <w:rPr>
          <w:rFonts w:eastAsia="Times New Roman" w:cs="Times New Roman"/>
          <w:color w:val="000000"/>
        </w:rPr>
        <w:t>. Such practices reduce or eliminate the concerns associated with intermittency as desalinated, heated, or frozen water can be produced whenever power is available and stored until it is needed. However, these technologies cannot return power to the grid and as such cannot provide power conditioning, resiliency, or related services.</w:t>
      </w:r>
    </w:p>
    <w:p w14:paraId="66FEF337" w14:textId="40D23468" w:rsidR="000330C6" w:rsidRPr="00E069AC" w:rsidRDefault="551A77D0" w:rsidP="00820BA5">
      <w:pPr>
        <w:pStyle w:val="Heading3"/>
        <w:numPr>
          <w:ilvl w:val="2"/>
          <w:numId w:val="42"/>
        </w:numPr>
      </w:pPr>
      <w:bookmarkStart w:id="28" w:name="_Toc10921943"/>
      <w:r w:rsidRPr="00E069AC">
        <w:t>Arguments for Adoption</w:t>
      </w:r>
      <w:bookmarkEnd w:id="28"/>
    </w:p>
    <w:p w14:paraId="130D285B" w14:textId="63AC4E7D" w:rsidR="00D91E77" w:rsidRPr="00D91E77" w:rsidRDefault="00D91E77" w:rsidP="00D91E77">
      <w:r w:rsidRPr="00D91E77">
        <w:t>The benefits of ESS are numerous, as enumerated above. To summarize, there are six potential benefits of incorporating bulk energy storage systems into the electricity grid as discussed in Carnegie</w:t>
      </w:r>
      <w:r w:rsidR="005E1ADE">
        <w:t xml:space="preserve"> </w:t>
      </w:r>
      <w:r w:rsidRPr="005E1ADE">
        <w:rPr>
          <w:i/>
        </w:rPr>
        <w:t xml:space="preserve">et </w:t>
      </w:r>
      <w:r w:rsidR="005E1ADE" w:rsidRPr="005E1ADE">
        <w:rPr>
          <w:i/>
        </w:rPr>
        <w:t>al.</w:t>
      </w:r>
      <w:r w:rsidRPr="00D91E77">
        <w:t xml:space="preserve"> </w:t>
      </w:r>
      <w:r w:rsidR="005E1ADE">
        <w:t>(</w:t>
      </w:r>
      <w:r w:rsidRPr="00D91E77">
        <w:t xml:space="preserve">2013) are: 1) </w:t>
      </w:r>
      <w:r w:rsidR="005E1ADE" w:rsidRPr="00D91E77">
        <w:t>allowing</w:t>
      </w:r>
      <w:r w:rsidRPr="00D91E77">
        <w:t xml:space="preserve"> time-shift of energy delivery</w:t>
      </w:r>
      <w:r w:rsidR="005E1ADE">
        <w:t>;</w:t>
      </w:r>
      <w:r w:rsidRPr="00D91E77">
        <w:t xml:space="preserve"> 2) </w:t>
      </w:r>
      <w:r w:rsidR="005E1ADE" w:rsidRPr="00D91E77">
        <w:t>providing</w:t>
      </w:r>
      <w:r w:rsidRPr="00D91E77">
        <w:t xml:space="preserve"> capacity credit to </w:t>
      </w:r>
      <w:r w:rsidR="005E1ADE">
        <w:t>postpone</w:t>
      </w:r>
      <w:r w:rsidRPr="00D91E77">
        <w:t xml:space="preserve"> investments in </w:t>
      </w:r>
      <w:r w:rsidR="005E1ADE">
        <w:t xml:space="preserve">electricity </w:t>
      </w:r>
      <w:r w:rsidRPr="00D91E77">
        <w:t xml:space="preserve">generating capacity, 3) </w:t>
      </w:r>
      <w:r w:rsidR="005E1ADE" w:rsidRPr="00D91E77">
        <w:t>delivering</w:t>
      </w:r>
      <w:r w:rsidRPr="00D91E77">
        <w:t xml:space="preserve"> grid operational support to facilitate smooth of the electricity supply system, 4) providing transmission and distribution support to delay investments to upgrade components of the transmission and distribution system, 5) maintaining power quality and reliability, and 6) allowing integration of intermittent renewables generation by smoothing their energy output over time.</w:t>
      </w:r>
    </w:p>
    <w:p w14:paraId="1B9BCD6C" w14:textId="7BF2447C" w:rsidR="00D91E77" w:rsidRPr="002D5B66" w:rsidRDefault="00D91E77" w:rsidP="002D5B66">
      <w:r w:rsidRPr="00D91E77">
        <w:t xml:space="preserve">Table </w:t>
      </w:r>
      <w:r>
        <w:t>1.</w:t>
      </w:r>
      <w:r w:rsidRPr="00D91E77">
        <w:t xml:space="preserve">2 and Figure </w:t>
      </w:r>
      <w:r>
        <w:t>1.</w:t>
      </w:r>
      <w:r w:rsidR="007910F0">
        <w:t>7</w:t>
      </w:r>
      <w:r w:rsidRPr="00D91E77">
        <w:t xml:space="preserve"> show the energy storage technology characteristics. The pumped hydro land and water footprints are higher than other energy storage technologies, however it still less than Nuclear, Coal, and </w:t>
      </w:r>
      <w:r w:rsidR="002D5B66">
        <w:t>g</w:t>
      </w:r>
      <w:r w:rsidRPr="00D91E77">
        <w:t>as turbine</w:t>
      </w:r>
      <w:r w:rsidR="002D5B66">
        <w:t>s</w:t>
      </w:r>
      <w:r w:rsidRPr="00D91E77">
        <w:t xml:space="preserve">. </w:t>
      </w:r>
    </w:p>
    <w:p w14:paraId="43245CC2" w14:textId="5589FC07" w:rsidR="00D91E77" w:rsidRPr="00D91E77" w:rsidRDefault="00D91E77" w:rsidP="002D5B66">
      <w:pPr>
        <w:pStyle w:val="Caption"/>
        <w:keepNext/>
        <w:jc w:val="center"/>
        <w:rPr>
          <w:rFonts w:cs="Times New Roman"/>
        </w:rPr>
      </w:pPr>
      <w:bookmarkStart w:id="29" w:name="_Toc461406974"/>
      <w:bookmarkStart w:id="30" w:name="_Toc10921957"/>
      <w:r w:rsidRPr="00D91E77">
        <w:rPr>
          <w:rFonts w:cs="Times New Roman"/>
        </w:rPr>
        <w:t xml:space="preserve">Table </w:t>
      </w:r>
      <w:r w:rsidR="002D5B66">
        <w:rPr>
          <w:rFonts w:cs="Times New Roman"/>
        </w:rPr>
        <w:t>1.</w:t>
      </w:r>
      <w:r w:rsidRPr="00D91E77">
        <w:rPr>
          <w:rFonts w:cs="Times New Roman"/>
        </w:rPr>
        <w:fldChar w:fldCharType="begin"/>
      </w:r>
      <w:r w:rsidRPr="00D91E77">
        <w:rPr>
          <w:rFonts w:cs="Times New Roman"/>
        </w:rPr>
        <w:instrText xml:space="preserve"> SEQ Table \* ARABIC </w:instrText>
      </w:r>
      <w:r w:rsidRPr="00D91E77">
        <w:rPr>
          <w:rFonts w:cs="Times New Roman"/>
        </w:rPr>
        <w:fldChar w:fldCharType="separate"/>
      </w:r>
      <w:r w:rsidRPr="00D91E77">
        <w:rPr>
          <w:rFonts w:cs="Times New Roman"/>
          <w:noProof/>
        </w:rPr>
        <w:t>2</w:t>
      </w:r>
      <w:r w:rsidRPr="00D91E77">
        <w:rPr>
          <w:rFonts w:cs="Times New Roman"/>
          <w:noProof/>
        </w:rPr>
        <w:fldChar w:fldCharType="end"/>
      </w:r>
      <w:r w:rsidRPr="00D91E77">
        <w:rPr>
          <w:rFonts w:cs="Times New Roman"/>
        </w:rPr>
        <w:t>. Energy Storage Technology Characteristics (IEA, 2014)</w:t>
      </w:r>
      <w:bookmarkEnd w:id="29"/>
      <w:bookmarkEnd w:id="30"/>
    </w:p>
    <w:tbl>
      <w:tblPr>
        <w:tblStyle w:val="TableGrid"/>
        <w:tblW w:w="0" w:type="auto"/>
        <w:jc w:val="center"/>
        <w:tblLayout w:type="fixed"/>
        <w:tblLook w:val="04A0" w:firstRow="1" w:lastRow="0" w:firstColumn="1" w:lastColumn="0" w:noHBand="0" w:noVBand="1"/>
      </w:tblPr>
      <w:tblGrid>
        <w:gridCol w:w="1293"/>
        <w:gridCol w:w="1821"/>
        <w:gridCol w:w="1559"/>
        <w:gridCol w:w="1134"/>
        <w:gridCol w:w="1134"/>
        <w:gridCol w:w="1134"/>
        <w:gridCol w:w="1275"/>
      </w:tblGrid>
      <w:tr w:rsidR="002D5B66" w:rsidRPr="002D5B66" w14:paraId="16A4930F" w14:textId="77777777" w:rsidTr="00436B5E">
        <w:trPr>
          <w:jc w:val="center"/>
        </w:trPr>
        <w:tc>
          <w:tcPr>
            <w:tcW w:w="1293" w:type="dxa"/>
            <w:shd w:val="clear" w:color="auto" w:fill="4F81BD" w:themeFill="accent1"/>
          </w:tcPr>
          <w:p w14:paraId="650764FA" w14:textId="77777777" w:rsidR="00D91E77" w:rsidRPr="002D5B66" w:rsidRDefault="00D91E77" w:rsidP="002D5B66">
            <w:pPr>
              <w:spacing w:line="240" w:lineRule="auto"/>
              <w:jc w:val="center"/>
              <w:rPr>
                <w:color w:val="FFFFFF" w:themeColor="background1"/>
                <w:kern w:val="0"/>
                <w:sz w:val="20"/>
                <w:szCs w:val="20"/>
              </w:rPr>
            </w:pPr>
            <w:r w:rsidRPr="002D5B66">
              <w:rPr>
                <w:color w:val="FFFFFF" w:themeColor="background1"/>
                <w:sz w:val="20"/>
                <w:szCs w:val="20"/>
              </w:rPr>
              <w:t>Technology</w:t>
            </w:r>
          </w:p>
        </w:tc>
        <w:tc>
          <w:tcPr>
            <w:tcW w:w="1821" w:type="dxa"/>
            <w:shd w:val="clear" w:color="auto" w:fill="4F81BD" w:themeFill="accent1"/>
          </w:tcPr>
          <w:p w14:paraId="67B9B73D" w14:textId="68E55BD3" w:rsidR="00D91E77" w:rsidRPr="002D5B66" w:rsidRDefault="002D5B66" w:rsidP="002D5B66">
            <w:pPr>
              <w:spacing w:line="240" w:lineRule="auto"/>
              <w:jc w:val="center"/>
              <w:rPr>
                <w:color w:val="FFFFFF" w:themeColor="background1"/>
                <w:kern w:val="0"/>
                <w:sz w:val="20"/>
                <w:szCs w:val="20"/>
              </w:rPr>
            </w:pPr>
            <w:r w:rsidRPr="002D5B66">
              <w:rPr>
                <w:color w:val="FFFFFF" w:themeColor="background1"/>
                <w:sz w:val="20"/>
                <w:szCs w:val="20"/>
              </w:rPr>
              <w:t>Pumped</w:t>
            </w:r>
            <w:r w:rsidR="00D91E77" w:rsidRPr="002D5B66">
              <w:rPr>
                <w:color w:val="FFFFFF" w:themeColor="background1"/>
                <w:sz w:val="20"/>
                <w:szCs w:val="20"/>
              </w:rPr>
              <w:t xml:space="preserve"> Hydro</w:t>
            </w:r>
          </w:p>
        </w:tc>
        <w:tc>
          <w:tcPr>
            <w:tcW w:w="1559" w:type="dxa"/>
            <w:shd w:val="clear" w:color="auto" w:fill="4F81BD" w:themeFill="accent1"/>
          </w:tcPr>
          <w:p w14:paraId="5AB798FE" w14:textId="77777777" w:rsidR="00D91E77" w:rsidRPr="002D5B66" w:rsidRDefault="00D91E77" w:rsidP="002D5B66">
            <w:pPr>
              <w:spacing w:line="240" w:lineRule="auto"/>
              <w:jc w:val="center"/>
              <w:rPr>
                <w:color w:val="FFFFFF" w:themeColor="background1"/>
                <w:kern w:val="0"/>
                <w:sz w:val="20"/>
                <w:szCs w:val="20"/>
              </w:rPr>
            </w:pPr>
            <w:r w:rsidRPr="002D5B66">
              <w:rPr>
                <w:color w:val="FFFFFF" w:themeColor="background1"/>
                <w:sz w:val="20"/>
                <w:szCs w:val="20"/>
              </w:rPr>
              <w:t>CAES</w:t>
            </w:r>
          </w:p>
        </w:tc>
        <w:tc>
          <w:tcPr>
            <w:tcW w:w="1134" w:type="dxa"/>
            <w:shd w:val="clear" w:color="auto" w:fill="4F81BD" w:themeFill="accent1"/>
          </w:tcPr>
          <w:p w14:paraId="50752F73" w14:textId="77777777" w:rsidR="00D91E77" w:rsidRPr="002D5B66" w:rsidRDefault="00D91E77" w:rsidP="002D5B66">
            <w:pPr>
              <w:spacing w:line="240" w:lineRule="auto"/>
              <w:jc w:val="center"/>
              <w:rPr>
                <w:color w:val="FFFFFF" w:themeColor="background1"/>
                <w:kern w:val="0"/>
                <w:sz w:val="20"/>
                <w:szCs w:val="20"/>
              </w:rPr>
            </w:pPr>
            <w:r w:rsidRPr="002D5B66">
              <w:rPr>
                <w:color w:val="FFFFFF" w:themeColor="background1"/>
                <w:sz w:val="20"/>
                <w:szCs w:val="20"/>
              </w:rPr>
              <w:t>Flywheel</w:t>
            </w:r>
          </w:p>
        </w:tc>
        <w:tc>
          <w:tcPr>
            <w:tcW w:w="1134" w:type="dxa"/>
            <w:shd w:val="clear" w:color="auto" w:fill="4F81BD" w:themeFill="accent1"/>
          </w:tcPr>
          <w:p w14:paraId="3AAA2D30" w14:textId="77777777" w:rsidR="00D91E77" w:rsidRPr="002D5B66" w:rsidRDefault="00D91E77" w:rsidP="002D5B66">
            <w:pPr>
              <w:spacing w:line="240" w:lineRule="auto"/>
              <w:jc w:val="center"/>
              <w:rPr>
                <w:color w:val="FFFFFF" w:themeColor="background1"/>
                <w:kern w:val="0"/>
                <w:sz w:val="20"/>
                <w:szCs w:val="20"/>
              </w:rPr>
            </w:pPr>
            <w:r w:rsidRPr="002D5B66">
              <w:rPr>
                <w:color w:val="FFFFFF" w:themeColor="background1"/>
                <w:sz w:val="20"/>
                <w:szCs w:val="20"/>
              </w:rPr>
              <w:t>Battery</w:t>
            </w:r>
          </w:p>
        </w:tc>
        <w:tc>
          <w:tcPr>
            <w:tcW w:w="1134" w:type="dxa"/>
            <w:shd w:val="clear" w:color="auto" w:fill="4F81BD" w:themeFill="accent1"/>
          </w:tcPr>
          <w:p w14:paraId="2D945F2F" w14:textId="77777777" w:rsidR="00D91E77" w:rsidRPr="002D5B66" w:rsidRDefault="00D91E77" w:rsidP="002D5B66">
            <w:pPr>
              <w:spacing w:line="240" w:lineRule="auto"/>
              <w:jc w:val="center"/>
              <w:rPr>
                <w:color w:val="FFFFFF" w:themeColor="background1"/>
                <w:kern w:val="0"/>
                <w:sz w:val="20"/>
                <w:szCs w:val="20"/>
              </w:rPr>
            </w:pPr>
            <w:r w:rsidRPr="002D5B66">
              <w:rPr>
                <w:color w:val="FFFFFF" w:themeColor="background1"/>
                <w:sz w:val="20"/>
                <w:szCs w:val="20"/>
              </w:rPr>
              <w:t>Thermal- Molten Salt</w:t>
            </w:r>
          </w:p>
        </w:tc>
        <w:tc>
          <w:tcPr>
            <w:tcW w:w="1275" w:type="dxa"/>
            <w:shd w:val="clear" w:color="auto" w:fill="4F81BD" w:themeFill="accent1"/>
          </w:tcPr>
          <w:p w14:paraId="30145243" w14:textId="77777777" w:rsidR="00D91E77" w:rsidRPr="002D5B66" w:rsidRDefault="00D91E77" w:rsidP="002D5B66">
            <w:pPr>
              <w:spacing w:line="240" w:lineRule="auto"/>
              <w:jc w:val="center"/>
              <w:rPr>
                <w:color w:val="FFFFFF" w:themeColor="background1"/>
                <w:kern w:val="0"/>
                <w:sz w:val="20"/>
                <w:szCs w:val="20"/>
              </w:rPr>
            </w:pPr>
            <w:r w:rsidRPr="002D5B66">
              <w:rPr>
                <w:color w:val="FFFFFF" w:themeColor="background1"/>
                <w:sz w:val="20"/>
                <w:szCs w:val="20"/>
              </w:rPr>
              <w:t>Hydrogen</w:t>
            </w:r>
          </w:p>
        </w:tc>
      </w:tr>
      <w:tr w:rsidR="00D91E77" w:rsidRPr="002D5B66" w14:paraId="33896AAE" w14:textId="77777777" w:rsidTr="00436B5E">
        <w:trPr>
          <w:jc w:val="center"/>
        </w:trPr>
        <w:tc>
          <w:tcPr>
            <w:tcW w:w="1293" w:type="dxa"/>
          </w:tcPr>
          <w:p w14:paraId="42AA5B33" w14:textId="77777777" w:rsidR="00D91E77" w:rsidRPr="002D5B66" w:rsidRDefault="00D91E77" w:rsidP="002D5B66">
            <w:pPr>
              <w:spacing w:line="240" w:lineRule="auto"/>
              <w:jc w:val="center"/>
              <w:rPr>
                <w:rFonts w:eastAsia="Times New Roman" w:cs="Times New Roman"/>
                <w:i/>
                <w:color w:val="000000"/>
                <w:kern w:val="0"/>
                <w:sz w:val="20"/>
                <w:szCs w:val="20"/>
                <w:lang w:eastAsia="ja-JP"/>
              </w:rPr>
            </w:pPr>
            <w:r w:rsidRPr="002D5B66">
              <w:rPr>
                <w:rFonts w:eastAsia="Times New Roman" w:cs="Times New Roman"/>
                <w:i/>
                <w:color w:val="000000"/>
                <w:sz w:val="20"/>
                <w:szCs w:val="20"/>
              </w:rPr>
              <w:t>Maturity Stage</w:t>
            </w:r>
          </w:p>
        </w:tc>
        <w:tc>
          <w:tcPr>
            <w:tcW w:w="1821" w:type="dxa"/>
          </w:tcPr>
          <w:p w14:paraId="1C798893"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Mature</w:t>
            </w:r>
          </w:p>
          <w:p w14:paraId="7D792918"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559" w:type="dxa"/>
          </w:tcPr>
          <w:p w14:paraId="2C2A78AD"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Deployed</w:t>
            </w:r>
          </w:p>
          <w:p w14:paraId="74646188"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134" w:type="dxa"/>
          </w:tcPr>
          <w:p w14:paraId="49FE92B2"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Deployed</w:t>
            </w:r>
          </w:p>
          <w:p w14:paraId="464E8CE8"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134" w:type="dxa"/>
          </w:tcPr>
          <w:p w14:paraId="4E807CBE"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Deployed</w:t>
            </w:r>
          </w:p>
          <w:p w14:paraId="323E6469"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134" w:type="dxa"/>
          </w:tcPr>
          <w:p w14:paraId="1E9ECC64"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Deployed</w:t>
            </w:r>
          </w:p>
          <w:p w14:paraId="4D13CD4D"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275" w:type="dxa"/>
          </w:tcPr>
          <w:p w14:paraId="0BB7ECED"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Demonstration</w:t>
            </w:r>
          </w:p>
          <w:p w14:paraId="2A08ED6E"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r>
      <w:tr w:rsidR="00D91E77" w:rsidRPr="002D5B66" w14:paraId="04BA16BF" w14:textId="77777777" w:rsidTr="00436B5E">
        <w:trPr>
          <w:jc w:val="center"/>
        </w:trPr>
        <w:tc>
          <w:tcPr>
            <w:tcW w:w="1293" w:type="dxa"/>
          </w:tcPr>
          <w:p w14:paraId="39CE6742" w14:textId="77777777" w:rsidR="00D91E77" w:rsidRPr="002D5B66" w:rsidRDefault="00D91E77" w:rsidP="002D5B66">
            <w:pPr>
              <w:spacing w:line="240" w:lineRule="auto"/>
              <w:jc w:val="center"/>
              <w:rPr>
                <w:rFonts w:eastAsia="Times New Roman" w:cs="Times New Roman"/>
                <w:i/>
                <w:color w:val="000000"/>
                <w:kern w:val="0"/>
                <w:sz w:val="20"/>
                <w:szCs w:val="20"/>
                <w:lang w:eastAsia="ja-JP"/>
              </w:rPr>
            </w:pPr>
            <w:r w:rsidRPr="002D5B66">
              <w:rPr>
                <w:rFonts w:eastAsia="Times New Roman" w:cs="Times New Roman"/>
                <w:i/>
                <w:color w:val="000000"/>
                <w:sz w:val="20"/>
                <w:szCs w:val="20"/>
              </w:rPr>
              <w:t>Limitation</w:t>
            </w:r>
          </w:p>
        </w:tc>
        <w:tc>
          <w:tcPr>
            <w:tcW w:w="1821" w:type="dxa"/>
          </w:tcPr>
          <w:p w14:paraId="6FFE5273" w14:textId="7B728A66" w:rsidR="00D91E77" w:rsidRPr="002D5B66" w:rsidRDefault="00D91E77" w:rsidP="00436B5E">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 xml:space="preserve">Geographically limited, large land footprint,  large Water footprint around 350 gallons/MWh (see Figure </w:t>
            </w:r>
            <w:r w:rsidR="002D5B66">
              <w:rPr>
                <w:rFonts w:eastAsia="Times New Roman" w:cs="Times New Roman"/>
                <w:color w:val="000000"/>
                <w:sz w:val="20"/>
                <w:szCs w:val="20"/>
              </w:rPr>
              <w:t>1.</w:t>
            </w:r>
            <w:r w:rsidRPr="002D5B66">
              <w:rPr>
                <w:rFonts w:eastAsia="Times New Roman" w:cs="Times New Roman"/>
                <w:color w:val="000000"/>
                <w:sz w:val="20"/>
                <w:szCs w:val="20"/>
              </w:rPr>
              <w:t>6)</w:t>
            </w:r>
          </w:p>
        </w:tc>
        <w:tc>
          <w:tcPr>
            <w:tcW w:w="1559" w:type="dxa"/>
          </w:tcPr>
          <w:p w14:paraId="0AADF9C5"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Geographically limited (e.g., Air, large land footprint</w:t>
            </w:r>
          </w:p>
        </w:tc>
        <w:tc>
          <w:tcPr>
            <w:tcW w:w="1134" w:type="dxa"/>
          </w:tcPr>
          <w:p w14:paraId="4F53B4EF"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Limited energy storage time</w:t>
            </w:r>
          </w:p>
          <w:p w14:paraId="595121C5"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134" w:type="dxa"/>
          </w:tcPr>
          <w:p w14:paraId="18896074"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High Energy Cost, Deep Discharge</w:t>
            </w:r>
          </w:p>
          <w:p w14:paraId="69460C78"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134" w:type="dxa"/>
          </w:tcPr>
          <w:p w14:paraId="3F5938A0"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Limited to CSP</w:t>
            </w:r>
          </w:p>
          <w:p w14:paraId="5CDE3494"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275" w:type="dxa"/>
          </w:tcPr>
          <w:p w14:paraId="53940587"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Low Efficiency</w:t>
            </w:r>
          </w:p>
          <w:p w14:paraId="70A4FE3B"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r>
      <w:tr w:rsidR="00D91E77" w:rsidRPr="002D5B66" w14:paraId="79D92BA7" w14:textId="77777777" w:rsidTr="00436B5E">
        <w:trPr>
          <w:jc w:val="center"/>
        </w:trPr>
        <w:tc>
          <w:tcPr>
            <w:tcW w:w="1293" w:type="dxa"/>
          </w:tcPr>
          <w:p w14:paraId="720753DB" w14:textId="77777777" w:rsidR="00D91E77" w:rsidRPr="002D5B66" w:rsidRDefault="00D91E77" w:rsidP="002D5B66">
            <w:pPr>
              <w:spacing w:line="240" w:lineRule="auto"/>
              <w:jc w:val="center"/>
              <w:rPr>
                <w:rFonts w:eastAsia="Times New Roman" w:cs="Times New Roman"/>
                <w:i/>
                <w:color w:val="000000"/>
                <w:kern w:val="0"/>
                <w:sz w:val="20"/>
                <w:szCs w:val="20"/>
                <w:lang w:eastAsia="ja-JP"/>
              </w:rPr>
            </w:pPr>
            <w:r w:rsidRPr="002D5B66">
              <w:rPr>
                <w:rFonts w:eastAsia="Times New Roman" w:cs="Times New Roman"/>
                <w:i/>
                <w:color w:val="000000"/>
                <w:sz w:val="20"/>
                <w:szCs w:val="20"/>
              </w:rPr>
              <w:t>Round-trip Efficiency</w:t>
            </w:r>
          </w:p>
        </w:tc>
        <w:tc>
          <w:tcPr>
            <w:tcW w:w="1821" w:type="dxa"/>
          </w:tcPr>
          <w:p w14:paraId="1E28FAC9"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80%</w:t>
            </w:r>
          </w:p>
          <w:p w14:paraId="2529BF2C"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559" w:type="dxa"/>
          </w:tcPr>
          <w:p w14:paraId="4D97BFC5"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60%</w:t>
            </w:r>
          </w:p>
          <w:p w14:paraId="51A4B8AA"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134" w:type="dxa"/>
          </w:tcPr>
          <w:p w14:paraId="374D3244"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90%</w:t>
            </w:r>
          </w:p>
          <w:p w14:paraId="278E32BF"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134" w:type="dxa"/>
          </w:tcPr>
          <w:p w14:paraId="153D8D46"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90%</w:t>
            </w:r>
          </w:p>
          <w:p w14:paraId="75617FA2"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134" w:type="dxa"/>
          </w:tcPr>
          <w:p w14:paraId="386A5573"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85%</w:t>
            </w:r>
          </w:p>
          <w:p w14:paraId="625CF052"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275" w:type="dxa"/>
          </w:tcPr>
          <w:p w14:paraId="227C67F0"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&lt;40%</w:t>
            </w:r>
          </w:p>
          <w:p w14:paraId="19AC161E"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r>
      <w:tr w:rsidR="00D91E77" w:rsidRPr="002D5B66" w14:paraId="4157B3E5" w14:textId="77777777" w:rsidTr="00436B5E">
        <w:trPr>
          <w:jc w:val="center"/>
        </w:trPr>
        <w:tc>
          <w:tcPr>
            <w:tcW w:w="1293" w:type="dxa"/>
          </w:tcPr>
          <w:p w14:paraId="1B6C8CB2" w14:textId="77777777" w:rsidR="00D91E77" w:rsidRPr="002D5B66" w:rsidRDefault="00D91E77" w:rsidP="002D5B66">
            <w:pPr>
              <w:spacing w:line="240" w:lineRule="auto"/>
              <w:jc w:val="center"/>
              <w:rPr>
                <w:rFonts w:eastAsia="Times New Roman" w:cs="Times New Roman"/>
                <w:i/>
                <w:color w:val="000000"/>
                <w:kern w:val="0"/>
                <w:sz w:val="20"/>
                <w:szCs w:val="20"/>
                <w:lang w:eastAsia="ja-JP"/>
              </w:rPr>
            </w:pPr>
            <w:r w:rsidRPr="002D5B66">
              <w:rPr>
                <w:rFonts w:eastAsia="Times New Roman" w:cs="Times New Roman"/>
                <w:i/>
                <w:color w:val="000000"/>
                <w:sz w:val="20"/>
                <w:szCs w:val="20"/>
              </w:rPr>
              <w:t>Lifetime (Years)</w:t>
            </w:r>
          </w:p>
        </w:tc>
        <w:tc>
          <w:tcPr>
            <w:tcW w:w="1821" w:type="dxa"/>
          </w:tcPr>
          <w:p w14:paraId="2E5E5937"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40</w:t>
            </w:r>
          </w:p>
        </w:tc>
        <w:tc>
          <w:tcPr>
            <w:tcW w:w="1559" w:type="dxa"/>
          </w:tcPr>
          <w:p w14:paraId="74915092"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35</w:t>
            </w:r>
          </w:p>
        </w:tc>
        <w:tc>
          <w:tcPr>
            <w:tcW w:w="1134" w:type="dxa"/>
          </w:tcPr>
          <w:p w14:paraId="05CCD6B8"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25</w:t>
            </w:r>
          </w:p>
        </w:tc>
        <w:tc>
          <w:tcPr>
            <w:tcW w:w="1134" w:type="dxa"/>
          </w:tcPr>
          <w:p w14:paraId="1E56170E"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15</w:t>
            </w:r>
          </w:p>
        </w:tc>
        <w:tc>
          <w:tcPr>
            <w:tcW w:w="1134" w:type="dxa"/>
          </w:tcPr>
          <w:p w14:paraId="67BF2F21"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30</w:t>
            </w:r>
          </w:p>
        </w:tc>
        <w:tc>
          <w:tcPr>
            <w:tcW w:w="1275" w:type="dxa"/>
          </w:tcPr>
          <w:p w14:paraId="2C7FE3ED"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20</w:t>
            </w:r>
          </w:p>
        </w:tc>
      </w:tr>
      <w:tr w:rsidR="00D91E77" w:rsidRPr="002D5B66" w14:paraId="4468E07C" w14:textId="77777777" w:rsidTr="00436B5E">
        <w:trPr>
          <w:jc w:val="center"/>
        </w:trPr>
        <w:tc>
          <w:tcPr>
            <w:tcW w:w="1293" w:type="dxa"/>
          </w:tcPr>
          <w:p w14:paraId="5C9D25E4" w14:textId="77777777" w:rsidR="00D91E77" w:rsidRPr="002D5B66" w:rsidRDefault="00D91E77" w:rsidP="002D5B66">
            <w:pPr>
              <w:spacing w:line="240" w:lineRule="auto"/>
              <w:jc w:val="center"/>
              <w:rPr>
                <w:rFonts w:eastAsia="Times New Roman" w:cs="Times New Roman"/>
                <w:i/>
                <w:color w:val="000000"/>
                <w:kern w:val="0"/>
                <w:sz w:val="20"/>
                <w:szCs w:val="20"/>
                <w:lang w:eastAsia="ja-JP"/>
              </w:rPr>
            </w:pPr>
            <w:r w:rsidRPr="002D5B66">
              <w:rPr>
                <w:rFonts w:eastAsia="Times New Roman" w:cs="Times New Roman"/>
                <w:i/>
                <w:color w:val="000000"/>
                <w:sz w:val="20"/>
                <w:szCs w:val="20"/>
              </w:rPr>
              <w:t>Investment Cost (2014$/kW)</w:t>
            </w:r>
          </w:p>
        </w:tc>
        <w:tc>
          <w:tcPr>
            <w:tcW w:w="1821" w:type="dxa"/>
          </w:tcPr>
          <w:p w14:paraId="13C38388"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2,550</w:t>
            </w:r>
          </w:p>
          <w:p w14:paraId="4E99BADE"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p>
        </w:tc>
        <w:tc>
          <w:tcPr>
            <w:tcW w:w="1559" w:type="dxa"/>
          </w:tcPr>
          <w:p w14:paraId="7AA2B4E8"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1,000</w:t>
            </w:r>
          </w:p>
        </w:tc>
        <w:tc>
          <w:tcPr>
            <w:tcW w:w="1134" w:type="dxa"/>
          </w:tcPr>
          <w:p w14:paraId="4F031574"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2,750</w:t>
            </w:r>
          </w:p>
        </w:tc>
        <w:tc>
          <w:tcPr>
            <w:tcW w:w="1134" w:type="dxa"/>
          </w:tcPr>
          <w:p w14:paraId="445ACFA4"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2,200</w:t>
            </w:r>
          </w:p>
        </w:tc>
        <w:tc>
          <w:tcPr>
            <w:tcW w:w="1134" w:type="dxa"/>
          </w:tcPr>
          <w:p w14:paraId="6ADCB1E0"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550</w:t>
            </w:r>
          </w:p>
        </w:tc>
        <w:tc>
          <w:tcPr>
            <w:tcW w:w="1275" w:type="dxa"/>
          </w:tcPr>
          <w:p w14:paraId="2FA0BC69" w14:textId="77777777" w:rsidR="00D91E77" w:rsidRPr="002D5B66" w:rsidRDefault="00D91E77" w:rsidP="002D5B66">
            <w:pPr>
              <w:spacing w:line="240" w:lineRule="auto"/>
              <w:jc w:val="center"/>
              <w:rPr>
                <w:rFonts w:eastAsia="Times New Roman" w:cs="Times New Roman"/>
                <w:color w:val="000000"/>
                <w:kern w:val="0"/>
                <w:sz w:val="20"/>
                <w:szCs w:val="20"/>
                <w:lang w:eastAsia="ja-JP"/>
              </w:rPr>
            </w:pPr>
            <w:r w:rsidRPr="002D5B66">
              <w:rPr>
                <w:rFonts w:eastAsia="Times New Roman" w:cs="Times New Roman"/>
                <w:color w:val="000000"/>
                <w:sz w:val="20"/>
                <w:szCs w:val="20"/>
              </w:rPr>
              <w:t>-</w:t>
            </w:r>
          </w:p>
        </w:tc>
      </w:tr>
    </w:tbl>
    <w:p w14:paraId="6D844177" w14:textId="77777777" w:rsidR="00D91E77" w:rsidRPr="00D91E77" w:rsidRDefault="00D91E77" w:rsidP="00D91E77">
      <w:pPr>
        <w:spacing w:after="0"/>
        <w:rPr>
          <w:rFonts w:eastAsia="Times New Roman" w:cs="Times New Roman"/>
          <w:color w:val="000000"/>
        </w:rPr>
      </w:pPr>
    </w:p>
    <w:p w14:paraId="25B50140" w14:textId="53ECA1DE" w:rsidR="00D91E77" w:rsidRPr="00D91E77" w:rsidRDefault="00D91E77" w:rsidP="002D5B66">
      <w:pPr>
        <w:keepNext/>
        <w:spacing w:after="0"/>
        <w:jc w:val="center"/>
        <w:rPr>
          <w:rFonts w:cs="Times New Roman"/>
        </w:rPr>
      </w:pPr>
      <w:r w:rsidRPr="00D91E77">
        <w:rPr>
          <w:rFonts w:eastAsia="Times New Roman" w:cs="Times New Roman"/>
          <w:noProof/>
          <w:color w:val="000000"/>
          <w:lang w:eastAsia="en-US"/>
        </w:rPr>
        <w:drawing>
          <wp:inline distT="0" distB="0" distL="0" distR="0" wp14:anchorId="6046D694" wp14:editId="174466F7">
            <wp:extent cx="4418091" cy="2796705"/>
            <wp:effectExtent l="0" t="0" r="1905"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4423319" cy="2800015"/>
                    </a:xfrm>
                    <a:prstGeom prst="rect">
                      <a:avLst/>
                    </a:prstGeom>
                  </pic:spPr>
                </pic:pic>
              </a:graphicData>
            </a:graphic>
          </wp:inline>
        </w:drawing>
      </w:r>
    </w:p>
    <w:p w14:paraId="3EF04834" w14:textId="0F2AD4D5" w:rsidR="00593535" w:rsidRPr="00436B5E" w:rsidRDefault="00D91E77" w:rsidP="00436B5E">
      <w:pPr>
        <w:pStyle w:val="Caption"/>
        <w:jc w:val="center"/>
        <w:rPr>
          <w:rFonts w:eastAsia="Times New Roman" w:cs="Times New Roman"/>
          <w:color w:val="000000"/>
        </w:rPr>
      </w:pPr>
      <w:bookmarkStart w:id="31" w:name="_Toc461406962"/>
      <w:bookmarkStart w:id="32" w:name="_Toc10921964"/>
      <w:r w:rsidRPr="00D91E77">
        <w:rPr>
          <w:rFonts w:cs="Times New Roman"/>
        </w:rPr>
        <w:t xml:space="preserve">Figure </w:t>
      </w:r>
      <w:r w:rsidR="002D5B66">
        <w:rPr>
          <w:rFonts w:cs="Times New Roman"/>
        </w:rPr>
        <w:t>1.</w:t>
      </w:r>
      <w:r w:rsidRPr="00D91E77">
        <w:rPr>
          <w:rFonts w:cs="Times New Roman"/>
        </w:rPr>
        <w:fldChar w:fldCharType="begin"/>
      </w:r>
      <w:r w:rsidRPr="00D91E77">
        <w:rPr>
          <w:rFonts w:cs="Times New Roman"/>
        </w:rPr>
        <w:instrText xml:space="preserve"> SEQ Figure \* ARABIC </w:instrText>
      </w:r>
      <w:r w:rsidRPr="00D91E77">
        <w:rPr>
          <w:rFonts w:cs="Times New Roman"/>
        </w:rPr>
        <w:fldChar w:fldCharType="separate"/>
      </w:r>
      <w:r w:rsidR="007910F0">
        <w:rPr>
          <w:rFonts w:cs="Times New Roman"/>
          <w:noProof/>
        </w:rPr>
        <w:t>7</w:t>
      </w:r>
      <w:r w:rsidRPr="00D91E77">
        <w:rPr>
          <w:rFonts w:cs="Times New Roman"/>
          <w:noProof/>
        </w:rPr>
        <w:fldChar w:fldCharType="end"/>
      </w:r>
      <w:r w:rsidRPr="00D91E77">
        <w:rPr>
          <w:rFonts w:cs="Times New Roman"/>
        </w:rPr>
        <w:t>. Land and water footprint for electricity storage and generation technologies (IEA, 2014)</w:t>
      </w:r>
      <w:bookmarkEnd w:id="31"/>
      <w:bookmarkEnd w:id="32"/>
    </w:p>
    <w:p w14:paraId="638C27B6" w14:textId="085E6868" w:rsidR="00F52595" w:rsidRPr="00E069AC" w:rsidRDefault="551A77D0" w:rsidP="001031EC">
      <w:pPr>
        <w:pStyle w:val="Heading1"/>
        <w:numPr>
          <w:ilvl w:val="0"/>
          <w:numId w:val="44"/>
        </w:numPr>
      </w:pPr>
      <w:bookmarkStart w:id="33" w:name="_Toc10921944"/>
      <w:r w:rsidRPr="00E069AC">
        <w:t>Discussion</w:t>
      </w:r>
      <w:bookmarkEnd w:id="33"/>
    </w:p>
    <w:p w14:paraId="0BEB527D" w14:textId="249E419E" w:rsidR="001031EC" w:rsidRPr="001031EC" w:rsidRDefault="001031EC" w:rsidP="001031EC">
      <w:pPr>
        <w:tabs>
          <w:tab w:val="left" w:pos="6060"/>
        </w:tabs>
        <w:rPr>
          <w:rFonts w:cs="Times New Roman"/>
          <w:bCs/>
        </w:rPr>
      </w:pPr>
      <w:r w:rsidRPr="001031EC">
        <w:rPr>
          <w:rFonts w:cs="Times New Roman"/>
          <w:bCs/>
        </w:rPr>
        <w:t xml:space="preserve">The </w:t>
      </w:r>
      <w:r>
        <w:rPr>
          <w:rFonts w:cs="Times New Roman"/>
          <w:bCs/>
        </w:rPr>
        <w:t>technical variables</w:t>
      </w:r>
      <w:r w:rsidRPr="001031EC">
        <w:rPr>
          <w:rFonts w:cs="Times New Roman"/>
          <w:bCs/>
        </w:rPr>
        <w:t xml:space="preserve"> associated with pumped hydropower storage may differ significantly from the parameters associated with other forms of storage. Most lithium batteries, for example, have round trip efficiencies on the order of 90% or above, significantly higher than the average used in the model. However, they also have very low cycle lives, generally leading to a calendar life of between 10 to 15 years (depending on application) rather than the forty-year calendar life assumed here for an “average” ESS. </w:t>
      </w:r>
    </w:p>
    <w:p w14:paraId="64695793" w14:textId="2E6D7A57" w:rsidR="001031EC" w:rsidRPr="001031EC" w:rsidRDefault="001031EC" w:rsidP="001031EC">
      <w:pPr>
        <w:tabs>
          <w:tab w:val="left" w:pos="6060"/>
        </w:tabs>
        <w:rPr>
          <w:rFonts w:cs="Times New Roman"/>
          <w:bCs/>
        </w:rPr>
      </w:pPr>
      <w:r w:rsidRPr="001031EC">
        <w:rPr>
          <w:rFonts w:cs="Times New Roman"/>
          <w:bCs/>
        </w:rPr>
        <w:t xml:space="preserve">Newer forms of energy storage, such as lithium and flow batteries, are relatively untested on the grid. </w:t>
      </w:r>
      <w:r>
        <w:rPr>
          <w:rFonts w:cs="Times New Roman"/>
          <w:bCs/>
        </w:rPr>
        <w:t xml:space="preserve">Most </w:t>
      </w:r>
      <w:r w:rsidRPr="001031EC">
        <w:rPr>
          <w:rFonts w:cs="Times New Roman"/>
          <w:bCs/>
        </w:rPr>
        <w:t xml:space="preserve">services provided by energy storage, including arbitrage, power conditioning, and congestion relief cannot be easily provided using other technologies. Natural gas peaking plants, however, can compete with energy storage in its function of responding to periods of unusually high demand on the grid </w:t>
      </w:r>
      <w:r w:rsidRPr="001031EC">
        <w:rPr>
          <w:rFonts w:cs="Times New Roman"/>
          <w:bCs/>
        </w:rPr>
        <w:fldChar w:fldCharType="begin"/>
      </w:r>
      <w:r w:rsidRPr="001031EC">
        <w:rPr>
          <w:rFonts w:cs="Times New Roman"/>
          <w:bCs/>
        </w:rPr>
        <w:instrText xml:space="preserve"> ADDIN ZOTERO_ITEM CSL_CITATION {"citationID":"9tmo4dvn9","properties":{"formattedCitation":"(California Energy Storage Alliance, 2011)","plainCitation":"(California Energy Storage Alliance, 2011)"},"citationItems":[{"id":3883,"uris":["http://zotero.org/groups/277937/items/A2HZ4X5R"],"uri":["http://zotero.org/groups/277937/items/A2HZ4X5R"],"itemData":{"id":3883,"type":"report","title":"Energy Storage - a Cheaper and Cleaner Alternative to Natural Gas-Fired Peakers","author":[{"family":"California Energy Storage Alliance","given":""}],"issued":{"date-parts":[["2011",2]]}}}],"schema":"https://github.com/citation-style-language/schema/raw/master/csl-citation.json"} </w:instrText>
      </w:r>
      <w:r w:rsidRPr="001031EC">
        <w:rPr>
          <w:rFonts w:cs="Times New Roman"/>
          <w:bCs/>
        </w:rPr>
        <w:fldChar w:fldCharType="separate"/>
      </w:r>
      <w:r w:rsidRPr="001031EC">
        <w:rPr>
          <w:rFonts w:cs="Times New Roman"/>
        </w:rPr>
        <w:t>(California Energy Storage Alliance, 2011)</w:t>
      </w:r>
      <w:r w:rsidRPr="001031EC">
        <w:rPr>
          <w:rFonts w:cs="Times New Roman"/>
          <w:bCs/>
        </w:rPr>
        <w:fldChar w:fldCharType="end"/>
      </w:r>
      <w:r w:rsidRPr="001031EC">
        <w:rPr>
          <w:rFonts w:cs="Times New Roman"/>
          <w:bCs/>
        </w:rPr>
        <w:t>. Indeed, the use of peaking plants is standard practice in the current day. Energy from peaking plants tends to be expensive, as they have very low capacity factors. Because they operate for so little time, the LCOE of these facilities must be high in order for a given project to turn a profit over its lifetime. However, as a primary objective of grid operators is to avoid power supply falling short of power demand, peaking capacity is presently required to be added to the grid as demand increases. Installation of energy storage effectively avoids the need for further additions of peaking capacity, while still providing the ancillary services listed above.</w:t>
      </w:r>
    </w:p>
    <w:p w14:paraId="2DDDD13C" w14:textId="1FC4BF54" w:rsidR="001031EC" w:rsidRPr="0091000D" w:rsidRDefault="001031EC" w:rsidP="001031EC">
      <w:pPr>
        <w:tabs>
          <w:tab w:val="left" w:pos="6060"/>
        </w:tabs>
        <w:rPr>
          <w:rFonts w:cs="Times New Roman"/>
          <w:bCs/>
        </w:rPr>
      </w:pPr>
      <w:r w:rsidRPr="001031EC">
        <w:rPr>
          <w:rFonts w:cs="Times New Roman"/>
          <w:bCs/>
        </w:rPr>
        <w:t xml:space="preserve">Similarly, capacity improvements to the </w:t>
      </w:r>
      <w:r w:rsidRPr="0091000D">
        <w:rPr>
          <w:rFonts w:cs="Times New Roman"/>
          <w:bCs/>
        </w:rPr>
        <w:t xml:space="preserve">transmission and distribution (T&amp;D) capabilities of the power grid have been continually necessary with increasing demand. Storage capacity at various levels in the T&amp;D system can have the effect of relieving congestion on T&amp;D lines and, therefore, allowing deferral of T&amp;D capacity increases </w:t>
      </w:r>
      <w:r w:rsidRPr="0091000D">
        <w:rPr>
          <w:rFonts w:cs="Times New Roman"/>
          <w:bCs/>
        </w:rPr>
        <w:fldChar w:fldCharType="begin"/>
      </w:r>
      <w:r w:rsidRPr="0091000D">
        <w:rPr>
          <w:rFonts w:cs="Times New Roman"/>
          <w:bCs/>
        </w:rPr>
        <w:instrText xml:space="preserve"> ADDIN ZOTERO_ITEM CSL_CITATION {"citationID":"f5ovbe03d","properties":{"formattedCitation":"(US Department of Energy, 2013)","plainCitation":"(US Department of Energy, 2013)"},"citationItems":[{"id":3375,"uris":["http://zotero.org/groups/277937/items/HQ8TTHPB"],"uri":["http://zotero.org/groups/277937/items/HQ8TTHPB"],"itemData":{"id":3375,"type":"report","title":"Grid Energy Storage - December 2013 | Department of Energy","URL":"http://energy.gov/oe/downloads/grid-energy-storage-december-2013","author":[{"family":"US Department of Energy","given":""}],"issued":{"date-parts":[["2013",12]]},"accessed":{"date-parts":[["2015",6,9]]}}}],"schema":"https://github.com/citation-style-language/schema/raw/master/csl-citation.json"} </w:instrText>
      </w:r>
      <w:r w:rsidRPr="0091000D">
        <w:rPr>
          <w:rFonts w:cs="Times New Roman"/>
          <w:bCs/>
        </w:rPr>
        <w:fldChar w:fldCharType="separate"/>
      </w:r>
      <w:r w:rsidRPr="0091000D">
        <w:rPr>
          <w:rFonts w:cs="Times New Roman"/>
        </w:rPr>
        <w:t>(US DOE, 2013)</w:t>
      </w:r>
      <w:r w:rsidRPr="0091000D">
        <w:rPr>
          <w:rFonts w:cs="Times New Roman"/>
          <w:bCs/>
        </w:rPr>
        <w:fldChar w:fldCharType="end"/>
      </w:r>
      <w:r w:rsidRPr="0091000D">
        <w:rPr>
          <w:rFonts w:cs="Times New Roman"/>
          <w:bCs/>
        </w:rPr>
        <w:t>. This provides a significant financial benefit, albeit one that cannot be easily harvested in power markets where the providers of T&amp;D services must be separate entities from power generators.</w:t>
      </w:r>
    </w:p>
    <w:p w14:paraId="31B0AB16" w14:textId="4666602B" w:rsidR="001031EC" w:rsidRPr="001031EC" w:rsidRDefault="001031EC" w:rsidP="001031EC">
      <w:pPr>
        <w:tabs>
          <w:tab w:val="left" w:pos="6060"/>
        </w:tabs>
        <w:rPr>
          <w:rFonts w:cs="Times New Roman"/>
          <w:bCs/>
        </w:rPr>
      </w:pPr>
      <w:r w:rsidRPr="0091000D">
        <w:rPr>
          <w:rFonts w:cs="Times New Roman"/>
          <w:bCs/>
        </w:rPr>
        <w:t>Finally, to individually account for carbon impact of storage assuming</w:t>
      </w:r>
      <w:r>
        <w:rPr>
          <w:rFonts w:cs="Times New Roman"/>
          <w:bCs/>
        </w:rPr>
        <w:t xml:space="preserve"> a </w:t>
      </w:r>
      <w:r w:rsidRPr="001031EC">
        <w:rPr>
          <w:rFonts w:cs="Times New Roman"/>
          <w:bCs/>
        </w:rPr>
        <w:t xml:space="preserve">mix of generation technologies with a very high percentage of variable generation capacity, </w:t>
      </w:r>
      <w:r>
        <w:rPr>
          <w:rFonts w:cs="Times New Roman"/>
          <w:bCs/>
        </w:rPr>
        <w:t xml:space="preserve">assumptions </w:t>
      </w:r>
      <w:r w:rsidRPr="001031EC">
        <w:rPr>
          <w:rFonts w:cs="Times New Roman"/>
          <w:bCs/>
        </w:rPr>
        <w:t xml:space="preserve">that using storage reduces the carbon intensity of generation on a moment-by-moment basis may not hold. For example, if natural gas plants are not uses to meet peak demand in the first place, that carbon cannot be displaced through storage. If base load is assumed to come predominantly from nuclear power rather than coal, the carbon implications of varying heat rate are negligible. However, it is crucial to take into account that very high (&gt;30%) proportions of variable renewable generation are impossible without either significant curtailment or significant storage capacity </w:t>
      </w:r>
      <w:r w:rsidRPr="001031EC">
        <w:rPr>
          <w:rFonts w:cs="Times New Roman"/>
          <w:bCs/>
        </w:rPr>
        <w:fldChar w:fldCharType="begin"/>
      </w:r>
      <w:r w:rsidRPr="001031EC">
        <w:rPr>
          <w:rFonts w:cs="Times New Roman"/>
          <w:bCs/>
        </w:rPr>
        <w:instrText xml:space="preserve"> ADDIN ZOTERO_ITEM CSL_CITATION {"citationID":"u6v1r6ier","properties":{"formattedCitation":"(European Commission, 2015)","plainCitation":"(European Commission, 2015)"},"citationItems":[{"id":3983,"uris":["http://zotero.org/groups/277937/items/JC4EE5TV"],"uri":["http://zotero.org/groups/277937/items/JC4EE5TV"],"itemData":{"id":3983,"type":"report","title":"Commercialization of Energy Storage in Europe","publisher":"European Commission","issued":{"date-parts":[["2015",3]]}}}],"schema":"https://github.com/citation-style-language/schema/raw/master/csl-citation.json"} </w:instrText>
      </w:r>
      <w:r w:rsidRPr="001031EC">
        <w:rPr>
          <w:rFonts w:cs="Times New Roman"/>
          <w:bCs/>
        </w:rPr>
        <w:fldChar w:fldCharType="separate"/>
      </w:r>
      <w:r w:rsidRPr="001031EC">
        <w:rPr>
          <w:rFonts w:cs="Times New Roman"/>
        </w:rPr>
        <w:t>(European Commission, 2015)</w:t>
      </w:r>
      <w:r w:rsidRPr="001031EC">
        <w:rPr>
          <w:rFonts w:cs="Times New Roman"/>
          <w:bCs/>
        </w:rPr>
        <w:fldChar w:fldCharType="end"/>
      </w:r>
      <w:r w:rsidRPr="001031EC">
        <w:rPr>
          <w:rFonts w:cs="Times New Roman"/>
          <w:bCs/>
        </w:rPr>
        <w:t xml:space="preserve">. In the former case, although the installed capacity mix may be very “clean”, the actual generation mix is more carbon intensive as steady and reliable fossil sources must be relied on over variable sources to ensure demand is met. In the latter case, carbon savings are attributable to the presence of clean, renewable generation sources but storage plays an integral role in allowing those sources to be effectively utilized. As such, although the direct impact of utility-scale energy storage on carbon emissions may be small, it </w:t>
      </w:r>
      <w:r>
        <w:rPr>
          <w:rFonts w:cs="Times New Roman"/>
          <w:bCs/>
        </w:rPr>
        <w:t>might be</w:t>
      </w:r>
      <w:r w:rsidRPr="001031EC">
        <w:rPr>
          <w:rFonts w:cs="Times New Roman"/>
          <w:bCs/>
        </w:rPr>
        <w:t xml:space="preserve"> a key component of moving to a decarbonized power grid. It </w:t>
      </w:r>
      <w:r>
        <w:rPr>
          <w:rFonts w:cs="Times New Roman"/>
          <w:bCs/>
        </w:rPr>
        <w:t xml:space="preserve">may </w:t>
      </w:r>
      <w:r w:rsidRPr="001031EC">
        <w:rPr>
          <w:rFonts w:cs="Times New Roman"/>
          <w:bCs/>
        </w:rPr>
        <w:t xml:space="preserve">transform the way we produce, deliver, and consume electricity toward cleaner and more efficient energy mix. </w:t>
      </w:r>
    </w:p>
    <w:p w14:paraId="172D1BAD" w14:textId="77777777" w:rsidR="001031EC" w:rsidRPr="001031EC" w:rsidRDefault="001031EC" w:rsidP="001031EC">
      <w:pPr>
        <w:tabs>
          <w:tab w:val="left" w:pos="6060"/>
        </w:tabs>
        <w:rPr>
          <w:rFonts w:cs="Times New Roman"/>
        </w:rPr>
      </w:pPr>
      <w:r w:rsidRPr="001031EC">
        <w:rPr>
          <w:rFonts w:cs="Times New Roman"/>
          <w:bCs/>
        </w:rPr>
        <w:t>Estimating grid storage requirements remains challenging mainly because it depends completely on system-wide development, since the related applications span diverse months to seconds and are very location-specific, the modelling requirements are quite complex. However, g</w:t>
      </w:r>
      <w:r w:rsidRPr="001031EC">
        <w:rPr>
          <w:rFonts w:cs="Times New Roman"/>
        </w:rPr>
        <w:t xml:space="preserve">rid-scale electricity storage technologies have attracted growing attention in recent years, with significant investments focused on decreasing the costs of technologies.  </w:t>
      </w:r>
    </w:p>
    <w:p w14:paraId="47FC94CF" w14:textId="26BC81ED" w:rsidR="001031EC" w:rsidRPr="001031EC" w:rsidRDefault="0091000D" w:rsidP="001031EC">
      <w:pPr>
        <w:tabs>
          <w:tab w:val="left" w:pos="6060"/>
        </w:tabs>
        <w:rPr>
          <w:rFonts w:cs="Times New Roman"/>
          <w:bCs/>
        </w:rPr>
      </w:pPr>
      <w:r>
        <w:rPr>
          <w:rFonts w:cs="Times New Roman"/>
        </w:rPr>
        <w:t>I</w:t>
      </w:r>
      <w:r w:rsidR="001031EC" w:rsidRPr="001031EC">
        <w:rPr>
          <w:rFonts w:cs="Times New Roman"/>
        </w:rPr>
        <w:t xml:space="preserve">t </w:t>
      </w:r>
      <w:r>
        <w:rPr>
          <w:rFonts w:cs="Times New Roman"/>
        </w:rPr>
        <w:t xml:space="preserve">also </w:t>
      </w:r>
      <w:r w:rsidR="001031EC" w:rsidRPr="001031EC">
        <w:rPr>
          <w:rFonts w:cs="Times New Roman"/>
        </w:rPr>
        <w:t>allows a smaller capacity of load-following natural gas plants to meet demand while operating at higher efficiencies and reduces future use of baseload generation, instead increasing reliance upon load-following natural gas plants.</w:t>
      </w:r>
    </w:p>
    <w:p w14:paraId="2CCA8450" w14:textId="77777777" w:rsidR="00593535" w:rsidRDefault="00593535">
      <w:pPr>
        <w:spacing w:after="160" w:line="259" w:lineRule="auto"/>
        <w:jc w:val="left"/>
        <w:rPr>
          <w:rFonts w:asciiTheme="majorHAnsi" w:eastAsiaTheme="majorEastAsia" w:hAnsiTheme="majorHAnsi" w:cs="Times New Roman (Headings CS)"/>
          <w:b/>
          <w:bCs/>
          <w:smallCaps/>
          <w:color w:val="4F81BD" w:themeColor="accent1"/>
          <w:sz w:val="36"/>
          <w:szCs w:val="36"/>
        </w:rPr>
      </w:pPr>
      <w:r>
        <w:br w:type="page"/>
      </w:r>
    </w:p>
    <w:p w14:paraId="7454D80C" w14:textId="335CC042" w:rsidR="00434F61" w:rsidRPr="00E069AC" w:rsidRDefault="551A77D0" w:rsidP="001031EC">
      <w:pPr>
        <w:pStyle w:val="Heading1"/>
        <w:numPr>
          <w:ilvl w:val="0"/>
          <w:numId w:val="44"/>
        </w:numPr>
      </w:pPr>
      <w:bookmarkStart w:id="34" w:name="_Toc10921945"/>
      <w:r w:rsidRPr="00E069AC">
        <w:t>References</w:t>
      </w:r>
      <w:bookmarkEnd w:id="34"/>
    </w:p>
    <w:p w14:paraId="25BFF56E" w14:textId="77777777" w:rsidR="001031EC" w:rsidRPr="001031EC" w:rsidRDefault="001031EC" w:rsidP="001031EC">
      <w:r w:rsidRPr="001031EC">
        <w:t xml:space="preserve">Bhatnagar, D., Currier, A., Hernandez, J., Ma, O., &amp; Kirby, B. (2013). </w:t>
      </w:r>
      <w:r w:rsidRPr="00436B5E">
        <w:rPr>
          <w:i/>
        </w:rPr>
        <w:t>Market and policy barriers to energy storage deployment.</w:t>
      </w:r>
      <w:r w:rsidRPr="001031EC">
        <w:t xml:space="preserve"> </w:t>
      </w:r>
      <w:r w:rsidRPr="00436B5E">
        <w:rPr>
          <w:iCs/>
        </w:rPr>
        <w:t>Sandia National Lab. SAND2013-7606</w:t>
      </w:r>
      <w:r w:rsidRPr="00436B5E">
        <w:t>.</w:t>
      </w:r>
      <w:r w:rsidRPr="001031EC">
        <w:t xml:space="preserve"> Retrieved from http://consultkirby.com/files/SAND2013-7606_Market_and_Policy_Barriers_to_Energy_Storage_Development_September_2013.pdf</w:t>
      </w:r>
    </w:p>
    <w:p w14:paraId="5037438B" w14:textId="77777777" w:rsidR="001031EC" w:rsidRPr="001031EC" w:rsidRDefault="001031EC" w:rsidP="001031EC">
      <w:r w:rsidRPr="001031EC">
        <w:t xml:space="preserve">Boos, P. (2014). </w:t>
      </w:r>
      <w:r w:rsidRPr="001031EC">
        <w:rPr>
          <w:i/>
          <w:iCs/>
        </w:rPr>
        <w:t>A Technology in Review: Energy Storage</w:t>
      </w:r>
      <w:r w:rsidRPr="001031EC">
        <w:t>. Burns &amp; McDonnell.</w:t>
      </w:r>
    </w:p>
    <w:p w14:paraId="73270961" w14:textId="77777777" w:rsidR="001031EC" w:rsidRPr="001031EC" w:rsidRDefault="001031EC" w:rsidP="001031EC">
      <w:r w:rsidRPr="001031EC">
        <w:rPr>
          <w:rFonts w:cs="Arial"/>
          <w:color w:val="222222"/>
          <w:shd w:val="clear" w:color="auto" w:fill="FFFFFF"/>
        </w:rPr>
        <w:t>Brian, K., (2011).</w:t>
      </w:r>
      <w:r w:rsidRPr="001031EC">
        <w:rPr>
          <w:rStyle w:val="apple-converted-space"/>
          <w:rFonts w:cs="Arial"/>
          <w:color w:val="222222"/>
          <w:shd w:val="clear" w:color="auto" w:fill="FFFFFF"/>
        </w:rPr>
        <w:t> </w:t>
      </w:r>
      <w:r w:rsidRPr="001031EC">
        <w:rPr>
          <w:rFonts w:cs="Arial"/>
          <w:i/>
          <w:iCs/>
          <w:color w:val="222222"/>
          <w:shd w:val="clear" w:color="auto" w:fill="FFFFFF"/>
        </w:rPr>
        <w:t>The Impact of Electricity Storage on Energy Sector Emissions</w:t>
      </w:r>
      <w:r w:rsidRPr="001031EC">
        <w:rPr>
          <w:rFonts w:cs="Arial"/>
          <w:color w:val="222222"/>
          <w:shd w:val="clear" w:color="auto" w:fill="FFFFFF"/>
        </w:rPr>
        <w:t>. Diss. Duke University,</w:t>
      </w:r>
    </w:p>
    <w:p w14:paraId="3B9FBEEE" w14:textId="58F8F8A8" w:rsidR="001031EC" w:rsidRPr="001031EC" w:rsidRDefault="001031EC" w:rsidP="001031EC">
      <w:r w:rsidRPr="001031EC">
        <w:t xml:space="preserve">Brinkman, G., Lew, D., &amp; Denholm, P. (2012, May). </w:t>
      </w:r>
      <w:r w:rsidRPr="001031EC">
        <w:rPr>
          <w:i/>
          <w:iCs/>
        </w:rPr>
        <w:t>Impacts of Renewable Generation on Fossil Fuel Unit Cycling: Costs and Emissions</w:t>
      </w:r>
      <w:r w:rsidRPr="001031EC">
        <w:t xml:space="preserve">. </w:t>
      </w:r>
      <w:r w:rsidR="00436B5E">
        <w:t xml:space="preserve">National Renewable Energy Laboratory. </w:t>
      </w:r>
      <w:r w:rsidRPr="001031EC">
        <w:t>Retrieved from http://www.nrel.gov/docs/fy12osti/55828.pdf</w:t>
      </w:r>
    </w:p>
    <w:p w14:paraId="7A6C917D" w14:textId="0CE470D4" w:rsidR="001031EC" w:rsidRPr="001031EC" w:rsidRDefault="001031EC" w:rsidP="001031EC">
      <w:r w:rsidRPr="001031EC">
        <w:t xml:space="preserve">California Energy Storage Alliance. (2011). </w:t>
      </w:r>
      <w:r w:rsidRPr="001031EC">
        <w:rPr>
          <w:i/>
          <w:iCs/>
        </w:rPr>
        <w:t>Energy Storage - a Cheaper and Cleaner Alternative to Natural Gas-Fired Peakers</w:t>
      </w:r>
      <w:r w:rsidRPr="001031EC">
        <w:t>.</w:t>
      </w:r>
      <w:r w:rsidR="00436B5E">
        <w:t xml:space="preserve"> </w:t>
      </w:r>
      <w:r w:rsidR="00436B5E" w:rsidRPr="001031EC">
        <w:t>California Energy Storage Alliance.</w:t>
      </w:r>
    </w:p>
    <w:p w14:paraId="3216713B" w14:textId="77777777" w:rsidR="001031EC" w:rsidRPr="001031EC" w:rsidRDefault="001031EC" w:rsidP="001031EC">
      <w:r w:rsidRPr="005E1ADE">
        <w:t xml:space="preserve">Carnegie, R., Gotham, D., Nderitu, D., &amp; Preckel, P. V. (2013). </w:t>
      </w:r>
      <w:r w:rsidRPr="001031EC">
        <w:t xml:space="preserve">Utility scale energy storage systems. </w:t>
      </w:r>
      <w:r w:rsidRPr="001031EC">
        <w:rPr>
          <w:i/>
          <w:iCs/>
        </w:rPr>
        <w:t>State Utility Forecasting Group. Purdue University</w:t>
      </w:r>
      <w:r w:rsidRPr="001031EC">
        <w:t xml:space="preserve">, </w:t>
      </w:r>
      <w:r w:rsidRPr="001031EC">
        <w:rPr>
          <w:i/>
          <w:iCs/>
        </w:rPr>
        <w:t>1</w:t>
      </w:r>
      <w:r w:rsidRPr="001031EC">
        <w:t>. Retrieved from http://assets.fiercemarkets.com/public/sites/energy/reports/batterystoragereport.pdf</w:t>
      </w:r>
    </w:p>
    <w:p w14:paraId="2202B1FD" w14:textId="77777777" w:rsidR="001031EC" w:rsidRPr="001031EC" w:rsidRDefault="001031EC" w:rsidP="001031EC">
      <w:r w:rsidRPr="001031EC">
        <w:t xml:space="preserve">Conover, D., Ferreira, S., Crawford, A., Schoenwald, D., &amp; Viswanathan, V. (2014). </w:t>
      </w:r>
      <w:r w:rsidRPr="001031EC">
        <w:rPr>
          <w:i/>
          <w:iCs/>
        </w:rPr>
        <w:t>Protocol for uniformly measuring and expressing the performance of energy storage systems</w:t>
      </w:r>
      <w:r w:rsidRPr="001031EC">
        <w:t>. PNNL-22010 Rev. Retrieved from http://energystorage.org/system/files/resources/ess_protocol_rev_1_with_microgrids.pdf</w:t>
      </w:r>
    </w:p>
    <w:p w14:paraId="5C72EA4F" w14:textId="1C40795A" w:rsidR="001031EC" w:rsidRPr="001031EC" w:rsidRDefault="001031EC" w:rsidP="001031EC">
      <w:r w:rsidRPr="001031EC">
        <w:t xml:space="preserve">Denholm, P., Ela, E., Kirby, B., &amp; Milligan, M. (2010). </w:t>
      </w:r>
      <w:r w:rsidRPr="001031EC">
        <w:rPr>
          <w:i/>
          <w:iCs/>
        </w:rPr>
        <w:t>The Role of Energy Storage with Renewable Electricity Generation</w:t>
      </w:r>
      <w:r w:rsidRPr="001031EC">
        <w:t>. N</w:t>
      </w:r>
      <w:r w:rsidR="00B94F57">
        <w:t>ational Renewable Energy Laboratory.</w:t>
      </w:r>
    </w:p>
    <w:p w14:paraId="3F93C9C4" w14:textId="77777777" w:rsidR="001031EC" w:rsidRPr="001031EC" w:rsidRDefault="001031EC" w:rsidP="001031EC">
      <w:r w:rsidRPr="001031EC">
        <w:t xml:space="preserve">Denholm, P., &amp; Kulcinski, G. L. (2004). Life cycle energy requirements and greenhouse gas emissions from large scale energy storage systems. </w:t>
      </w:r>
      <w:r w:rsidRPr="001031EC">
        <w:rPr>
          <w:i/>
          <w:iCs/>
        </w:rPr>
        <w:t>Energy Conversion and Management</w:t>
      </w:r>
      <w:r w:rsidRPr="001031EC">
        <w:t xml:space="preserve">, </w:t>
      </w:r>
      <w:r w:rsidRPr="001031EC">
        <w:rPr>
          <w:i/>
          <w:iCs/>
        </w:rPr>
        <w:t>45</w:t>
      </w:r>
      <w:r w:rsidRPr="001031EC">
        <w:t>(13-14), 2153–2172. http://doi.org/10.1016/j.enconman.2003.10.014</w:t>
      </w:r>
    </w:p>
    <w:p w14:paraId="23B041B7" w14:textId="3E301A9B" w:rsidR="001031EC" w:rsidRPr="001031EC" w:rsidRDefault="001031EC" w:rsidP="001031EC">
      <w:r w:rsidRPr="001031EC">
        <w:t xml:space="preserve">Directorate-General for Energy. (2013). </w:t>
      </w:r>
      <w:r w:rsidRPr="001031EC">
        <w:rPr>
          <w:i/>
          <w:iCs/>
        </w:rPr>
        <w:t>The future role and challenges of energy storage</w:t>
      </w:r>
      <w:r w:rsidRPr="001031EC">
        <w:t xml:space="preserve">. </w:t>
      </w:r>
      <w:r w:rsidR="00B94F57" w:rsidRPr="001031EC">
        <w:t>Directorate-General for Energy</w:t>
      </w:r>
      <w:r w:rsidR="00B94F57">
        <w:t xml:space="preserve">. </w:t>
      </w:r>
      <w:r w:rsidRPr="001031EC">
        <w:t>European Commission.</w:t>
      </w:r>
    </w:p>
    <w:p w14:paraId="3BD5D755" w14:textId="77777777" w:rsidR="001031EC" w:rsidRPr="001031EC" w:rsidRDefault="001031EC" w:rsidP="001031EC">
      <w:r w:rsidRPr="001031EC">
        <w:t xml:space="preserve">Dunn, B., Kamath, H., &amp; Tarascon, J.-M. (2011). Electrical energy storage for the grid: a battery of choices. </w:t>
      </w:r>
      <w:r w:rsidRPr="001031EC">
        <w:rPr>
          <w:i/>
          <w:iCs/>
        </w:rPr>
        <w:t>Science</w:t>
      </w:r>
      <w:r w:rsidRPr="001031EC">
        <w:t xml:space="preserve">, </w:t>
      </w:r>
      <w:r w:rsidRPr="001031EC">
        <w:rPr>
          <w:i/>
          <w:iCs/>
        </w:rPr>
        <w:t>334</w:t>
      </w:r>
      <w:r w:rsidRPr="001031EC">
        <w:t>(6058), 928–935.</w:t>
      </w:r>
    </w:p>
    <w:p w14:paraId="15B2A728" w14:textId="2A477F2F" w:rsidR="001031EC" w:rsidRPr="001031EC" w:rsidRDefault="001031EC" w:rsidP="001031EC">
      <w:r w:rsidRPr="001031EC">
        <w:t xml:space="preserve">EIA (2011). </w:t>
      </w:r>
      <w:r w:rsidRPr="001031EC">
        <w:rPr>
          <w:i/>
        </w:rPr>
        <w:t>Electricity storage technologies can be used for energy management and power quality</w:t>
      </w:r>
      <w:r w:rsidRPr="001031EC">
        <w:t xml:space="preserve"> - Today in Energy</w:t>
      </w:r>
      <w:r w:rsidR="00B94F57">
        <w:t>.</w:t>
      </w:r>
      <w:r w:rsidRPr="001031EC">
        <w:t xml:space="preserve"> U.S. Energy Information Administration (EIA). Retrieved June 10, 2015, from http://www.eia.gov/todayinenergy/detail.cfm?id=4310</w:t>
      </w:r>
    </w:p>
    <w:p w14:paraId="01C363C1" w14:textId="71460F7B" w:rsidR="001031EC" w:rsidRPr="001031EC" w:rsidRDefault="00B94F57" w:rsidP="001031EC">
      <w:r>
        <w:t>EIA</w:t>
      </w:r>
      <w:r w:rsidR="001031EC" w:rsidRPr="001031EC">
        <w:t xml:space="preserve"> (2012). </w:t>
      </w:r>
      <w:r w:rsidR="001031EC" w:rsidRPr="00B94F57">
        <w:rPr>
          <w:i/>
        </w:rPr>
        <w:t xml:space="preserve">Electricity </w:t>
      </w:r>
      <w:r w:rsidRPr="00B94F57">
        <w:rPr>
          <w:i/>
        </w:rPr>
        <w:t>S</w:t>
      </w:r>
      <w:r w:rsidR="001031EC" w:rsidRPr="00B94F57">
        <w:rPr>
          <w:i/>
        </w:rPr>
        <w:t>torage: location and cost</w:t>
      </w:r>
      <w:r w:rsidRPr="00B94F57">
        <w:rPr>
          <w:i/>
        </w:rPr>
        <w:t>.</w:t>
      </w:r>
      <w:r>
        <w:t xml:space="preserve"> </w:t>
      </w:r>
      <w:r w:rsidRPr="001031EC">
        <w:t xml:space="preserve">U.S. Energy Information Administration (EIA). </w:t>
      </w:r>
      <w:r>
        <w:t>Retrieved from:</w:t>
      </w:r>
      <w:r w:rsidR="001031EC" w:rsidRPr="001031EC">
        <w:t xml:space="preserve">   http://www.eia.gov/todayinenergy/detail.cfm?id=6910 </w:t>
      </w:r>
    </w:p>
    <w:p w14:paraId="3FD69BC2" w14:textId="78CC212D" w:rsidR="001031EC" w:rsidRPr="001031EC" w:rsidRDefault="001031EC" w:rsidP="001031EC">
      <w:r w:rsidRPr="001031EC">
        <w:t>EIA. (2014</w:t>
      </w:r>
      <w:r>
        <w:t>a</w:t>
      </w:r>
      <w:r w:rsidRPr="001031EC">
        <w:t xml:space="preserve">). </w:t>
      </w:r>
      <w:r w:rsidRPr="00B94F57">
        <w:rPr>
          <w:i/>
        </w:rPr>
        <w:t>Natural gas, solar, and wind lead power plant capacity additions in first-half 2014.</w:t>
      </w:r>
      <w:r w:rsidRPr="001031EC">
        <w:t xml:space="preserve"> </w:t>
      </w:r>
      <w:r w:rsidR="00B94F57">
        <w:t xml:space="preserve">US </w:t>
      </w:r>
      <w:r w:rsidR="00B94F57" w:rsidRPr="001031EC">
        <w:t xml:space="preserve">U.S. Energy Information Administration (EIA). </w:t>
      </w:r>
      <w:r w:rsidRPr="001031EC">
        <w:t>Retrieved June 28, 2015, from http://www.eia.gov/todayinenergy/detail.cfm?id=17891</w:t>
      </w:r>
    </w:p>
    <w:p w14:paraId="2722479C" w14:textId="09D4912E" w:rsidR="001031EC" w:rsidRPr="001031EC" w:rsidRDefault="001031EC" w:rsidP="001031EC">
      <w:r w:rsidRPr="001031EC">
        <w:t xml:space="preserve">EIA. (2014b). </w:t>
      </w:r>
      <w:r w:rsidRPr="001031EC">
        <w:rPr>
          <w:i/>
        </w:rPr>
        <w:t>U.S. Energy-Related Carbon Dioxide Emissions.</w:t>
      </w:r>
      <w:r>
        <w:t xml:space="preserve"> </w:t>
      </w:r>
      <w:r w:rsidR="00B94F57" w:rsidRPr="001031EC">
        <w:t xml:space="preserve">U.S. Energy Information Administration (EIA). </w:t>
      </w:r>
      <w:r w:rsidRPr="001031EC">
        <w:t>Retrieved June 25, 2015, from http://www.eia.gov/environment/emissions/carbon/</w:t>
      </w:r>
    </w:p>
    <w:p w14:paraId="6921E5E4" w14:textId="0B778489" w:rsidR="001031EC" w:rsidRPr="001031EC" w:rsidRDefault="001031EC" w:rsidP="001031EC">
      <w:r w:rsidRPr="001031EC">
        <w:t>ECOFYS. (2014</w:t>
      </w:r>
      <w:r>
        <w:t xml:space="preserve">). </w:t>
      </w:r>
      <w:r w:rsidRPr="001031EC">
        <w:rPr>
          <w:i/>
        </w:rPr>
        <w:t>Energy Storage Energy Storage, Opportunities and Challenges.</w:t>
      </w:r>
      <w:r w:rsidRPr="001031EC">
        <w:t xml:space="preserve"> ECOFYS http://www.ecofys.com/files/files/ecofys-2014-energy-storage-white-paper.pdf</w:t>
      </w:r>
    </w:p>
    <w:p w14:paraId="547D3AD6" w14:textId="1FBC43F9" w:rsidR="001031EC" w:rsidRPr="001031EC" w:rsidRDefault="001031EC" w:rsidP="001031EC">
      <w:r w:rsidRPr="001031EC">
        <w:t xml:space="preserve">ESMAP. (2015). </w:t>
      </w:r>
      <w:r w:rsidRPr="001031EC">
        <w:rPr>
          <w:i/>
          <w:iCs/>
        </w:rPr>
        <w:t>Bringing variable renewable energy up to scale: Options for Grid Integration Using Natural Gas and Energy Storage</w:t>
      </w:r>
      <w:r w:rsidRPr="001031EC">
        <w:t>. World Bank.</w:t>
      </w:r>
    </w:p>
    <w:p w14:paraId="634709DE" w14:textId="49E9F460" w:rsidR="001031EC" w:rsidRPr="001031EC" w:rsidRDefault="001031EC" w:rsidP="001031EC">
      <w:r w:rsidRPr="001031EC">
        <w:t xml:space="preserve">Eurobat. (2013). </w:t>
      </w:r>
      <w:r w:rsidRPr="001031EC">
        <w:rPr>
          <w:i/>
          <w:iCs/>
        </w:rPr>
        <w:t>Battery Energy Storage for Rural Electrification Systems</w:t>
      </w:r>
      <w:r w:rsidRPr="001031EC">
        <w:t>.</w:t>
      </w:r>
      <w:r>
        <w:t xml:space="preserve"> Eurobat.</w:t>
      </w:r>
    </w:p>
    <w:p w14:paraId="37527998" w14:textId="1DACEF72" w:rsidR="001031EC" w:rsidRPr="001031EC" w:rsidRDefault="001031EC" w:rsidP="001031EC">
      <w:r w:rsidRPr="001031EC">
        <w:t xml:space="preserve">European Commission (2015). </w:t>
      </w:r>
      <w:r w:rsidRPr="001031EC">
        <w:rPr>
          <w:i/>
          <w:iCs/>
        </w:rPr>
        <w:t>Commercialization of Energy Storage in Europe</w:t>
      </w:r>
      <w:r w:rsidRPr="001031EC">
        <w:t>. European Commission.</w:t>
      </w:r>
    </w:p>
    <w:p w14:paraId="720F7DEE" w14:textId="2F2FB003" w:rsidR="001031EC" w:rsidRPr="001031EC" w:rsidRDefault="001031EC" w:rsidP="001031EC">
      <w:r w:rsidRPr="001031EC">
        <w:t>House Economic Matters Committee. (2016</w:t>
      </w:r>
      <w:r>
        <w:t xml:space="preserve">). </w:t>
      </w:r>
      <w:r w:rsidRPr="001031EC">
        <w:rPr>
          <w:i/>
        </w:rPr>
        <w:t>Energy Storage: Considerations for Maryland</w:t>
      </w:r>
      <w:r w:rsidRPr="001031EC">
        <w:t>, Maryland Energy Administration in consultation with Maryland Public Service Commission. http://energy.maryland.gov/Reports/FY15_Energy_Storage_Report.pdf</w:t>
      </w:r>
    </w:p>
    <w:p w14:paraId="575EF8C3" w14:textId="77777777" w:rsidR="001031EC" w:rsidRPr="001031EC" w:rsidRDefault="001031EC" w:rsidP="001031EC">
      <w:r w:rsidRPr="001031EC">
        <w:t xml:space="preserve">Gyuk, I. (2015). </w:t>
      </w:r>
      <w:r w:rsidRPr="00B94F57">
        <w:rPr>
          <w:iCs/>
        </w:rPr>
        <w:t>Statement of Dr. Imre Gyuk, Program Manager for Energy Storage, Research Office of Electricity Delivery and Energy Reliability, U.S. Department of Energy Before the Committee on Science, Space and Technology, Subcommittee on Energy, U.S. House of Representatives</w:t>
      </w:r>
      <w:r w:rsidRPr="00B94F57">
        <w:t>.</w:t>
      </w:r>
    </w:p>
    <w:p w14:paraId="717A40DB" w14:textId="28D11AB8" w:rsidR="001031EC" w:rsidRPr="001031EC" w:rsidRDefault="001031EC" w:rsidP="001031EC">
      <w:r w:rsidRPr="001031EC">
        <w:t xml:space="preserve">IEA (2014). </w:t>
      </w:r>
      <w:r w:rsidRPr="001031EC">
        <w:rPr>
          <w:i/>
          <w:iCs/>
        </w:rPr>
        <w:t xml:space="preserve">Technology Roadmap: Energy </w:t>
      </w:r>
      <w:r w:rsidR="00B94F57">
        <w:rPr>
          <w:i/>
          <w:iCs/>
        </w:rPr>
        <w:t>S</w:t>
      </w:r>
      <w:r w:rsidRPr="001031EC">
        <w:rPr>
          <w:i/>
          <w:iCs/>
        </w:rPr>
        <w:t>torage</w:t>
      </w:r>
      <w:r w:rsidRPr="001031EC">
        <w:t xml:space="preserve">. </w:t>
      </w:r>
      <w:r w:rsidR="00B94F57" w:rsidRPr="00B94F57">
        <w:rPr>
          <w:iCs/>
        </w:rPr>
        <w:t>International Energy Agency, Paris, France</w:t>
      </w:r>
      <w:r w:rsidR="00B94F57">
        <w:rPr>
          <w:i/>
          <w:iCs/>
        </w:rPr>
        <w:t>.</w:t>
      </w:r>
      <w:r w:rsidR="00B94F57" w:rsidRPr="001031EC">
        <w:t xml:space="preserve"> </w:t>
      </w:r>
      <w:r w:rsidRPr="001031EC">
        <w:t>https://www.iea.org/publications/freepublications/publication/TechnologyRoadmapEnergystorage.pdf</w:t>
      </w:r>
    </w:p>
    <w:p w14:paraId="7A170099" w14:textId="391B88CD" w:rsidR="001031EC" w:rsidRPr="001031EC" w:rsidRDefault="001031EC" w:rsidP="001031EC">
      <w:r w:rsidRPr="001031EC">
        <w:t xml:space="preserve">Inage, S. (2009). Prospects for large-scale energy storage in decarbonised power grids. </w:t>
      </w:r>
      <w:r w:rsidR="00B94F57" w:rsidRPr="00B94F57">
        <w:rPr>
          <w:iCs/>
        </w:rPr>
        <w:t>International Energy Agency, Paris, France</w:t>
      </w:r>
      <w:r w:rsidR="00B94F57">
        <w:rPr>
          <w:iCs/>
        </w:rPr>
        <w:t>.</w:t>
      </w:r>
      <w:r w:rsidRPr="001031EC">
        <w:t xml:space="preserve"> Retrieved from http://www.environmentportal.in/files/energy_storage.pdf</w:t>
      </w:r>
    </w:p>
    <w:p w14:paraId="5F7EF547" w14:textId="01546F56" w:rsidR="001031EC" w:rsidRPr="001031EC" w:rsidRDefault="001031EC" w:rsidP="001031EC">
      <w:r w:rsidRPr="001031EC">
        <w:t>Black</w:t>
      </w:r>
      <w:r w:rsidR="00B94F57">
        <w:t>, J.</w:t>
      </w:r>
      <w:r w:rsidRPr="001031EC">
        <w:t xml:space="preserve"> (2012). </w:t>
      </w:r>
      <w:r w:rsidRPr="001031EC">
        <w:rPr>
          <w:i/>
          <w:iCs/>
        </w:rPr>
        <w:t>Impact of Load Following on Power Plant Cost and Performance: Literature Review and Industry Interviews</w:t>
      </w:r>
      <w:r w:rsidRPr="001031EC">
        <w:t xml:space="preserve">. </w:t>
      </w:r>
      <w:r w:rsidR="00B94F57">
        <w:t>National Energy Technology Laboratory.</w:t>
      </w:r>
    </w:p>
    <w:p w14:paraId="24947CD6" w14:textId="12C14AB2" w:rsidR="001031EC" w:rsidRPr="001031EC" w:rsidRDefault="001031EC" w:rsidP="001031EC">
      <w:r w:rsidRPr="001031EC">
        <w:t>Kintner-Meyer, M. (2012)</w:t>
      </w:r>
      <w:r w:rsidR="00B94F57">
        <w:t>.</w:t>
      </w:r>
      <w:r w:rsidRPr="001031EC">
        <w:t xml:space="preserve"> National Assessment of Energy Storage for Grid Balancing and  Arbitrage: Phase 1, WECC, U.S DOE. http://energyenvironment.pnnl.gov/pdf/PNNL-21388_National_Assessment_Storage_Phase_1_final.pdf</w:t>
      </w:r>
    </w:p>
    <w:p w14:paraId="6F85E1A0" w14:textId="24C22DCA" w:rsidR="001031EC" w:rsidRPr="001031EC" w:rsidRDefault="001031EC" w:rsidP="001031EC">
      <w:r w:rsidRPr="001031EC">
        <w:t xml:space="preserve">Knowledge@Wharton. (2013). </w:t>
      </w:r>
      <w:r w:rsidRPr="00B94F57">
        <w:rPr>
          <w:i/>
        </w:rPr>
        <w:t xml:space="preserve">Renewable Energy for Japan: A Post-Fukushima Quest. </w:t>
      </w:r>
      <w:r w:rsidRPr="001031EC">
        <w:t>Retrieved July 1, 2015, from http://knowledge.wharton.upenn.edu/article/renewable-energy-japan-post-fukushima-quest/</w:t>
      </w:r>
    </w:p>
    <w:p w14:paraId="7E2DA6B1" w14:textId="4277A308" w:rsidR="001031EC" w:rsidRPr="001031EC" w:rsidRDefault="001031EC" w:rsidP="001031EC">
      <w:r w:rsidRPr="001031EC">
        <w:t>Morgan, J.P</w:t>
      </w:r>
      <w:r w:rsidR="00B94F57">
        <w:t>.</w:t>
      </w:r>
      <w:r w:rsidRPr="001031EC">
        <w:t xml:space="preserve">, </w:t>
      </w:r>
      <w:r w:rsidR="00B94F57">
        <w:t>(</w:t>
      </w:r>
      <w:r w:rsidRPr="001031EC">
        <w:t>2015</w:t>
      </w:r>
      <w:r w:rsidR="00B94F57">
        <w:t>)</w:t>
      </w:r>
      <w:r w:rsidRPr="001031EC">
        <w:t xml:space="preserve">. </w:t>
      </w:r>
      <w:r w:rsidRPr="00B94F57">
        <w:rPr>
          <w:i/>
        </w:rPr>
        <w:t>Eye on the market</w:t>
      </w:r>
      <w:r w:rsidR="00B94F57" w:rsidRPr="00B94F57">
        <w:rPr>
          <w:i/>
        </w:rPr>
        <w:t>.</w:t>
      </w:r>
      <w:r w:rsidR="00B94F57">
        <w:t xml:space="preserve"> </w:t>
      </w:r>
      <w:r w:rsidRPr="001031EC">
        <w:t>J</w:t>
      </w:r>
      <w:r w:rsidR="00B94F57">
        <w:t xml:space="preserve"> </w:t>
      </w:r>
      <w:r w:rsidRPr="001031EC">
        <w:t>P</w:t>
      </w:r>
      <w:r w:rsidR="00B94F57">
        <w:t xml:space="preserve"> </w:t>
      </w:r>
      <w:r w:rsidRPr="001031EC">
        <w:t>Morgan Chase &amp; Co</w:t>
      </w:r>
      <w:r w:rsidR="00B94F57">
        <w:t>.</w:t>
      </w:r>
    </w:p>
    <w:p w14:paraId="3860BFF9" w14:textId="5A6B64AA" w:rsidR="001031EC" w:rsidRPr="001031EC" w:rsidRDefault="001031EC" w:rsidP="001031EC">
      <w:r w:rsidRPr="001031EC">
        <w:t>NREL (2013).</w:t>
      </w:r>
      <w:r w:rsidR="00B94F57" w:rsidRPr="001031EC">
        <w:t xml:space="preserve"> </w:t>
      </w:r>
      <w:r w:rsidR="00B94F57" w:rsidRPr="00B94F57">
        <w:rPr>
          <w:i/>
        </w:rPr>
        <w:t>Energy Analysis - Levelized Cost of Energy Calculator.</w:t>
      </w:r>
      <w:r w:rsidR="00B94F57" w:rsidRPr="001031EC">
        <w:t xml:space="preserve"> </w:t>
      </w:r>
      <w:r w:rsidR="00B94F57">
        <w:t xml:space="preserve">National Renewable Energy Laboratory. </w:t>
      </w:r>
      <w:r w:rsidRPr="001031EC">
        <w:t>Retrieved June 25, 2015, from http://www.nrel.gov/analysis/tech_lcoe.html</w:t>
      </w:r>
    </w:p>
    <w:p w14:paraId="72B18E0B" w14:textId="77777777" w:rsidR="001031EC" w:rsidRPr="001031EC" w:rsidRDefault="001031EC" w:rsidP="001031EC">
      <w:r w:rsidRPr="001031EC">
        <w:t xml:space="preserve">Nykvist, B., &amp; Nilsson, M. (2015). Rapidly falling costs of battery packs for electric vehicles. </w:t>
      </w:r>
      <w:r w:rsidRPr="001031EC">
        <w:rPr>
          <w:i/>
          <w:iCs/>
        </w:rPr>
        <w:t>Nature Climate Change</w:t>
      </w:r>
      <w:r w:rsidRPr="001031EC">
        <w:t xml:space="preserve">, </w:t>
      </w:r>
      <w:r w:rsidRPr="001031EC">
        <w:rPr>
          <w:i/>
          <w:iCs/>
        </w:rPr>
        <w:t>5</w:t>
      </w:r>
      <w:r w:rsidRPr="001031EC">
        <w:t>(4), 329–332. http://doi.org/10.1038/nclimate2564</w:t>
      </w:r>
    </w:p>
    <w:p w14:paraId="20A32CFD" w14:textId="6CCCD609" w:rsidR="001031EC" w:rsidRPr="001031EC" w:rsidRDefault="001031EC" w:rsidP="001031EC">
      <w:r w:rsidRPr="001031EC">
        <w:t xml:space="preserve">Michael Nyberg, M., (2014). </w:t>
      </w:r>
      <w:r w:rsidRPr="00B94F57">
        <w:rPr>
          <w:i/>
        </w:rPr>
        <w:t xml:space="preserve">Thermal efficiency of gas-fired generation in California: 2014 Update. </w:t>
      </w:r>
      <w:r w:rsidRPr="001031EC">
        <w:t xml:space="preserve">California Energy Commission. </w:t>
      </w:r>
      <w:r w:rsidR="00B94F57">
        <w:t xml:space="preserve">Retrieved from: </w:t>
      </w:r>
      <w:r w:rsidRPr="001031EC">
        <w:t>http://www.energy.ca.gov/2014publications/CEC-200-2014-005/CEC-200-2014-005.pdf</w:t>
      </w:r>
    </w:p>
    <w:p w14:paraId="2F01BC74" w14:textId="31DBCD06" w:rsidR="001031EC" w:rsidRPr="001031EC" w:rsidRDefault="00B94F57" w:rsidP="001031EC">
      <w:r>
        <w:t>Pacific Power</w:t>
      </w:r>
      <w:r w:rsidR="001031EC" w:rsidRPr="001031EC">
        <w:t xml:space="preserve"> (2015). </w:t>
      </w:r>
      <w:r w:rsidRPr="00B94F57">
        <w:rPr>
          <w:i/>
        </w:rPr>
        <w:t>On-Peak &amp; Off-Peak Hours.</w:t>
      </w:r>
      <w:r w:rsidRPr="001031EC">
        <w:t xml:space="preserve"> </w:t>
      </w:r>
      <w:r w:rsidR="001031EC" w:rsidRPr="001031EC">
        <w:t>Retrieved June 25, 2015, from</w:t>
      </w:r>
      <w:r>
        <w:t>:</w:t>
      </w:r>
      <w:r w:rsidR="001031EC" w:rsidRPr="001031EC">
        <w:t xml:space="preserve"> https://www.pacificpower.net/ya/po/otou/ooh.html</w:t>
      </w:r>
    </w:p>
    <w:p w14:paraId="70A7801C" w14:textId="77777777" w:rsidR="001031EC" w:rsidRPr="001031EC" w:rsidRDefault="001031EC" w:rsidP="001031EC">
      <w:r w:rsidRPr="001031EC">
        <w:t xml:space="preserve">Schoenung, S. (2011). </w:t>
      </w:r>
      <w:r w:rsidRPr="00B94F57">
        <w:rPr>
          <w:i/>
        </w:rPr>
        <w:t>Energy storage systems cost update.</w:t>
      </w:r>
      <w:r w:rsidRPr="00B94F57">
        <w:t xml:space="preserve"> </w:t>
      </w:r>
      <w:r w:rsidRPr="00B94F57">
        <w:rPr>
          <w:iCs/>
        </w:rPr>
        <w:t>Sandia National Laboratories, Albuquerque</w:t>
      </w:r>
      <w:r w:rsidRPr="00B94F57">
        <w:t>.</w:t>
      </w:r>
      <w:r w:rsidRPr="001031EC">
        <w:t xml:space="preserve"> Retrieved from http://prod.sandia.gov/techlib/access-control.cgi/2011/112730.pdf</w:t>
      </w:r>
    </w:p>
    <w:p w14:paraId="64EAA76F" w14:textId="77777777" w:rsidR="001031EC" w:rsidRPr="001031EC" w:rsidRDefault="001031EC" w:rsidP="001031EC">
      <w:r w:rsidRPr="001031EC">
        <w:t xml:space="preserve">Turconi, R., O’Dwyer, C., Flynn, D., &amp; Astrup, T. (2014). Emissions from cycling of thermal power plants in electricity systems with high penetration of wind power: Life cycle assessment for Ireland. </w:t>
      </w:r>
      <w:r w:rsidRPr="001031EC">
        <w:rPr>
          <w:i/>
          <w:iCs/>
        </w:rPr>
        <w:t>Applied Energy</w:t>
      </w:r>
      <w:r w:rsidRPr="001031EC">
        <w:t xml:space="preserve">, </w:t>
      </w:r>
      <w:r w:rsidRPr="001031EC">
        <w:rPr>
          <w:i/>
          <w:iCs/>
        </w:rPr>
        <w:t>131</w:t>
      </w:r>
      <w:r w:rsidRPr="001031EC">
        <w:t>, 1–8. http://doi.org/10.1016/j.apenergy.2014.06.006</w:t>
      </w:r>
    </w:p>
    <w:p w14:paraId="19263182" w14:textId="2A89E858" w:rsidR="001031EC" w:rsidRPr="001031EC" w:rsidRDefault="001031EC" w:rsidP="001031EC">
      <w:r w:rsidRPr="001031EC">
        <w:t xml:space="preserve">US </w:t>
      </w:r>
      <w:r w:rsidR="00B94F57">
        <w:t>DOE</w:t>
      </w:r>
      <w:r w:rsidRPr="001031EC">
        <w:t xml:space="preserve"> (2013). </w:t>
      </w:r>
      <w:r w:rsidRPr="001031EC">
        <w:rPr>
          <w:i/>
          <w:iCs/>
        </w:rPr>
        <w:t>Grid Energy Storage - December 2013</w:t>
      </w:r>
      <w:r w:rsidR="00B94F57">
        <w:rPr>
          <w:i/>
          <w:iCs/>
        </w:rPr>
        <w:t xml:space="preserve">. </w:t>
      </w:r>
      <w:r w:rsidR="00B94F57" w:rsidRPr="001031EC">
        <w:t xml:space="preserve">US Department of Energy. </w:t>
      </w:r>
      <w:r w:rsidRPr="001031EC">
        <w:t>Retrieved from http://energy.gov/oe/downloads/grid-energy-storage-december-2013</w:t>
      </w:r>
    </w:p>
    <w:p w14:paraId="6945F615" w14:textId="5FCC7E6D" w:rsidR="001031EC" w:rsidRPr="001031EC" w:rsidRDefault="001031EC" w:rsidP="001031EC">
      <w:r w:rsidRPr="001031EC">
        <w:t xml:space="preserve">US </w:t>
      </w:r>
      <w:r w:rsidR="00B94F57">
        <w:t>DOE</w:t>
      </w:r>
      <w:r w:rsidRPr="001031EC">
        <w:t xml:space="preserve"> (2016). DOE Global Energy Storage Database. </w:t>
      </w:r>
      <w:r w:rsidR="00B94F57" w:rsidRPr="001031EC">
        <w:t xml:space="preserve">US Department of Energy. </w:t>
      </w:r>
      <w:r w:rsidRPr="001031EC">
        <w:t>Retrieved June</w:t>
      </w:r>
      <w:r w:rsidR="00B94F57">
        <w:t xml:space="preserve"> </w:t>
      </w:r>
      <w:r w:rsidRPr="001031EC">
        <w:t>20, 2016, from http://www.energystorageexchange.org/projects</w:t>
      </w:r>
    </w:p>
    <w:p w14:paraId="3BFE63C3" w14:textId="77777777" w:rsidR="001031EC" w:rsidRPr="001031EC" w:rsidRDefault="001031EC" w:rsidP="001031EC">
      <w:r w:rsidRPr="001031EC">
        <w:t xml:space="preserve">Viswanathan, V., Kintner-Meyer, M., Balducci, P., &amp; Jin, C. (2013). </w:t>
      </w:r>
      <w:r w:rsidRPr="00B94F57">
        <w:rPr>
          <w:i/>
        </w:rPr>
        <w:t xml:space="preserve">National Assessment of Energy Storage for Grid Balancing and Arbitrage Phase II Volume 2: Cost and Performance. </w:t>
      </w:r>
      <w:r w:rsidRPr="001031EC">
        <w:t>Retrieved fromhttp://energyenvironment.pnnl.gov/pdf/National_Assessment_Storage_PHASE_II_vol_2_final.pdf</w:t>
      </w:r>
    </w:p>
    <w:p w14:paraId="29460B67" w14:textId="0CA6F0DA" w:rsidR="001031EC" w:rsidRPr="001031EC" w:rsidRDefault="00B94F57" w:rsidP="001031EC">
      <w:r>
        <w:t>Wind4Water</w:t>
      </w:r>
      <w:r w:rsidR="001031EC" w:rsidRPr="001031EC">
        <w:t xml:space="preserve"> (201</w:t>
      </w:r>
      <w:r>
        <w:t>3</w:t>
      </w:r>
      <w:r w:rsidR="001031EC" w:rsidRPr="001031EC">
        <w:t xml:space="preserve">). </w:t>
      </w:r>
      <w:r w:rsidRPr="00436B5E">
        <w:rPr>
          <w:i/>
        </w:rPr>
        <w:t xml:space="preserve">Wind-Powered Desalination: The Australian Story. </w:t>
      </w:r>
      <w:r w:rsidR="00436B5E">
        <w:t xml:space="preserve">Wind4Water. </w:t>
      </w:r>
      <w:r w:rsidR="001031EC" w:rsidRPr="001031EC">
        <w:t>Retrieved July 1, 2015, from http://www.wind4water.com/wind-powered-desalination-australian-story/</w:t>
      </w:r>
    </w:p>
    <w:p w14:paraId="641B6AEF" w14:textId="3CB2785A" w:rsidR="006745FF" w:rsidRPr="004B7561" w:rsidRDefault="006745FF" w:rsidP="00575828">
      <w:pPr>
        <w:rPr>
          <w:rFonts w:cs="Times New Roman"/>
        </w:rPr>
      </w:pPr>
      <w:r w:rsidRPr="004B7561">
        <w:rPr>
          <w:rFonts w:cs="Times New Roman"/>
        </w:rPr>
        <w:br w:type="page"/>
      </w:r>
    </w:p>
    <w:p w14:paraId="02EABFF3" w14:textId="40A66302" w:rsidR="006745FF" w:rsidRPr="00A84B41" w:rsidRDefault="006745FF" w:rsidP="0081554D">
      <w:pPr>
        <w:pStyle w:val="Heading1"/>
      </w:pPr>
      <w:bookmarkStart w:id="35" w:name="_Toc10921946"/>
      <w:r w:rsidRPr="00E069AC">
        <w:t>Glossary</w:t>
      </w:r>
      <w:bookmarkEnd w:id="35"/>
    </w:p>
    <w:p w14:paraId="3C2A7379" w14:textId="77777777" w:rsidR="00593535" w:rsidRPr="00E069AC" w:rsidRDefault="00593535" w:rsidP="00593535">
      <w:r w:rsidRPr="00E069AC">
        <w:rPr>
          <w:b/>
        </w:rPr>
        <w:t>Adoption Scenario</w:t>
      </w:r>
      <w:r w:rsidRPr="00E069AC">
        <w:t xml:space="preserve"> – the predicted annual adoption over the period 2015 to 2060, which is usually measured in </w:t>
      </w:r>
      <w:r w:rsidRPr="00E069AC">
        <w:rPr>
          <w:b/>
        </w:rPr>
        <w:t>Functional Units</w:t>
      </w:r>
      <w:r w:rsidRPr="00E069AC">
        <w:t>. A range of scenarios is programmed in the model, but the user may enter her own. Note that the assumption behind most scenarios is one of growth. If for instance</w:t>
      </w:r>
      <w:r>
        <w:t>,</w:t>
      </w:r>
      <w:r w:rsidRPr="00E069AC">
        <w:t xml:space="preserve"> a solution is one of reduced heating energy usage due to better insulation, then the solution adoption is translated into an increase in </w:t>
      </w:r>
      <w:r>
        <w:t xml:space="preserve">the </w:t>
      </w:r>
      <w:r w:rsidRPr="00E069AC">
        <w:t xml:space="preserve">use of insulation. There are two types of adoption scenarios in use: </w:t>
      </w:r>
      <w:r w:rsidRPr="00E069AC">
        <w:rPr>
          <w:b/>
        </w:rPr>
        <w:t>Reference (REF)</w:t>
      </w:r>
      <w:r w:rsidRPr="00E069AC">
        <w:t xml:space="preserve"> where global adoption remains mostly constant, and </w:t>
      </w:r>
      <w:r w:rsidRPr="00E069AC">
        <w:rPr>
          <w:b/>
        </w:rPr>
        <w:t>Project Drawdown Scenarios (PDS)</w:t>
      </w:r>
      <w:r w:rsidRPr="00E069AC">
        <w:t xml:space="preserve"> which illustrate </w:t>
      </w:r>
      <w:r>
        <w:t xml:space="preserve">the </w:t>
      </w:r>
      <w:r w:rsidRPr="00E069AC">
        <w:t>high growth of the solution.</w:t>
      </w:r>
    </w:p>
    <w:p w14:paraId="439CB5FC" w14:textId="77777777" w:rsidR="00593535" w:rsidRPr="00E069AC" w:rsidRDefault="00593535" w:rsidP="00593535">
      <w:r w:rsidRPr="00E069AC">
        <w:rPr>
          <w:b/>
        </w:rPr>
        <w:t>Approximate PPM Equivalent</w:t>
      </w:r>
      <w:r w:rsidRPr="00E069AC">
        <w:t xml:space="preserve"> – the reduction in </w:t>
      </w:r>
      <w:r>
        <w:t xml:space="preserve">the </w:t>
      </w:r>
      <w:r w:rsidRPr="00E069AC">
        <w:t>atmospheric concentration of CO</w:t>
      </w:r>
      <w:r w:rsidRPr="00E069AC">
        <w:rPr>
          <w:vertAlign w:val="subscript"/>
        </w:rPr>
        <w:t>2</w:t>
      </w:r>
      <w:r w:rsidRPr="00E069AC">
        <w:t xml:space="preserve"> (in </w:t>
      </w:r>
      <w:r w:rsidRPr="00E069AC">
        <w:rPr>
          <w:b/>
        </w:rPr>
        <w:t>PPM</w:t>
      </w:r>
      <w:r w:rsidRPr="00E069AC">
        <w:t xml:space="preserve">) that is expected to result if the </w:t>
      </w:r>
      <w:r w:rsidRPr="00E069AC">
        <w:rPr>
          <w:b/>
        </w:rPr>
        <w:t>PDS Scenario</w:t>
      </w:r>
      <w:r w:rsidRPr="00E069AC">
        <w:t xml:space="preserve"> occurs. This assumes a discrete avoided pulse model based on the Bern Carbon Cycle model.</w:t>
      </w:r>
    </w:p>
    <w:p w14:paraId="6DFE53E5" w14:textId="77777777" w:rsidR="00593535" w:rsidRPr="00E069AC" w:rsidRDefault="00593535" w:rsidP="00593535">
      <w:r w:rsidRPr="00E069AC">
        <w:rPr>
          <w:b/>
        </w:rPr>
        <w:t>Average Abatement Cost</w:t>
      </w:r>
      <w:r w:rsidRPr="00E069AC">
        <w:t xml:space="preserve"> – the ratio of the present value of the solution (</w:t>
      </w:r>
      <w:r w:rsidRPr="00E069AC">
        <w:rPr>
          <w:b/>
        </w:rPr>
        <w:t>Net</w:t>
      </w:r>
      <w:r w:rsidRPr="00E069AC">
        <w:t xml:space="preserve"> </w:t>
      </w:r>
      <w:r w:rsidRPr="00E069AC">
        <w:rPr>
          <w:b/>
        </w:rPr>
        <w:t xml:space="preserve">Operating Savings </w:t>
      </w:r>
      <w:r w:rsidRPr="00E069AC">
        <w:t>minus</w:t>
      </w:r>
      <w:r w:rsidRPr="00E069AC">
        <w:rPr>
          <w:b/>
        </w:rPr>
        <w:t xml:space="preserve"> Marginal First Costs</w:t>
      </w:r>
      <w:r w:rsidRPr="00E069AC">
        <w:t xml:space="preserve">) and the </w:t>
      </w:r>
      <w:r w:rsidRPr="00E069AC">
        <w:rPr>
          <w:b/>
        </w:rPr>
        <w:t>Total Emissions Reduction</w:t>
      </w:r>
      <w:r w:rsidRPr="00E069AC">
        <w:t xml:space="preserve">. This is a single value for each solution for each </w:t>
      </w:r>
      <w:r w:rsidRPr="00E069AC">
        <w:rPr>
          <w:b/>
        </w:rPr>
        <w:t>PDS Scenario</w:t>
      </w:r>
      <w:r w:rsidRPr="00E069AC">
        <w:t xml:space="preserve"> and is used to build the characteristic “</w:t>
      </w:r>
      <w:r w:rsidRPr="00E069AC">
        <w:rPr>
          <w:i/>
        </w:rPr>
        <w:t>Marginal Abatement Cost</w:t>
      </w:r>
      <w:r w:rsidRPr="00E069AC">
        <w:t>” curves when Average Abatement Cost values for each solution are ordered and graphed.</w:t>
      </w:r>
    </w:p>
    <w:p w14:paraId="50E55FBE" w14:textId="77777777" w:rsidR="00593535" w:rsidRPr="00E069AC" w:rsidRDefault="00593535" w:rsidP="00593535">
      <w:r w:rsidRPr="00E069AC">
        <w:rPr>
          <w:b/>
        </w:rPr>
        <w:t>Average Annual Use</w:t>
      </w:r>
      <w:r w:rsidRPr="00E069AC">
        <w:t xml:space="preserve"> – the average number of functional units that a single implementation unit typically provides in one year. This is usually a weighted average for all users according to the data available. For instance, </w:t>
      </w:r>
      <w:r>
        <w:t xml:space="preserve">the </w:t>
      </w:r>
      <w:r w:rsidRPr="00E069AC">
        <w:t xml:space="preserve">total number of passenger-km driven by a hybrid vehicle in a year depends on </w:t>
      </w:r>
      <w:r>
        <w:t xml:space="preserve">the </w:t>
      </w:r>
      <w:r w:rsidRPr="00E069AC">
        <w:t xml:space="preserve">country and </w:t>
      </w:r>
      <w:r>
        <w:t xml:space="preserve">the </w:t>
      </w:r>
      <w:r w:rsidRPr="00E069AC">
        <w:t xml:space="preserve">typical number of occupants. We take global weighted averages for this input. This is used to estimate the </w:t>
      </w:r>
      <w:r w:rsidRPr="00E069AC">
        <w:rPr>
          <w:b/>
        </w:rPr>
        <w:t>Replacement Time</w:t>
      </w:r>
      <w:r w:rsidRPr="00E069AC">
        <w:t>.</w:t>
      </w:r>
    </w:p>
    <w:p w14:paraId="0A96D711" w14:textId="77777777" w:rsidR="00593535" w:rsidRPr="00E069AC" w:rsidRDefault="00593535" w:rsidP="00593535">
      <w:r w:rsidRPr="00E069AC">
        <w:rPr>
          <w:b/>
        </w:rPr>
        <w:t>Cumulative First Cost</w:t>
      </w:r>
      <w:r w:rsidRPr="00E069AC">
        <w:t xml:space="preserve"> – the total </w:t>
      </w:r>
      <w:r w:rsidRPr="00E069AC">
        <w:rPr>
          <w:b/>
        </w:rPr>
        <w:t>First Cost</w:t>
      </w:r>
      <w:r w:rsidRPr="00E069AC">
        <w:t xml:space="preserve"> of solution </w:t>
      </w:r>
      <w:r w:rsidRPr="00E069AC">
        <w:rPr>
          <w:b/>
        </w:rPr>
        <w:t>Implementation Units</w:t>
      </w:r>
      <w:r w:rsidRPr="00E069AC">
        <w:t xml:space="preserve"> purchased in the </w:t>
      </w:r>
      <w:r w:rsidRPr="00E069AC">
        <w:rPr>
          <w:b/>
        </w:rPr>
        <w:t>PDS Scenario</w:t>
      </w:r>
      <w:r w:rsidRPr="00E069AC">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7C54EE3" w14:textId="77777777" w:rsidR="00593535" w:rsidRPr="00E069AC" w:rsidRDefault="00593535" w:rsidP="00593535">
      <w:r w:rsidRPr="00E069AC">
        <w:rPr>
          <w:b/>
        </w:rPr>
        <w:t>Direct Emissions</w:t>
      </w:r>
      <w:r w:rsidRPr="00E069AC">
        <w:t xml:space="preserve"> – emissions caused by the operation of the solution, which are typically caused </w:t>
      </w:r>
      <w:r>
        <w:t>by</w:t>
      </w:r>
      <w:r w:rsidRPr="00E069AC">
        <w:t xml:space="preserve"> the lifetime </w:t>
      </w:r>
      <w:r>
        <w:t xml:space="preserve">use </w:t>
      </w:r>
      <w:r w:rsidRPr="00E069AC">
        <w:t>of the solution. They should be entered into the model normalized per functional unit.</w:t>
      </w:r>
    </w:p>
    <w:p w14:paraId="47703EA5" w14:textId="77777777" w:rsidR="00593535" w:rsidRPr="00E069AC" w:rsidRDefault="00593535" w:rsidP="00593535">
      <w:r w:rsidRPr="00E069AC">
        <w:rPr>
          <w:b/>
        </w:rPr>
        <w:t>Discount Rate</w:t>
      </w:r>
      <w:r w:rsidRPr="00E069AC">
        <w:t>- the interest rate used in discounted cash flow (DCF) analysis to determine the present value of future cash flows. The discount rate in DCF analysis takes into account</w:t>
      </w:r>
      <w:r>
        <w:t>,</w:t>
      </w:r>
      <w:r w:rsidRPr="00E069AC">
        <w:t xml:space="preserve"> not just the time value of money, but also the risk or uncertainty of future cash flows; the greater the uncertainty of future cash flows, the </w:t>
      </w:r>
      <w:r>
        <w:t>higher the discount rate.</w:t>
      </w:r>
      <w:r w:rsidRPr="00E069AC">
        <w:t xml:space="preserve"> Most importantly, the greater the discount rate, the more the future savings are devalued (which impacts the financial but not the climate impacts of the solution).  </w:t>
      </w:r>
    </w:p>
    <w:p w14:paraId="38201429" w14:textId="77777777" w:rsidR="00593535" w:rsidRPr="00E069AC" w:rsidRDefault="00593535" w:rsidP="00593535">
      <w:r w:rsidRPr="00E069AC">
        <w:rPr>
          <w:b/>
        </w:rPr>
        <w:t>Emissions</w:t>
      </w:r>
      <w:r w:rsidRPr="00E069AC">
        <w:t xml:space="preserve"> </w:t>
      </w:r>
      <w:r w:rsidRPr="00E069AC">
        <w:rPr>
          <w:b/>
        </w:rPr>
        <w:t>Factor</w:t>
      </w:r>
      <w:r w:rsidRPr="00E069AC">
        <w:t>– the average normalized emissions resulting from consumption of a unit of electricity across the global grid. Typical units are kg CO</w:t>
      </w:r>
      <w:r w:rsidRPr="00E069AC">
        <w:rPr>
          <w:vertAlign w:val="subscript"/>
        </w:rPr>
        <w:t>2</w:t>
      </w:r>
      <w:r w:rsidRPr="00E069AC">
        <w:t>e/kWh.</w:t>
      </w:r>
    </w:p>
    <w:p w14:paraId="41B24907" w14:textId="77777777" w:rsidR="00593535" w:rsidRPr="00E069AC" w:rsidRDefault="00593535" w:rsidP="00593535">
      <w:r w:rsidRPr="00E069AC">
        <w:rPr>
          <w:b/>
        </w:rPr>
        <w:t>First Cost</w:t>
      </w:r>
      <w:r w:rsidRPr="00E069AC">
        <w:t xml:space="preserve">- the investment cost per </w:t>
      </w:r>
      <w:r w:rsidRPr="00E069AC">
        <w:rPr>
          <w:b/>
        </w:rPr>
        <w:t>Implementation Unit</w:t>
      </w:r>
      <w:r w:rsidRPr="00E069AC">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6FA86D1A" w14:textId="77777777" w:rsidR="00593535" w:rsidRPr="00E069AC" w:rsidRDefault="00593535" w:rsidP="00593535">
      <w:r w:rsidRPr="00E069AC">
        <w:rPr>
          <w:b/>
        </w:rPr>
        <w:t>Functional Unit</w:t>
      </w:r>
      <w:r w:rsidRPr="00E069AC">
        <w:t xml:space="preserve"> – a measurement unit that represents the value, provided to the world, of the function that the solution performs. This depends on the solution. Therefore, LED Lighting provides petalumen-hours of light, Biomass provides tera-watt-hours of electricity and</w:t>
      </w:r>
      <w:r>
        <w:t xml:space="preserve"> high-</w:t>
      </w:r>
      <w:r w:rsidRPr="00E069AC">
        <w:t>speed rail provides billions of passenger-km of mobility.</w:t>
      </w:r>
    </w:p>
    <w:p w14:paraId="2B6E7D4D" w14:textId="77777777" w:rsidR="00593535" w:rsidRPr="00E069AC" w:rsidRDefault="00593535" w:rsidP="00593535">
      <w:r w:rsidRPr="00E069AC">
        <w:rPr>
          <w:b/>
        </w:rPr>
        <w:t>Grid Emissions</w:t>
      </w:r>
      <w:r w:rsidRPr="00E069AC">
        <w:t xml:space="preserve"> – emissions caused by </w:t>
      </w:r>
      <w:r>
        <w:t xml:space="preserve">the </w:t>
      </w:r>
      <w:r w:rsidRPr="00E069AC">
        <w:t>use of the electricity grid in supplying power to any operation associated with a solution. They should be in the units described below each variable entry cell. Drawdown models assume that the global electric grid, even in a Reference Sce</w:t>
      </w:r>
      <w:r>
        <w:t>nario, is slowly getting cleaner</w:t>
      </w:r>
      <w:r w:rsidRPr="00E069AC">
        <w:t xml:space="preserve"> and that emissions factors fall over time resulting in lower grid emissions for the same electricity demand.</w:t>
      </w:r>
    </w:p>
    <w:p w14:paraId="48C9BA61" w14:textId="77777777" w:rsidR="00593535" w:rsidRPr="00E069AC" w:rsidRDefault="00593535" w:rsidP="00593535">
      <w:r w:rsidRPr="00E069AC">
        <w:rPr>
          <w:b/>
        </w:rPr>
        <w:t>Implementation Unit</w:t>
      </w:r>
      <w:r w:rsidRPr="00E069AC">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7DFFF90C" w14:textId="77777777" w:rsidR="00593535" w:rsidRPr="00E069AC" w:rsidRDefault="00593535" w:rsidP="00593535">
      <w:r w:rsidRPr="00E069AC">
        <w:rPr>
          <w:b/>
        </w:rPr>
        <w:t>Indirect Emissions</w:t>
      </w:r>
      <w:r w:rsidRPr="00E069AC">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60022B15" w14:textId="77777777" w:rsidR="00593535" w:rsidRPr="00E069AC" w:rsidRDefault="00593535" w:rsidP="00593535">
      <w:r w:rsidRPr="00E069AC">
        <w:rPr>
          <w:b/>
        </w:rPr>
        <w:t>Learning Rate/Learning Curve</w:t>
      </w:r>
      <w:r w:rsidRPr="00E069AC">
        <w:t xml:space="preserve"> - Learning curves (sometimes called experience curves) are used to analyze a well-known and easily observed phenomenon: humans become increasingly efficient with experience. The first time a product is manufactured, or a service </w:t>
      </w:r>
      <w:r>
        <w:t xml:space="preserve">is </w:t>
      </w:r>
      <w:r w:rsidRPr="00E069AC">
        <w:t xml:space="preserve">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A84924">
        <w:t>good</w:t>
      </w:r>
      <w:r w:rsidRPr="00E069AC">
        <w:t xml:space="preserve"> drops by 2% every time total production doubles.</w:t>
      </w:r>
    </w:p>
    <w:p w14:paraId="4E3BA9DB" w14:textId="77777777" w:rsidR="00593535" w:rsidRPr="00E069AC" w:rsidRDefault="00593535" w:rsidP="00593535">
      <w:r w:rsidRPr="00E069AC">
        <w:rPr>
          <w:b/>
        </w:rPr>
        <w:t>Lifetime Capacity</w:t>
      </w:r>
      <w:r w:rsidRPr="00E069AC">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E069AC">
        <w:rPr>
          <w:b/>
        </w:rPr>
        <w:t>Replacement Time</w:t>
      </w:r>
      <w:r w:rsidRPr="00E069AC">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1F01F9B" w14:textId="77777777" w:rsidR="00593535" w:rsidRPr="00E069AC" w:rsidRDefault="00593535" w:rsidP="00593535">
      <w:r w:rsidRPr="00E069AC">
        <w:rPr>
          <w:b/>
        </w:rPr>
        <w:t>Lifetime Operating Savings</w:t>
      </w:r>
      <w:r w:rsidRPr="00E069AC">
        <w:t>–the operating cost in the PDS versus the REF scenarios over the lifetime of the implementation units purchased during the model period regardless of when their useful life ends.</w:t>
      </w:r>
    </w:p>
    <w:p w14:paraId="53F97079" w14:textId="77777777" w:rsidR="00593535" w:rsidRPr="00E069AC" w:rsidRDefault="00593535" w:rsidP="00593535">
      <w:r w:rsidRPr="00E069AC">
        <w:rPr>
          <w:b/>
        </w:rPr>
        <w:t>Lifetime Cashflow NPV</w:t>
      </w:r>
      <w:r w:rsidRPr="00E069AC">
        <w:t xml:space="preserve">-the present value (PV) of the net cash flows (PDS versus REF) in each year of the model period (2015-2060). The net cash flows include net operating costs and first costs. There are two results in the model: Lifetime Cashflow NPV for a Single </w:t>
      </w:r>
      <w:r w:rsidRPr="00E069AC">
        <w:rPr>
          <w:b/>
        </w:rPr>
        <w:t>Implementation Unit</w:t>
      </w:r>
      <w:r w:rsidRPr="00E069AC">
        <w:t xml:space="preserve">, which refers to the installation of one </w:t>
      </w:r>
      <w:r w:rsidRPr="00E069AC">
        <w:rPr>
          <w:b/>
        </w:rPr>
        <w:t>Implementation Unit</w:t>
      </w:r>
      <w:r w:rsidRPr="00E069AC">
        <w:t xml:space="preserve">, and Lifetime Cashflow NPV of All Units, which refers to all </w:t>
      </w:r>
      <w:r w:rsidRPr="00E069AC">
        <w:rPr>
          <w:b/>
        </w:rPr>
        <w:t>Implementation Units</w:t>
      </w:r>
      <w:r w:rsidRPr="00E069AC">
        <w:t xml:space="preserve"> installed in a particular scenario. These calculations are also available using profit inputs instead of operating costs.</w:t>
      </w:r>
    </w:p>
    <w:p w14:paraId="235CB2C4" w14:textId="77777777" w:rsidR="00593535" w:rsidRPr="00E069AC" w:rsidRDefault="00593535" w:rsidP="00593535">
      <w:r w:rsidRPr="00E069AC">
        <w:rPr>
          <w:b/>
        </w:rPr>
        <w:t>Marginal First Cost</w:t>
      </w:r>
      <w:r w:rsidRPr="00E069AC">
        <w:t xml:space="preserve"> – the difference between the </w:t>
      </w:r>
      <w:r w:rsidRPr="00E069AC">
        <w:rPr>
          <w:b/>
        </w:rPr>
        <w:t>First Cost</w:t>
      </w:r>
      <w:r w:rsidRPr="00E069AC">
        <w:t xml:space="preserve"> of all units (solution and conventional) installed in the </w:t>
      </w:r>
      <w:r w:rsidRPr="00E069AC">
        <w:rPr>
          <w:b/>
        </w:rPr>
        <w:t>PDS Scenario</w:t>
      </w:r>
      <w:r w:rsidRPr="00E069AC">
        <w:t xml:space="preserve"> and the </w:t>
      </w:r>
      <w:r w:rsidRPr="00E069AC">
        <w:rPr>
          <w:b/>
        </w:rPr>
        <w:t>First Cost</w:t>
      </w:r>
      <w:r w:rsidRPr="00E069AC">
        <w:t xml:space="preserve"> of all units installed in the </w:t>
      </w:r>
      <w:r w:rsidRPr="00E069AC">
        <w:rPr>
          <w:b/>
        </w:rPr>
        <w:t>REF Scenario</w:t>
      </w:r>
      <w:r w:rsidRPr="00E069AC">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3642D6C1" w14:textId="77777777" w:rsidR="00593535" w:rsidRPr="00E069AC" w:rsidRDefault="00593535" w:rsidP="00593535">
      <w:r w:rsidRPr="00E069AC">
        <w:rPr>
          <w:b/>
        </w:rPr>
        <w:t>Net Annual Functional Units (NAFU)</w:t>
      </w:r>
      <w:r w:rsidRPr="00E069AC">
        <w:t xml:space="preserve"> – the adoption in the PDS minus the adoption in the REF in each year of analysis. In the model, this represents the additional annual functional demand captured either by the solution in the </w:t>
      </w:r>
      <w:r w:rsidRPr="00E069AC">
        <w:rPr>
          <w:b/>
        </w:rPr>
        <w:t>PDS Scenario</w:t>
      </w:r>
      <w:r w:rsidRPr="00E069AC">
        <w:t xml:space="preserve"> or the conventional in the </w:t>
      </w:r>
      <w:r w:rsidRPr="00E069AC">
        <w:rPr>
          <w:b/>
        </w:rPr>
        <w:t>REF Scenario</w:t>
      </w:r>
      <w:r w:rsidRPr="00E069AC">
        <w:t>.</w:t>
      </w:r>
    </w:p>
    <w:p w14:paraId="3D3583E1" w14:textId="77777777" w:rsidR="00593535" w:rsidRPr="00E069AC" w:rsidRDefault="00593535" w:rsidP="00593535">
      <w:r w:rsidRPr="00E069AC">
        <w:rPr>
          <w:b/>
        </w:rPr>
        <w:t>Net Annual Implementation Units (NAIU)</w:t>
      </w:r>
      <w:r w:rsidRPr="00E069AC">
        <w:t xml:space="preserve"> – the number of </w:t>
      </w:r>
      <w:r w:rsidRPr="00E069AC">
        <w:rPr>
          <w:b/>
        </w:rPr>
        <w:t>Implementation Units</w:t>
      </w:r>
      <w:r w:rsidRPr="00E069AC">
        <w:t xml:space="preserve"> of the solution that are needed in the PDS to supply the </w:t>
      </w:r>
      <w:r w:rsidRPr="00E069AC">
        <w:rPr>
          <w:b/>
        </w:rPr>
        <w:t>Net Annual Functional Units (NAFU).</w:t>
      </w:r>
      <w:r w:rsidRPr="00E069AC">
        <w:t xml:space="preserve"> This equals the adoption in the PDS minus the adoption in the REF in each year of analysis divided by the average annual use.</w:t>
      </w:r>
    </w:p>
    <w:p w14:paraId="49111971" w14:textId="77777777" w:rsidR="00593535" w:rsidRPr="00E069AC" w:rsidRDefault="00593535" w:rsidP="00593535">
      <w:r w:rsidRPr="00E069AC">
        <w:rPr>
          <w:b/>
        </w:rPr>
        <w:t>Net Operating Savings</w:t>
      </w:r>
      <w:r w:rsidRPr="00E069AC">
        <w:t xml:space="preserve"> – The undiscounted difference between the operating cost of all units (solution and conventional) in the </w:t>
      </w:r>
      <w:r w:rsidRPr="00E069AC">
        <w:rPr>
          <w:b/>
        </w:rPr>
        <w:t>PDS Scenario</w:t>
      </w:r>
      <w:r w:rsidRPr="00E069AC">
        <w:t xml:space="preserve"> minus that of all units in the </w:t>
      </w:r>
      <w:r w:rsidRPr="00E069AC">
        <w:rPr>
          <w:b/>
        </w:rPr>
        <w:t>REF Scenario</w:t>
      </w:r>
      <w:r w:rsidRPr="00E069AC">
        <w:t>.</w:t>
      </w:r>
    </w:p>
    <w:p w14:paraId="3009E190" w14:textId="77777777" w:rsidR="00593535" w:rsidRPr="00E069AC" w:rsidRDefault="00593535" w:rsidP="00593535">
      <w:r w:rsidRPr="00E069AC">
        <w:rPr>
          <w:b/>
        </w:rPr>
        <w:t xml:space="preserve">Operating Costs </w:t>
      </w:r>
      <w:r w:rsidRPr="00E069AC">
        <w:t xml:space="preserve">– the average cost to ensure </w:t>
      </w:r>
      <w:r>
        <w:t xml:space="preserve">the </w:t>
      </w:r>
      <w:r w:rsidRPr="00E069AC">
        <w:t>operation of an activity (conventional or solution) which is measured in 2014$US/</w:t>
      </w:r>
      <w:r w:rsidRPr="00E069AC">
        <w:rPr>
          <w:b/>
        </w:rPr>
        <w:t>Functional Unit</w:t>
      </w:r>
      <w:r w:rsidRPr="00E069AC">
        <w:t xml:space="preserve">.  This is needed to estimate how much it would cost to achieve the adoption projected when compared to the </w:t>
      </w:r>
      <w:r w:rsidRPr="00E069AC">
        <w:rPr>
          <w:b/>
        </w:rPr>
        <w:t>REF Case</w:t>
      </w:r>
      <w:r w:rsidRPr="00E069AC">
        <w:t xml:space="preserve">. Note that this excludes </w:t>
      </w:r>
      <w:r w:rsidRPr="00E069AC">
        <w:rPr>
          <w:b/>
        </w:rPr>
        <w:t>First Costs</w:t>
      </w:r>
      <w:r w:rsidRPr="00E069AC">
        <w:t xml:space="preserve"> for implementing the solution.</w:t>
      </w:r>
    </w:p>
    <w:p w14:paraId="061F1F2B" w14:textId="77777777" w:rsidR="00593535" w:rsidRPr="00E069AC" w:rsidRDefault="00593535" w:rsidP="00593535">
      <w:r w:rsidRPr="00E069AC">
        <w:rPr>
          <w:b/>
        </w:rPr>
        <w:t>Payback Period</w:t>
      </w:r>
      <w:r w:rsidRPr="00E069AC">
        <w:t xml:space="preserve"> – the number of years required to pay all the </w:t>
      </w:r>
      <w:r w:rsidRPr="00E069AC">
        <w:rPr>
          <w:b/>
        </w:rPr>
        <w:t>First Costs</w:t>
      </w:r>
      <w:r w:rsidRPr="00E069AC">
        <w:t xml:space="preserve"> of the solution using </w:t>
      </w:r>
      <w:r w:rsidRPr="00E069AC">
        <w:rPr>
          <w:b/>
        </w:rPr>
        <w:t>Net Operating Savings</w:t>
      </w:r>
      <w:r w:rsidRPr="00E069AC">
        <w:t xml:space="preserve">. There are four specific metrics each with one of </w:t>
      </w:r>
      <w:r w:rsidRPr="00E069AC">
        <w:rPr>
          <w:b/>
        </w:rPr>
        <w:t>Marginal First Costs</w:t>
      </w:r>
      <w:r w:rsidRPr="00E069AC">
        <w:t xml:space="preserve"> or </w:t>
      </w:r>
      <w:r w:rsidRPr="00E069AC">
        <w:rPr>
          <w:b/>
        </w:rPr>
        <w:t>First Costs</w:t>
      </w:r>
      <w:r w:rsidRPr="00E069AC">
        <w:t xml:space="preserve"> of the solution only combined with either discounted or non-discounted values. All four are in the model. Additionally, the four outputs are calculated using the increased profit estimation instead of </w:t>
      </w:r>
      <w:r w:rsidRPr="00E069AC">
        <w:rPr>
          <w:b/>
        </w:rPr>
        <w:t>Net Operating Savings</w:t>
      </w:r>
      <w:r w:rsidRPr="00E069AC">
        <w:t>.</w:t>
      </w:r>
    </w:p>
    <w:p w14:paraId="72FB5D87" w14:textId="77777777" w:rsidR="00593535" w:rsidRPr="00E069AC" w:rsidRDefault="00593535" w:rsidP="00593535">
      <w:r w:rsidRPr="00E069AC">
        <w:rPr>
          <w:b/>
        </w:rPr>
        <w:t>PDS/ Project Drawdown Scenario</w:t>
      </w:r>
      <w:r w:rsidRPr="00E069AC">
        <w:t xml:space="preserve"> – this is the high growth scenario for </w:t>
      </w:r>
      <w:r>
        <w:t xml:space="preserve">the </w:t>
      </w:r>
      <w:r w:rsidRPr="00E069AC">
        <w:t>adoption of the solution</w:t>
      </w:r>
      <w:r>
        <w:t>.</w:t>
      </w:r>
    </w:p>
    <w:p w14:paraId="30400AFD" w14:textId="77777777" w:rsidR="00593535" w:rsidRPr="00E069AC" w:rsidRDefault="00593535" w:rsidP="00593535">
      <w:r w:rsidRPr="00E069AC">
        <w:rPr>
          <w:b/>
        </w:rPr>
        <w:t>PPB/ Parts per Billion</w:t>
      </w:r>
      <w:r w:rsidRPr="00E069AC">
        <w:t xml:space="preserve"> – a measure of concentration for atmospheric gases. 10 million PPB = 1%.</w:t>
      </w:r>
    </w:p>
    <w:p w14:paraId="23F26AFF" w14:textId="77777777" w:rsidR="00593535" w:rsidRPr="00E069AC" w:rsidRDefault="00593535" w:rsidP="00593535">
      <w:r w:rsidRPr="00E069AC">
        <w:rPr>
          <w:b/>
        </w:rPr>
        <w:t>PPM/ Parts per Million</w:t>
      </w:r>
      <w:r w:rsidRPr="00E069AC">
        <w:t xml:space="preserve"> – a measure of concentration for atmospheric gases. 10 thousand PPM = 1%.</w:t>
      </w:r>
    </w:p>
    <w:p w14:paraId="25FF7F5F" w14:textId="77777777" w:rsidR="00593535" w:rsidRPr="00E069AC" w:rsidRDefault="00593535" w:rsidP="00593535">
      <w:r w:rsidRPr="00E069AC">
        <w:rPr>
          <w:b/>
        </w:rPr>
        <w:t>REF/ Reference Scenario</w:t>
      </w:r>
      <w:r w:rsidRPr="00E069AC">
        <w:t xml:space="preserve"> – this is the low growth scenario for </w:t>
      </w:r>
      <w:r>
        <w:t xml:space="preserve">the </w:t>
      </w:r>
      <w:r w:rsidRPr="00E069AC">
        <w:t xml:space="preserve">adoption of the solution against which all </w:t>
      </w:r>
      <w:r w:rsidRPr="00E069AC">
        <w:rPr>
          <w:b/>
        </w:rPr>
        <w:t>PDS scenarios</w:t>
      </w:r>
      <w:r w:rsidRPr="00E069AC">
        <w:t xml:space="preserve"> are compared.</w:t>
      </w:r>
    </w:p>
    <w:p w14:paraId="55C624F8" w14:textId="77777777" w:rsidR="00593535" w:rsidRPr="00E069AC" w:rsidRDefault="00593535" w:rsidP="00593535">
      <w:pPr>
        <w:rPr>
          <w:rFonts w:cstheme="minorHAnsi"/>
        </w:rPr>
      </w:pPr>
      <w:r w:rsidRPr="00E069AC">
        <w:rPr>
          <w:rFonts w:cstheme="minorHAnsi"/>
          <w:b/>
        </w:rPr>
        <w:t>Regrets solution</w:t>
      </w:r>
      <w:r w:rsidRPr="00E069AC">
        <w:rPr>
          <w:rFonts w:cstheme="minorHAnsi"/>
        </w:rPr>
        <w:t xml:space="preserve"> has a positive impact on overall carbon emissions being therefore considered in some scenarios; however, the social and environmental costs could be harmful and high. </w:t>
      </w:r>
    </w:p>
    <w:p w14:paraId="2D85268C" w14:textId="77777777" w:rsidR="00593535" w:rsidRPr="00E069AC" w:rsidRDefault="00593535" w:rsidP="00593535">
      <w:r w:rsidRPr="00E069AC">
        <w:rPr>
          <w:b/>
        </w:rPr>
        <w:t>Replacement Time</w:t>
      </w:r>
      <w:r w:rsidRPr="00E069AC">
        <w:t xml:space="preserve">- the length of time in years, from installation/acquisition/setup of the solution through usage until a new installation/acquisition/setup is required to replace the earlier one.  This is calculated as the ratio of </w:t>
      </w:r>
      <w:r w:rsidRPr="00E069AC">
        <w:rPr>
          <w:b/>
        </w:rPr>
        <w:t>Lifetime Capacity</w:t>
      </w:r>
      <w:r w:rsidRPr="00E069AC">
        <w:t xml:space="preserve"> and the </w:t>
      </w:r>
      <w:r w:rsidRPr="00E069AC">
        <w:rPr>
          <w:b/>
        </w:rPr>
        <w:t>Average Annual Use</w:t>
      </w:r>
      <w:r w:rsidRPr="00E069AC">
        <w:t>.</w:t>
      </w:r>
    </w:p>
    <w:p w14:paraId="68248446" w14:textId="77777777" w:rsidR="00593535" w:rsidRPr="00E069AC" w:rsidRDefault="00593535" w:rsidP="00593535">
      <w:r w:rsidRPr="00E069AC">
        <w:rPr>
          <w:b/>
        </w:rPr>
        <w:t xml:space="preserve">TAM/ Total Addressable Market </w:t>
      </w:r>
      <w:r w:rsidRPr="00E069AC">
        <w:t xml:space="preserve">– represents the total potential market of functional demand provided by the technologies and practices under investigation, adjusting for estimated economic and population growth. For this solutions sector, it represents </w:t>
      </w:r>
      <w:r>
        <w:t xml:space="preserve">the </w:t>
      </w:r>
      <w:r w:rsidRPr="00E069AC">
        <w:t>world and regional total addressable markets for electricity generation technologies in which the solutions are considered.</w:t>
      </w:r>
    </w:p>
    <w:p w14:paraId="5BF37334" w14:textId="77777777" w:rsidR="00593535" w:rsidRPr="00E069AC" w:rsidRDefault="00593535" w:rsidP="00593535">
      <w:r w:rsidRPr="00E069AC">
        <w:rPr>
          <w:b/>
        </w:rPr>
        <w:t>Total Emissions Reduction</w:t>
      </w:r>
      <w:r w:rsidRPr="00E069AC">
        <w:t xml:space="preserve"> – the sum of </w:t>
      </w:r>
      <w:r>
        <w:t xml:space="preserve">the </w:t>
      </w:r>
      <w:r w:rsidRPr="00E069AC">
        <w:t xml:space="preserve">grid, fuel, indirect, and other direct emissions reductions over the analysis period. The emissions reduction of each of these is the difference between the emissions that would have resulted in the </w:t>
      </w:r>
      <w:r w:rsidRPr="00E069AC">
        <w:rPr>
          <w:b/>
        </w:rPr>
        <w:t>REF Scenario</w:t>
      </w:r>
      <w:r w:rsidRPr="00E069AC">
        <w:t xml:space="preserve"> (from both solution and conventional) and the emissions that would result in the </w:t>
      </w:r>
      <w:r w:rsidRPr="00E069AC">
        <w:rPr>
          <w:b/>
        </w:rPr>
        <w:t>PDS Scenario</w:t>
      </w:r>
      <w:r w:rsidRPr="00E069AC">
        <w:t>. These may also be considered as “emissions avoided” as they may have occurred in the REF Scenario, but not in the PDS Scenario.</w:t>
      </w:r>
    </w:p>
    <w:p w14:paraId="259782CF" w14:textId="77777777" w:rsidR="00593535" w:rsidRPr="00E069AC" w:rsidRDefault="00593535" w:rsidP="00593535">
      <w:pPr>
        <w:rPr>
          <w:rFonts w:cstheme="minorHAnsi"/>
        </w:rPr>
      </w:pPr>
      <w:r w:rsidRPr="00E069AC">
        <w:rPr>
          <w:rFonts w:cstheme="minorHAnsi"/>
          <w:b/>
        </w:rPr>
        <w:t>Transition solutions</w:t>
      </w:r>
      <w:r w:rsidRPr="00E069AC">
        <w:rPr>
          <w:rFonts w:cstheme="minorHAnsi"/>
        </w:rPr>
        <w:t xml:space="preserve"> </w:t>
      </w:r>
      <w:r>
        <w:rPr>
          <w:rFonts w:cstheme="minorHAnsi"/>
        </w:rPr>
        <w:t xml:space="preserve">- </w:t>
      </w:r>
      <w:r w:rsidRPr="00E069AC">
        <w:rPr>
          <w:rFonts w:cstheme="minorHAnsi"/>
        </w:rPr>
        <w:t>are considered till better technologies a</w:t>
      </w:r>
      <w:r>
        <w:rPr>
          <w:rFonts w:cstheme="minorHAnsi"/>
        </w:rPr>
        <w:t>nd less impactful are more cost-</w:t>
      </w:r>
      <w:r w:rsidRPr="00E069AC">
        <w:rPr>
          <w:rFonts w:cstheme="minorHAnsi"/>
        </w:rPr>
        <w:t xml:space="preserve">effective and mature. </w:t>
      </w:r>
    </w:p>
    <w:p w14:paraId="57B3845F" w14:textId="386DD18E" w:rsidR="006745FF" w:rsidRPr="00996E91" w:rsidRDefault="00593535" w:rsidP="00593535">
      <w:r w:rsidRPr="00E069AC">
        <w:rPr>
          <w:b/>
        </w:rPr>
        <w:t>TWh/ Terawatt-hour</w:t>
      </w:r>
      <w:r w:rsidRPr="00E069AC">
        <w:t xml:space="preserve"> – A unit of energy equal to 1 billion kilowatt-hours</w:t>
      </w:r>
      <w:r>
        <w:t>.</w:t>
      </w:r>
    </w:p>
    <w:sectPr w:rsidR="006745FF" w:rsidRPr="00996E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E149A" w14:textId="77777777" w:rsidR="00D17EFD" w:rsidRDefault="00D17EFD" w:rsidP="00D26F59">
      <w:pPr>
        <w:spacing w:after="0"/>
      </w:pPr>
      <w:r>
        <w:separator/>
      </w:r>
    </w:p>
  </w:endnote>
  <w:endnote w:type="continuationSeparator" w:id="0">
    <w:p w14:paraId="0BCB771E" w14:textId="77777777" w:rsidR="00D17EFD" w:rsidRDefault="00D17EFD"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81554D" w:rsidRDefault="0081554D"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81554D" w:rsidRDefault="0081554D"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D1670" w14:textId="77777777" w:rsidR="0081554D" w:rsidRDefault="0081554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8CAE7D4" w14:textId="77777777" w:rsidR="0081554D" w:rsidRDefault="0081554D" w:rsidP="00EB247F">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4580C" w14:textId="77777777" w:rsidR="00D17EFD" w:rsidRDefault="00D17EFD" w:rsidP="00D26F59">
      <w:pPr>
        <w:spacing w:after="0"/>
      </w:pPr>
      <w:r>
        <w:separator/>
      </w:r>
    </w:p>
  </w:footnote>
  <w:footnote w:type="continuationSeparator" w:id="0">
    <w:p w14:paraId="4FFE5EF9" w14:textId="77777777" w:rsidR="00D17EFD" w:rsidRDefault="00D17EFD" w:rsidP="00D26F5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383AFB"/>
    <w:multiLevelType w:val="multilevel"/>
    <w:tmpl w:val="E38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1656F"/>
    <w:multiLevelType w:val="hybridMultilevel"/>
    <w:tmpl w:val="649ABCF8"/>
    <w:lvl w:ilvl="0" w:tplc="EC38CDF8">
      <w:start w:val="1"/>
      <w:numFmt w:val="bullet"/>
      <w:lvlText w:val=""/>
      <w:lvlJc w:val="left"/>
      <w:pPr>
        <w:ind w:left="720" w:hanging="360"/>
      </w:pPr>
      <w:rPr>
        <w:rFonts w:ascii="Symbol" w:hAnsi="Symbol" w:hint="default"/>
      </w:rPr>
    </w:lvl>
    <w:lvl w:ilvl="1" w:tplc="4404C376">
      <w:start w:val="1"/>
      <w:numFmt w:val="bullet"/>
      <w:lvlText w:val="o"/>
      <w:lvlJc w:val="left"/>
      <w:pPr>
        <w:ind w:left="1440" w:hanging="360"/>
      </w:pPr>
      <w:rPr>
        <w:rFonts w:ascii="Courier New" w:hAnsi="Courier New" w:hint="default"/>
      </w:rPr>
    </w:lvl>
    <w:lvl w:ilvl="2" w:tplc="13863B7E">
      <w:start w:val="1"/>
      <w:numFmt w:val="bullet"/>
      <w:lvlText w:val=""/>
      <w:lvlJc w:val="left"/>
      <w:pPr>
        <w:ind w:left="2160" w:hanging="360"/>
      </w:pPr>
      <w:rPr>
        <w:rFonts w:ascii="Wingdings" w:hAnsi="Wingdings" w:hint="default"/>
      </w:rPr>
    </w:lvl>
    <w:lvl w:ilvl="3" w:tplc="A6B29914">
      <w:start w:val="1"/>
      <w:numFmt w:val="bullet"/>
      <w:lvlText w:val=""/>
      <w:lvlJc w:val="left"/>
      <w:pPr>
        <w:ind w:left="2880" w:hanging="360"/>
      </w:pPr>
      <w:rPr>
        <w:rFonts w:ascii="Symbol" w:hAnsi="Symbol" w:hint="default"/>
      </w:rPr>
    </w:lvl>
    <w:lvl w:ilvl="4" w:tplc="2D208322">
      <w:start w:val="1"/>
      <w:numFmt w:val="bullet"/>
      <w:lvlText w:val="o"/>
      <w:lvlJc w:val="left"/>
      <w:pPr>
        <w:ind w:left="3600" w:hanging="360"/>
      </w:pPr>
      <w:rPr>
        <w:rFonts w:ascii="Courier New" w:hAnsi="Courier New" w:hint="default"/>
      </w:rPr>
    </w:lvl>
    <w:lvl w:ilvl="5" w:tplc="3D72CD8C">
      <w:start w:val="1"/>
      <w:numFmt w:val="bullet"/>
      <w:lvlText w:val=""/>
      <w:lvlJc w:val="left"/>
      <w:pPr>
        <w:ind w:left="4320" w:hanging="360"/>
      </w:pPr>
      <w:rPr>
        <w:rFonts w:ascii="Wingdings" w:hAnsi="Wingdings" w:hint="default"/>
      </w:rPr>
    </w:lvl>
    <w:lvl w:ilvl="6" w:tplc="07EC2CC2">
      <w:start w:val="1"/>
      <w:numFmt w:val="bullet"/>
      <w:lvlText w:val=""/>
      <w:lvlJc w:val="left"/>
      <w:pPr>
        <w:ind w:left="5040" w:hanging="360"/>
      </w:pPr>
      <w:rPr>
        <w:rFonts w:ascii="Symbol" w:hAnsi="Symbol" w:hint="default"/>
      </w:rPr>
    </w:lvl>
    <w:lvl w:ilvl="7" w:tplc="9198F974">
      <w:start w:val="1"/>
      <w:numFmt w:val="bullet"/>
      <w:lvlText w:val="o"/>
      <w:lvlJc w:val="left"/>
      <w:pPr>
        <w:ind w:left="5760" w:hanging="360"/>
      </w:pPr>
      <w:rPr>
        <w:rFonts w:ascii="Courier New" w:hAnsi="Courier New" w:hint="default"/>
      </w:rPr>
    </w:lvl>
    <w:lvl w:ilvl="8" w:tplc="A46EA470">
      <w:start w:val="1"/>
      <w:numFmt w:val="bullet"/>
      <w:lvlText w:val=""/>
      <w:lvlJc w:val="left"/>
      <w:pPr>
        <w:ind w:left="6480" w:hanging="360"/>
      </w:pPr>
      <w:rPr>
        <w:rFonts w:ascii="Wingdings" w:hAnsi="Wingdings" w:hint="default"/>
      </w:rPr>
    </w:lvl>
  </w:abstractNum>
  <w:abstractNum w:abstractNumId="4" w15:restartNumberingAfterBreak="0">
    <w:nsid w:val="074B790F"/>
    <w:multiLevelType w:val="hybridMultilevel"/>
    <w:tmpl w:val="549200CA"/>
    <w:lvl w:ilvl="0" w:tplc="7F428174">
      <w:start w:val="1"/>
      <w:numFmt w:val="bullet"/>
      <w:lvlText w:val="-"/>
      <w:lvlJc w:val="left"/>
      <w:pPr>
        <w:ind w:left="360" w:hanging="360"/>
      </w:pPr>
      <w:rPr>
        <w:rFonts w:ascii="Calibri" w:eastAsia="Times New Roman"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1E58CC"/>
    <w:multiLevelType w:val="hybridMultilevel"/>
    <w:tmpl w:val="5C8844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B655D8"/>
    <w:multiLevelType w:val="hybridMultilevel"/>
    <w:tmpl w:val="13AAC8B0"/>
    <w:lvl w:ilvl="0" w:tplc="9CE8DC82">
      <w:start w:val="1"/>
      <w:numFmt w:val="bullet"/>
      <w:lvlText w:val=""/>
      <w:lvlJc w:val="left"/>
      <w:pPr>
        <w:ind w:left="720" w:hanging="360"/>
      </w:pPr>
      <w:rPr>
        <w:rFonts w:ascii="Symbol" w:hAnsi="Symbol" w:hint="default"/>
      </w:rPr>
    </w:lvl>
    <w:lvl w:ilvl="1" w:tplc="078281A8">
      <w:start w:val="1"/>
      <w:numFmt w:val="bullet"/>
      <w:lvlText w:val="o"/>
      <w:lvlJc w:val="left"/>
      <w:pPr>
        <w:ind w:left="1440" w:hanging="360"/>
      </w:pPr>
      <w:rPr>
        <w:rFonts w:ascii="Courier New" w:hAnsi="Courier New" w:hint="default"/>
      </w:rPr>
    </w:lvl>
    <w:lvl w:ilvl="2" w:tplc="6A6AF512">
      <w:start w:val="1"/>
      <w:numFmt w:val="bullet"/>
      <w:lvlText w:val=""/>
      <w:lvlJc w:val="left"/>
      <w:pPr>
        <w:ind w:left="2160" w:hanging="360"/>
      </w:pPr>
      <w:rPr>
        <w:rFonts w:ascii="Wingdings" w:hAnsi="Wingdings" w:hint="default"/>
      </w:rPr>
    </w:lvl>
    <w:lvl w:ilvl="3" w:tplc="3F44A104">
      <w:start w:val="1"/>
      <w:numFmt w:val="bullet"/>
      <w:lvlText w:val=""/>
      <w:lvlJc w:val="left"/>
      <w:pPr>
        <w:ind w:left="2880" w:hanging="360"/>
      </w:pPr>
      <w:rPr>
        <w:rFonts w:ascii="Symbol" w:hAnsi="Symbol" w:hint="default"/>
      </w:rPr>
    </w:lvl>
    <w:lvl w:ilvl="4" w:tplc="A24485C4">
      <w:start w:val="1"/>
      <w:numFmt w:val="bullet"/>
      <w:lvlText w:val="o"/>
      <w:lvlJc w:val="left"/>
      <w:pPr>
        <w:ind w:left="3600" w:hanging="360"/>
      </w:pPr>
      <w:rPr>
        <w:rFonts w:ascii="Courier New" w:hAnsi="Courier New" w:hint="default"/>
      </w:rPr>
    </w:lvl>
    <w:lvl w:ilvl="5" w:tplc="4968B286">
      <w:start w:val="1"/>
      <w:numFmt w:val="bullet"/>
      <w:lvlText w:val=""/>
      <w:lvlJc w:val="left"/>
      <w:pPr>
        <w:ind w:left="4320" w:hanging="360"/>
      </w:pPr>
      <w:rPr>
        <w:rFonts w:ascii="Wingdings" w:hAnsi="Wingdings" w:hint="default"/>
      </w:rPr>
    </w:lvl>
    <w:lvl w:ilvl="6" w:tplc="44A0FD54">
      <w:start w:val="1"/>
      <w:numFmt w:val="bullet"/>
      <w:lvlText w:val=""/>
      <w:lvlJc w:val="left"/>
      <w:pPr>
        <w:ind w:left="5040" w:hanging="360"/>
      </w:pPr>
      <w:rPr>
        <w:rFonts w:ascii="Symbol" w:hAnsi="Symbol" w:hint="default"/>
      </w:rPr>
    </w:lvl>
    <w:lvl w:ilvl="7" w:tplc="026AD38C">
      <w:start w:val="1"/>
      <w:numFmt w:val="bullet"/>
      <w:lvlText w:val="o"/>
      <w:lvlJc w:val="left"/>
      <w:pPr>
        <w:ind w:left="5760" w:hanging="360"/>
      </w:pPr>
      <w:rPr>
        <w:rFonts w:ascii="Courier New" w:hAnsi="Courier New" w:hint="default"/>
      </w:rPr>
    </w:lvl>
    <w:lvl w:ilvl="8" w:tplc="45E0006E">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50A5B4D"/>
    <w:multiLevelType w:val="hybridMultilevel"/>
    <w:tmpl w:val="D902A3D2"/>
    <w:lvl w:ilvl="0" w:tplc="311C8422">
      <w:start w:val="1"/>
      <w:numFmt w:val="bullet"/>
      <w:lvlText w:val=""/>
      <w:lvlJc w:val="left"/>
      <w:pPr>
        <w:ind w:left="720" w:hanging="360"/>
      </w:pPr>
      <w:rPr>
        <w:rFonts w:ascii="Symbol" w:hAnsi="Symbol" w:hint="default"/>
      </w:rPr>
    </w:lvl>
    <w:lvl w:ilvl="1" w:tplc="B4EC684E">
      <w:start w:val="1"/>
      <w:numFmt w:val="bullet"/>
      <w:lvlText w:val="o"/>
      <w:lvlJc w:val="left"/>
      <w:pPr>
        <w:ind w:left="1440" w:hanging="360"/>
      </w:pPr>
      <w:rPr>
        <w:rFonts w:ascii="Courier New" w:hAnsi="Courier New" w:hint="default"/>
      </w:rPr>
    </w:lvl>
    <w:lvl w:ilvl="2" w:tplc="D8945778">
      <w:start w:val="1"/>
      <w:numFmt w:val="bullet"/>
      <w:lvlText w:val=""/>
      <w:lvlJc w:val="left"/>
      <w:pPr>
        <w:ind w:left="2160" w:hanging="360"/>
      </w:pPr>
      <w:rPr>
        <w:rFonts w:ascii="Wingdings" w:hAnsi="Wingdings" w:hint="default"/>
      </w:rPr>
    </w:lvl>
    <w:lvl w:ilvl="3" w:tplc="31782504">
      <w:start w:val="1"/>
      <w:numFmt w:val="bullet"/>
      <w:lvlText w:val=""/>
      <w:lvlJc w:val="left"/>
      <w:pPr>
        <w:ind w:left="2880" w:hanging="360"/>
      </w:pPr>
      <w:rPr>
        <w:rFonts w:ascii="Symbol" w:hAnsi="Symbol" w:hint="default"/>
      </w:rPr>
    </w:lvl>
    <w:lvl w:ilvl="4" w:tplc="97CAB7C8">
      <w:start w:val="1"/>
      <w:numFmt w:val="bullet"/>
      <w:lvlText w:val="o"/>
      <w:lvlJc w:val="left"/>
      <w:pPr>
        <w:ind w:left="3600" w:hanging="360"/>
      </w:pPr>
      <w:rPr>
        <w:rFonts w:ascii="Courier New" w:hAnsi="Courier New" w:hint="default"/>
      </w:rPr>
    </w:lvl>
    <w:lvl w:ilvl="5" w:tplc="2CF881D2">
      <w:start w:val="1"/>
      <w:numFmt w:val="bullet"/>
      <w:lvlText w:val=""/>
      <w:lvlJc w:val="left"/>
      <w:pPr>
        <w:ind w:left="4320" w:hanging="360"/>
      </w:pPr>
      <w:rPr>
        <w:rFonts w:ascii="Wingdings" w:hAnsi="Wingdings" w:hint="default"/>
      </w:rPr>
    </w:lvl>
    <w:lvl w:ilvl="6" w:tplc="E5882D82">
      <w:start w:val="1"/>
      <w:numFmt w:val="bullet"/>
      <w:lvlText w:val=""/>
      <w:lvlJc w:val="left"/>
      <w:pPr>
        <w:ind w:left="5040" w:hanging="360"/>
      </w:pPr>
      <w:rPr>
        <w:rFonts w:ascii="Symbol" w:hAnsi="Symbol" w:hint="default"/>
      </w:rPr>
    </w:lvl>
    <w:lvl w:ilvl="7" w:tplc="5B66DA9C">
      <w:start w:val="1"/>
      <w:numFmt w:val="bullet"/>
      <w:lvlText w:val="o"/>
      <w:lvlJc w:val="left"/>
      <w:pPr>
        <w:ind w:left="5760" w:hanging="360"/>
      </w:pPr>
      <w:rPr>
        <w:rFonts w:ascii="Courier New" w:hAnsi="Courier New" w:hint="default"/>
      </w:rPr>
    </w:lvl>
    <w:lvl w:ilvl="8" w:tplc="27DECCC0">
      <w:start w:val="1"/>
      <w:numFmt w:val="bullet"/>
      <w:lvlText w:val=""/>
      <w:lvlJc w:val="left"/>
      <w:pPr>
        <w:ind w:left="6480" w:hanging="360"/>
      </w:pPr>
      <w:rPr>
        <w:rFonts w:ascii="Wingdings" w:hAnsi="Wingdings" w:hint="default"/>
      </w:rPr>
    </w:lvl>
  </w:abstractNum>
  <w:abstractNum w:abstractNumId="10" w15:restartNumberingAfterBreak="0">
    <w:nsid w:val="19086A97"/>
    <w:multiLevelType w:val="hybridMultilevel"/>
    <w:tmpl w:val="D4D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6344B1"/>
    <w:multiLevelType w:val="multilevel"/>
    <w:tmpl w:val="E38C1FA4"/>
    <w:lvl w:ilvl="0">
      <w:start w:val="1"/>
      <w:numFmt w:val="decimal"/>
      <w:lvlText w:val="%1."/>
      <w:lvlJc w:val="left"/>
      <w:pPr>
        <w:ind w:left="440" w:hanging="4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13" w15:restartNumberingAfterBreak="0">
    <w:nsid w:val="2C7F4F1E"/>
    <w:multiLevelType w:val="hybridMultilevel"/>
    <w:tmpl w:val="15C6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9B08B2"/>
    <w:multiLevelType w:val="hybridMultilevel"/>
    <w:tmpl w:val="7C3C8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0C42CD"/>
    <w:multiLevelType w:val="hybridMultilevel"/>
    <w:tmpl w:val="06D6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E4AB3"/>
    <w:multiLevelType w:val="multilevel"/>
    <w:tmpl w:val="97CAB30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E94073E"/>
    <w:multiLevelType w:val="multilevel"/>
    <w:tmpl w:val="845A017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15:restartNumberingAfterBreak="0">
    <w:nsid w:val="44DB4723"/>
    <w:multiLevelType w:val="hybridMultilevel"/>
    <w:tmpl w:val="A7948BF0"/>
    <w:lvl w:ilvl="0" w:tplc="FA5A0CCA">
      <w:start w:val="1"/>
      <w:numFmt w:val="bullet"/>
      <w:lvlText w:val=""/>
      <w:lvlJc w:val="left"/>
      <w:pPr>
        <w:ind w:left="720" w:hanging="360"/>
      </w:pPr>
      <w:rPr>
        <w:rFonts w:ascii="Symbol" w:hAnsi="Symbol" w:hint="default"/>
      </w:rPr>
    </w:lvl>
    <w:lvl w:ilvl="1" w:tplc="1D2C922C">
      <w:start w:val="1"/>
      <w:numFmt w:val="bullet"/>
      <w:lvlText w:val="o"/>
      <w:lvlJc w:val="left"/>
      <w:pPr>
        <w:ind w:left="1440" w:hanging="360"/>
      </w:pPr>
      <w:rPr>
        <w:rFonts w:ascii="Courier New" w:hAnsi="Courier New" w:hint="default"/>
      </w:rPr>
    </w:lvl>
    <w:lvl w:ilvl="2" w:tplc="43E659CE">
      <w:start w:val="1"/>
      <w:numFmt w:val="bullet"/>
      <w:lvlText w:val=""/>
      <w:lvlJc w:val="left"/>
      <w:pPr>
        <w:ind w:left="2160" w:hanging="360"/>
      </w:pPr>
      <w:rPr>
        <w:rFonts w:ascii="Wingdings" w:hAnsi="Wingdings" w:hint="default"/>
      </w:rPr>
    </w:lvl>
    <w:lvl w:ilvl="3" w:tplc="A08EF4D8">
      <w:start w:val="1"/>
      <w:numFmt w:val="bullet"/>
      <w:lvlText w:val=""/>
      <w:lvlJc w:val="left"/>
      <w:pPr>
        <w:ind w:left="2880" w:hanging="360"/>
      </w:pPr>
      <w:rPr>
        <w:rFonts w:ascii="Symbol" w:hAnsi="Symbol" w:hint="default"/>
      </w:rPr>
    </w:lvl>
    <w:lvl w:ilvl="4" w:tplc="BC6E7656">
      <w:start w:val="1"/>
      <w:numFmt w:val="bullet"/>
      <w:lvlText w:val="o"/>
      <w:lvlJc w:val="left"/>
      <w:pPr>
        <w:ind w:left="3600" w:hanging="360"/>
      </w:pPr>
      <w:rPr>
        <w:rFonts w:ascii="Courier New" w:hAnsi="Courier New" w:hint="default"/>
      </w:rPr>
    </w:lvl>
    <w:lvl w:ilvl="5" w:tplc="3560EEA6">
      <w:start w:val="1"/>
      <w:numFmt w:val="bullet"/>
      <w:lvlText w:val=""/>
      <w:lvlJc w:val="left"/>
      <w:pPr>
        <w:ind w:left="4320" w:hanging="360"/>
      </w:pPr>
      <w:rPr>
        <w:rFonts w:ascii="Wingdings" w:hAnsi="Wingdings" w:hint="default"/>
      </w:rPr>
    </w:lvl>
    <w:lvl w:ilvl="6" w:tplc="E252F5AC">
      <w:start w:val="1"/>
      <w:numFmt w:val="bullet"/>
      <w:lvlText w:val=""/>
      <w:lvlJc w:val="left"/>
      <w:pPr>
        <w:ind w:left="5040" w:hanging="360"/>
      </w:pPr>
      <w:rPr>
        <w:rFonts w:ascii="Symbol" w:hAnsi="Symbol" w:hint="default"/>
      </w:rPr>
    </w:lvl>
    <w:lvl w:ilvl="7" w:tplc="8F960A12">
      <w:start w:val="1"/>
      <w:numFmt w:val="bullet"/>
      <w:lvlText w:val="o"/>
      <w:lvlJc w:val="left"/>
      <w:pPr>
        <w:ind w:left="5760" w:hanging="360"/>
      </w:pPr>
      <w:rPr>
        <w:rFonts w:ascii="Courier New" w:hAnsi="Courier New" w:hint="default"/>
      </w:rPr>
    </w:lvl>
    <w:lvl w:ilvl="8" w:tplc="A9E414E4">
      <w:start w:val="1"/>
      <w:numFmt w:val="bullet"/>
      <w:lvlText w:val=""/>
      <w:lvlJc w:val="left"/>
      <w:pPr>
        <w:ind w:left="6480" w:hanging="360"/>
      </w:pPr>
      <w:rPr>
        <w:rFonts w:ascii="Wingdings" w:hAnsi="Wingdings" w:hint="default"/>
      </w:rPr>
    </w:lvl>
  </w:abstractNum>
  <w:abstractNum w:abstractNumId="22" w15:restartNumberingAfterBreak="0">
    <w:nsid w:val="460A2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24" w15:restartNumberingAfterBreak="0">
    <w:nsid w:val="5222233E"/>
    <w:multiLevelType w:val="multilevel"/>
    <w:tmpl w:val="9742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37964"/>
    <w:multiLevelType w:val="hybridMultilevel"/>
    <w:tmpl w:val="A2760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31603"/>
    <w:multiLevelType w:val="hybridMultilevel"/>
    <w:tmpl w:val="49860896"/>
    <w:lvl w:ilvl="0" w:tplc="BFD4BF68">
      <w:start w:val="1"/>
      <w:numFmt w:val="bullet"/>
      <w:lvlText w:val=""/>
      <w:lvlJc w:val="left"/>
      <w:pPr>
        <w:ind w:left="720" w:hanging="360"/>
      </w:pPr>
      <w:rPr>
        <w:rFonts w:ascii="Symbol" w:hAnsi="Symbol" w:hint="default"/>
      </w:rPr>
    </w:lvl>
    <w:lvl w:ilvl="1" w:tplc="968052C6">
      <w:start w:val="1"/>
      <w:numFmt w:val="bullet"/>
      <w:lvlText w:val="o"/>
      <w:lvlJc w:val="left"/>
      <w:pPr>
        <w:ind w:left="1440" w:hanging="360"/>
      </w:pPr>
      <w:rPr>
        <w:rFonts w:ascii="Courier New" w:hAnsi="Courier New" w:hint="default"/>
      </w:rPr>
    </w:lvl>
    <w:lvl w:ilvl="2" w:tplc="EC5C0DFE">
      <w:start w:val="1"/>
      <w:numFmt w:val="bullet"/>
      <w:lvlText w:val=""/>
      <w:lvlJc w:val="left"/>
      <w:pPr>
        <w:ind w:left="2160" w:hanging="360"/>
      </w:pPr>
      <w:rPr>
        <w:rFonts w:ascii="Wingdings" w:hAnsi="Wingdings" w:hint="default"/>
      </w:rPr>
    </w:lvl>
    <w:lvl w:ilvl="3" w:tplc="1568BA6E">
      <w:start w:val="1"/>
      <w:numFmt w:val="bullet"/>
      <w:lvlText w:val=""/>
      <w:lvlJc w:val="left"/>
      <w:pPr>
        <w:ind w:left="2880" w:hanging="360"/>
      </w:pPr>
      <w:rPr>
        <w:rFonts w:ascii="Symbol" w:hAnsi="Symbol" w:hint="default"/>
      </w:rPr>
    </w:lvl>
    <w:lvl w:ilvl="4" w:tplc="BBDA3512">
      <w:start w:val="1"/>
      <w:numFmt w:val="bullet"/>
      <w:lvlText w:val="o"/>
      <w:lvlJc w:val="left"/>
      <w:pPr>
        <w:ind w:left="3600" w:hanging="360"/>
      </w:pPr>
      <w:rPr>
        <w:rFonts w:ascii="Courier New" w:hAnsi="Courier New" w:hint="default"/>
      </w:rPr>
    </w:lvl>
    <w:lvl w:ilvl="5" w:tplc="4912A0D2">
      <w:start w:val="1"/>
      <w:numFmt w:val="bullet"/>
      <w:lvlText w:val=""/>
      <w:lvlJc w:val="left"/>
      <w:pPr>
        <w:ind w:left="4320" w:hanging="360"/>
      </w:pPr>
      <w:rPr>
        <w:rFonts w:ascii="Wingdings" w:hAnsi="Wingdings" w:hint="default"/>
      </w:rPr>
    </w:lvl>
    <w:lvl w:ilvl="6" w:tplc="30C42DEE">
      <w:start w:val="1"/>
      <w:numFmt w:val="bullet"/>
      <w:lvlText w:val=""/>
      <w:lvlJc w:val="left"/>
      <w:pPr>
        <w:ind w:left="5040" w:hanging="360"/>
      </w:pPr>
      <w:rPr>
        <w:rFonts w:ascii="Symbol" w:hAnsi="Symbol" w:hint="default"/>
      </w:rPr>
    </w:lvl>
    <w:lvl w:ilvl="7" w:tplc="4A202BCE">
      <w:start w:val="1"/>
      <w:numFmt w:val="bullet"/>
      <w:lvlText w:val="o"/>
      <w:lvlJc w:val="left"/>
      <w:pPr>
        <w:ind w:left="5760" w:hanging="360"/>
      </w:pPr>
      <w:rPr>
        <w:rFonts w:ascii="Courier New" w:hAnsi="Courier New" w:hint="default"/>
      </w:rPr>
    </w:lvl>
    <w:lvl w:ilvl="8" w:tplc="F78A2072">
      <w:start w:val="1"/>
      <w:numFmt w:val="bullet"/>
      <w:lvlText w:val=""/>
      <w:lvlJc w:val="left"/>
      <w:pPr>
        <w:ind w:left="6480" w:hanging="360"/>
      </w:pPr>
      <w:rPr>
        <w:rFonts w:ascii="Wingdings" w:hAnsi="Wingdings" w:hint="default"/>
      </w:rPr>
    </w:lvl>
  </w:abstractNum>
  <w:abstractNum w:abstractNumId="27" w15:restartNumberingAfterBreak="0">
    <w:nsid w:val="66FA5A01"/>
    <w:multiLevelType w:val="hybridMultilevel"/>
    <w:tmpl w:val="1D5C92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93284"/>
    <w:multiLevelType w:val="hybridMultilevel"/>
    <w:tmpl w:val="6356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87883"/>
    <w:multiLevelType w:val="multilevel"/>
    <w:tmpl w:val="0E00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AB5190"/>
    <w:multiLevelType w:val="hybridMultilevel"/>
    <w:tmpl w:val="6F00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DA7597"/>
    <w:multiLevelType w:val="hybridMultilevel"/>
    <w:tmpl w:val="E724025A"/>
    <w:lvl w:ilvl="0" w:tplc="7F508DF0">
      <w:start w:val="1"/>
      <w:numFmt w:val="bullet"/>
      <w:lvlText w:val=""/>
      <w:lvlJc w:val="left"/>
      <w:pPr>
        <w:ind w:left="720" w:hanging="360"/>
      </w:pPr>
      <w:rPr>
        <w:rFonts w:ascii="Symbol" w:hAnsi="Symbol" w:hint="default"/>
      </w:rPr>
    </w:lvl>
    <w:lvl w:ilvl="1" w:tplc="9FC4AD62">
      <w:start w:val="1"/>
      <w:numFmt w:val="bullet"/>
      <w:lvlText w:val="o"/>
      <w:lvlJc w:val="left"/>
      <w:pPr>
        <w:ind w:left="1440" w:hanging="360"/>
      </w:pPr>
      <w:rPr>
        <w:rFonts w:ascii="Courier New" w:hAnsi="Courier New" w:hint="default"/>
      </w:rPr>
    </w:lvl>
    <w:lvl w:ilvl="2" w:tplc="18F4916E">
      <w:start w:val="1"/>
      <w:numFmt w:val="bullet"/>
      <w:lvlText w:val=""/>
      <w:lvlJc w:val="left"/>
      <w:pPr>
        <w:ind w:left="2160" w:hanging="360"/>
      </w:pPr>
      <w:rPr>
        <w:rFonts w:ascii="Wingdings" w:hAnsi="Wingdings" w:hint="default"/>
      </w:rPr>
    </w:lvl>
    <w:lvl w:ilvl="3" w:tplc="A1C46170">
      <w:start w:val="1"/>
      <w:numFmt w:val="bullet"/>
      <w:lvlText w:val=""/>
      <w:lvlJc w:val="left"/>
      <w:pPr>
        <w:ind w:left="2880" w:hanging="360"/>
      </w:pPr>
      <w:rPr>
        <w:rFonts w:ascii="Symbol" w:hAnsi="Symbol" w:hint="default"/>
      </w:rPr>
    </w:lvl>
    <w:lvl w:ilvl="4" w:tplc="5B38D394">
      <w:start w:val="1"/>
      <w:numFmt w:val="bullet"/>
      <w:lvlText w:val="o"/>
      <w:lvlJc w:val="left"/>
      <w:pPr>
        <w:ind w:left="3600" w:hanging="360"/>
      </w:pPr>
      <w:rPr>
        <w:rFonts w:ascii="Courier New" w:hAnsi="Courier New" w:hint="default"/>
      </w:rPr>
    </w:lvl>
    <w:lvl w:ilvl="5" w:tplc="4CE8D666">
      <w:start w:val="1"/>
      <w:numFmt w:val="bullet"/>
      <w:lvlText w:val=""/>
      <w:lvlJc w:val="left"/>
      <w:pPr>
        <w:ind w:left="4320" w:hanging="360"/>
      </w:pPr>
      <w:rPr>
        <w:rFonts w:ascii="Wingdings" w:hAnsi="Wingdings" w:hint="default"/>
      </w:rPr>
    </w:lvl>
    <w:lvl w:ilvl="6" w:tplc="86C0EF04">
      <w:start w:val="1"/>
      <w:numFmt w:val="bullet"/>
      <w:lvlText w:val=""/>
      <w:lvlJc w:val="left"/>
      <w:pPr>
        <w:ind w:left="5040" w:hanging="360"/>
      </w:pPr>
      <w:rPr>
        <w:rFonts w:ascii="Symbol" w:hAnsi="Symbol" w:hint="default"/>
      </w:rPr>
    </w:lvl>
    <w:lvl w:ilvl="7" w:tplc="19EE0436">
      <w:start w:val="1"/>
      <w:numFmt w:val="bullet"/>
      <w:lvlText w:val="o"/>
      <w:lvlJc w:val="left"/>
      <w:pPr>
        <w:ind w:left="5760" w:hanging="360"/>
      </w:pPr>
      <w:rPr>
        <w:rFonts w:ascii="Courier New" w:hAnsi="Courier New" w:hint="default"/>
      </w:rPr>
    </w:lvl>
    <w:lvl w:ilvl="8" w:tplc="D1180A82">
      <w:start w:val="1"/>
      <w:numFmt w:val="bullet"/>
      <w:lvlText w:val=""/>
      <w:lvlJc w:val="left"/>
      <w:pPr>
        <w:ind w:left="6480" w:hanging="360"/>
      </w:pPr>
      <w:rPr>
        <w:rFonts w:ascii="Wingdings" w:hAnsi="Wingdings" w:hint="default"/>
      </w:rPr>
    </w:lvl>
  </w:abstractNum>
  <w:abstractNum w:abstractNumId="32" w15:restartNumberingAfterBreak="0">
    <w:nsid w:val="7FEF4E3F"/>
    <w:multiLevelType w:val="hybridMultilevel"/>
    <w:tmpl w:val="18446CE6"/>
    <w:lvl w:ilvl="0" w:tplc="1BE0E7B4">
      <w:start w:val="1"/>
      <w:numFmt w:val="bullet"/>
      <w:lvlText w:val=""/>
      <w:lvlJc w:val="left"/>
      <w:pPr>
        <w:ind w:left="720" w:hanging="360"/>
      </w:pPr>
      <w:rPr>
        <w:rFonts w:ascii="Symbol" w:hAnsi="Symbol" w:hint="default"/>
      </w:rPr>
    </w:lvl>
    <w:lvl w:ilvl="1" w:tplc="A7760E0A">
      <w:start w:val="1"/>
      <w:numFmt w:val="bullet"/>
      <w:lvlText w:val="o"/>
      <w:lvlJc w:val="left"/>
      <w:pPr>
        <w:ind w:left="1440" w:hanging="360"/>
      </w:pPr>
      <w:rPr>
        <w:rFonts w:ascii="Courier New" w:hAnsi="Courier New" w:hint="default"/>
      </w:rPr>
    </w:lvl>
    <w:lvl w:ilvl="2" w:tplc="EBC467D2">
      <w:start w:val="1"/>
      <w:numFmt w:val="bullet"/>
      <w:lvlText w:val=""/>
      <w:lvlJc w:val="left"/>
      <w:pPr>
        <w:ind w:left="2160" w:hanging="360"/>
      </w:pPr>
      <w:rPr>
        <w:rFonts w:ascii="Wingdings" w:hAnsi="Wingdings" w:hint="default"/>
      </w:rPr>
    </w:lvl>
    <w:lvl w:ilvl="3" w:tplc="6A967CFE">
      <w:start w:val="1"/>
      <w:numFmt w:val="bullet"/>
      <w:lvlText w:val=""/>
      <w:lvlJc w:val="left"/>
      <w:pPr>
        <w:ind w:left="2880" w:hanging="360"/>
      </w:pPr>
      <w:rPr>
        <w:rFonts w:ascii="Symbol" w:hAnsi="Symbol" w:hint="default"/>
      </w:rPr>
    </w:lvl>
    <w:lvl w:ilvl="4" w:tplc="98F0C4F4">
      <w:start w:val="1"/>
      <w:numFmt w:val="bullet"/>
      <w:lvlText w:val="o"/>
      <w:lvlJc w:val="left"/>
      <w:pPr>
        <w:ind w:left="3600" w:hanging="360"/>
      </w:pPr>
      <w:rPr>
        <w:rFonts w:ascii="Courier New" w:hAnsi="Courier New" w:hint="default"/>
      </w:rPr>
    </w:lvl>
    <w:lvl w:ilvl="5" w:tplc="5C4097D6">
      <w:start w:val="1"/>
      <w:numFmt w:val="bullet"/>
      <w:lvlText w:val=""/>
      <w:lvlJc w:val="left"/>
      <w:pPr>
        <w:ind w:left="4320" w:hanging="360"/>
      </w:pPr>
      <w:rPr>
        <w:rFonts w:ascii="Wingdings" w:hAnsi="Wingdings" w:hint="default"/>
      </w:rPr>
    </w:lvl>
    <w:lvl w:ilvl="6" w:tplc="76727014">
      <w:start w:val="1"/>
      <w:numFmt w:val="bullet"/>
      <w:lvlText w:val=""/>
      <w:lvlJc w:val="left"/>
      <w:pPr>
        <w:ind w:left="5040" w:hanging="360"/>
      </w:pPr>
      <w:rPr>
        <w:rFonts w:ascii="Symbol" w:hAnsi="Symbol" w:hint="default"/>
      </w:rPr>
    </w:lvl>
    <w:lvl w:ilvl="7" w:tplc="17347CC0">
      <w:start w:val="1"/>
      <w:numFmt w:val="bullet"/>
      <w:lvlText w:val="o"/>
      <w:lvlJc w:val="left"/>
      <w:pPr>
        <w:ind w:left="5760" w:hanging="360"/>
      </w:pPr>
      <w:rPr>
        <w:rFonts w:ascii="Courier New" w:hAnsi="Courier New" w:hint="default"/>
      </w:rPr>
    </w:lvl>
    <w:lvl w:ilvl="8" w:tplc="54B4E62A">
      <w:start w:val="1"/>
      <w:numFmt w:val="bullet"/>
      <w:lvlText w:val=""/>
      <w:lvlJc w:val="left"/>
      <w:pPr>
        <w:ind w:left="6480" w:hanging="360"/>
      </w:pPr>
      <w:rPr>
        <w:rFonts w:ascii="Wingdings" w:hAnsi="Wingdings" w:hint="default"/>
      </w:rPr>
    </w:lvl>
  </w:abstractNum>
  <w:num w:numId="1">
    <w:abstractNumId w:val="9"/>
  </w:num>
  <w:num w:numId="2">
    <w:abstractNumId w:val="32"/>
  </w:num>
  <w:num w:numId="3">
    <w:abstractNumId w:val="23"/>
  </w:num>
  <w:num w:numId="4">
    <w:abstractNumId w:val="7"/>
  </w:num>
  <w:num w:numId="5">
    <w:abstractNumId w:val="31"/>
  </w:num>
  <w:num w:numId="6">
    <w:abstractNumId w:val="21"/>
  </w:num>
  <w:num w:numId="7">
    <w:abstractNumId w:val="26"/>
  </w:num>
  <w:num w:numId="8">
    <w:abstractNumId w:val="3"/>
  </w:num>
  <w:num w:numId="9">
    <w:abstractNumId w:val="8"/>
  </w:num>
  <w:num w:numId="10">
    <w:abstractNumId w:val="20"/>
  </w:num>
  <w:num w:numId="11">
    <w:abstractNumId w:val="17"/>
  </w:num>
  <w:num w:numId="12">
    <w:abstractNumId w:val="25"/>
  </w:num>
  <w:num w:numId="13">
    <w:abstractNumId w:val="10"/>
  </w:num>
  <w:num w:numId="14">
    <w:abstractNumId w:val="14"/>
  </w:num>
  <w:num w:numId="15">
    <w:abstractNumId w:val="2"/>
  </w:num>
  <w:num w:numId="16">
    <w:abstractNumId w:val="6"/>
  </w:num>
  <w:num w:numId="17">
    <w:abstractNumId w:val="27"/>
  </w:num>
  <w:num w:numId="18">
    <w:abstractNumId w:val="30"/>
  </w:num>
  <w:num w:numId="19">
    <w:abstractNumId w:val="28"/>
  </w:num>
  <w:num w:numId="20">
    <w:abstractNumId w:val="16"/>
  </w:num>
  <w:num w:numId="21">
    <w:abstractNumId w:val="8"/>
  </w:num>
  <w:num w:numId="22">
    <w:abstractNumId w:val="8"/>
  </w:num>
  <w:num w:numId="23">
    <w:abstractNumId w:val="12"/>
  </w:num>
  <w:num w:numId="24">
    <w:abstractNumId w:val="18"/>
  </w:num>
  <w:num w:numId="25">
    <w:abstractNumId w:val="22"/>
  </w:num>
  <w:num w:numId="26">
    <w:abstractNumId w:val="19"/>
  </w:num>
  <w:num w:numId="27">
    <w:abstractNumId w:val="19"/>
  </w:num>
  <w:num w:numId="28">
    <w:abstractNumId w:val="19"/>
    <w:lvlOverride w:ilvl="0">
      <w:startOverride w:val="2"/>
    </w:lvlOverride>
    <w:lvlOverride w:ilvl="1">
      <w:startOverride w:val="1"/>
    </w:lvlOverride>
  </w:num>
  <w:num w:numId="29">
    <w:abstractNumId w:val="19"/>
    <w:lvlOverride w:ilvl="0">
      <w:startOverride w:val="4"/>
    </w:lvlOverride>
    <w:lvlOverride w:ilvl="1">
      <w:startOverride w:val="1"/>
    </w:lvlOverride>
  </w:num>
  <w:num w:numId="30">
    <w:abstractNumId w:val="19"/>
    <w:lvlOverride w:ilvl="0">
      <w:startOverride w:val="3"/>
    </w:lvlOverride>
    <w:lvlOverride w:ilvl="1">
      <w:startOverride w:val="1"/>
    </w:lvlOverride>
  </w:num>
  <w:num w:numId="31">
    <w:abstractNumId w:val="5"/>
  </w:num>
  <w:num w:numId="32">
    <w:abstractNumId w:val="24"/>
  </w:num>
  <w:num w:numId="33">
    <w:abstractNumId w:val="29"/>
  </w:num>
  <w:num w:numId="34">
    <w:abstractNumId w:val="13"/>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num>
  <w:num w:numId="39">
    <w:abstractNumId w:val="18"/>
  </w:num>
  <w:num w:numId="40">
    <w:abstractNumId w:val="18"/>
  </w:num>
  <w:num w:numId="41">
    <w:abstractNumId w:val="15"/>
  </w:num>
  <w:num w:numId="42">
    <w:abstractNumId w:val="19"/>
  </w:num>
  <w:num w:numId="43">
    <w:abstractNumId w:val="19"/>
  </w:num>
  <w:num w:numId="44">
    <w:abstractNumId w:val="11"/>
  </w:num>
  <w:num w:numId="45">
    <w:abstractNumId w:val="19"/>
    <w:lvlOverride w:ilvl="0">
      <w:startOverride w:val="2"/>
    </w:lvlOverride>
    <w:lvlOverride w:ilvl="1">
      <w:startOverride w:val="1"/>
    </w:lvlOverride>
  </w:num>
  <w:num w:numId="46">
    <w:abstractNumId w:val="19"/>
    <w:lvlOverride w:ilvl="0">
      <w:startOverride w:val="2"/>
    </w:lvlOverride>
    <w:lvlOverride w:ilvl="1">
      <w:startOverride w:val="1"/>
    </w:lvlOverride>
  </w:num>
  <w:num w:numId="47">
    <w:abstractNumId w:val="19"/>
    <w:lvlOverride w:ilvl="0">
      <w:startOverride w:val="2"/>
    </w:lvlOverride>
    <w:lvlOverride w:ilvl="1">
      <w:startOverride w:val="1"/>
    </w:lvlOverride>
  </w:num>
  <w:num w:numId="48">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0C08"/>
    <w:rsid w:val="0000143C"/>
    <w:rsid w:val="00014CE5"/>
    <w:rsid w:val="00014DE8"/>
    <w:rsid w:val="000178CE"/>
    <w:rsid w:val="000218E4"/>
    <w:rsid w:val="00024653"/>
    <w:rsid w:val="00024F11"/>
    <w:rsid w:val="00027B88"/>
    <w:rsid w:val="00030AE3"/>
    <w:rsid w:val="00031A48"/>
    <w:rsid w:val="000330C6"/>
    <w:rsid w:val="000362F8"/>
    <w:rsid w:val="00045B70"/>
    <w:rsid w:val="000510F9"/>
    <w:rsid w:val="00054158"/>
    <w:rsid w:val="00056308"/>
    <w:rsid w:val="00056ED1"/>
    <w:rsid w:val="00057050"/>
    <w:rsid w:val="00075F31"/>
    <w:rsid w:val="000828F9"/>
    <w:rsid w:val="000829DC"/>
    <w:rsid w:val="000856B7"/>
    <w:rsid w:val="00086958"/>
    <w:rsid w:val="000875B5"/>
    <w:rsid w:val="0009232E"/>
    <w:rsid w:val="0009271D"/>
    <w:rsid w:val="0009541F"/>
    <w:rsid w:val="000962DD"/>
    <w:rsid w:val="000A21AE"/>
    <w:rsid w:val="000A2D57"/>
    <w:rsid w:val="000A6F40"/>
    <w:rsid w:val="000B1609"/>
    <w:rsid w:val="000B1918"/>
    <w:rsid w:val="000B2504"/>
    <w:rsid w:val="000B3EE3"/>
    <w:rsid w:val="000B41F8"/>
    <w:rsid w:val="000B4D30"/>
    <w:rsid w:val="000B7D71"/>
    <w:rsid w:val="000C04D3"/>
    <w:rsid w:val="000C3205"/>
    <w:rsid w:val="000C3F49"/>
    <w:rsid w:val="000C519E"/>
    <w:rsid w:val="000C5747"/>
    <w:rsid w:val="000C7A55"/>
    <w:rsid w:val="000C7DFA"/>
    <w:rsid w:val="000D27B5"/>
    <w:rsid w:val="000D30DE"/>
    <w:rsid w:val="000D3855"/>
    <w:rsid w:val="000D5E86"/>
    <w:rsid w:val="000D7BC5"/>
    <w:rsid w:val="000E594F"/>
    <w:rsid w:val="000E717A"/>
    <w:rsid w:val="000F131E"/>
    <w:rsid w:val="000F5142"/>
    <w:rsid w:val="00101408"/>
    <w:rsid w:val="001031EC"/>
    <w:rsid w:val="001052ED"/>
    <w:rsid w:val="001073C8"/>
    <w:rsid w:val="00112479"/>
    <w:rsid w:val="00114AD0"/>
    <w:rsid w:val="00120405"/>
    <w:rsid w:val="00120490"/>
    <w:rsid w:val="00123A28"/>
    <w:rsid w:val="00124262"/>
    <w:rsid w:val="00124C49"/>
    <w:rsid w:val="00125B80"/>
    <w:rsid w:val="00136093"/>
    <w:rsid w:val="00140F1E"/>
    <w:rsid w:val="00152E5D"/>
    <w:rsid w:val="001534F5"/>
    <w:rsid w:val="001575FF"/>
    <w:rsid w:val="00160C7C"/>
    <w:rsid w:val="00170EB6"/>
    <w:rsid w:val="001759D2"/>
    <w:rsid w:val="00176B3E"/>
    <w:rsid w:val="0018298D"/>
    <w:rsid w:val="001912DB"/>
    <w:rsid w:val="00192574"/>
    <w:rsid w:val="00197122"/>
    <w:rsid w:val="001A1A8F"/>
    <w:rsid w:val="001A1AB8"/>
    <w:rsid w:val="001A2987"/>
    <w:rsid w:val="001A42FD"/>
    <w:rsid w:val="001A6EB0"/>
    <w:rsid w:val="001A6FBD"/>
    <w:rsid w:val="001B1300"/>
    <w:rsid w:val="001B27B9"/>
    <w:rsid w:val="001B2D16"/>
    <w:rsid w:val="001B3003"/>
    <w:rsid w:val="001B48E7"/>
    <w:rsid w:val="001B58F5"/>
    <w:rsid w:val="001B6745"/>
    <w:rsid w:val="001C2B6F"/>
    <w:rsid w:val="001C3DC0"/>
    <w:rsid w:val="001C49CB"/>
    <w:rsid w:val="001C5872"/>
    <w:rsid w:val="001C7EBF"/>
    <w:rsid w:val="001D17E8"/>
    <w:rsid w:val="001D274A"/>
    <w:rsid w:val="001D53F3"/>
    <w:rsid w:val="001D622B"/>
    <w:rsid w:val="001E0F26"/>
    <w:rsid w:val="001E0FF2"/>
    <w:rsid w:val="001F2996"/>
    <w:rsid w:val="001F2EFC"/>
    <w:rsid w:val="001F6FB0"/>
    <w:rsid w:val="00202788"/>
    <w:rsid w:val="002054FC"/>
    <w:rsid w:val="0021082B"/>
    <w:rsid w:val="00212F29"/>
    <w:rsid w:val="00215E89"/>
    <w:rsid w:val="00215F04"/>
    <w:rsid w:val="00216B08"/>
    <w:rsid w:val="00221954"/>
    <w:rsid w:val="0022631D"/>
    <w:rsid w:val="0023178B"/>
    <w:rsid w:val="00232AAA"/>
    <w:rsid w:val="00233C0E"/>
    <w:rsid w:val="00234500"/>
    <w:rsid w:val="00244EF3"/>
    <w:rsid w:val="002476A8"/>
    <w:rsid w:val="00252C0B"/>
    <w:rsid w:val="00255662"/>
    <w:rsid w:val="00255D19"/>
    <w:rsid w:val="00260326"/>
    <w:rsid w:val="002603E9"/>
    <w:rsid w:val="00261FC5"/>
    <w:rsid w:val="00262D72"/>
    <w:rsid w:val="0026327C"/>
    <w:rsid w:val="0026340F"/>
    <w:rsid w:val="00264D1A"/>
    <w:rsid w:val="00266635"/>
    <w:rsid w:val="00270442"/>
    <w:rsid w:val="00272912"/>
    <w:rsid w:val="00273E57"/>
    <w:rsid w:val="00274B56"/>
    <w:rsid w:val="0027545E"/>
    <w:rsid w:val="00276E19"/>
    <w:rsid w:val="002811D8"/>
    <w:rsid w:val="002836FE"/>
    <w:rsid w:val="0028490E"/>
    <w:rsid w:val="00290B59"/>
    <w:rsid w:val="00290D71"/>
    <w:rsid w:val="00291D3C"/>
    <w:rsid w:val="00292559"/>
    <w:rsid w:val="002945C8"/>
    <w:rsid w:val="00294799"/>
    <w:rsid w:val="002A4E84"/>
    <w:rsid w:val="002A62C7"/>
    <w:rsid w:val="002B2BAB"/>
    <w:rsid w:val="002B4E23"/>
    <w:rsid w:val="002C0282"/>
    <w:rsid w:val="002D402C"/>
    <w:rsid w:val="002D462E"/>
    <w:rsid w:val="002D4B9E"/>
    <w:rsid w:val="002D5B66"/>
    <w:rsid w:val="002D5C14"/>
    <w:rsid w:val="002D6588"/>
    <w:rsid w:val="002E2ED6"/>
    <w:rsid w:val="002E49AA"/>
    <w:rsid w:val="002E69FF"/>
    <w:rsid w:val="0030099E"/>
    <w:rsid w:val="00300CEE"/>
    <w:rsid w:val="00301EF7"/>
    <w:rsid w:val="00303670"/>
    <w:rsid w:val="003053A6"/>
    <w:rsid w:val="003069EE"/>
    <w:rsid w:val="00312D2D"/>
    <w:rsid w:val="00315AB7"/>
    <w:rsid w:val="003237BE"/>
    <w:rsid w:val="00325AF7"/>
    <w:rsid w:val="003260E9"/>
    <w:rsid w:val="00327B08"/>
    <w:rsid w:val="00330B67"/>
    <w:rsid w:val="00333492"/>
    <w:rsid w:val="00333748"/>
    <w:rsid w:val="00344262"/>
    <w:rsid w:val="0034746E"/>
    <w:rsid w:val="003516A9"/>
    <w:rsid w:val="00367144"/>
    <w:rsid w:val="00367667"/>
    <w:rsid w:val="00367EE3"/>
    <w:rsid w:val="0037089C"/>
    <w:rsid w:val="00371F45"/>
    <w:rsid w:val="003727F8"/>
    <w:rsid w:val="003736CE"/>
    <w:rsid w:val="00374564"/>
    <w:rsid w:val="00375AEA"/>
    <w:rsid w:val="0038334F"/>
    <w:rsid w:val="00385839"/>
    <w:rsid w:val="003922A1"/>
    <w:rsid w:val="00395868"/>
    <w:rsid w:val="00396031"/>
    <w:rsid w:val="003A2697"/>
    <w:rsid w:val="003A484B"/>
    <w:rsid w:val="003A4CBC"/>
    <w:rsid w:val="003A6213"/>
    <w:rsid w:val="003A7929"/>
    <w:rsid w:val="003A7FE2"/>
    <w:rsid w:val="003B2BDF"/>
    <w:rsid w:val="003B4C27"/>
    <w:rsid w:val="003B4F35"/>
    <w:rsid w:val="003B7CDD"/>
    <w:rsid w:val="003C025A"/>
    <w:rsid w:val="003C04AF"/>
    <w:rsid w:val="003C3271"/>
    <w:rsid w:val="003C69B0"/>
    <w:rsid w:val="003D74CE"/>
    <w:rsid w:val="003E0AE3"/>
    <w:rsid w:val="003E2725"/>
    <w:rsid w:val="003E2EAC"/>
    <w:rsid w:val="003E2FAF"/>
    <w:rsid w:val="004057C8"/>
    <w:rsid w:val="00415D21"/>
    <w:rsid w:val="00416A4B"/>
    <w:rsid w:val="00433358"/>
    <w:rsid w:val="00434F61"/>
    <w:rsid w:val="00436B5E"/>
    <w:rsid w:val="0044137C"/>
    <w:rsid w:val="00442F4B"/>
    <w:rsid w:val="00450789"/>
    <w:rsid w:val="004563E3"/>
    <w:rsid w:val="0045676A"/>
    <w:rsid w:val="0045705C"/>
    <w:rsid w:val="004575C6"/>
    <w:rsid w:val="00471A22"/>
    <w:rsid w:val="00480ECD"/>
    <w:rsid w:val="00481F8C"/>
    <w:rsid w:val="00483FFA"/>
    <w:rsid w:val="00484B19"/>
    <w:rsid w:val="0048529F"/>
    <w:rsid w:val="004858E0"/>
    <w:rsid w:val="00486C75"/>
    <w:rsid w:val="00487017"/>
    <w:rsid w:val="00490F36"/>
    <w:rsid w:val="00492F5E"/>
    <w:rsid w:val="00496526"/>
    <w:rsid w:val="004A0129"/>
    <w:rsid w:val="004A4DD8"/>
    <w:rsid w:val="004A4DFA"/>
    <w:rsid w:val="004A6074"/>
    <w:rsid w:val="004B1A07"/>
    <w:rsid w:val="004B1A0B"/>
    <w:rsid w:val="004B45D0"/>
    <w:rsid w:val="004B4859"/>
    <w:rsid w:val="004B4939"/>
    <w:rsid w:val="004B51C8"/>
    <w:rsid w:val="004B7561"/>
    <w:rsid w:val="004B75B7"/>
    <w:rsid w:val="004C1461"/>
    <w:rsid w:val="004D2944"/>
    <w:rsid w:val="004D345F"/>
    <w:rsid w:val="004D5520"/>
    <w:rsid w:val="004D6BD2"/>
    <w:rsid w:val="004E31CB"/>
    <w:rsid w:val="004E37EC"/>
    <w:rsid w:val="004E4047"/>
    <w:rsid w:val="004E4194"/>
    <w:rsid w:val="004F1696"/>
    <w:rsid w:val="004F4C85"/>
    <w:rsid w:val="004F5425"/>
    <w:rsid w:val="004F73F6"/>
    <w:rsid w:val="0050102F"/>
    <w:rsid w:val="00502A30"/>
    <w:rsid w:val="00503C47"/>
    <w:rsid w:val="00503F11"/>
    <w:rsid w:val="00504415"/>
    <w:rsid w:val="00504D47"/>
    <w:rsid w:val="005251A9"/>
    <w:rsid w:val="0053240D"/>
    <w:rsid w:val="005340D0"/>
    <w:rsid w:val="005341AC"/>
    <w:rsid w:val="005352E4"/>
    <w:rsid w:val="00535AC0"/>
    <w:rsid w:val="00540434"/>
    <w:rsid w:val="00540530"/>
    <w:rsid w:val="00541D39"/>
    <w:rsid w:val="00543A31"/>
    <w:rsid w:val="00557737"/>
    <w:rsid w:val="00557A3B"/>
    <w:rsid w:val="00561650"/>
    <w:rsid w:val="00564C96"/>
    <w:rsid w:val="00566488"/>
    <w:rsid w:val="005669BE"/>
    <w:rsid w:val="00570C51"/>
    <w:rsid w:val="00571C64"/>
    <w:rsid w:val="00571F6E"/>
    <w:rsid w:val="00575828"/>
    <w:rsid w:val="00577D54"/>
    <w:rsid w:val="00584CBD"/>
    <w:rsid w:val="00584ECC"/>
    <w:rsid w:val="00586AA5"/>
    <w:rsid w:val="00587AF6"/>
    <w:rsid w:val="005928D2"/>
    <w:rsid w:val="00592C39"/>
    <w:rsid w:val="00592D80"/>
    <w:rsid w:val="00593535"/>
    <w:rsid w:val="005A40BA"/>
    <w:rsid w:val="005A6986"/>
    <w:rsid w:val="005B7A11"/>
    <w:rsid w:val="005C2BC8"/>
    <w:rsid w:val="005C6EC2"/>
    <w:rsid w:val="005C77F5"/>
    <w:rsid w:val="005D026A"/>
    <w:rsid w:val="005D0451"/>
    <w:rsid w:val="005D2C9C"/>
    <w:rsid w:val="005D49A8"/>
    <w:rsid w:val="005D4EB4"/>
    <w:rsid w:val="005E1ADE"/>
    <w:rsid w:val="005E40E9"/>
    <w:rsid w:val="005E754F"/>
    <w:rsid w:val="005F1E2F"/>
    <w:rsid w:val="005F38E3"/>
    <w:rsid w:val="005F6F5D"/>
    <w:rsid w:val="00601D77"/>
    <w:rsid w:val="00602D83"/>
    <w:rsid w:val="00602DF7"/>
    <w:rsid w:val="006035E9"/>
    <w:rsid w:val="0060672D"/>
    <w:rsid w:val="006076CA"/>
    <w:rsid w:val="00610418"/>
    <w:rsid w:val="006106F7"/>
    <w:rsid w:val="00614911"/>
    <w:rsid w:val="00614B0E"/>
    <w:rsid w:val="00620654"/>
    <w:rsid w:val="0062613C"/>
    <w:rsid w:val="006279ED"/>
    <w:rsid w:val="00630CD1"/>
    <w:rsid w:val="00631D39"/>
    <w:rsid w:val="006330C6"/>
    <w:rsid w:val="00633ACC"/>
    <w:rsid w:val="00635618"/>
    <w:rsid w:val="00640665"/>
    <w:rsid w:val="00652B00"/>
    <w:rsid w:val="00653F88"/>
    <w:rsid w:val="00654D87"/>
    <w:rsid w:val="0065579A"/>
    <w:rsid w:val="00655907"/>
    <w:rsid w:val="00662EF5"/>
    <w:rsid w:val="00666AAB"/>
    <w:rsid w:val="0066753A"/>
    <w:rsid w:val="0066787A"/>
    <w:rsid w:val="00670542"/>
    <w:rsid w:val="006745FF"/>
    <w:rsid w:val="00683100"/>
    <w:rsid w:val="00685152"/>
    <w:rsid w:val="0068752C"/>
    <w:rsid w:val="00691D0A"/>
    <w:rsid w:val="0069370D"/>
    <w:rsid w:val="00695682"/>
    <w:rsid w:val="00695E13"/>
    <w:rsid w:val="006A106E"/>
    <w:rsid w:val="006A4A08"/>
    <w:rsid w:val="006A7503"/>
    <w:rsid w:val="006B267A"/>
    <w:rsid w:val="006C23DB"/>
    <w:rsid w:val="006C273F"/>
    <w:rsid w:val="006C3249"/>
    <w:rsid w:val="006C7A39"/>
    <w:rsid w:val="006D1D6C"/>
    <w:rsid w:val="006D6012"/>
    <w:rsid w:val="006D6758"/>
    <w:rsid w:val="006E32FC"/>
    <w:rsid w:val="006E6C65"/>
    <w:rsid w:val="006F186C"/>
    <w:rsid w:val="006F2600"/>
    <w:rsid w:val="006F2714"/>
    <w:rsid w:val="006F505C"/>
    <w:rsid w:val="006F6334"/>
    <w:rsid w:val="007102BE"/>
    <w:rsid w:val="00717861"/>
    <w:rsid w:val="00720F3A"/>
    <w:rsid w:val="0072606A"/>
    <w:rsid w:val="00736F66"/>
    <w:rsid w:val="00740504"/>
    <w:rsid w:val="00745061"/>
    <w:rsid w:val="007500D3"/>
    <w:rsid w:val="00753191"/>
    <w:rsid w:val="00753F11"/>
    <w:rsid w:val="007546AE"/>
    <w:rsid w:val="007546C9"/>
    <w:rsid w:val="007576C6"/>
    <w:rsid w:val="00761959"/>
    <w:rsid w:val="00762877"/>
    <w:rsid w:val="00763931"/>
    <w:rsid w:val="00767D2A"/>
    <w:rsid w:val="00767F96"/>
    <w:rsid w:val="0078345A"/>
    <w:rsid w:val="007864AB"/>
    <w:rsid w:val="007910F0"/>
    <w:rsid w:val="00791571"/>
    <w:rsid w:val="0079350D"/>
    <w:rsid w:val="00795D47"/>
    <w:rsid w:val="007A259D"/>
    <w:rsid w:val="007A58F9"/>
    <w:rsid w:val="007A6C9F"/>
    <w:rsid w:val="007A72EC"/>
    <w:rsid w:val="007B6462"/>
    <w:rsid w:val="007B6E51"/>
    <w:rsid w:val="007C2326"/>
    <w:rsid w:val="007C28E3"/>
    <w:rsid w:val="007C645A"/>
    <w:rsid w:val="007D1608"/>
    <w:rsid w:val="007D2C50"/>
    <w:rsid w:val="007D2C6A"/>
    <w:rsid w:val="007D3A5C"/>
    <w:rsid w:val="007D4BF1"/>
    <w:rsid w:val="007D4C43"/>
    <w:rsid w:val="007D6B13"/>
    <w:rsid w:val="007E0ECB"/>
    <w:rsid w:val="007E3C27"/>
    <w:rsid w:val="007E4C7C"/>
    <w:rsid w:val="007F1A54"/>
    <w:rsid w:val="007F218C"/>
    <w:rsid w:val="008006D0"/>
    <w:rsid w:val="00801004"/>
    <w:rsid w:val="00807D37"/>
    <w:rsid w:val="008113FA"/>
    <w:rsid w:val="0081201E"/>
    <w:rsid w:val="00814EF4"/>
    <w:rsid w:val="0081554D"/>
    <w:rsid w:val="0081688B"/>
    <w:rsid w:val="00820392"/>
    <w:rsid w:val="008203FB"/>
    <w:rsid w:val="00820BA5"/>
    <w:rsid w:val="00825F5E"/>
    <w:rsid w:val="00826C41"/>
    <w:rsid w:val="008274C2"/>
    <w:rsid w:val="00830D4A"/>
    <w:rsid w:val="00831310"/>
    <w:rsid w:val="008332CA"/>
    <w:rsid w:val="00835064"/>
    <w:rsid w:val="0083647A"/>
    <w:rsid w:val="008368CA"/>
    <w:rsid w:val="00837784"/>
    <w:rsid w:val="00843F48"/>
    <w:rsid w:val="0084641A"/>
    <w:rsid w:val="00847D79"/>
    <w:rsid w:val="0085286D"/>
    <w:rsid w:val="008627CC"/>
    <w:rsid w:val="00866B27"/>
    <w:rsid w:val="00872DCA"/>
    <w:rsid w:val="00873CCD"/>
    <w:rsid w:val="0087457C"/>
    <w:rsid w:val="00876E08"/>
    <w:rsid w:val="008806DE"/>
    <w:rsid w:val="00884541"/>
    <w:rsid w:val="00887563"/>
    <w:rsid w:val="008942FE"/>
    <w:rsid w:val="008C33F2"/>
    <w:rsid w:val="008C59ED"/>
    <w:rsid w:val="008C6AEB"/>
    <w:rsid w:val="008C77A9"/>
    <w:rsid w:val="008D1491"/>
    <w:rsid w:val="008D6D1A"/>
    <w:rsid w:val="008D6FF5"/>
    <w:rsid w:val="008E6B1D"/>
    <w:rsid w:val="008E6F9D"/>
    <w:rsid w:val="008F2ACC"/>
    <w:rsid w:val="008F6694"/>
    <w:rsid w:val="00904DCE"/>
    <w:rsid w:val="00905FBB"/>
    <w:rsid w:val="009070A6"/>
    <w:rsid w:val="00907B1B"/>
    <w:rsid w:val="0091000D"/>
    <w:rsid w:val="00910DE0"/>
    <w:rsid w:val="00912CC8"/>
    <w:rsid w:val="0091496E"/>
    <w:rsid w:val="009217CF"/>
    <w:rsid w:val="00923F5D"/>
    <w:rsid w:val="009247D3"/>
    <w:rsid w:val="0093067B"/>
    <w:rsid w:val="00930DE7"/>
    <w:rsid w:val="009323F1"/>
    <w:rsid w:val="00933195"/>
    <w:rsid w:val="00933FD7"/>
    <w:rsid w:val="00936B09"/>
    <w:rsid w:val="00937CEB"/>
    <w:rsid w:val="00941CE1"/>
    <w:rsid w:val="0094349E"/>
    <w:rsid w:val="009470AC"/>
    <w:rsid w:val="00951B63"/>
    <w:rsid w:val="00954872"/>
    <w:rsid w:val="00954CF1"/>
    <w:rsid w:val="0096211B"/>
    <w:rsid w:val="00962201"/>
    <w:rsid w:val="00966563"/>
    <w:rsid w:val="0096714D"/>
    <w:rsid w:val="00967E71"/>
    <w:rsid w:val="009715E2"/>
    <w:rsid w:val="00971BA5"/>
    <w:rsid w:val="00971C9D"/>
    <w:rsid w:val="00972080"/>
    <w:rsid w:val="00972F68"/>
    <w:rsid w:val="00975091"/>
    <w:rsid w:val="009777E1"/>
    <w:rsid w:val="00977F6D"/>
    <w:rsid w:val="00981A95"/>
    <w:rsid w:val="009822BE"/>
    <w:rsid w:val="00982379"/>
    <w:rsid w:val="009833FD"/>
    <w:rsid w:val="00983E39"/>
    <w:rsid w:val="00985C4D"/>
    <w:rsid w:val="00992B8D"/>
    <w:rsid w:val="00996E91"/>
    <w:rsid w:val="009A25BC"/>
    <w:rsid w:val="009A4537"/>
    <w:rsid w:val="009B7789"/>
    <w:rsid w:val="009B7C08"/>
    <w:rsid w:val="009B7C4C"/>
    <w:rsid w:val="009C0F77"/>
    <w:rsid w:val="009C30D4"/>
    <w:rsid w:val="009C57FB"/>
    <w:rsid w:val="009D118F"/>
    <w:rsid w:val="009D3B78"/>
    <w:rsid w:val="009E149F"/>
    <w:rsid w:val="009E6074"/>
    <w:rsid w:val="009E6E89"/>
    <w:rsid w:val="009F306A"/>
    <w:rsid w:val="009F4361"/>
    <w:rsid w:val="009F5599"/>
    <w:rsid w:val="009F7D2C"/>
    <w:rsid w:val="00A0321D"/>
    <w:rsid w:val="00A0399A"/>
    <w:rsid w:val="00A04734"/>
    <w:rsid w:val="00A048C0"/>
    <w:rsid w:val="00A07B5E"/>
    <w:rsid w:val="00A15761"/>
    <w:rsid w:val="00A179D9"/>
    <w:rsid w:val="00A2204D"/>
    <w:rsid w:val="00A275A4"/>
    <w:rsid w:val="00A30010"/>
    <w:rsid w:val="00A34C76"/>
    <w:rsid w:val="00A35BB5"/>
    <w:rsid w:val="00A439FA"/>
    <w:rsid w:val="00A44819"/>
    <w:rsid w:val="00A52E22"/>
    <w:rsid w:val="00A53CDF"/>
    <w:rsid w:val="00A5758D"/>
    <w:rsid w:val="00A6072B"/>
    <w:rsid w:val="00A63C99"/>
    <w:rsid w:val="00A64D82"/>
    <w:rsid w:val="00A65656"/>
    <w:rsid w:val="00A67518"/>
    <w:rsid w:val="00A7030F"/>
    <w:rsid w:val="00A70D18"/>
    <w:rsid w:val="00A84B41"/>
    <w:rsid w:val="00A8560C"/>
    <w:rsid w:val="00A863CD"/>
    <w:rsid w:val="00A87030"/>
    <w:rsid w:val="00A87D0F"/>
    <w:rsid w:val="00A90172"/>
    <w:rsid w:val="00A95567"/>
    <w:rsid w:val="00A957B7"/>
    <w:rsid w:val="00AA228F"/>
    <w:rsid w:val="00AA7FE1"/>
    <w:rsid w:val="00AB01A1"/>
    <w:rsid w:val="00AB71E0"/>
    <w:rsid w:val="00AC07CF"/>
    <w:rsid w:val="00AC32A1"/>
    <w:rsid w:val="00AC493E"/>
    <w:rsid w:val="00AC5DB9"/>
    <w:rsid w:val="00AC6490"/>
    <w:rsid w:val="00AD3ABE"/>
    <w:rsid w:val="00AD7105"/>
    <w:rsid w:val="00AE1768"/>
    <w:rsid w:val="00AE1C1F"/>
    <w:rsid w:val="00AE3F8B"/>
    <w:rsid w:val="00AE749D"/>
    <w:rsid w:val="00AE7A86"/>
    <w:rsid w:val="00AF0AA6"/>
    <w:rsid w:val="00AF1049"/>
    <w:rsid w:val="00AF78D3"/>
    <w:rsid w:val="00AF7DA5"/>
    <w:rsid w:val="00B02801"/>
    <w:rsid w:val="00B03A23"/>
    <w:rsid w:val="00B0519A"/>
    <w:rsid w:val="00B144E5"/>
    <w:rsid w:val="00B177F8"/>
    <w:rsid w:val="00B234EE"/>
    <w:rsid w:val="00B249A6"/>
    <w:rsid w:val="00B24F59"/>
    <w:rsid w:val="00B261E0"/>
    <w:rsid w:val="00B36063"/>
    <w:rsid w:val="00B404A4"/>
    <w:rsid w:val="00B43EF7"/>
    <w:rsid w:val="00B45DA8"/>
    <w:rsid w:val="00B502A3"/>
    <w:rsid w:val="00B51ACB"/>
    <w:rsid w:val="00B5320C"/>
    <w:rsid w:val="00B6183A"/>
    <w:rsid w:val="00B65A3B"/>
    <w:rsid w:val="00B7202B"/>
    <w:rsid w:val="00B73FEA"/>
    <w:rsid w:val="00B76D3C"/>
    <w:rsid w:val="00B826D7"/>
    <w:rsid w:val="00B87E06"/>
    <w:rsid w:val="00B90893"/>
    <w:rsid w:val="00B945AD"/>
    <w:rsid w:val="00B94F2A"/>
    <w:rsid w:val="00B94F57"/>
    <w:rsid w:val="00B952BF"/>
    <w:rsid w:val="00B96AE0"/>
    <w:rsid w:val="00BA484B"/>
    <w:rsid w:val="00BA7DD8"/>
    <w:rsid w:val="00BB1A6F"/>
    <w:rsid w:val="00BB1B93"/>
    <w:rsid w:val="00BB79D6"/>
    <w:rsid w:val="00BD136D"/>
    <w:rsid w:val="00BD18FE"/>
    <w:rsid w:val="00BD4917"/>
    <w:rsid w:val="00BD4BF3"/>
    <w:rsid w:val="00BD5090"/>
    <w:rsid w:val="00BD662B"/>
    <w:rsid w:val="00BE2EE4"/>
    <w:rsid w:val="00BF0722"/>
    <w:rsid w:val="00BF67FA"/>
    <w:rsid w:val="00C002D1"/>
    <w:rsid w:val="00C04501"/>
    <w:rsid w:val="00C057BF"/>
    <w:rsid w:val="00C110B5"/>
    <w:rsid w:val="00C15067"/>
    <w:rsid w:val="00C172F6"/>
    <w:rsid w:val="00C23CAC"/>
    <w:rsid w:val="00C53A13"/>
    <w:rsid w:val="00C57FAA"/>
    <w:rsid w:val="00C60BC9"/>
    <w:rsid w:val="00C70809"/>
    <w:rsid w:val="00C70C49"/>
    <w:rsid w:val="00C773D7"/>
    <w:rsid w:val="00C80A0C"/>
    <w:rsid w:val="00C81D94"/>
    <w:rsid w:val="00C83A29"/>
    <w:rsid w:val="00C86763"/>
    <w:rsid w:val="00C904CD"/>
    <w:rsid w:val="00C9273C"/>
    <w:rsid w:val="00C92E2B"/>
    <w:rsid w:val="00C92F26"/>
    <w:rsid w:val="00CA1DD8"/>
    <w:rsid w:val="00CA2EB1"/>
    <w:rsid w:val="00CA352C"/>
    <w:rsid w:val="00CA669D"/>
    <w:rsid w:val="00CA6D6A"/>
    <w:rsid w:val="00CB000A"/>
    <w:rsid w:val="00CB062C"/>
    <w:rsid w:val="00CB603A"/>
    <w:rsid w:val="00CC3B2F"/>
    <w:rsid w:val="00CD1975"/>
    <w:rsid w:val="00CE2FEA"/>
    <w:rsid w:val="00CE38A3"/>
    <w:rsid w:val="00CF6B3C"/>
    <w:rsid w:val="00D1007B"/>
    <w:rsid w:val="00D12249"/>
    <w:rsid w:val="00D14B14"/>
    <w:rsid w:val="00D1508C"/>
    <w:rsid w:val="00D158BC"/>
    <w:rsid w:val="00D16A5D"/>
    <w:rsid w:val="00D17EFD"/>
    <w:rsid w:val="00D201BF"/>
    <w:rsid w:val="00D203BF"/>
    <w:rsid w:val="00D2050B"/>
    <w:rsid w:val="00D23A97"/>
    <w:rsid w:val="00D256B7"/>
    <w:rsid w:val="00D25FC7"/>
    <w:rsid w:val="00D26F59"/>
    <w:rsid w:val="00D27C35"/>
    <w:rsid w:val="00D30E16"/>
    <w:rsid w:val="00D34DF6"/>
    <w:rsid w:val="00D35569"/>
    <w:rsid w:val="00D37ECE"/>
    <w:rsid w:val="00D4455A"/>
    <w:rsid w:val="00D44679"/>
    <w:rsid w:val="00D4582D"/>
    <w:rsid w:val="00D541B8"/>
    <w:rsid w:val="00D56B93"/>
    <w:rsid w:val="00D6471D"/>
    <w:rsid w:val="00D752FF"/>
    <w:rsid w:val="00D76A95"/>
    <w:rsid w:val="00D81B0F"/>
    <w:rsid w:val="00D85366"/>
    <w:rsid w:val="00D9073E"/>
    <w:rsid w:val="00D91E77"/>
    <w:rsid w:val="00D93BC3"/>
    <w:rsid w:val="00DA06FE"/>
    <w:rsid w:val="00DA1392"/>
    <w:rsid w:val="00DA3F8A"/>
    <w:rsid w:val="00DA44EB"/>
    <w:rsid w:val="00DA5E41"/>
    <w:rsid w:val="00DB14C9"/>
    <w:rsid w:val="00DC1888"/>
    <w:rsid w:val="00DD2BFC"/>
    <w:rsid w:val="00DD34C2"/>
    <w:rsid w:val="00DD43B9"/>
    <w:rsid w:val="00DE3956"/>
    <w:rsid w:val="00DE7D12"/>
    <w:rsid w:val="00DF1056"/>
    <w:rsid w:val="00DF3FAC"/>
    <w:rsid w:val="00DF4904"/>
    <w:rsid w:val="00DF662C"/>
    <w:rsid w:val="00E00A37"/>
    <w:rsid w:val="00E04BA4"/>
    <w:rsid w:val="00E069AC"/>
    <w:rsid w:val="00E116B4"/>
    <w:rsid w:val="00E11CD2"/>
    <w:rsid w:val="00E131B4"/>
    <w:rsid w:val="00E14F94"/>
    <w:rsid w:val="00E161A7"/>
    <w:rsid w:val="00E23241"/>
    <w:rsid w:val="00E2663F"/>
    <w:rsid w:val="00E2775F"/>
    <w:rsid w:val="00E30692"/>
    <w:rsid w:val="00E33621"/>
    <w:rsid w:val="00E36AAB"/>
    <w:rsid w:val="00E439FB"/>
    <w:rsid w:val="00E43DEA"/>
    <w:rsid w:val="00E46095"/>
    <w:rsid w:val="00E466C7"/>
    <w:rsid w:val="00E54229"/>
    <w:rsid w:val="00E556F7"/>
    <w:rsid w:val="00E5676D"/>
    <w:rsid w:val="00E60FA6"/>
    <w:rsid w:val="00E62D9D"/>
    <w:rsid w:val="00E70885"/>
    <w:rsid w:val="00E733CD"/>
    <w:rsid w:val="00E74BD5"/>
    <w:rsid w:val="00E805A1"/>
    <w:rsid w:val="00E815C8"/>
    <w:rsid w:val="00E82D62"/>
    <w:rsid w:val="00E8320F"/>
    <w:rsid w:val="00E844EA"/>
    <w:rsid w:val="00E86630"/>
    <w:rsid w:val="00E95B7C"/>
    <w:rsid w:val="00E9782A"/>
    <w:rsid w:val="00E978D4"/>
    <w:rsid w:val="00E97B6E"/>
    <w:rsid w:val="00EA13F5"/>
    <w:rsid w:val="00EA34EF"/>
    <w:rsid w:val="00EA75AE"/>
    <w:rsid w:val="00EB0AA6"/>
    <w:rsid w:val="00EB247F"/>
    <w:rsid w:val="00EC2E5F"/>
    <w:rsid w:val="00EC57B8"/>
    <w:rsid w:val="00EC69E8"/>
    <w:rsid w:val="00EC78A1"/>
    <w:rsid w:val="00ED7489"/>
    <w:rsid w:val="00EE0272"/>
    <w:rsid w:val="00EE274A"/>
    <w:rsid w:val="00EF21F4"/>
    <w:rsid w:val="00EF2247"/>
    <w:rsid w:val="00F05491"/>
    <w:rsid w:val="00F0595F"/>
    <w:rsid w:val="00F0598F"/>
    <w:rsid w:val="00F061D2"/>
    <w:rsid w:val="00F06F88"/>
    <w:rsid w:val="00F1580D"/>
    <w:rsid w:val="00F15AEE"/>
    <w:rsid w:val="00F2636B"/>
    <w:rsid w:val="00F31D36"/>
    <w:rsid w:val="00F33BB5"/>
    <w:rsid w:val="00F346F2"/>
    <w:rsid w:val="00F3570C"/>
    <w:rsid w:val="00F36457"/>
    <w:rsid w:val="00F4459E"/>
    <w:rsid w:val="00F46737"/>
    <w:rsid w:val="00F52595"/>
    <w:rsid w:val="00F53092"/>
    <w:rsid w:val="00F530FC"/>
    <w:rsid w:val="00F5311F"/>
    <w:rsid w:val="00F61DCA"/>
    <w:rsid w:val="00F66D25"/>
    <w:rsid w:val="00F73235"/>
    <w:rsid w:val="00F74517"/>
    <w:rsid w:val="00F84DB6"/>
    <w:rsid w:val="00F85FFB"/>
    <w:rsid w:val="00F87278"/>
    <w:rsid w:val="00F90D56"/>
    <w:rsid w:val="00F93271"/>
    <w:rsid w:val="00F97F7C"/>
    <w:rsid w:val="00FA2194"/>
    <w:rsid w:val="00FA5114"/>
    <w:rsid w:val="00FA6897"/>
    <w:rsid w:val="00FA7C26"/>
    <w:rsid w:val="00FB1C28"/>
    <w:rsid w:val="00FB299D"/>
    <w:rsid w:val="00FB2DC0"/>
    <w:rsid w:val="00FB3AB3"/>
    <w:rsid w:val="00FB649C"/>
    <w:rsid w:val="00FC2C8B"/>
    <w:rsid w:val="00FD03F8"/>
    <w:rsid w:val="00FD1718"/>
    <w:rsid w:val="00FD2788"/>
    <w:rsid w:val="00FD37A6"/>
    <w:rsid w:val="00FD77AF"/>
    <w:rsid w:val="00FE53D4"/>
    <w:rsid w:val="00FF038A"/>
    <w:rsid w:val="00FF3A1A"/>
    <w:rsid w:val="00FF45B7"/>
    <w:rsid w:val="00FF47F5"/>
    <w:rsid w:val="00FF5986"/>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73B8090B-810B-4BD3-846C-33FDF2DDD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81554D"/>
    <w:pPr>
      <w:keepNext/>
      <w:keepLines/>
      <w:spacing w:before="360"/>
      <w:ind w:left="480" w:hanging="48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26"/>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unhideWhenUsed/>
    <w:qFormat/>
    <w:pPr>
      <w:keepNext/>
      <w:keepLines/>
      <w:numPr>
        <w:ilvl w:val="4"/>
        <w:numId w:val="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81554D"/>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styleId="Bibliography">
    <w:name w:val="Bibliography"/>
    <w:basedOn w:val="Normal"/>
    <w:next w:val="Normal"/>
    <w:uiPriority w:val="37"/>
    <w:unhideWhenUsed/>
    <w:rsid w:val="00933195"/>
    <w:pPr>
      <w:spacing w:after="0" w:line="240" w:lineRule="auto"/>
    </w:pPr>
  </w:style>
  <w:style w:type="table" w:styleId="ListTable6Colorful">
    <w:name w:val="List Table 6 Colorful"/>
    <w:basedOn w:val="TableNormal"/>
    <w:uiPriority w:val="51"/>
    <w:rsid w:val="00F97F7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103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59611">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82384789">
      <w:bodyDiv w:val="1"/>
      <w:marLeft w:val="0"/>
      <w:marRight w:val="0"/>
      <w:marTop w:val="0"/>
      <w:marBottom w:val="0"/>
      <w:divBdr>
        <w:top w:val="none" w:sz="0" w:space="0" w:color="auto"/>
        <w:left w:val="none" w:sz="0" w:space="0" w:color="auto"/>
        <w:bottom w:val="none" w:sz="0" w:space="0" w:color="auto"/>
        <w:right w:val="none" w:sz="0" w:space="0" w:color="auto"/>
      </w:divBdr>
    </w:div>
    <w:div w:id="95102697">
      <w:bodyDiv w:val="1"/>
      <w:marLeft w:val="0"/>
      <w:marRight w:val="0"/>
      <w:marTop w:val="0"/>
      <w:marBottom w:val="0"/>
      <w:divBdr>
        <w:top w:val="none" w:sz="0" w:space="0" w:color="auto"/>
        <w:left w:val="none" w:sz="0" w:space="0" w:color="auto"/>
        <w:bottom w:val="none" w:sz="0" w:space="0" w:color="auto"/>
        <w:right w:val="none" w:sz="0" w:space="0" w:color="auto"/>
      </w:divBdr>
    </w:div>
    <w:div w:id="101731848">
      <w:bodyDiv w:val="1"/>
      <w:marLeft w:val="0"/>
      <w:marRight w:val="0"/>
      <w:marTop w:val="0"/>
      <w:marBottom w:val="0"/>
      <w:divBdr>
        <w:top w:val="none" w:sz="0" w:space="0" w:color="auto"/>
        <w:left w:val="none" w:sz="0" w:space="0" w:color="auto"/>
        <w:bottom w:val="none" w:sz="0" w:space="0" w:color="auto"/>
        <w:right w:val="none" w:sz="0" w:space="0" w:color="auto"/>
      </w:divBdr>
      <w:divsChild>
        <w:div w:id="429817171">
          <w:marLeft w:val="0"/>
          <w:marRight w:val="0"/>
          <w:marTop w:val="0"/>
          <w:marBottom w:val="0"/>
          <w:divBdr>
            <w:top w:val="single" w:sz="6" w:space="2" w:color="AAAAAA"/>
            <w:left w:val="single" w:sz="6" w:space="2" w:color="AAAAAA"/>
            <w:bottom w:val="single" w:sz="6" w:space="2" w:color="AAAAAA"/>
            <w:right w:val="single" w:sz="6" w:space="2" w:color="AAAAAA"/>
          </w:divBdr>
          <w:divsChild>
            <w:div w:id="1189217831">
              <w:marLeft w:val="0"/>
              <w:marRight w:val="0"/>
              <w:marTop w:val="0"/>
              <w:marBottom w:val="0"/>
              <w:divBdr>
                <w:top w:val="none" w:sz="0" w:space="0" w:color="auto"/>
                <w:left w:val="none" w:sz="0" w:space="0" w:color="auto"/>
                <w:bottom w:val="none" w:sz="0" w:space="0" w:color="auto"/>
                <w:right w:val="none" w:sz="0" w:space="0" w:color="auto"/>
              </w:divBdr>
              <w:divsChild>
                <w:div w:id="725838494">
                  <w:marLeft w:val="0"/>
                  <w:marRight w:val="0"/>
                  <w:marTop w:val="0"/>
                  <w:marBottom w:val="0"/>
                  <w:divBdr>
                    <w:top w:val="none" w:sz="0" w:space="0" w:color="auto"/>
                    <w:left w:val="none" w:sz="0" w:space="0" w:color="auto"/>
                    <w:bottom w:val="none" w:sz="0" w:space="0" w:color="auto"/>
                    <w:right w:val="none" w:sz="0" w:space="0" w:color="auto"/>
                  </w:divBdr>
                  <w:divsChild>
                    <w:div w:id="1638485966">
                      <w:marLeft w:val="75"/>
                      <w:marRight w:val="75"/>
                      <w:marTop w:val="75"/>
                      <w:marBottom w:val="75"/>
                      <w:divBdr>
                        <w:top w:val="single" w:sz="6" w:space="2" w:color="D5D5D5"/>
                        <w:left w:val="single" w:sz="6" w:space="2" w:color="D5D5D5"/>
                        <w:bottom w:val="single" w:sz="6" w:space="2" w:color="D5D5D5"/>
                        <w:right w:val="single" w:sz="6" w:space="2" w:color="D5D5D5"/>
                      </w:divBdr>
                      <w:divsChild>
                        <w:div w:id="1644845825">
                          <w:marLeft w:val="0"/>
                          <w:marRight w:val="0"/>
                          <w:marTop w:val="0"/>
                          <w:marBottom w:val="0"/>
                          <w:divBdr>
                            <w:top w:val="none" w:sz="0" w:space="0" w:color="auto"/>
                            <w:left w:val="none" w:sz="0" w:space="0" w:color="auto"/>
                            <w:bottom w:val="none" w:sz="0" w:space="0" w:color="auto"/>
                            <w:right w:val="none" w:sz="0" w:space="0" w:color="auto"/>
                          </w:divBdr>
                          <w:divsChild>
                            <w:div w:id="97067544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55880">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42089926">
      <w:bodyDiv w:val="1"/>
      <w:marLeft w:val="0"/>
      <w:marRight w:val="0"/>
      <w:marTop w:val="0"/>
      <w:marBottom w:val="0"/>
      <w:divBdr>
        <w:top w:val="none" w:sz="0" w:space="0" w:color="auto"/>
        <w:left w:val="none" w:sz="0" w:space="0" w:color="auto"/>
        <w:bottom w:val="none" w:sz="0" w:space="0" w:color="auto"/>
        <w:right w:val="none" w:sz="0" w:space="0" w:color="auto"/>
      </w:divBdr>
      <w:divsChild>
        <w:div w:id="1516337331">
          <w:marLeft w:val="480"/>
          <w:marRight w:val="0"/>
          <w:marTop w:val="0"/>
          <w:marBottom w:val="0"/>
          <w:divBdr>
            <w:top w:val="none" w:sz="0" w:space="0" w:color="auto"/>
            <w:left w:val="none" w:sz="0" w:space="0" w:color="auto"/>
            <w:bottom w:val="none" w:sz="0" w:space="0" w:color="auto"/>
            <w:right w:val="none" w:sz="0" w:space="0" w:color="auto"/>
          </w:divBdr>
          <w:divsChild>
            <w:div w:id="21065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4129">
      <w:bodyDiv w:val="1"/>
      <w:marLeft w:val="0"/>
      <w:marRight w:val="0"/>
      <w:marTop w:val="0"/>
      <w:marBottom w:val="0"/>
      <w:divBdr>
        <w:top w:val="none" w:sz="0" w:space="0" w:color="auto"/>
        <w:left w:val="none" w:sz="0" w:space="0" w:color="auto"/>
        <w:bottom w:val="none" w:sz="0" w:space="0" w:color="auto"/>
        <w:right w:val="none" w:sz="0" w:space="0" w:color="auto"/>
      </w:divBdr>
      <w:divsChild>
        <w:div w:id="1638998208">
          <w:marLeft w:val="0"/>
          <w:marRight w:val="0"/>
          <w:marTop w:val="0"/>
          <w:marBottom w:val="0"/>
          <w:divBdr>
            <w:top w:val="single" w:sz="6" w:space="2" w:color="AAAAAA"/>
            <w:left w:val="single" w:sz="6" w:space="2" w:color="AAAAAA"/>
            <w:bottom w:val="single" w:sz="6" w:space="2" w:color="AAAAAA"/>
            <w:right w:val="single" w:sz="6" w:space="2" w:color="AAAAAA"/>
          </w:divBdr>
          <w:divsChild>
            <w:div w:id="112478743">
              <w:marLeft w:val="0"/>
              <w:marRight w:val="0"/>
              <w:marTop w:val="0"/>
              <w:marBottom w:val="0"/>
              <w:divBdr>
                <w:top w:val="none" w:sz="0" w:space="0" w:color="auto"/>
                <w:left w:val="none" w:sz="0" w:space="0" w:color="auto"/>
                <w:bottom w:val="none" w:sz="0" w:space="0" w:color="auto"/>
                <w:right w:val="none" w:sz="0" w:space="0" w:color="auto"/>
              </w:divBdr>
              <w:divsChild>
                <w:div w:id="1515455432">
                  <w:marLeft w:val="0"/>
                  <w:marRight w:val="0"/>
                  <w:marTop w:val="0"/>
                  <w:marBottom w:val="0"/>
                  <w:divBdr>
                    <w:top w:val="none" w:sz="0" w:space="0" w:color="auto"/>
                    <w:left w:val="none" w:sz="0" w:space="0" w:color="auto"/>
                    <w:bottom w:val="none" w:sz="0" w:space="0" w:color="auto"/>
                    <w:right w:val="none" w:sz="0" w:space="0" w:color="auto"/>
                  </w:divBdr>
                  <w:divsChild>
                    <w:div w:id="1256667055">
                      <w:marLeft w:val="75"/>
                      <w:marRight w:val="75"/>
                      <w:marTop w:val="75"/>
                      <w:marBottom w:val="75"/>
                      <w:divBdr>
                        <w:top w:val="single" w:sz="6" w:space="2" w:color="D5D5D5"/>
                        <w:left w:val="single" w:sz="6" w:space="2" w:color="D5D5D5"/>
                        <w:bottom w:val="single" w:sz="6" w:space="2" w:color="D5D5D5"/>
                        <w:right w:val="single" w:sz="6" w:space="2" w:color="D5D5D5"/>
                      </w:divBdr>
                      <w:divsChild>
                        <w:div w:id="1856074562">
                          <w:marLeft w:val="0"/>
                          <w:marRight w:val="0"/>
                          <w:marTop w:val="0"/>
                          <w:marBottom w:val="0"/>
                          <w:divBdr>
                            <w:top w:val="none" w:sz="0" w:space="0" w:color="auto"/>
                            <w:left w:val="none" w:sz="0" w:space="0" w:color="auto"/>
                            <w:bottom w:val="none" w:sz="0" w:space="0" w:color="auto"/>
                            <w:right w:val="none" w:sz="0" w:space="0" w:color="auto"/>
                          </w:divBdr>
                          <w:divsChild>
                            <w:div w:id="12347026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32029">
      <w:bodyDiv w:val="1"/>
      <w:marLeft w:val="0"/>
      <w:marRight w:val="0"/>
      <w:marTop w:val="0"/>
      <w:marBottom w:val="0"/>
      <w:divBdr>
        <w:top w:val="none" w:sz="0" w:space="0" w:color="auto"/>
        <w:left w:val="none" w:sz="0" w:space="0" w:color="auto"/>
        <w:bottom w:val="none" w:sz="0" w:space="0" w:color="auto"/>
        <w:right w:val="none" w:sz="0" w:space="0" w:color="auto"/>
      </w:divBdr>
      <w:divsChild>
        <w:div w:id="1402874843">
          <w:marLeft w:val="0"/>
          <w:marRight w:val="0"/>
          <w:marTop w:val="0"/>
          <w:marBottom w:val="0"/>
          <w:divBdr>
            <w:top w:val="single" w:sz="6" w:space="2" w:color="AAAAAA"/>
            <w:left w:val="single" w:sz="6" w:space="2" w:color="AAAAAA"/>
            <w:bottom w:val="single" w:sz="6" w:space="2" w:color="AAAAAA"/>
            <w:right w:val="single" w:sz="6" w:space="2" w:color="AAAAAA"/>
          </w:divBdr>
          <w:divsChild>
            <w:div w:id="355811615">
              <w:marLeft w:val="0"/>
              <w:marRight w:val="0"/>
              <w:marTop w:val="0"/>
              <w:marBottom w:val="0"/>
              <w:divBdr>
                <w:top w:val="none" w:sz="0" w:space="0" w:color="auto"/>
                <w:left w:val="none" w:sz="0" w:space="0" w:color="auto"/>
                <w:bottom w:val="none" w:sz="0" w:space="0" w:color="auto"/>
                <w:right w:val="none" w:sz="0" w:space="0" w:color="auto"/>
              </w:divBdr>
              <w:divsChild>
                <w:div w:id="548763590">
                  <w:marLeft w:val="0"/>
                  <w:marRight w:val="0"/>
                  <w:marTop w:val="0"/>
                  <w:marBottom w:val="0"/>
                  <w:divBdr>
                    <w:top w:val="none" w:sz="0" w:space="0" w:color="auto"/>
                    <w:left w:val="none" w:sz="0" w:space="0" w:color="auto"/>
                    <w:bottom w:val="none" w:sz="0" w:space="0" w:color="auto"/>
                    <w:right w:val="none" w:sz="0" w:space="0" w:color="auto"/>
                  </w:divBdr>
                  <w:divsChild>
                    <w:div w:id="825247923">
                      <w:marLeft w:val="75"/>
                      <w:marRight w:val="75"/>
                      <w:marTop w:val="75"/>
                      <w:marBottom w:val="75"/>
                      <w:divBdr>
                        <w:top w:val="single" w:sz="6" w:space="2" w:color="D5D5D5"/>
                        <w:left w:val="single" w:sz="6" w:space="2" w:color="D5D5D5"/>
                        <w:bottom w:val="single" w:sz="6" w:space="2" w:color="D5D5D5"/>
                        <w:right w:val="single" w:sz="6" w:space="2" w:color="D5D5D5"/>
                      </w:divBdr>
                      <w:divsChild>
                        <w:div w:id="173303029">
                          <w:marLeft w:val="0"/>
                          <w:marRight w:val="0"/>
                          <w:marTop w:val="0"/>
                          <w:marBottom w:val="0"/>
                          <w:divBdr>
                            <w:top w:val="none" w:sz="0" w:space="0" w:color="auto"/>
                            <w:left w:val="none" w:sz="0" w:space="0" w:color="auto"/>
                            <w:bottom w:val="none" w:sz="0" w:space="0" w:color="auto"/>
                            <w:right w:val="none" w:sz="0" w:space="0" w:color="auto"/>
                          </w:divBdr>
                          <w:divsChild>
                            <w:div w:id="3571963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54020602">
      <w:bodyDiv w:val="1"/>
      <w:marLeft w:val="0"/>
      <w:marRight w:val="0"/>
      <w:marTop w:val="0"/>
      <w:marBottom w:val="0"/>
      <w:divBdr>
        <w:top w:val="none" w:sz="0" w:space="0" w:color="auto"/>
        <w:left w:val="none" w:sz="0" w:space="0" w:color="auto"/>
        <w:bottom w:val="none" w:sz="0" w:space="0" w:color="auto"/>
        <w:right w:val="none" w:sz="0" w:space="0" w:color="auto"/>
      </w:divBdr>
      <w:divsChild>
        <w:div w:id="1400009102">
          <w:marLeft w:val="480"/>
          <w:marRight w:val="0"/>
          <w:marTop w:val="0"/>
          <w:marBottom w:val="0"/>
          <w:divBdr>
            <w:top w:val="none" w:sz="0" w:space="0" w:color="auto"/>
            <w:left w:val="none" w:sz="0" w:space="0" w:color="auto"/>
            <w:bottom w:val="none" w:sz="0" w:space="0" w:color="auto"/>
            <w:right w:val="none" w:sz="0" w:space="0" w:color="auto"/>
          </w:divBdr>
          <w:divsChild>
            <w:div w:id="139809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07444137">
      <w:bodyDiv w:val="1"/>
      <w:marLeft w:val="0"/>
      <w:marRight w:val="0"/>
      <w:marTop w:val="0"/>
      <w:marBottom w:val="0"/>
      <w:divBdr>
        <w:top w:val="none" w:sz="0" w:space="0" w:color="auto"/>
        <w:left w:val="none" w:sz="0" w:space="0" w:color="auto"/>
        <w:bottom w:val="none" w:sz="0" w:space="0" w:color="auto"/>
        <w:right w:val="none" w:sz="0" w:space="0" w:color="auto"/>
      </w:divBdr>
      <w:divsChild>
        <w:div w:id="569660132">
          <w:marLeft w:val="480"/>
          <w:marRight w:val="0"/>
          <w:marTop w:val="0"/>
          <w:marBottom w:val="0"/>
          <w:divBdr>
            <w:top w:val="none" w:sz="0" w:space="0" w:color="auto"/>
            <w:left w:val="none" w:sz="0" w:space="0" w:color="auto"/>
            <w:bottom w:val="none" w:sz="0" w:space="0" w:color="auto"/>
            <w:right w:val="none" w:sz="0" w:space="0" w:color="auto"/>
          </w:divBdr>
          <w:divsChild>
            <w:div w:id="16217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6234">
      <w:bodyDiv w:val="1"/>
      <w:marLeft w:val="0"/>
      <w:marRight w:val="0"/>
      <w:marTop w:val="0"/>
      <w:marBottom w:val="0"/>
      <w:divBdr>
        <w:top w:val="none" w:sz="0" w:space="0" w:color="auto"/>
        <w:left w:val="none" w:sz="0" w:space="0" w:color="auto"/>
        <w:bottom w:val="none" w:sz="0" w:space="0" w:color="auto"/>
        <w:right w:val="none" w:sz="0" w:space="0" w:color="auto"/>
      </w:divBdr>
      <w:divsChild>
        <w:div w:id="1879005768">
          <w:marLeft w:val="480"/>
          <w:marRight w:val="0"/>
          <w:marTop w:val="0"/>
          <w:marBottom w:val="0"/>
          <w:divBdr>
            <w:top w:val="none" w:sz="0" w:space="0" w:color="auto"/>
            <w:left w:val="none" w:sz="0" w:space="0" w:color="auto"/>
            <w:bottom w:val="none" w:sz="0" w:space="0" w:color="auto"/>
            <w:right w:val="none" w:sz="0" w:space="0" w:color="auto"/>
          </w:divBdr>
          <w:divsChild>
            <w:div w:id="685061760">
              <w:marLeft w:val="0"/>
              <w:marRight w:val="0"/>
              <w:marTop w:val="0"/>
              <w:marBottom w:val="0"/>
              <w:divBdr>
                <w:top w:val="none" w:sz="0" w:space="0" w:color="auto"/>
                <w:left w:val="none" w:sz="0" w:space="0" w:color="auto"/>
                <w:bottom w:val="none" w:sz="0" w:space="0" w:color="auto"/>
                <w:right w:val="none" w:sz="0" w:space="0" w:color="auto"/>
              </w:divBdr>
            </w:div>
            <w:div w:id="1655910699">
              <w:marLeft w:val="0"/>
              <w:marRight w:val="0"/>
              <w:marTop w:val="0"/>
              <w:marBottom w:val="0"/>
              <w:divBdr>
                <w:top w:val="none" w:sz="0" w:space="0" w:color="auto"/>
                <w:left w:val="none" w:sz="0" w:space="0" w:color="auto"/>
                <w:bottom w:val="none" w:sz="0" w:space="0" w:color="auto"/>
                <w:right w:val="none" w:sz="0" w:space="0" w:color="auto"/>
              </w:divBdr>
            </w:div>
            <w:div w:id="1231188043">
              <w:marLeft w:val="0"/>
              <w:marRight w:val="0"/>
              <w:marTop w:val="0"/>
              <w:marBottom w:val="0"/>
              <w:divBdr>
                <w:top w:val="none" w:sz="0" w:space="0" w:color="auto"/>
                <w:left w:val="none" w:sz="0" w:space="0" w:color="auto"/>
                <w:bottom w:val="none" w:sz="0" w:space="0" w:color="auto"/>
                <w:right w:val="none" w:sz="0" w:space="0" w:color="auto"/>
              </w:divBdr>
            </w:div>
            <w:div w:id="409349682">
              <w:marLeft w:val="0"/>
              <w:marRight w:val="0"/>
              <w:marTop w:val="0"/>
              <w:marBottom w:val="0"/>
              <w:divBdr>
                <w:top w:val="none" w:sz="0" w:space="0" w:color="auto"/>
                <w:left w:val="none" w:sz="0" w:space="0" w:color="auto"/>
                <w:bottom w:val="none" w:sz="0" w:space="0" w:color="auto"/>
                <w:right w:val="none" w:sz="0" w:space="0" w:color="auto"/>
              </w:divBdr>
            </w:div>
            <w:div w:id="124649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0398">
      <w:bodyDiv w:val="1"/>
      <w:marLeft w:val="0"/>
      <w:marRight w:val="0"/>
      <w:marTop w:val="0"/>
      <w:marBottom w:val="0"/>
      <w:divBdr>
        <w:top w:val="none" w:sz="0" w:space="0" w:color="auto"/>
        <w:left w:val="none" w:sz="0" w:space="0" w:color="auto"/>
        <w:bottom w:val="none" w:sz="0" w:space="0" w:color="auto"/>
        <w:right w:val="none" w:sz="0" w:space="0" w:color="auto"/>
      </w:divBdr>
      <w:divsChild>
        <w:div w:id="216596680">
          <w:marLeft w:val="480"/>
          <w:marRight w:val="0"/>
          <w:marTop w:val="0"/>
          <w:marBottom w:val="0"/>
          <w:divBdr>
            <w:top w:val="none" w:sz="0" w:space="0" w:color="auto"/>
            <w:left w:val="none" w:sz="0" w:space="0" w:color="auto"/>
            <w:bottom w:val="none" w:sz="0" w:space="0" w:color="auto"/>
            <w:right w:val="none" w:sz="0" w:space="0" w:color="auto"/>
          </w:divBdr>
          <w:divsChild>
            <w:div w:id="20575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81373349">
      <w:bodyDiv w:val="1"/>
      <w:marLeft w:val="0"/>
      <w:marRight w:val="0"/>
      <w:marTop w:val="0"/>
      <w:marBottom w:val="0"/>
      <w:divBdr>
        <w:top w:val="none" w:sz="0" w:space="0" w:color="auto"/>
        <w:left w:val="none" w:sz="0" w:space="0" w:color="auto"/>
        <w:bottom w:val="none" w:sz="0" w:space="0" w:color="auto"/>
        <w:right w:val="none" w:sz="0" w:space="0" w:color="auto"/>
      </w:divBdr>
    </w:div>
    <w:div w:id="383214239">
      <w:bodyDiv w:val="1"/>
      <w:marLeft w:val="0"/>
      <w:marRight w:val="0"/>
      <w:marTop w:val="0"/>
      <w:marBottom w:val="0"/>
      <w:divBdr>
        <w:top w:val="none" w:sz="0" w:space="0" w:color="auto"/>
        <w:left w:val="none" w:sz="0" w:space="0" w:color="auto"/>
        <w:bottom w:val="none" w:sz="0" w:space="0" w:color="auto"/>
        <w:right w:val="none" w:sz="0" w:space="0" w:color="auto"/>
      </w:divBdr>
      <w:divsChild>
        <w:div w:id="1925069515">
          <w:marLeft w:val="480"/>
          <w:marRight w:val="0"/>
          <w:marTop w:val="0"/>
          <w:marBottom w:val="0"/>
          <w:divBdr>
            <w:top w:val="none" w:sz="0" w:space="0" w:color="auto"/>
            <w:left w:val="none" w:sz="0" w:space="0" w:color="auto"/>
            <w:bottom w:val="none" w:sz="0" w:space="0" w:color="auto"/>
            <w:right w:val="none" w:sz="0" w:space="0" w:color="auto"/>
          </w:divBdr>
          <w:divsChild>
            <w:div w:id="11016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8678">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24804875">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469514329">
      <w:bodyDiv w:val="1"/>
      <w:marLeft w:val="0"/>
      <w:marRight w:val="0"/>
      <w:marTop w:val="0"/>
      <w:marBottom w:val="0"/>
      <w:divBdr>
        <w:top w:val="none" w:sz="0" w:space="0" w:color="auto"/>
        <w:left w:val="none" w:sz="0" w:space="0" w:color="auto"/>
        <w:bottom w:val="none" w:sz="0" w:space="0" w:color="auto"/>
        <w:right w:val="none" w:sz="0" w:space="0" w:color="auto"/>
      </w:divBdr>
      <w:divsChild>
        <w:div w:id="179900114">
          <w:marLeft w:val="480"/>
          <w:marRight w:val="0"/>
          <w:marTop w:val="0"/>
          <w:marBottom w:val="0"/>
          <w:divBdr>
            <w:top w:val="none" w:sz="0" w:space="0" w:color="auto"/>
            <w:left w:val="none" w:sz="0" w:space="0" w:color="auto"/>
            <w:bottom w:val="none" w:sz="0" w:space="0" w:color="auto"/>
            <w:right w:val="none" w:sz="0" w:space="0" w:color="auto"/>
          </w:divBdr>
          <w:divsChild>
            <w:div w:id="10177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7112">
      <w:bodyDiv w:val="1"/>
      <w:marLeft w:val="0"/>
      <w:marRight w:val="0"/>
      <w:marTop w:val="0"/>
      <w:marBottom w:val="0"/>
      <w:divBdr>
        <w:top w:val="none" w:sz="0" w:space="0" w:color="auto"/>
        <w:left w:val="none" w:sz="0" w:space="0" w:color="auto"/>
        <w:bottom w:val="none" w:sz="0" w:space="0" w:color="auto"/>
        <w:right w:val="none" w:sz="0" w:space="0" w:color="auto"/>
      </w:divBdr>
      <w:divsChild>
        <w:div w:id="1814059886">
          <w:marLeft w:val="480"/>
          <w:marRight w:val="0"/>
          <w:marTop w:val="0"/>
          <w:marBottom w:val="0"/>
          <w:divBdr>
            <w:top w:val="none" w:sz="0" w:space="0" w:color="auto"/>
            <w:left w:val="none" w:sz="0" w:space="0" w:color="auto"/>
            <w:bottom w:val="none" w:sz="0" w:space="0" w:color="auto"/>
            <w:right w:val="none" w:sz="0" w:space="0" w:color="auto"/>
          </w:divBdr>
          <w:divsChild>
            <w:div w:id="1531340317">
              <w:marLeft w:val="0"/>
              <w:marRight w:val="0"/>
              <w:marTop w:val="0"/>
              <w:marBottom w:val="0"/>
              <w:divBdr>
                <w:top w:val="none" w:sz="0" w:space="0" w:color="auto"/>
                <w:left w:val="none" w:sz="0" w:space="0" w:color="auto"/>
                <w:bottom w:val="none" w:sz="0" w:space="0" w:color="auto"/>
                <w:right w:val="none" w:sz="0" w:space="0" w:color="auto"/>
              </w:divBdr>
            </w:div>
            <w:div w:id="468668591">
              <w:marLeft w:val="0"/>
              <w:marRight w:val="0"/>
              <w:marTop w:val="0"/>
              <w:marBottom w:val="0"/>
              <w:divBdr>
                <w:top w:val="none" w:sz="0" w:space="0" w:color="auto"/>
                <w:left w:val="none" w:sz="0" w:space="0" w:color="auto"/>
                <w:bottom w:val="none" w:sz="0" w:space="0" w:color="auto"/>
                <w:right w:val="none" w:sz="0" w:space="0" w:color="auto"/>
              </w:divBdr>
            </w:div>
            <w:div w:id="1796411386">
              <w:marLeft w:val="0"/>
              <w:marRight w:val="0"/>
              <w:marTop w:val="0"/>
              <w:marBottom w:val="0"/>
              <w:divBdr>
                <w:top w:val="none" w:sz="0" w:space="0" w:color="auto"/>
                <w:left w:val="none" w:sz="0" w:space="0" w:color="auto"/>
                <w:bottom w:val="none" w:sz="0" w:space="0" w:color="auto"/>
                <w:right w:val="none" w:sz="0" w:space="0" w:color="auto"/>
              </w:divBdr>
            </w:div>
            <w:div w:id="1826358883">
              <w:marLeft w:val="0"/>
              <w:marRight w:val="0"/>
              <w:marTop w:val="0"/>
              <w:marBottom w:val="0"/>
              <w:divBdr>
                <w:top w:val="none" w:sz="0" w:space="0" w:color="auto"/>
                <w:left w:val="none" w:sz="0" w:space="0" w:color="auto"/>
                <w:bottom w:val="none" w:sz="0" w:space="0" w:color="auto"/>
                <w:right w:val="none" w:sz="0" w:space="0" w:color="auto"/>
              </w:divBdr>
            </w:div>
            <w:div w:id="239101423">
              <w:marLeft w:val="0"/>
              <w:marRight w:val="0"/>
              <w:marTop w:val="0"/>
              <w:marBottom w:val="0"/>
              <w:divBdr>
                <w:top w:val="none" w:sz="0" w:space="0" w:color="auto"/>
                <w:left w:val="none" w:sz="0" w:space="0" w:color="auto"/>
                <w:bottom w:val="none" w:sz="0" w:space="0" w:color="auto"/>
                <w:right w:val="none" w:sz="0" w:space="0" w:color="auto"/>
              </w:divBdr>
            </w:div>
            <w:div w:id="968051454">
              <w:marLeft w:val="0"/>
              <w:marRight w:val="0"/>
              <w:marTop w:val="0"/>
              <w:marBottom w:val="0"/>
              <w:divBdr>
                <w:top w:val="none" w:sz="0" w:space="0" w:color="auto"/>
                <w:left w:val="none" w:sz="0" w:space="0" w:color="auto"/>
                <w:bottom w:val="none" w:sz="0" w:space="0" w:color="auto"/>
                <w:right w:val="none" w:sz="0" w:space="0" w:color="auto"/>
              </w:divBdr>
            </w:div>
            <w:div w:id="189877046">
              <w:marLeft w:val="0"/>
              <w:marRight w:val="0"/>
              <w:marTop w:val="0"/>
              <w:marBottom w:val="0"/>
              <w:divBdr>
                <w:top w:val="none" w:sz="0" w:space="0" w:color="auto"/>
                <w:left w:val="none" w:sz="0" w:space="0" w:color="auto"/>
                <w:bottom w:val="none" w:sz="0" w:space="0" w:color="auto"/>
                <w:right w:val="none" w:sz="0" w:space="0" w:color="auto"/>
              </w:divBdr>
            </w:div>
            <w:div w:id="2007706281">
              <w:marLeft w:val="0"/>
              <w:marRight w:val="0"/>
              <w:marTop w:val="0"/>
              <w:marBottom w:val="0"/>
              <w:divBdr>
                <w:top w:val="none" w:sz="0" w:space="0" w:color="auto"/>
                <w:left w:val="none" w:sz="0" w:space="0" w:color="auto"/>
                <w:bottom w:val="none" w:sz="0" w:space="0" w:color="auto"/>
                <w:right w:val="none" w:sz="0" w:space="0" w:color="auto"/>
              </w:divBdr>
            </w:div>
            <w:div w:id="7307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0620">
      <w:bodyDiv w:val="1"/>
      <w:marLeft w:val="0"/>
      <w:marRight w:val="0"/>
      <w:marTop w:val="0"/>
      <w:marBottom w:val="0"/>
      <w:divBdr>
        <w:top w:val="none" w:sz="0" w:space="0" w:color="auto"/>
        <w:left w:val="none" w:sz="0" w:space="0" w:color="auto"/>
        <w:bottom w:val="none" w:sz="0" w:space="0" w:color="auto"/>
        <w:right w:val="none" w:sz="0" w:space="0" w:color="auto"/>
      </w:divBdr>
      <w:divsChild>
        <w:div w:id="214390664">
          <w:marLeft w:val="0"/>
          <w:marRight w:val="0"/>
          <w:marTop w:val="0"/>
          <w:marBottom w:val="0"/>
          <w:divBdr>
            <w:top w:val="single" w:sz="6" w:space="2" w:color="AAAAAA"/>
            <w:left w:val="single" w:sz="6" w:space="2" w:color="AAAAAA"/>
            <w:bottom w:val="single" w:sz="6" w:space="2" w:color="AAAAAA"/>
            <w:right w:val="single" w:sz="6" w:space="2" w:color="AAAAAA"/>
          </w:divBdr>
          <w:divsChild>
            <w:div w:id="1920822040">
              <w:marLeft w:val="0"/>
              <w:marRight w:val="0"/>
              <w:marTop w:val="0"/>
              <w:marBottom w:val="0"/>
              <w:divBdr>
                <w:top w:val="none" w:sz="0" w:space="0" w:color="auto"/>
                <w:left w:val="none" w:sz="0" w:space="0" w:color="auto"/>
                <w:bottom w:val="none" w:sz="0" w:space="0" w:color="auto"/>
                <w:right w:val="none" w:sz="0" w:space="0" w:color="auto"/>
              </w:divBdr>
              <w:divsChild>
                <w:div w:id="939071102">
                  <w:marLeft w:val="0"/>
                  <w:marRight w:val="0"/>
                  <w:marTop w:val="0"/>
                  <w:marBottom w:val="0"/>
                  <w:divBdr>
                    <w:top w:val="none" w:sz="0" w:space="0" w:color="auto"/>
                    <w:left w:val="none" w:sz="0" w:space="0" w:color="auto"/>
                    <w:bottom w:val="none" w:sz="0" w:space="0" w:color="auto"/>
                    <w:right w:val="none" w:sz="0" w:space="0" w:color="auto"/>
                  </w:divBdr>
                  <w:divsChild>
                    <w:div w:id="1760709692">
                      <w:marLeft w:val="75"/>
                      <w:marRight w:val="75"/>
                      <w:marTop w:val="75"/>
                      <w:marBottom w:val="75"/>
                      <w:divBdr>
                        <w:top w:val="single" w:sz="6" w:space="2" w:color="D5D5D5"/>
                        <w:left w:val="single" w:sz="6" w:space="2" w:color="D5D5D5"/>
                        <w:bottom w:val="single" w:sz="6" w:space="2" w:color="D5D5D5"/>
                        <w:right w:val="single" w:sz="6" w:space="2" w:color="D5D5D5"/>
                      </w:divBdr>
                      <w:divsChild>
                        <w:div w:id="281957648">
                          <w:marLeft w:val="0"/>
                          <w:marRight w:val="0"/>
                          <w:marTop w:val="0"/>
                          <w:marBottom w:val="0"/>
                          <w:divBdr>
                            <w:top w:val="none" w:sz="0" w:space="0" w:color="auto"/>
                            <w:left w:val="none" w:sz="0" w:space="0" w:color="auto"/>
                            <w:bottom w:val="none" w:sz="0" w:space="0" w:color="auto"/>
                            <w:right w:val="none" w:sz="0" w:space="0" w:color="auto"/>
                          </w:divBdr>
                          <w:divsChild>
                            <w:div w:id="69011169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767767">
      <w:bodyDiv w:val="1"/>
      <w:marLeft w:val="0"/>
      <w:marRight w:val="0"/>
      <w:marTop w:val="0"/>
      <w:marBottom w:val="0"/>
      <w:divBdr>
        <w:top w:val="none" w:sz="0" w:space="0" w:color="auto"/>
        <w:left w:val="none" w:sz="0" w:space="0" w:color="auto"/>
        <w:bottom w:val="none" w:sz="0" w:space="0" w:color="auto"/>
        <w:right w:val="none" w:sz="0" w:space="0" w:color="auto"/>
      </w:divBdr>
    </w:div>
    <w:div w:id="519390449">
      <w:bodyDiv w:val="1"/>
      <w:marLeft w:val="0"/>
      <w:marRight w:val="0"/>
      <w:marTop w:val="0"/>
      <w:marBottom w:val="0"/>
      <w:divBdr>
        <w:top w:val="none" w:sz="0" w:space="0" w:color="auto"/>
        <w:left w:val="none" w:sz="0" w:space="0" w:color="auto"/>
        <w:bottom w:val="none" w:sz="0" w:space="0" w:color="auto"/>
        <w:right w:val="none" w:sz="0" w:space="0" w:color="auto"/>
      </w:divBdr>
      <w:divsChild>
        <w:div w:id="1672944846">
          <w:marLeft w:val="480"/>
          <w:marRight w:val="0"/>
          <w:marTop w:val="0"/>
          <w:marBottom w:val="0"/>
          <w:divBdr>
            <w:top w:val="none" w:sz="0" w:space="0" w:color="auto"/>
            <w:left w:val="none" w:sz="0" w:space="0" w:color="auto"/>
            <w:bottom w:val="none" w:sz="0" w:space="0" w:color="auto"/>
            <w:right w:val="none" w:sz="0" w:space="0" w:color="auto"/>
          </w:divBdr>
          <w:divsChild>
            <w:div w:id="1413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5159">
      <w:bodyDiv w:val="1"/>
      <w:marLeft w:val="0"/>
      <w:marRight w:val="0"/>
      <w:marTop w:val="0"/>
      <w:marBottom w:val="0"/>
      <w:divBdr>
        <w:top w:val="none" w:sz="0" w:space="0" w:color="auto"/>
        <w:left w:val="none" w:sz="0" w:space="0" w:color="auto"/>
        <w:bottom w:val="none" w:sz="0" w:space="0" w:color="auto"/>
        <w:right w:val="none" w:sz="0" w:space="0" w:color="auto"/>
      </w:divBdr>
      <w:divsChild>
        <w:div w:id="1013189870">
          <w:marLeft w:val="480"/>
          <w:marRight w:val="0"/>
          <w:marTop w:val="0"/>
          <w:marBottom w:val="0"/>
          <w:divBdr>
            <w:top w:val="none" w:sz="0" w:space="0" w:color="auto"/>
            <w:left w:val="none" w:sz="0" w:space="0" w:color="auto"/>
            <w:bottom w:val="none" w:sz="0" w:space="0" w:color="auto"/>
            <w:right w:val="none" w:sz="0" w:space="0" w:color="auto"/>
          </w:divBdr>
          <w:divsChild>
            <w:div w:id="5317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7678">
      <w:bodyDiv w:val="1"/>
      <w:marLeft w:val="0"/>
      <w:marRight w:val="0"/>
      <w:marTop w:val="0"/>
      <w:marBottom w:val="0"/>
      <w:divBdr>
        <w:top w:val="none" w:sz="0" w:space="0" w:color="auto"/>
        <w:left w:val="none" w:sz="0" w:space="0" w:color="auto"/>
        <w:bottom w:val="none" w:sz="0" w:space="0" w:color="auto"/>
        <w:right w:val="none" w:sz="0" w:space="0" w:color="auto"/>
      </w:divBdr>
    </w:div>
    <w:div w:id="557282506">
      <w:bodyDiv w:val="1"/>
      <w:marLeft w:val="0"/>
      <w:marRight w:val="0"/>
      <w:marTop w:val="0"/>
      <w:marBottom w:val="0"/>
      <w:divBdr>
        <w:top w:val="none" w:sz="0" w:space="0" w:color="auto"/>
        <w:left w:val="none" w:sz="0" w:space="0" w:color="auto"/>
        <w:bottom w:val="none" w:sz="0" w:space="0" w:color="auto"/>
        <w:right w:val="none" w:sz="0" w:space="0" w:color="auto"/>
      </w:divBdr>
      <w:divsChild>
        <w:div w:id="510487670">
          <w:marLeft w:val="480"/>
          <w:marRight w:val="0"/>
          <w:marTop w:val="0"/>
          <w:marBottom w:val="0"/>
          <w:divBdr>
            <w:top w:val="none" w:sz="0" w:space="0" w:color="auto"/>
            <w:left w:val="none" w:sz="0" w:space="0" w:color="auto"/>
            <w:bottom w:val="none" w:sz="0" w:space="0" w:color="auto"/>
            <w:right w:val="none" w:sz="0" w:space="0" w:color="auto"/>
          </w:divBdr>
          <w:divsChild>
            <w:div w:id="1909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3052">
      <w:bodyDiv w:val="1"/>
      <w:marLeft w:val="0"/>
      <w:marRight w:val="0"/>
      <w:marTop w:val="0"/>
      <w:marBottom w:val="0"/>
      <w:divBdr>
        <w:top w:val="none" w:sz="0" w:space="0" w:color="auto"/>
        <w:left w:val="none" w:sz="0" w:space="0" w:color="auto"/>
        <w:bottom w:val="none" w:sz="0" w:space="0" w:color="auto"/>
        <w:right w:val="none" w:sz="0" w:space="0" w:color="auto"/>
      </w:divBdr>
    </w:div>
    <w:div w:id="591594774">
      <w:bodyDiv w:val="1"/>
      <w:marLeft w:val="0"/>
      <w:marRight w:val="0"/>
      <w:marTop w:val="0"/>
      <w:marBottom w:val="0"/>
      <w:divBdr>
        <w:top w:val="none" w:sz="0" w:space="0" w:color="auto"/>
        <w:left w:val="none" w:sz="0" w:space="0" w:color="auto"/>
        <w:bottom w:val="none" w:sz="0" w:space="0" w:color="auto"/>
        <w:right w:val="none" w:sz="0" w:space="0" w:color="auto"/>
      </w:divBdr>
      <w:divsChild>
        <w:div w:id="964197329">
          <w:marLeft w:val="0"/>
          <w:marRight w:val="0"/>
          <w:marTop w:val="0"/>
          <w:marBottom w:val="0"/>
          <w:divBdr>
            <w:top w:val="single" w:sz="6" w:space="2" w:color="AAAAAA"/>
            <w:left w:val="single" w:sz="6" w:space="2" w:color="AAAAAA"/>
            <w:bottom w:val="single" w:sz="6" w:space="2" w:color="AAAAAA"/>
            <w:right w:val="single" w:sz="6" w:space="2" w:color="AAAAAA"/>
          </w:divBdr>
          <w:divsChild>
            <w:div w:id="228350393">
              <w:marLeft w:val="0"/>
              <w:marRight w:val="0"/>
              <w:marTop w:val="0"/>
              <w:marBottom w:val="0"/>
              <w:divBdr>
                <w:top w:val="none" w:sz="0" w:space="0" w:color="auto"/>
                <w:left w:val="none" w:sz="0" w:space="0" w:color="auto"/>
                <w:bottom w:val="none" w:sz="0" w:space="0" w:color="auto"/>
                <w:right w:val="none" w:sz="0" w:space="0" w:color="auto"/>
              </w:divBdr>
              <w:divsChild>
                <w:div w:id="1716654568">
                  <w:marLeft w:val="0"/>
                  <w:marRight w:val="0"/>
                  <w:marTop w:val="0"/>
                  <w:marBottom w:val="0"/>
                  <w:divBdr>
                    <w:top w:val="none" w:sz="0" w:space="0" w:color="auto"/>
                    <w:left w:val="none" w:sz="0" w:space="0" w:color="auto"/>
                    <w:bottom w:val="none" w:sz="0" w:space="0" w:color="auto"/>
                    <w:right w:val="none" w:sz="0" w:space="0" w:color="auto"/>
                  </w:divBdr>
                  <w:divsChild>
                    <w:div w:id="227764511">
                      <w:marLeft w:val="75"/>
                      <w:marRight w:val="75"/>
                      <w:marTop w:val="75"/>
                      <w:marBottom w:val="75"/>
                      <w:divBdr>
                        <w:top w:val="single" w:sz="6" w:space="2" w:color="D5D5D5"/>
                        <w:left w:val="single" w:sz="6" w:space="2" w:color="D5D5D5"/>
                        <w:bottom w:val="single" w:sz="6" w:space="2" w:color="D5D5D5"/>
                        <w:right w:val="single" w:sz="6" w:space="2" w:color="D5D5D5"/>
                      </w:divBdr>
                      <w:divsChild>
                        <w:div w:id="575436338">
                          <w:marLeft w:val="0"/>
                          <w:marRight w:val="0"/>
                          <w:marTop w:val="0"/>
                          <w:marBottom w:val="0"/>
                          <w:divBdr>
                            <w:top w:val="none" w:sz="0" w:space="0" w:color="auto"/>
                            <w:left w:val="none" w:sz="0" w:space="0" w:color="auto"/>
                            <w:bottom w:val="none" w:sz="0" w:space="0" w:color="auto"/>
                            <w:right w:val="none" w:sz="0" w:space="0" w:color="auto"/>
                          </w:divBdr>
                          <w:divsChild>
                            <w:div w:id="78161222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3902584">
      <w:bodyDiv w:val="1"/>
      <w:marLeft w:val="0"/>
      <w:marRight w:val="0"/>
      <w:marTop w:val="0"/>
      <w:marBottom w:val="0"/>
      <w:divBdr>
        <w:top w:val="none" w:sz="0" w:space="0" w:color="auto"/>
        <w:left w:val="none" w:sz="0" w:space="0" w:color="auto"/>
        <w:bottom w:val="none" w:sz="0" w:space="0" w:color="auto"/>
        <w:right w:val="none" w:sz="0" w:space="0" w:color="auto"/>
      </w:divBdr>
      <w:divsChild>
        <w:div w:id="321616318">
          <w:marLeft w:val="480"/>
          <w:marRight w:val="0"/>
          <w:marTop w:val="0"/>
          <w:marBottom w:val="0"/>
          <w:divBdr>
            <w:top w:val="none" w:sz="0" w:space="0" w:color="auto"/>
            <w:left w:val="none" w:sz="0" w:space="0" w:color="auto"/>
            <w:bottom w:val="none" w:sz="0" w:space="0" w:color="auto"/>
            <w:right w:val="none" w:sz="0" w:space="0" w:color="auto"/>
          </w:divBdr>
          <w:divsChild>
            <w:div w:id="5917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7037">
      <w:bodyDiv w:val="1"/>
      <w:marLeft w:val="0"/>
      <w:marRight w:val="0"/>
      <w:marTop w:val="0"/>
      <w:marBottom w:val="0"/>
      <w:divBdr>
        <w:top w:val="none" w:sz="0" w:space="0" w:color="auto"/>
        <w:left w:val="none" w:sz="0" w:space="0" w:color="auto"/>
        <w:bottom w:val="none" w:sz="0" w:space="0" w:color="auto"/>
        <w:right w:val="none" w:sz="0" w:space="0" w:color="auto"/>
      </w:divBdr>
      <w:divsChild>
        <w:div w:id="963195662">
          <w:marLeft w:val="480"/>
          <w:marRight w:val="0"/>
          <w:marTop w:val="0"/>
          <w:marBottom w:val="0"/>
          <w:divBdr>
            <w:top w:val="none" w:sz="0" w:space="0" w:color="auto"/>
            <w:left w:val="none" w:sz="0" w:space="0" w:color="auto"/>
            <w:bottom w:val="none" w:sz="0" w:space="0" w:color="auto"/>
            <w:right w:val="none" w:sz="0" w:space="0" w:color="auto"/>
          </w:divBdr>
          <w:divsChild>
            <w:div w:id="88822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6026">
      <w:bodyDiv w:val="1"/>
      <w:marLeft w:val="0"/>
      <w:marRight w:val="0"/>
      <w:marTop w:val="0"/>
      <w:marBottom w:val="0"/>
      <w:divBdr>
        <w:top w:val="none" w:sz="0" w:space="0" w:color="auto"/>
        <w:left w:val="none" w:sz="0" w:space="0" w:color="auto"/>
        <w:bottom w:val="none" w:sz="0" w:space="0" w:color="auto"/>
        <w:right w:val="none" w:sz="0" w:space="0" w:color="auto"/>
      </w:divBdr>
      <w:divsChild>
        <w:div w:id="1034310606">
          <w:marLeft w:val="480"/>
          <w:marRight w:val="0"/>
          <w:marTop w:val="0"/>
          <w:marBottom w:val="0"/>
          <w:divBdr>
            <w:top w:val="none" w:sz="0" w:space="0" w:color="auto"/>
            <w:left w:val="none" w:sz="0" w:space="0" w:color="auto"/>
            <w:bottom w:val="none" w:sz="0" w:space="0" w:color="auto"/>
            <w:right w:val="none" w:sz="0" w:space="0" w:color="auto"/>
          </w:divBdr>
          <w:divsChild>
            <w:div w:id="18794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70254233">
      <w:bodyDiv w:val="1"/>
      <w:marLeft w:val="0"/>
      <w:marRight w:val="0"/>
      <w:marTop w:val="0"/>
      <w:marBottom w:val="0"/>
      <w:divBdr>
        <w:top w:val="none" w:sz="0" w:space="0" w:color="auto"/>
        <w:left w:val="none" w:sz="0" w:space="0" w:color="auto"/>
        <w:bottom w:val="none" w:sz="0" w:space="0" w:color="auto"/>
        <w:right w:val="none" w:sz="0" w:space="0" w:color="auto"/>
      </w:divBdr>
    </w:div>
    <w:div w:id="675766545">
      <w:bodyDiv w:val="1"/>
      <w:marLeft w:val="0"/>
      <w:marRight w:val="0"/>
      <w:marTop w:val="0"/>
      <w:marBottom w:val="0"/>
      <w:divBdr>
        <w:top w:val="none" w:sz="0" w:space="0" w:color="auto"/>
        <w:left w:val="none" w:sz="0" w:space="0" w:color="auto"/>
        <w:bottom w:val="none" w:sz="0" w:space="0" w:color="auto"/>
        <w:right w:val="none" w:sz="0" w:space="0" w:color="auto"/>
      </w:divBdr>
      <w:divsChild>
        <w:div w:id="557596119">
          <w:marLeft w:val="0"/>
          <w:marRight w:val="0"/>
          <w:marTop w:val="0"/>
          <w:marBottom w:val="0"/>
          <w:divBdr>
            <w:top w:val="none" w:sz="0" w:space="0" w:color="auto"/>
            <w:left w:val="none" w:sz="0" w:space="0" w:color="auto"/>
            <w:bottom w:val="none" w:sz="0" w:space="0" w:color="auto"/>
            <w:right w:val="none" w:sz="0" w:space="0" w:color="auto"/>
          </w:divBdr>
        </w:div>
        <w:div w:id="775708578">
          <w:marLeft w:val="0"/>
          <w:marRight w:val="0"/>
          <w:marTop w:val="0"/>
          <w:marBottom w:val="0"/>
          <w:divBdr>
            <w:top w:val="none" w:sz="0" w:space="0" w:color="auto"/>
            <w:left w:val="none" w:sz="0" w:space="0" w:color="auto"/>
            <w:bottom w:val="none" w:sz="0" w:space="0" w:color="auto"/>
            <w:right w:val="none" w:sz="0" w:space="0" w:color="auto"/>
          </w:divBdr>
        </w:div>
        <w:div w:id="1776822085">
          <w:marLeft w:val="0"/>
          <w:marRight w:val="0"/>
          <w:marTop w:val="0"/>
          <w:marBottom w:val="0"/>
          <w:divBdr>
            <w:top w:val="none" w:sz="0" w:space="0" w:color="auto"/>
            <w:left w:val="none" w:sz="0" w:space="0" w:color="auto"/>
            <w:bottom w:val="none" w:sz="0" w:space="0" w:color="auto"/>
            <w:right w:val="none" w:sz="0" w:space="0" w:color="auto"/>
          </w:divBdr>
        </w:div>
        <w:div w:id="2125729664">
          <w:marLeft w:val="0"/>
          <w:marRight w:val="0"/>
          <w:marTop w:val="0"/>
          <w:marBottom w:val="0"/>
          <w:divBdr>
            <w:top w:val="none" w:sz="0" w:space="0" w:color="auto"/>
            <w:left w:val="none" w:sz="0" w:space="0" w:color="auto"/>
            <w:bottom w:val="none" w:sz="0" w:space="0" w:color="auto"/>
            <w:right w:val="none" w:sz="0" w:space="0" w:color="auto"/>
          </w:divBdr>
        </w:div>
      </w:divsChild>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37485326">
      <w:bodyDiv w:val="1"/>
      <w:marLeft w:val="0"/>
      <w:marRight w:val="0"/>
      <w:marTop w:val="0"/>
      <w:marBottom w:val="0"/>
      <w:divBdr>
        <w:top w:val="none" w:sz="0" w:space="0" w:color="auto"/>
        <w:left w:val="none" w:sz="0" w:space="0" w:color="auto"/>
        <w:bottom w:val="none" w:sz="0" w:space="0" w:color="auto"/>
        <w:right w:val="none" w:sz="0" w:space="0" w:color="auto"/>
      </w:divBdr>
      <w:divsChild>
        <w:div w:id="1358696140">
          <w:marLeft w:val="480"/>
          <w:marRight w:val="0"/>
          <w:marTop w:val="0"/>
          <w:marBottom w:val="0"/>
          <w:divBdr>
            <w:top w:val="none" w:sz="0" w:space="0" w:color="auto"/>
            <w:left w:val="none" w:sz="0" w:space="0" w:color="auto"/>
            <w:bottom w:val="none" w:sz="0" w:space="0" w:color="auto"/>
            <w:right w:val="none" w:sz="0" w:space="0" w:color="auto"/>
          </w:divBdr>
          <w:divsChild>
            <w:div w:id="9471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7534">
      <w:bodyDiv w:val="1"/>
      <w:marLeft w:val="0"/>
      <w:marRight w:val="0"/>
      <w:marTop w:val="0"/>
      <w:marBottom w:val="0"/>
      <w:divBdr>
        <w:top w:val="none" w:sz="0" w:space="0" w:color="auto"/>
        <w:left w:val="none" w:sz="0" w:space="0" w:color="auto"/>
        <w:bottom w:val="none" w:sz="0" w:space="0" w:color="auto"/>
        <w:right w:val="none" w:sz="0" w:space="0" w:color="auto"/>
      </w:divBdr>
    </w:div>
    <w:div w:id="79194076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11941096">
      <w:bodyDiv w:val="1"/>
      <w:marLeft w:val="0"/>
      <w:marRight w:val="0"/>
      <w:marTop w:val="0"/>
      <w:marBottom w:val="0"/>
      <w:divBdr>
        <w:top w:val="none" w:sz="0" w:space="0" w:color="auto"/>
        <w:left w:val="none" w:sz="0" w:space="0" w:color="auto"/>
        <w:bottom w:val="none" w:sz="0" w:space="0" w:color="auto"/>
        <w:right w:val="none" w:sz="0" w:space="0" w:color="auto"/>
      </w:divBdr>
      <w:divsChild>
        <w:div w:id="158036170">
          <w:marLeft w:val="0"/>
          <w:marRight w:val="0"/>
          <w:marTop w:val="0"/>
          <w:marBottom w:val="0"/>
          <w:divBdr>
            <w:top w:val="single" w:sz="6" w:space="2" w:color="AAAAAA"/>
            <w:left w:val="single" w:sz="6" w:space="2" w:color="AAAAAA"/>
            <w:bottom w:val="single" w:sz="6" w:space="2" w:color="AAAAAA"/>
            <w:right w:val="single" w:sz="6" w:space="2" w:color="AAAAAA"/>
          </w:divBdr>
          <w:divsChild>
            <w:div w:id="2099057489">
              <w:marLeft w:val="0"/>
              <w:marRight w:val="0"/>
              <w:marTop w:val="0"/>
              <w:marBottom w:val="0"/>
              <w:divBdr>
                <w:top w:val="none" w:sz="0" w:space="0" w:color="auto"/>
                <w:left w:val="none" w:sz="0" w:space="0" w:color="auto"/>
                <w:bottom w:val="none" w:sz="0" w:space="0" w:color="auto"/>
                <w:right w:val="none" w:sz="0" w:space="0" w:color="auto"/>
              </w:divBdr>
              <w:divsChild>
                <w:div w:id="1638953438">
                  <w:marLeft w:val="0"/>
                  <w:marRight w:val="0"/>
                  <w:marTop w:val="0"/>
                  <w:marBottom w:val="0"/>
                  <w:divBdr>
                    <w:top w:val="none" w:sz="0" w:space="0" w:color="auto"/>
                    <w:left w:val="none" w:sz="0" w:space="0" w:color="auto"/>
                    <w:bottom w:val="none" w:sz="0" w:space="0" w:color="auto"/>
                    <w:right w:val="none" w:sz="0" w:space="0" w:color="auto"/>
                  </w:divBdr>
                  <w:divsChild>
                    <w:div w:id="1717896091">
                      <w:marLeft w:val="75"/>
                      <w:marRight w:val="75"/>
                      <w:marTop w:val="75"/>
                      <w:marBottom w:val="75"/>
                      <w:divBdr>
                        <w:top w:val="single" w:sz="6" w:space="2" w:color="D5D5D5"/>
                        <w:left w:val="single" w:sz="6" w:space="2" w:color="D5D5D5"/>
                        <w:bottom w:val="single" w:sz="6" w:space="2" w:color="D5D5D5"/>
                        <w:right w:val="single" w:sz="6" w:space="2" w:color="D5D5D5"/>
                      </w:divBdr>
                      <w:divsChild>
                        <w:div w:id="1969239386">
                          <w:marLeft w:val="0"/>
                          <w:marRight w:val="0"/>
                          <w:marTop w:val="0"/>
                          <w:marBottom w:val="0"/>
                          <w:divBdr>
                            <w:top w:val="none" w:sz="0" w:space="0" w:color="auto"/>
                            <w:left w:val="none" w:sz="0" w:space="0" w:color="auto"/>
                            <w:bottom w:val="none" w:sz="0" w:space="0" w:color="auto"/>
                            <w:right w:val="none" w:sz="0" w:space="0" w:color="auto"/>
                          </w:divBdr>
                          <w:divsChild>
                            <w:div w:id="12176190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399219">
      <w:bodyDiv w:val="1"/>
      <w:marLeft w:val="0"/>
      <w:marRight w:val="0"/>
      <w:marTop w:val="0"/>
      <w:marBottom w:val="0"/>
      <w:divBdr>
        <w:top w:val="none" w:sz="0" w:space="0" w:color="auto"/>
        <w:left w:val="none" w:sz="0" w:space="0" w:color="auto"/>
        <w:bottom w:val="none" w:sz="0" w:space="0" w:color="auto"/>
        <w:right w:val="none" w:sz="0" w:space="0" w:color="auto"/>
      </w:divBdr>
      <w:divsChild>
        <w:div w:id="263345649">
          <w:marLeft w:val="480"/>
          <w:marRight w:val="0"/>
          <w:marTop w:val="0"/>
          <w:marBottom w:val="0"/>
          <w:divBdr>
            <w:top w:val="none" w:sz="0" w:space="0" w:color="auto"/>
            <w:left w:val="none" w:sz="0" w:space="0" w:color="auto"/>
            <w:bottom w:val="none" w:sz="0" w:space="0" w:color="auto"/>
            <w:right w:val="none" w:sz="0" w:space="0" w:color="auto"/>
          </w:divBdr>
          <w:divsChild>
            <w:div w:id="19508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69024">
      <w:bodyDiv w:val="1"/>
      <w:marLeft w:val="0"/>
      <w:marRight w:val="0"/>
      <w:marTop w:val="0"/>
      <w:marBottom w:val="0"/>
      <w:divBdr>
        <w:top w:val="none" w:sz="0" w:space="0" w:color="auto"/>
        <w:left w:val="none" w:sz="0" w:space="0" w:color="auto"/>
        <w:bottom w:val="none" w:sz="0" w:space="0" w:color="auto"/>
        <w:right w:val="none" w:sz="0" w:space="0" w:color="auto"/>
      </w:divBdr>
    </w:div>
    <w:div w:id="901523290">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56333606">
      <w:bodyDiv w:val="1"/>
      <w:marLeft w:val="0"/>
      <w:marRight w:val="0"/>
      <w:marTop w:val="0"/>
      <w:marBottom w:val="0"/>
      <w:divBdr>
        <w:top w:val="none" w:sz="0" w:space="0" w:color="auto"/>
        <w:left w:val="none" w:sz="0" w:space="0" w:color="auto"/>
        <w:bottom w:val="none" w:sz="0" w:space="0" w:color="auto"/>
        <w:right w:val="none" w:sz="0" w:space="0" w:color="auto"/>
      </w:divBdr>
    </w:div>
    <w:div w:id="999117705">
      <w:bodyDiv w:val="1"/>
      <w:marLeft w:val="0"/>
      <w:marRight w:val="0"/>
      <w:marTop w:val="0"/>
      <w:marBottom w:val="0"/>
      <w:divBdr>
        <w:top w:val="none" w:sz="0" w:space="0" w:color="auto"/>
        <w:left w:val="none" w:sz="0" w:space="0" w:color="auto"/>
        <w:bottom w:val="none" w:sz="0" w:space="0" w:color="auto"/>
        <w:right w:val="none" w:sz="0" w:space="0" w:color="auto"/>
      </w:divBdr>
    </w:div>
    <w:div w:id="1063797822">
      <w:bodyDiv w:val="1"/>
      <w:marLeft w:val="0"/>
      <w:marRight w:val="0"/>
      <w:marTop w:val="0"/>
      <w:marBottom w:val="0"/>
      <w:divBdr>
        <w:top w:val="none" w:sz="0" w:space="0" w:color="auto"/>
        <w:left w:val="none" w:sz="0" w:space="0" w:color="auto"/>
        <w:bottom w:val="none" w:sz="0" w:space="0" w:color="auto"/>
        <w:right w:val="none" w:sz="0" w:space="0" w:color="auto"/>
      </w:divBdr>
    </w:div>
    <w:div w:id="1084453642">
      <w:bodyDiv w:val="1"/>
      <w:marLeft w:val="0"/>
      <w:marRight w:val="0"/>
      <w:marTop w:val="0"/>
      <w:marBottom w:val="0"/>
      <w:divBdr>
        <w:top w:val="none" w:sz="0" w:space="0" w:color="auto"/>
        <w:left w:val="none" w:sz="0" w:space="0" w:color="auto"/>
        <w:bottom w:val="none" w:sz="0" w:space="0" w:color="auto"/>
        <w:right w:val="none" w:sz="0" w:space="0" w:color="auto"/>
      </w:divBdr>
      <w:divsChild>
        <w:div w:id="455683233">
          <w:marLeft w:val="0"/>
          <w:marRight w:val="0"/>
          <w:marTop w:val="0"/>
          <w:marBottom w:val="0"/>
          <w:divBdr>
            <w:top w:val="none" w:sz="0" w:space="0" w:color="auto"/>
            <w:left w:val="none" w:sz="0" w:space="0" w:color="auto"/>
            <w:bottom w:val="none" w:sz="0" w:space="0" w:color="auto"/>
            <w:right w:val="none" w:sz="0" w:space="0" w:color="auto"/>
          </w:divBdr>
        </w:div>
        <w:div w:id="959145106">
          <w:marLeft w:val="0"/>
          <w:marRight w:val="0"/>
          <w:marTop w:val="0"/>
          <w:marBottom w:val="0"/>
          <w:divBdr>
            <w:top w:val="none" w:sz="0" w:space="0" w:color="auto"/>
            <w:left w:val="none" w:sz="0" w:space="0" w:color="auto"/>
            <w:bottom w:val="none" w:sz="0" w:space="0" w:color="auto"/>
            <w:right w:val="none" w:sz="0" w:space="0" w:color="auto"/>
          </w:divBdr>
        </w:div>
        <w:div w:id="1337489701">
          <w:marLeft w:val="0"/>
          <w:marRight w:val="0"/>
          <w:marTop w:val="0"/>
          <w:marBottom w:val="0"/>
          <w:divBdr>
            <w:top w:val="none" w:sz="0" w:space="0" w:color="auto"/>
            <w:left w:val="none" w:sz="0" w:space="0" w:color="auto"/>
            <w:bottom w:val="none" w:sz="0" w:space="0" w:color="auto"/>
            <w:right w:val="none" w:sz="0" w:space="0" w:color="auto"/>
          </w:divBdr>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196233172">
      <w:bodyDiv w:val="1"/>
      <w:marLeft w:val="0"/>
      <w:marRight w:val="0"/>
      <w:marTop w:val="0"/>
      <w:marBottom w:val="0"/>
      <w:divBdr>
        <w:top w:val="none" w:sz="0" w:space="0" w:color="auto"/>
        <w:left w:val="none" w:sz="0" w:space="0" w:color="auto"/>
        <w:bottom w:val="none" w:sz="0" w:space="0" w:color="auto"/>
        <w:right w:val="none" w:sz="0" w:space="0" w:color="auto"/>
      </w:divBdr>
      <w:divsChild>
        <w:div w:id="411120879">
          <w:marLeft w:val="0"/>
          <w:marRight w:val="0"/>
          <w:marTop w:val="0"/>
          <w:marBottom w:val="0"/>
          <w:divBdr>
            <w:top w:val="single" w:sz="6" w:space="2" w:color="AAAAAA"/>
            <w:left w:val="single" w:sz="6" w:space="2" w:color="AAAAAA"/>
            <w:bottom w:val="single" w:sz="6" w:space="2" w:color="AAAAAA"/>
            <w:right w:val="single" w:sz="6" w:space="2" w:color="AAAAAA"/>
          </w:divBdr>
          <w:divsChild>
            <w:div w:id="935602920">
              <w:marLeft w:val="0"/>
              <w:marRight w:val="0"/>
              <w:marTop w:val="0"/>
              <w:marBottom w:val="0"/>
              <w:divBdr>
                <w:top w:val="none" w:sz="0" w:space="0" w:color="auto"/>
                <w:left w:val="none" w:sz="0" w:space="0" w:color="auto"/>
                <w:bottom w:val="none" w:sz="0" w:space="0" w:color="auto"/>
                <w:right w:val="none" w:sz="0" w:space="0" w:color="auto"/>
              </w:divBdr>
              <w:divsChild>
                <w:div w:id="1491099726">
                  <w:marLeft w:val="0"/>
                  <w:marRight w:val="0"/>
                  <w:marTop w:val="0"/>
                  <w:marBottom w:val="0"/>
                  <w:divBdr>
                    <w:top w:val="none" w:sz="0" w:space="0" w:color="auto"/>
                    <w:left w:val="none" w:sz="0" w:space="0" w:color="auto"/>
                    <w:bottom w:val="none" w:sz="0" w:space="0" w:color="auto"/>
                    <w:right w:val="none" w:sz="0" w:space="0" w:color="auto"/>
                  </w:divBdr>
                  <w:divsChild>
                    <w:div w:id="1461726704">
                      <w:marLeft w:val="75"/>
                      <w:marRight w:val="75"/>
                      <w:marTop w:val="75"/>
                      <w:marBottom w:val="75"/>
                      <w:divBdr>
                        <w:top w:val="single" w:sz="6" w:space="2" w:color="D5D5D5"/>
                        <w:left w:val="single" w:sz="6" w:space="2" w:color="D5D5D5"/>
                        <w:bottom w:val="single" w:sz="6" w:space="2" w:color="D5D5D5"/>
                        <w:right w:val="single" w:sz="6" w:space="2" w:color="D5D5D5"/>
                      </w:divBdr>
                      <w:divsChild>
                        <w:div w:id="215434347">
                          <w:marLeft w:val="0"/>
                          <w:marRight w:val="0"/>
                          <w:marTop w:val="0"/>
                          <w:marBottom w:val="0"/>
                          <w:divBdr>
                            <w:top w:val="none" w:sz="0" w:space="0" w:color="auto"/>
                            <w:left w:val="none" w:sz="0" w:space="0" w:color="auto"/>
                            <w:bottom w:val="none" w:sz="0" w:space="0" w:color="auto"/>
                            <w:right w:val="none" w:sz="0" w:space="0" w:color="auto"/>
                          </w:divBdr>
                          <w:divsChild>
                            <w:div w:id="148119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372768">
      <w:bodyDiv w:val="1"/>
      <w:marLeft w:val="0"/>
      <w:marRight w:val="0"/>
      <w:marTop w:val="0"/>
      <w:marBottom w:val="0"/>
      <w:divBdr>
        <w:top w:val="none" w:sz="0" w:space="0" w:color="auto"/>
        <w:left w:val="none" w:sz="0" w:space="0" w:color="auto"/>
        <w:bottom w:val="none" w:sz="0" w:space="0" w:color="auto"/>
        <w:right w:val="none" w:sz="0" w:space="0" w:color="auto"/>
      </w:divBdr>
    </w:div>
    <w:div w:id="1300647394">
      <w:bodyDiv w:val="1"/>
      <w:marLeft w:val="0"/>
      <w:marRight w:val="0"/>
      <w:marTop w:val="0"/>
      <w:marBottom w:val="0"/>
      <w:divBdr>
        <w:top w:val="none" w:sz="0" w:space="0" w:color="auto"/>
        <w:left w:val="none" w:sz="0" w:space="0" w:color="auto"/>
        <w:bottom w:val="none" w:sz="0" w:space="0" w:color="auto"/>
        <w:right w:val="none" w:sz="0" w:space="0" w:color="auto"/>
      </w:divBdr>
      <w:divsChild>
        <w:div w:id="966617674">
          <w:marLeft w:val="480"/>
          <w:marRight w:val="0"/>
          <w:marTop w:val="0"/>
          <w:marBottom w:val="0"/>
          <w:divBdr>
            <w:top w:val="none" w:sz="0" w:space="0" w:color="auto"/>
            <w:left w:val="none" w:sz="0" w:space="0" w:color="auto"/>
            <w:bottom w:val="none" w:sz="0" w:space="0" w:color="auto"/>
            <w:right w:val="none" w:sz="0" w:space="0" w:color="auto"/>
          </w:divBdr>
          <w:divsChild>
            <w:div w:id="18128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3176">
      <w:bodyDiv w:val="1"/>
      <w:marLeft w:val="0"/>
      <w:marRight w:val="0"/>
      <w:marTop w:val="0"/>
      <w:marBottom w:val="0"/>
      <w:divBdr>
        <w:top w:val="none" w:sz="0" w:space="0" w:color="auto"/>
        <w:left w:val="none" w:sz="0" w:space="0" w:color="auto"/>
        <w:bottom w:val="none" w:sz="0" w:space="0" w:color="auto"/>
        <w:right w:val="none" w:sz="0" w:space="0" w:color="auto"/>
      </w:divBdr>
      <w:divsChild>
        <w:div w:id="2116706336">
          <w:marLeft w:val="480"/>
          <w:marRight w:val="0"/>
          <w:marTop w:val="0"/>
          <w:marBottom w:val="0"/>
          <w:divBdr>
            <w:top w:val="none" w:sz="0" w:space="0" w:color="auto"/>
            <w:left w:val="none" w:sz="0" w:space="0" w:color="auto"/>
            <w:bottom w:val="none" w:sz="0" w:space="0" w:color="auto"/>
            <w:right w:val="none" w:sz="0" w:space="0" w:color="auto"/>
          </w:divBdr>
          <w:divsChild>
            <w:div w:id="785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61936062">
      <w:bodyDiv w:val="1"/>
      <w:marLeft w:val="0"/>
      <w:marRight w:val="0"/>
      <w:marTop w:val="0"/>
      <w:marBottom w:val="0"/>
      <w:divBdr>
        <w:top w:val="none" w:sz="0" w:space="0" w:color="auto"/>
        <w:left w:val="none" w:sz="0" w:space="0" w:color="auto"/>
        <w:bottom w:val="none" w:sz="0" w:space="0" w:color="auto"/>
        <w:right w:val="none" w:sz="0" w:space="0" w:color="auto"/>
      </w:divBdr>
    </w:div>
    <w:div w:id="1393892005">
      <w:bodyDiv w:val="1"/>
      <w:marLeft w:val="0"/>
      <w:marRight w:val="0"/>
      <w:marTop w:val="0"/>
      <w:marBottom w:val="0"/>
      <w:divBdr>
        <w:top w:val="none" w:sz="0" w:space="0" w:color="auto"/>
        <w:left w:val="none" w:sz="0" w:space="0" w:color="auto"/>
        <w:bottom w:val="none" w:sz="0" w:space="0" w:color="auto"/>
        <w:right w:val="none" w:sz="0" w:space="0" w:color="auto"/>
      </w:divBdr>
      <w:divsChild>
        <w:div w:id="456337776">
          <w:marLeft w:val="480"/>
          <w:marRight w:val="0"/>
          <w:marTop w:val="0"/>
          <w:marBottom w:val="0"/>
          <w:divBdr>
            <w:top w:val="none" w:sz="0" w:space="0" w:color="auto"/>
            <w:left w:val="none" w:sz="0" w:space="0" w:color="auto"/>
            <w:bottom w:val="none" w:sz="0" w:space="0" w:color="auto"/>
            <w:right w:val="none" w:sz="0" w:space="0" w:color="auto"/>
          </w:divBdr>
          <w:divsChild>
            <w:div w:id="17875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1653">
      <w:bodyDiv w:val="1"/>
      <w:marLeft w:val="0"/>
      <w:marRight w:val="0"/>
      <w:marTop w:val="0"/>
      <w:marBottom w:val="0"/>
      <w:divBdr>
        <w:top w:val="none" w:sz="0" w:space="0" w:color="auto"/>
        <w:left w:val="none" w:sz="0" w:space="0" w:color="auto"/>
        <w:bottom w:val="none" w:sz="0" w:space="0" w:color="auto"/>
        <w:right w:val="none" w:sz="0" w:space="0" w:color="auto"/>
      </w:divBdr>
      <w:divsChild>
        <w:div w:id="1980381147">
          <w:marLeft w:val="0"/>
          <w:marRight w:val="0"/>
          <w:marTop w:val="0"/>
          <w:marBottom w:val="0"/>
          <w:divBdr>
            <w:top w:val="single" w:sz="6" w:space="2" w:color="AAAAAA"/>
            <w:left w:val="single" w:sz="6" w:space="2" w:color="AAAAAA"/>
            <w:bottom w:val="single" w:sz="6" w:space="2" w:color="AAAAAA"/>
            <w:right w:val="single" w:sz="6" w:space="2" w:color="AAAAAA"/>
          </w:divBdr>
          <w:divsChild>
            <w:div w:id="874002676">
              <w:marLeft w:val="0"/>
              <w:marRight w:val="0"/>
              <w:marTop w:val="0"/>
              <w:marBottom w:val="0"/>
              <w:divBdr>
                <w:top w:val="none" w:sz="0" w:space="0" w:color="auto"/>
                <w:left w:val="none" w:sz="0" w:space="0" w:color="auto"/>
                <w:bottom w:val="none" w:sz="0" w:space="0" w:color="auto"/>
                <w:right w:val="none" w:sz="0" w:space="0" w:color="auto"/>
              </w:divBdr>
              <w:divsChild>
                <w:div w:id="757215387">
                  <w:marLeft w:val="0"/>
                  <w:marRight w:val="0"/>
                  <w:marTop w:val="0"/>
                  <w:marBottom w:val="0"/>
                  <w:divBdr>
                    <w:top w:val="none" w:sz="0" w:space="0" w:color="auto"/>
                    <w:left w:val="none" w:sz="0" w:space="0" w:color="auto"/>
                    <w:bottom w:val="none" w:sz="0" w:space="0" w:color="auto"/>
                    <w:right w:val="none" w:sz="0" w:space="0" w:color="auto"/>
                  </w:divBdr>
                  <w:divsChild>
                    <w:div w:id="184563090">
                      <w:marLeft w:val="75"/>
                      <w:marRight w:val="75"/>
                      <w:marTop w:val="75"/>
                      <w:marBottom w:val="75"/>
                      <w:divBdr>
                        <w:top w:val="single" w:sz="6" w:space="2" w:color="D5D5D5"/>
                        <w:left w:val="single" w:sz="6" w:space="2" w:color="D5D5D5"/>
                        <w:bottom w:val="single" w:sz="6" w:space="2" w:color="D5D5D5"/>
                        <w:right w:val="single" w:sz="6" w:space="2" w:color="D5D5D5"/>
                      </w:divBdr>
                      <w:divsChild>
                        <w:div w:id="1526627720">
                          <w:marLeft w:val="0"/>
                          <w:marRight w:val="0"/>
                          <w:marTop w:val="0"/>
                          <w:marBottom w:val="0"/>
                          <w:divBdr>
                            <w:top w:val="none" w:sz="0" w:space="0" w:color="auto"/>
                            <w:left w:val="none" w:sz="0" w:space="0" w:color="auto"/>
                            <w:bottom w:val="none" w:sz="0" w:space="0" w:color="auto"/>
                            <w:right w:val="none" w:sz="0" w:space="0" w:color="auto"/>
                          </w:divBdr>
                          <w:divsChild>
                            <w:div w:id="1563639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361700">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476147437">
      <w:bodyDiv w:val="1"/>
      <w:marLeft w:val="0"/>
      <w:marRight w:val="0"/>
      <w:marTop w:val="0"/>
      <w:marBottom w:val="0"/>
      <w:divBdr>
        <w:top w:val="none" w:sz="0" w:space="0" w:color="auto"/>
        <w:left w:val="none" w:sz="0" w:space="0" w:color="auto"/>
        <w:bottom w:val="none" w:sz="0" w:space="0" w:color="auto"/>
        <w:right w:val="none" w:sz="0" w:space="0" w:color="auto"/>
      </w:divBdr>
      <w:divsChild>
        <w:div w:id="109084396">
          <w:marLeft w:val="0"/>
          <w:marRight w:val="0"/>
          <w:marTop w:val="0"/>
          <w:marBottom w:val="0"/>
          <w:divBdr>
            <w:top w:val="single" w:sz="6" w:space="2" w:color="AAAAAA"/>
            <w:left w:val="single" w:sz="6" w:space="2" w:color="AAAAAA"/>
            <w:bottom w:val="single" w:sz="6" w:space="2" w:color="AAAAAA"/>
            <w:right w:val="single" w:sz="6" w:space="2" w:color="AAAAAA"/>
          </w:divBdr>
          <w:divsChild>
            <w:div w:id="2043554946">
              <w:marLeft w:val="0"/>
              <w:marRight w:val="0"/>
              <w:marTop w:val="0"/>
              <w:marBottom w:val="0"/>
              <w:divBdr>
                <w:top w:val="none" w:sz="0" w:space="0" w:color="auto"/>
                <w:left w:val="none" w:sz="0" w:space="0" w:color="auto"/>
                <w:bottom w:val="none" w:sz="0" w:space="0" w:color="auto"/>
                <w:right w:val="none" w:sz="0" w:space="0" w:color="auto"/>
              </w:divBdr>
              <w:divsChild>
                <w:div w:id="663049195">
                  <w:marLeft w:val="0"/>
                  <w:marRight w:val="0"/>
                  <w:marTop w:val="0"/>
                  <w:marBottom w:val="0"/>
                  <w:divBdr>
                    <w:top w:val="none" w:sz="0" w:space="0" w:color="auto"/>
                    <w:left w:val="none" w:sz="0" w:space="0" w:color="auto"/>
                    <w:bottom w:val="none" w:sz="0" w:space="0" w:color="auto"/>
                    <w:right w:val="none" w:sz="0" w:space="0" w:color="auto"/>
                  </w:divBdr>
                  <w:divsChild>
                    <w:div w:id="1525553915">
                      <w:marLeft w:val="75"/>
                      <w:marRight w:val="75"/>
                      <w:marTop w:val="75"/>
                      <w:marBottom w:val="75"/>
                      <w:divBdr>
                        <w:top w:val="single" w:sz="6" w:space="2" w:color="D5D5D5"/>
                        <w:left w:val="single" w:sz="6" w:space="2" w:color="D5D5D5"/>
                        <w:bottom w:val="single" w:sz="6" w:space="2" w:color="D5D5D5"/>
                        <w:right w:val="single" w:sz="6" w:space="2" w:color="D5D5D5"/>
                      </w:divBdr>
                      <w:divsChild>
                        <w:div w:id="1750812162">
                          <w:marLeft w:val="0"/>
                          <w:marRight w:val="0"/>
                          <w:marTop w:val="0"/>
                          <w:marBottom w:val="0"/>
                          <w:divBdr>
                            <w:top w:val="none" w:sz="0" w:space="0" w:color="auto"/>
                            <w:left w:val="none" w:sz="0" w:space="0" w:color="auto"/>
                            <w:bottom w:val="none" w:sz="0" w:space="0" w:color="auto"/>
                            <w:right w:val="none" w:sz="0" w:space="0" w:color="auto"/>
                          </w:divBdr>
                          <w:divsChild>
                            <w:div w:id="16559834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220803">
      <w:bodyDiv w:val="1"/>
      <w:marLeft w:val="0"/>
      <w:marRight w:val="0"/>
      <w:marTop w:val="0"/>
      <w:marBottom w:val="0"/>
      <w:divBdr>
        <w:top w:val="none" w:sz="0" w:space="0" w:color="auto"/>
        <w:left w:val="none" w:sz="0" w:space="0" w:color="auto"/>
        <w:bottom w:val="none" w:sz="0" w:space="0" w:color="auto"/>
        <w:right w:val="none" w:sz="0" w:space="0" w:color="auto"/>
      </w:divBdr>
      <w:divsChild>
        <w:div w:id="1762290651">
          <w:marLeft w:val="480"/>
          <w:marRight w:val="0"/>
          <w:marTop w:val="0"/>
          <w:marBottom w:val="0"/>
          <w:divBdr>
            <w:top w:val="none" w:sz="0" w:space="0" w:color="auto"/>
            <w:left w:val="none" w:sz="0" w:space="0" w:color="auto"/>
            <w:bottom w:val="none" w:sz="0" w:space="0" w:color="auto"/>
            <w:right w:val="none" w:sz="0" w:space="0" w:color="auto"/>
          </w:divBdr>
          <w:divsChild>
            <w:div w:id="3399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5298">
      <w:bodyDiv w:val="1"/>
      <w:marLeft w:val="0"/>
      <w:marRight w:val="0"/>
      <w:marTop w:val="0"/>
      <w:marBottom w:val="0"/>
      <w:divBdr>
        <w:top w:val="none" w:sz="0" w:space="0" w:color="auto"/>
        <w:left w:val="none" w:sz="0" w:space="0" w:color="auto"/>
        <w:bottom w:val="none" w:sz="0" w:space="0" w:color="auto"/>
        <w:right w:val="none" w:sz="0" w:space="0" w:color="auto"/>
      </w:divBdr>
      <w:divsChild>
        <w:div w:id="312418659">
          <w:marLeft w:val="0"/>
          <w:marRight w:val="0"/>
          <w:marTop w:val="0"/>
          <w:marBottom w:val="0"/>
          <w:divBdr>
            <w:top w:val="single" w:sz="6" w:space="2" w:color="AAAAAA"/>
            <w:left w:val="single" w:sz="6" w:space="2" w:color="AAAAAA"/>
            <w:bottom w:val="single" w:sz="6" w:space="2" w:color="AAAAAA"/>
            <w:right w:val="single" w:sz="6" w:space="2" w:color="AAAAAA"/>
          </w:divBdr>
          <w:divsChild>
            <w:div w:id="584534372">
              <w:marLeft w:val="0"/>
              <w:marRight w:val="0"/>
              <w:marTop w:val="0"/>
              <w:marBottom w:val="0"/>
              <w:divBdr>
                <w:top w:val="none" w:sz="0" w:space="0" w:color="auto"/>
                <w:left w:val="none" w:sz="0" w:space="0" w:color="auto"/>
                <w:bottom w:val="none" w:sz="0" w:space="0" w:color="auto"/>
                <w:right w:val="none" w:sz="0" w:space="0" w:color="auto"/>
              </w:divBdr>
              <w:divsChild>
                <w:div w:id="1468351300">
                  <w:marLeft w:val="0"/>
                  <w:marRight w:val="0"/>
                  <w:marTop w:val="0"/>
                  <w:marBottom w:val="0"/>
                  <w:divBdr>
                    <w:top w:val="none" w:sz="0" w:space="0" w:color="auto"/>
                    <w:left w:val="none" w:sz="0" w:space="0" w:color="auto"/>
                    <w:bottom w:val="none" w:sz="0" w:space="0" w:color="auto"/>
                    <w:right w:val="none" w:sz="0" w:space="0" w:color="auto"/>
                  </w:divBdr>
                  <w:divsChild>
                    <w:div w:id="502352707">
                      <w:marLeft w:val="75"/>
                      <w:marRight w:val="75"/>
                      <w:marTop w:val="75"/>
                      <w:marBottom w:val="75"/>
                      <w:divBdr>
                        <w:top w:val="single" w:sz="6" w:space="2" w:color="D5D5D5"/>
                        <w:left w:val="single" w:sz="6" w:space="2" w:color="D5D5D5"/>
                        <w:bottom w:val="single" w:sz="6" w:space="2" w:color="D5D5D5"/>
                        <w:right w:val="single" w:sz="6" w:space="2" w:color="D5D5D5"/>
                      </w:divBdr>
                      <w:divsChild>
                        <w:div w:id="798259910">
                          <w:marLeft w:val="0"/>
                          <w:marRight w:val="0"/>
                          <w:marTop w:val="0"/>
                          <w:marBottom w:val="0"/>
                          <w:divBdr>
                            <w:top w:val="none" w:sz="0" w:space="0" w:color="auto"/>
                            <w:left w:val="none" w:sz="0" w:space="0" w:color="auto"/>
                            <w:bottom w:val="none" w:sz="0" w:space="0" w:color="auto"/>
                            <w:right w:val="none" w:sz="0" w:space="0" w:color="auto"/>
                          </w:divBdr>
                          <w:divsChild>
                            <w:div w:id="15329610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515208">
      <w:bodyDiv w:val="1"/>
      <w:marLeft w:val="0"/>
      <w:marRight w:val="0"/>
      <w:marTop w:val="0"/>
      <w:marBottom w:val="0"/>
      <w:divBdr>
        <w:top w:val="none" w:sz="0" w:space="0" w:color="auto"/>
        <w:left w:val="none" w:sz="0" w:space="0" w:color="auto"/>
        <w:bottom w:val="none" w:sz="0" w:space="0" w:color="auto"/>
        <w:right w:val="none" w:sz="0" w:space="0" w:color="auto"/>
      </w:divBdr>
    </w:div>
    <w:div w:id="1512722855">
      <w:bodyDiv w:val="1"/>
      <w:marLeft w:val="0"/>
      <w:marRight w:val="0"/>
      <w:marTop w:val="0"/>
      <w:marBottom w:val="0"/>
      <w:divBdr>
        <w:top w:val="none" w:sz="0" w:space="0" w:color="auto"/>
        <w:left w:val="none" w:sz="0" w:space="0" w:color="auto"/>
        <w:bottom w:val="none" w:sz="0" w:space="0" w:color="auto"/>
        <w:right w:val="none" w:sz="0" w:space="0" w:color="auto"/>
      </w:divBdr>
    </w:div>
    <w:div w:id="1622883425">
      <w:bodyDiv w:val="1"/>
      <w:marLeft w:val="0"/>
      <w:marRight w:val="0"/>
      <w:marTop w:val="0"/>
      <w:marBottom w:val="0"/>
      <w:divBdr>
        <w:top w:val="none" w:sz="0" w:space="0" w:color="auto"/>
        <w:left w:val="none" w:sz="0" w:space="0" w:color="auto"/>
        <w:bottom w:val="none" w:sz="0" w:space="0" w:color="auto"/>
        <w:right w:val="none" w:sz="0" w:space="0" w:color="auto"/>
      </w:divBdr>
    </w:div>
    <w:div w:id="1712875705">
      <w:bodyDiv w:val="1"/>
      <w:marLeft w:val="0"/>
      <w:marRight w:val="0"/>
      <w:marTop w:val="0"/>
      <w:marBottom w:val="0"/>
      <w:divBdr>
        <w:top w:val="none" w:sz="0" w:space="0" w:color="auto"/>
        <w:left w:val="none" w:sz="0" w:space="0" w:color="auto"/>
        <w:bottom w:val="none" w:sz="0" w:space="0" w:color="auto"/>
        <w:right w:val="none" w:sz="0" w:space="0" w:color="auto"/>
      </w:divBdr>
      <w:divsChild>
        <w:div w:id="1172835852">
          <w:marLeft w:val="480"/>
          <w:marRight w:val="0"/>
          <w:marTop w:val="0"/>
          <w:marBottom w:val="0"/>
          <w:divBdr>
            <w:top w:val="none" w:sz="0" w:space="0" w:color="auto"/>
            <w:left w:val="none" w:sz="0" w:space="0" w:color="auto"/>
            <w:bottom w:val="none" w:sz="0" w:space="0" w:color="auto"/>
            <w:right w:val="none" w:sz="0" w:space="0" w:color="auto"/>
          </w:divBdr>
          <w:divsChild>
            <w:div w:id="5851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6107">
      <w:bodyDiv w:val="1"/>
      <w:marLeft w:val="0"/>
      <w:marRight w:val="0"/>
      <w:marTop w:val="0"/>
      <w:marBottom w:val="0"/>
      <w:divBdr>
        <w:top w:val="none" w:sz="0" w:space="0" w:color="auto"/>
        <w:left w:val="none" w:sz="0" w:space="0" w:color="auto"/>
        <w:bottom w:val="none" w:sz="0" w:space="0" w:color="auto"/>
        <w:right w:val="none" w:sz="0" w:space="0" w:color="auto"/>
      </w:divBdr>
      <w:divsChild>
        <w:div w:id="130825503">
          <w:marLeft w:val="480"/>
          <w:marRight w:val="0"/>
          <w:marTop w:val="0"/>
          <w:marBottom w:val="0"/>
          <w:divBdr>
            <w:top w:val="none" w:sz="0" w:space="0" w:color="auto"/>
            <w:left w:val="none" w:sz="0" w:space="0" w:color="auto"/>
            <w:bottom w:val="none" w:sz="0" w:space="0" w:color="auto"/>
            <w:right w:val="none" w:sz="0" w:space="0" w:color="auto"/>
          </w:divBdr>
          <w:divsChild>
            <w:div w:id="488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1255">
      <w:bodyDiv w:val="1"/>
      <w:marLeft w:val="0"/>
      <w:marRight w:val="0"/>
      <w:marTop w:val="0"/>
      <w:marBottom w:val="0"/>
      <w:divBdr>
        <w:top w:val="none" w:sz="0" w:space="0" w:color="auto"/>
        <w:left w:val="none" w:sz="0" w:space="0" w:color="auto"/>
        <w:bottom w:val="none" w:sz="0" w:space="0" w:color="auto"/>
        <w:right w:val="none" w:sz="0" w:space="0" w:color="auto"/>
      </w:divBdr>
    </w:div>
    <w:div w:id="1725987723">
      <w:bodyDiv w:val="1"/>
      <w:marLeft w:val="0"/>
      <w:marRight w:val="0"/>
      <w:marTop w:val="0"/>
      <w:marBottom w:val="0"/>
      <w:divBdr>
        <w:top w:val="none" w:sz="0" w:space="0" w:color="auto"/>
        <w:left w:val="none" w:sz="0" w:space="0" w:color="auto"/>
        <w:bottom w:val="none" w:sz="0" w:space="0" w:color="auto"/>
        <w:right w:val="none" w:sz="0" w:space="0" w:color="auto"/>
      </w:divBdr>
      <w:divsChild>
        <w:div w:id="1224873091">
          <w:marLeft w:val="480"/>
          <w:marRight w:val="0"/>
          <w:marTop w:val="0"/>
          <w:marBottom w:val="0"/>
          <w:divBdr>
            <w:top w:val="none" w:sz="0" w:space="0" w:color="auto"/>
            <w:left w:val="none" w:sz="0" w:space="0" w:color="auto"/>
            <w:bottom w:val="none" w:sz="0" w:space="0" w:color="auto"/>
            <w:right w:val="none" w:sz="0" w:space="0" w:color="auto"/>
          </w:divBdr>
          <w:divsChild>
            <w:div w:id="11174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59209928">
      <w:bodyDiv w:val="1"/>
      <w:marLeft w:val="0"/>
      <w:marRight w:val="0"/>
      <w:marTop w:val="0"/>
      <w:marBottom w:val="0"/>
      <w:divBdr>
        <w:top w:val="none" w:sz="0" w:space="0" w:color="auto"/>
        <w:left w:val="none" w:sz="0" w:space="0" w:color="auto"/>
        <w:bottom w:val="none" w:sz="0" w:space="0" w:color="auto"/>
        <w:right w:val="none" w:sz="0" w:space="0" w:color="auto"/>
      </w:divBdr>
      <w:divsChild>
        <w:div w:id="1591044630">
          <w:marLeft w:val="480"/>
          <w:marRight w:val="0"/>
          <w:marTop w:val="0"/>
          <w:marBottom w:val="0"/>
          <w:divBdr>
            <w:top w:val="none" w:sz="0" w:space="0" w:color="auto"/>
            <w:left w:val="none" w:sz="0" w:space="0" w:color="auto"/>
            <w:bottom w:val="none" w:sz="0" w:space="0" w:color="auto"/>
            <w:right w:val="none" w:sz="0" w:space="0" w:color="auto"/>
          </w:divBdr>
          <w:divsChild>
            <w:div w:id="8577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1981">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781484286">
      <w:bodyDiv w:val="1"/>
      <w:marLeft w:val="0"/>
      <w:marRight w:val="0"/>
      <w:marTop w:val="0"/>
      <w:marBottom w:val="0"/>
      <w:divBdr>
        <w:top w:val="none" w:sz="0" w:space="0" w:color="auto"/>
        <w:left w:val="none" w:sz="0" w:space="0" w:color="auto"/>
        <w:bottom w:val="none" w:sz="0" w:space="0" w:color="auto"/>
        <w:right w:val="none" w:sz="0" w:space="0" w:color="auto"/>
      </w:divBdr>
      <w:divsChild>
        <w:div w:id="619801664">
          <w:marLeft w:val="480"/>
          <w:marRight w:val="0"/>
          <w:marTop w:val="0"/>
          <w:marBottom w:val="0"/>
          <w:divBdr>
            <w:top w:val="none" w:sz="0" w:space="0" w:color="auto"/>
            <w:left w:val="none" w:sz="0" w:space="0" w:color="auto"/>
            <w:bottom w:val="none" w:sz="0" w:space="0" w:color="auto"/>
            <w:right w:val="none" w:sz="0" w:space="0" w:color="auto"/>
          </w:divBdr>
          <w:divsChild>
            <w:div w:id="172787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90285">
      <w:bodyDiv w:val="1"/>
      <w:marLeft w:val="0"/>
      <w:marRight w:val="0"/>
      <w:marTop w:val="0"/>
      <w:marBottom w:val="0"/>
      <w:divBdr>
        <w:top w:val="none" w:sz="0" w:space="0" w:color="auto"/>
        <w:left w:val="none" w:sz="0" w:space="0" w:color="auto"/>
        <w:bottom w:val="none" w:sz="0" w:space="0" w:color="auto"/>
        <w:right w:val="none" w:sz="0" w:space="0" w:color="auto"/>
      </w:divBdr>
    </w:div>
    <w:div w:id="1875729967">
      <w:bodyDiv w:val="1"/>
      <w:marLeft w:val="0"/>
      <w:marRight w:val="0"/>
      <w:marTop w:val="0"/>
      <w:marBottom w:val="0"/>
      <w:divBdr>
        <w:top w:val="none" w:sz="0" w:space="0" w:color="auto"/>
        <w:left w:val="none" w:sz="0" w:space="0" w:color="auto"/>
        <w:bottom w:val="none" w:sz="0" w:space="0" w:color="auto"/>
        <w:right w:val="none" w:sz="0" w:space="0" w:color="auto"/>
      </w:divBdr>
    </w:div>
    <w:div w:id="1888101194">
      <w:bodyDiv w:val="1"/>
      <w:marLeft w:val="0"/>
      <w:marRight w:val="0"/>
      <w:marTop w:val="0"/>
      <w:marBottom w:val="0"/>
      <w:divBdr>
        <w:top w:val="none" w:sz="0" w:space="0" w:color="auto"/>
        <w:left w:val="none" w:sz="0" w:space="0" w:color="auto"/>
        <w:bottom w:val="none" w:sz="0" w:space="0" w:color="auto"/>
        <w:right w:val="none" w:sz="0" w:space="0" w:color="auto"/>
      </w:divBdr>
    </w:div>
    <w:div w:id="1905097540">
      <w:bodyDiv w:val="1"/>
      <w:marLeft w:val="0"/>
      <w:marRight w:val="0"/>
      <w:marTop w:val="0"/>
      <w:marBottom w:val="0"/>
      <w:divBdr>
        <w:top w:val="none" w:sz="0" w:space="0" w:color="auto"/>
        <w:left w:val="none" w:sz="0" w:space="0" w:color="auto"/>
        <w:bottom w:val="none" w:sz="0" w:space="0" w:color="auto"/>
        <w:right w:val="none" w:sz="0" w:space="0" w:color="auto"/>
      </w:divBdr>
      <w:divsChild>
        <w:div w:id="1071150962">
          <w:marLeft w:val="480"/>
          <w:marRight w:val="0"/>
          <w:marTop w:val="0"/>
          <w:marBottom w:val="0"/>
          <w:divBdr>
            <w:top w:val="none" w:sz="0" w:space="0" w:color="auto"/>
            <w:left w:val="none" w:sz="0" w:space="0" w:color="auto"/>
            <w:bottom w:val="none" w:sz="0" w:space="0" w:color="auto"/>
            <w:right w:val="none" w:sz="0" w:space="0" w:color="auto"/>
          </w:divBdr>
          <w:divsChild>
            <w:div w:id="6697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49727180">
      <w:bodyDiv w:val="1"/>
      <w:marLeft w:val="0"/>
      <w:marRight w:val="0"/>
      <w:marTop w:val="0"/>
      <w:marBottom w:val="0"/>
      <w:divBdr>
        <w:top w:val="none" w:sz="0" w:space="0" w:color="auto"/>
        <w:left w:val="none" w:sz="0" w:space="0" w:color="auto"/>
        <w:bottom w:val="none" w:sz="0" w:space="0" w:color="auto"/>
        <w:right w:val="none" w:sz="0" w:space="0" w:color="auto"/>
      </w:divBdr>
    </w:div>
    <w:div w:id="2000499595">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074886824">
      <w:bodyDiv w:val="1"/>
      <w:marLeft w:val="0"/>
      <w:marRight w:val="0"/>
      <w:marTop w:val="0"/>
      <w:marBottom w:val="0"/>
      <w:divBdr>
        <w:top w:val="none" w:sz="0" w:space="0" w:color="auto"/>
        <w:left w:val="none" w:sz="0" w:space="0" w:color="auto"/>
        <w:bottom w:val="none" w:sz="0" w:space="0" w:color="auto"/>
        <w:right w:val="none" w:sz="0" w:space="0" w:color="auto"/>
      </w:divBdr>
    </w:div>
    <w:div w:id="2111966250">
      <w:bodyDiv w:val="1"/>
      <w:marLeft w:val="0"/>
      <w:marRight w:val="0"/>
      <w:marTop w:val="0"/>
      <w:marBottom w:val="0"/>
      <w:divBdr>
        <w:top w:val="none" w:sz="0" w:space="0" w:color="auto"/>
        <w:left w:val="none" w:sz="0" w:space="0" w:color="auto"/>
        <w:bottom w:val="none" w:sz="0" w:space="0" w:color="auto"/>
        <w:right w:val="none" w:sz="0" w:space="0" w:color="auto"/>
      </w:divBdr>
    </w:div>
    <w:div w:id="21244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nfo@drawdown.org"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10.jpg"/><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8.png"/><Relationship Id="rId10" Type="http://schemas.openxmlformats.org/officeDocument/2006/relationships/hyperlink" Target="mailto:info@drawdown.org"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E461C074-6709-A44B-B310-42C2680F2EBE}">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4</TotalTime>
  <Pages>12</Pages>
  <Words>10322</Words>
  <Characters>58836</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vijay negi</cp:lastModifiedBy>
  <cp:revision>6</cp:revision>
  <cp:lastPrinted>2018-07-24T17:02:00Z</cp:lastPrinted>
  <dcterms:created xsi:type="dcterms:W3CDTF">2019-06-08T20:36:00Z</dcterms:created>
  <dcterms:modified xsi:type="dcterms:W3CDTF">2021-11-30T19:31:00Z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zotero-version="5.0.58"&gt;&lt;session id="Asau4ExD"/&gt;&lt;style id="http://www.zotero.org/styles/american-anthropological-association" hasBibliography="1" bibliographyStyleHasBeenSet="1"/&gt;&lt;prefs&gt;&lt;pref name="fieldType" value="Field"/&gt;&lt;pref na</vt:lpwstr>
  </property>
  <property fmtid="{D5CDD505-2E9C-101B-9397-08002B2CF9AE}" pid="4" name="ZOTERO_PREF_2">
    <vt:lpwstr>me="automaticJournalAbbreviations" value="true"/&gt;&lt;/prefs&gt;&lt;/data&gt;</vt:lpwstr>
  </property>
</Properties>
</file>