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AF41A6" w:rsidRDefault="00630CD1" w:rsidP="00EB247F">
      <w:pPr>
        <w:pStyle w:val="TableofFigures"/>
        <w:tabs>
          <w:tab w:val="right" w:leader="dot" w:pos="9350"/>
        </w:tabs>
        <w:rPr>
          <w:rStyle w:val="Hyperlink"/>
        </w:rPr>
      </w:pPr>
      <w:r w:rsidRPr="00AF41A6">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8C45A8" w:rsidRPr="00E91BE1" w:rsidRDefault="008C45A8"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1CB1126E" w:rsidR="008C45A8" w:rsidRPr="00E91BE1" w:rsidRDefault="008C45A8"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Oil and Gas Methane Management</w:t>
                            </w:r>
                          </w:p>
                          <w:p w14:paraId="6774E85B" w14:textId="77777777" w:rsidR="008C45A8" w:rsidRPr="00EB247F" w:rsidRDefault="008C45A8" w:rsidP="00EB247F">
                            <w:pPr>
                              <w:spacing w:line="240" w:lineRule="auto"/>
                              <w:jc w:val="center"/>
                              <w:rPr>
                                <w:rFonts w:cs="Times New Roman"/>
                                <w:smallCaps/>
                                <w:color w:val="404040" w:themeColor="text1" w:themeTint="BF"/>
                                <w:sz w:val="36"/>
                                <w:szCs w:val="36"/>
                              </w:rPr>
                            </w:pPr>
                          </w:p>
                          <w:p w14:paraId="4699D449" w14:textId="0440C4C8" w:rsidR="008C45A8" w:rsidRPr="00E91BE1" w:rsidRDefault="008C45A8"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Energy</w:t>
                            </w:r>
                          </w:p>
                          <w:p w14:paraId="1671E118" w14:textId="09287D06" w:rsidR="008C45A8" w:rsidRPr="00E91BE1" w:rsidRDefault="008C45A8"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Utilities and industries</w:t>
                            </w:r>
                          </w:p>
                          <w:p w14:paraId="29D510C4" w14:textId="7129D1FF" w:rsidR="008C45A8" w:rsidRPr="00E91BE1" w:rsidRDefault="008C45A8"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methane, natural gas, infrastructure, fossil fuels</w:t>
                            </w:r>
                          </w:p>
                          <w:p w14:paraId="6DF0E7C6" w14:textId="77777777" w:rsidR="008C45A8" w:rsidRDefault="008C45A8" w:rsidP="00FB2C53"/>
                          <w:p w14:paraId="4DF87617" w14:textId="77777777" w:rsidR="008C45A8" w:rsidRDefault="008C45A8" w:rsidP="00FB2C53"/>
                          <w:p w14:paraId="4FD71E35" w14:textId="77777777" w:rsidR="008C45A8" w:rsidRDefault="008C45A8" w:rsidP="00FB2C53"/>
                          <w:p w14:paraId="0AAEA688" w14:textId="77777777" w:rsidR="008C45A8" w:rsidRDefault="008C45A8" w:rsidP="00FB2C53"/>
                          <w:p w14:paraId="693769A0" w14:textId="1A7CA8E0" w:rsidR="008C45A8" w:rsidRPr="00E91BE1" w:rsidRDefault="009441A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JUNE 2021</w:t>
                            </w:r>
                          </w:p>
                          <w:p w14:paraId="0DDBFE23" w14:textId="77777777" w:rsidR="008C45A8" w:rsidRPr="000829DC" w:rsidRDefault="008C45A8" w:rsidP="00FB2C53"/>
                          <w:p w14:paraId="4BB1447A" w14:textId="77777777" w:rsidR="008C45A8" w:rsidRDefault="008C45A8" w:rsidP="00FB2C53"/>
                          <w:p w14:paraId="6A9CEC43" w14:textId="77777777" w:rsidR="008C45A8" w:rsidRDefault="008C45A8" w:rsidP="00FB2C53"/>
                          <w:p w14:paraId="2120AE6B" w14:textId="77777777" w:rsidR="008C45A8" w:rsidRDefault="008C45A8" w:rsidP="00FB2C53"/>
                          <w:p w14:paraId="7DCFFDCF" w14:textId="77777777" w:rsidR="008C45A8" w:rsidRDefault="008C45A8" w:rsidP="00FB2C53"/>
                          <w:p w14:paraId="2F48DE38" w14:textId="77777777" w:rsidR="008C45A8" w:rsidRPr="000829DC" w:rsidRDefault="008C45A8" w:rsidP="00FB2C53"/>
                          <w:p w14:paraId="1981D31A" w14:textId="77777777" w:rsidR="008C45A8" w:rsidRPr="00E91BE1" w:rsidRDefault="008C45A8"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248C4E3C" w14:textId="42C9D0B2" w:rsidR="008C45A8" w:rsidRPr="00E91BE1" w:rsidRDefault="008C45A8"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Jay Barlow, Research Fellow</w:t>
                            </w:r>
                          </w:p>
                          <w:p w14:paraId="6C4588F0" w14:textId="77777777" w:rsidR="008C45A8" w:rsidRPr="00EB247F" w:rsidRDefault="008C45A8" w:rsidP="000829DC">
                            <w:pPr>
                              <w:rPr>
                                <w:rFonts w:cs="Times New Roman"/>
                                <w:smallCaps/>
                                <w:color w:val="404040" w:themeColor="text1" w:themeTint="BF"/>
                              </w:rPr>
                            </w:pPr>
                          </w:p>
                          <w:p w14:paraId="1C3CFB47" w14:textId="77777777" w:rsidR="008C45A8" w:rsidRPr="00EB247F" w:rsidRDefault="008C45A8" w:rsidP="007864AB">
                            <w:pPr>
                              <w:rPr>
                                <w:rFonts w:cs="Times New Roman"/>
                                <w:smallCaps/>
                                <w:color w:val="404040" w:themeColor="text1" w:themeTint="BF"/>
                              </w:rPr>
                            </w:pPr>
                          </w:p>
                          <w:p w14:paraId="4481356F" w14:textId="6C098178" w:rsidR="008C45A8" w:rsidRPr="00EB247F" w:rsidRDefault="008C45A8" w:rsidP="007864AB">
                            <w:pPr>
                              <w:rPr>
                                <w:rFonts w:cs="Times New Roman"/>
                                <w:smallCaps/>
                                <w:color w:val="404040" w:themeColor="text1" w:themeTint="BF"/>
                              </w:rPr>
                            </w:pPr>
                            <w:r w:rsidRPr="00EB247F">
                              <w:rPr>
                                <w:rFonts w:cs="Times New Roman"/>
                                <w:noProof/>
                                <w:lang w:eastAsia="en-US"/>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8C45A8" w:rsidRPr="00E6531F" w:rsidRDefault="008C45A8"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8C45A8" w:rsidRPr="00E6531F" w:rsidRDefault="008C45A8" w:rsidP="00C81D94">
                            <w:pPr>
                              <w:rPr>
                                <w:rFonts w:cs="Times New Roman"/>
                                <w:smallCaps/>
                                <w:color w:val="404040" w:themeColor="text1" w:themeTint="BF"/>
                                <w:sz w:val="36"/>
                                <w:szCs w:val="36"/>
                                <w:lang w:val="pt-PT"/>
                              </w:rPr>
                            </w:pPr>
                          </w:p>
                          <w:p w14:paraId="3D97FBF6" w14:textId="77777777" w:rsidR="008C45A8" w:rsidRPr="00E6531F" w:rsidRDefault="008C45A8"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8C45A8" w:rsidRPr="00E91BE1" w:rsidRDefault="008C45A8"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1CB1126E" w:rsidR="008C45A8" w:rsidRPr="00E91BE1" w:rsidRDefault="008C45A8"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Oil and Gas Methane Management</w:t>
                      </w:r>
                    </w:p>
                    <w:p w14:paraId="6774E85B" w14:textId="77777777" w:rsidR="008C45A8" w:rsidRPr="00EB247F" w:rsidRDefault="008C45A8" w:rsidP="00EB247F">
                      <w:pPr>
                        <w:spacing w:line="240" w:lineRule="auto"/>
                        <w:jc w:val="center"/>
                        <w:rPr>
                          <w:rFonts w:cs="Times New Roman"/>
                          <w:smallCaps/>
                          <w:color w:val="404040" w:themeColor="text1" w:themeTint="BF"/>
                          <w:sz w:val="36"/>
                          <w:szCs w:val="36"/>
                        </w:rPr>
                      </w:pPr>
                    </w:p>
                    <w:p w14:paraId="4699D449" w14:textId="0440C4C8" w:rsidR="008C45A8" w:rsidRPr="00E91BE1" w:rsidRDefault="008C45A8"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Energy</w:t>
                      </w:r>
                    </w:p>
                    <w:p w14:paraId="1671E118" w14:textId="09287D06" w:rsidR="008C45A8" w:rsidRPr="00E91BE1" w:rsidRDefault="008C45A8"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Utilities and industries</w:t>
                      </w:r>
                    </w:p>
                    <w:p w14:paraId="29D510C4" w14:textId="7129D1FF" w:rsidR="008C45A8" w:rsidRPr="00E91BE1" w:rsidRDefault="008C45A8"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methane, natural gas, infrastructure, fossil fuels</w:t>
                      </w:r>
                    </w:p>
                    <w:p w14:paraId="6DF0E7C6" w14:textId="77777777" w:rsidR="008C45A8" w:rsidRDefault="008C45A8" w:rsidP="00FB2C53"/>
                    <w:p w14:paraId="4DF87617" w14:textId="77777777" w:rsidR="008C45A8" w:rsidRDefault="008C45A8" w:rsidP="00FB2C53"/>
                    <w:p w14:paraId="4FD71E35" w14:textId="77777777" w:rsidR="008C45A8" w:rsidRDefault="008C45A8" w:rsidP="00FB2C53"/>
                    <w:p w14:paraId="0AAEA688" w14:textId="77777777" w:rsidR="008C45A8" w:rsidRDefault="008C45A8" w:rsidP="00FB2C53"/>
                    <w:p w14:paraId="693769A0" w14:textId="1A7CA8E0" w:rsidR="008C45A8" w:rsidRPr="00E91BE1" w:rsidRDefault="009441A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JUNE 2021</w:t>
                      </w:r>
                    </w:p>
                    <w:p w14:paraId="0DDBFE23" w14:textId="77777777" w:rsidR="008C45A8" w:rsidRPr="000829DC" w:rsidRDefault="008C45A8" w:rsidP="00FB2C53"/>
                    <w:p w14:paraId="4BB1447A" w14:textId="77777777" w:rsidR="008C45A8" w:rsidRDefault="008C45A8" w:rsidP="00FB2C53"/>
                    <w:p w14:paraId="6A9CEC43" w14:textId="77777777" w:rsidR="008C45A8" w:rsidRDefault="008C45A8" w:rsidP="00FB2C53"/>
                    <w:p w14:paraId="2120AE6B" w14:textId="77777777" w:rsidR="008C45A8" w:rsidRDefault="008C45A8" w:rsidP="00FB2C53"/>
                    <w:p w14:paraId="7DCFFDCF" w14:textId="77777777" w:rsidR="008C45A8" w:rsidRDefault="008C45A8" w:rsidP="00FB2C53"/>
                    <w:p w14:paraId="2F48DE38" w14:textId="77777777" w:rsidR="008C45A8" w:rsidRPr="000829DC" w:rsidRDefault="008C45A8" w:rsidP="00FB2C53"/>
                    <w:p w14:paraId="1981D31A" w14:textId="77777777" w:rsidR="008C45A8" w:rsidRPr="00E91BE1" w:rsidRDefault="008C45A8"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248C4E3C" w14:textId="42C9D0B2" w:rsidR="008C45A8" w:rsidRPr="00E91BE1" w:rsidRDefault="008C45A8"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Jay Barlow, Research Fellow</w:t>
                      </w:r>
                    </w:p>
                    <w:p w14:paraId="6C4588F0" w14:textId="77777777" w:rsidR="008C45A8" w:rsidRPr="00EB247F" w:rsidRDefault="008C45A8" w:rsidP="000829DC">
                      <w:pPr>
                        <w:rPr>
                          <w:rFonts w:cs="Times New Roman"/>
                          <w:smallCaps/>
                          <w:color w:val="404040" w:themeColor="text1" w:themeTint="BF"/>
                        </w:rPr>
                      </w:pPr>
                    </w:p>
                    <w:p w14:paraId="1C3CFB47" w14:textId="77777777" w:rsidR="008C45A8" w:rsidRPr="00EB247F" w:rsidRDefault="008C45A8" w:rsidP="007864AB">
                      <w:pPr>
                        <w:rPr>
                          <w:rFonts w:cs="Times New Roman"/>
                          <w:smallCaps/>
                          <w:color w:val="404040" w:themeColor="text1" w:themeTint="BF"/>
                        </w:rPr>
                      </w:pPr>
                    </w:p>
                    <w:p w14:paraId="4481356F" w14:textId="6C098178" w:rsidR="008C45A8" w:rsidRPr="00EB247F" w:rsidRDefault="008C45A8" w:rsidP="007864AB">
                      <w:pPr>
                        <w:rPr>
                          <w:rFonts w:cs="Times New Roman"/>
                          <w:smallCaps/>
                          <w:color w:val="404040" w:themeColor="text1" w:themeTint="BF"/>
                        </w:rPr>
                      </w:pPr>
                      <w:r w:rsidRPr="00EB247F">
                        <w:rPr>
                          <w:rFonts w:cs="Times New Roman"/>
                          <w:noProof/>
                          <w:lang w:eastAsia="en-US"/>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8C45A8" w:rsidRPr="00E6531F" w:rsidRDefault="008C45A8"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3"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4"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8C45A8" w:rsidRPr="00E6531F" w:rsidRDefault="008C45A8" w:rsidP="00C81D94">
                      <w:pPr>
                        <w:rPr>
                          <w:rFonts w:cs="Times New Roman"/>
                          <w:smallCaps/>
                          <w:color w:val="404040" w:themeColor="text1" w:themeTint="BF"/>
                          <w:sz w:val="36"/>
                          <w:szCs w:val="36"/>
                          <w:lang w:val="pt-PT"/>
                        </w:rPr>
                      </w:pPr>
                    </w:p>
                    <w:p w14:paraId="3D97FBF6" w14:textId="77777777" w:rsidR="008C45A8" w:rsidRPr="00E6531F" w:rsidRDefault="008C45A8"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rPr>
      </w:sdtEndPr>
      <w:sdtContent>
        <w:p w14:paraId="62199C04" w14:textId="77777777" w:rsidR="00640665" w:rsidRPr="00AF41A6" w:rsidRDefault="551A77D0" w:rsidP="00EB247F">
          <w:pPr>
            <w:rPr>
              <w:rStyle w:val="Heading1Char"/>
            </w:rPr>
          </w:pPr>
          <w:r w:rsidRPr="00AF41A6">
            <w:rPr>
              <w:rStyle w:val="Heading1Char"/>
            </w:rPr>
            <w:t>Table of Contents</w:t>
          </w:r>
        </w:p>
        <w:p w14:paraId="723FE537" w14:textId="77777777" w:rsidR="00B1596A" w:rsidRDefault="00640665">
          <w:pPr>
            <w:pStyle w:val="TOC1"/>
            <w:tabs>
              <w:tab w:val="right" w:leader="dot" w:pos="9350"/>
            </w:tabs>
            <w:rPr>
              <w:rFonts w:asciiTheme="minorHAnsi" w:hAnsiTheme="minorHAnsi"/>
              <w:noProof/>
              <w:lang w:eastAsia="en-US"/>
            </w:rPr>
          </w:pPr>
          <w:r w:rsidRPr="00AF41A6">
            <w:fldChar w:fldCharType="begin"/>
          </w:r>
          <w:r w:rsidRPr="00AF41A6">
            <w:instrText xml:space="preserve"> TOC \o "1-3" \h \z \u </w:instrText>
          </w:r>
          <w:r w:rsidRPr="00AF41A6">
            <w:fldChar w:fldCharType="separate"/>
          </w:r>
          <w:hyperlink w:anchor="_Toc75953784" w:history="1">
            <w:r w:rsidR="00B1596A" w:rsidRPr="007C239B">
              <w:rPr>
                <w:rStyle w:val="Hyperlink"/>
                <w:noProof/>
              </w:rPr>
              <w:t>List of Figures</w:t>
            </w:r>
            <w:r w:rsidR="00B1596A">
              <w:rPr>
                <w:noProof/>
                <w:webHidden/>
              </w:rPr>
              <w:tab/>
            </w:r>
            <w:r w:rsidR="00B1596A">
              <w:rPr>
                <w:noProof/>
                <w:webHidden/>
              </w:rPr>
              <w:fldChar w:fldCharType="begin"/>
            </w:r>
            <w:r w:rsidR="00B1596A">
              <w:rPr>
                <w:noProof/>
                <w:webHidden/>
              </w:rPr>
              <w:instrText xml:space="preserve"> PAGEREF _Toc75953784 \h </w:instrText>
            </w:r>
            <w:r w:rsidR="00B1596A">
              <w:rPr>
                <w:noProof/>
                <w:webHidden/>
              </w:rPr>
            </w:r>
            <w:r w:rsidR="00B1596A">
              <w:rPr>
                <w:noProof/>
                <w:webHidden/>
              </w:rPr>
              <w:fldChar w:fldCharType="separate"/>
            </w:r>
            <w:r w:rsidR="00B1596A">
              <w:rPr>
                <w:noProof/>
                <w:webHidden/>
              </w:rPr>
              <w:t>IV</w:t>
            </w:r>
            <w:r w:rsidR="00B1596A">
              <w:rPr>
                <w:noProof/>
                <w:webHidden/>
              </w:rPr>
              <w:fldChar w:fldCharType="end"/>
            </w:r>
          </w:hyperlink>
        </w:p>
        <w:p w14:paraId="18496E70" w14:textId="77777777" w:rsidR="00B1596A" w:rsidRDefault="00351600">
          <w:pPr>
            <w:pStyle w:val="TOC1"/>
            <w:tabs>
              <w:tab w:val="right" w:leader="dot" w:pos="9350"/>
            </w:tabs>
            <w:rPr>
              <w:rFonts w:asciiTheme="minorHAnsi" w:hAnsiTheme="minorHAnsi"/>
              <w:noProof/>
              <w:lang w:eastAsia="en-US"/>
            </w:rPr>
          </w:pPr>
          <w:hyperlink w:anchor="_Toc75953785" w:history="1">
            <w:r w:rsidR="00B1596A" w:rsidRPr="007C239B">
              <w:rPr>
                <w:rStyle w:val="Hyperlink"/>
                <w:noProof/>
              </w:rPr>
              <w:t>List of Tables</w:t>
            </w:r>
            <w:r w:rsidR="00B1596A">
              <w:rPr>
                <w:noProof/>
                <w:webHidden/>
              </w:rPr>
              <w:tab/>
            </w:r>
            <w:r w:rsidR="00B1596A">
              <w:rPr>
                <w:noProof/>
                <w:webHidden/>
              </w:rPr>
              <w:fldChar w:fldCharType="begin"/>
            </w:r>
            <w:r w:rsidR="00B1596A">
              <w:rPr>
                <w:noProof/>
                <w:webHidden/>
              </w:rPr>
              <w:instrText xml:space="preserve"> PAGEREF _Toc75953785 \h </w:instrText>
            </w:r>
            <w:r w:rsidR="00B1596A">
              <w:rPr>
                <w:noProof/>
                <w:webHidden/>
              </w:rPr>
            </w:r>
            <w:r w:rsidR="00B1596A">
              <w:rPr>
                <w:noProof/>
                <w:webHidden/>
              </w:rPr>
              <w:fldChar w:fldCharType="separate"/>
            </w:r>
            <w:r w:rsidR="00B1596A">
              <w:rPr>
                <w:noProof/>
                <w:webHidden/>
              </w:rPr>
              <w:t>IV</w:t>
            </w:r>
            <w:r w:rsidR="00B1596A">
              <w:rPr>
                <w:noProof/>
                <w:webHidden/>
              </w:rPr>
              <w:fldChar w:fldCharType="end"/>
            </w:r>
          </w:hyperlink>
        </w:p>
        <w:p w14:paraId="541E711D" w14:textId="77777777" w:rsidR="00B1596A" w:rsidRDefault="00351600">
          <w:pPr>
            <w:pStyle w:val="TOC1"/>
            <w:tabs>
              <w:tab w:val="right" w:leader="dot" w:pos="9350"/>
            </w:tabs>
            <w:rPr>
              <w:rFonts w:asciiTheme="minorHAnsi" w:hAnsiTheme="minorHAnsi"/>
              <w:noProof/>
              <w:lang w:eastAsia="en-US"/>
            </w:rPr>
          </w:pPr>
          <w:hyperlink w:anchor="_Toc75953786" w:history="1">
            <w:r w:rsidR="00B1596A" w:rsidRPr="007C239B">
              <w:rPr>
                <w:rStyle w:val="Hyperlink"/>
                <w:noProof/>
              </w:rPr>
              <w:t>Acronyms and Symbols Used</w:t>
            </w:r>
            <w:r w:rsidR="00B1596A">
              <w:rPr>
                <w:noProof/>
                <w:webHidden/>
              </w:rPr>
              <w:tab/>
            </w:r>
            <w:r w:rsidR="00B1596A">
              <w:rPr>
                <w:noProof/>
                <w:webHidden/>
              </w:rPr>
              <w:fldChar w:fldCharType="begin"/>
            </w:r>
            <w:r w:rsidR="00B1596A">
              <w:rPr>
                <w:noProof/>
                <w:webHidden/>
              </w:rPr>
              <w:instrText xml:space="preserve"> PAGEREF _Toc75953786 \h </w:instrText>
            </w:r>
            <w:r w:rsidR="00B1596A">
              <w:rPr>
                <w:noProof/>
                <w:webHidden/>
              </w:rPr>
            </w:r>
            <w:r w:rsidR="00B1596A">
              <w:rPr>
                <w:noProof/>
                <w:webHidden/>
              </w:rPr>
              <w:fldChar w:fldCharType="separate"/>
            </w:r>
            <w:r w:rsidR="00B1596A">
              <w:rPr>
                <w:noProof/>
                <w:webHidden/>
              </w:rPr>
              <w:t>VI</w:t>
            </w:r>
            <w:r w:rsidR="00B1596A">
              <w:rPr>
                <w:noProof/>
                <w:webHidden/>
              </w:rPr>
              <w:fldChar w:fldCharType="end"/>
            </w:r>
          </w:hyperlink>
        </w:p>
        <w:p w14:paraId="2EE648BE" w14:textId="77777777" w:rsidR="00B1596A" w:rsidRDefault="00351600">
          <w:pPr>
            <w:pStyle w:val="TOC1"/>
            <w:tabs>
              <w:tab w:val="right" w:leader="dot" w:pos="9350"/>
            </w:tabs>
            <w:rPr>
              <w:rFonts w:asciiTheme="minorHAnsi" w:hAnsiTheme="minorHAnsi"/>
              <w:noProof/>
              <w:lang w:eastAsia="en-US"/>
            </w:rPr>
          </w:pPr>
          <w:hyperlink w:anchor="_Toc75953787" w:history="1">
            <w:r w:rsidR="00B1596A" w:rsidRPr="007C239B">
              <w:rPr>
                <w:rStyle w:val="Hyperlink"/>
                <w:noProof/>
              </w:rPr>
              <w:t>Executive Summary</w:t>
            </w:r>
            <w:r w:rsidR="00B1596A">
              <w:rPr>
                <w:noProof/>
                <w:webHidden/>
              </w:rPr>
              <w:tab/>
            </w:r>
            <w:r w:rsidR="00B1596A">
              <w:rPr>
                <w:noProof/>
                <w:webHidden/>
              </w:rPr>
              <w:fldChar w:fldCharType="begin"/>
            </w:r>
            <w:r w:rsidR="00B1596A">
              <w:rPr>
                <w:noProof/>
                <w:webHidden/>
              </w:rPr>
              <w:instrText xml:space="preserve"> PAGEREF _Toc75953787 \h </w:instrText>
            </w:r>
            <w:r w:rsidR="00B1596A">
              <w:rPr>
                <w:noProof/>
                <w:webHidden/>
              </w:rPr>
            </w:r>
            <w:r w:rsidR="00B1596A">
              <w:rPr>
                <w:noProof/>
                <w:webHidden/>
              </w:rPr>
              <w:fldChar w:fldCharType="separate"/>
            </w:r>
            <w:r w:rsidR="00B1596A">
              <w:rPr>
                <w:noProof/>
                <w:webHidden/>
              </w:rPr>
              <w:t>VII</w:t>
            </w:r>
            <w:r w:rsidR="00B1596A">
              <w:rPr>
                <w:noProof/>
                <w:webHidden/>
              </w:rPr>
              <w:fldChar w:fldCharType="end"/>
            </w:r>
          </w:hyperlink>
        </w:p>
        <w:p w14:paraId="53816761" w14:textId="77777777" w:rsidR="00B1596A" w:rsidRDefault="00351600">
          <w:pPr>
            <w:pStyle w:val="TOC1"/>
            <w:tabs>
              <w:tab w:val="left" w:pos="440"/>
              <w:tab w:val="right" w:leader="dot" w:pos="9350"/>
            </w:tabs>
            <w:rPr>
              <w:rFonts w:asciiTheme="minorHAnsi" w:hAnsiTheme="minorHAnsi"/>
              <w:noProof/>
              <w:lang w:eastAsia="en-US"/>
            </w:rPr>
          </w:pPr>
          <w:hyperlink w:anchor="_Toc75953788" w:history="1">
            <w:r w:rsidR="00B1596A" w:rsidRPr="007C239B">
              <w:rPr>
                <w:rStyle w:val="Hyperlink"/>
                <w:noProof/>
              </w:rPr>
              <w:t>1.</w:t>
            </w:r>
            <w:r w:rsidR="00B1596A">
              <w:rPr>
                <w:rFonts w:asciiTheme="minorHAnsi" w:hAnsiTheme="minorHAnsi"/>
                <w:noProof/>
                <w:lang w:eastAsia="en-US"/>
              </w:rPr>
              <w:tab/>
            </w:r>
            <w:r w:rsidR="00B1596A" w:rsidRPr="007C239B">
              <w:rPr>
                <w:rStyle w:val="Hyperlink"/>
                <w:noProof/>
              </w:rPr>
              <w:t>Literature Review</w:t>
            </w:r>
            <w:r w:rsidR="00B1596A">
              <w:rPr>
                <w:noProof/>
                <w:webHidden/>
              </w:rPr>
              <w:tab/>
            </w:r>
            <w:r w:rsidR="00B1596A">
              <w:rPr>
                <w:noProof/>
                <w:webHidden/>
              </w:rPr>
              <w:fldChar w:fldCharType="begin"/>
            </w:r>
            <w:r w:rsidR="00B1596A">
              <w:rPr>
                <w:noProof/>
                <w:webHidden/>
              </w:rPr>
              <w:instrText xml:space="preserve"> PAGEREF _Toc75953788 \h </w:instrText>
            </w:r>
            <w:r w:rsidR="00B1596A">
              <w:rPr>
                <w:noProof/>
                <w:webHidden/>
              </w:rPr>
            </w:r>
            <w:r w:rsidR="00B1596A">
              <w:rPr>
                <w:noProof/>
                <w:webHidden/>
              </w:rPr>
              <w:fldChar w:fldCharType="separate"/>
            </w:r>
            <w:r w:rsidR="00B1596A">
              <w:rPr>
                <w:noProof/>
                <w:webHidden/>
              </w:rPr>
              <w:t>8</w:t>
            </w:r>
            <w:r w:rsidR="00B1596A">
              <w:rPr>
                <w:noProof/>
                <w:webHidden/>
              </w:rPr>
              <w:fldChar w:fldCharType="end"/>
            </w:r>
          </w:hyperlink>
        </w:p>
        <w:p w14:paraId="2667E395" w14:textId="77777777" w:rsidR="00B1596A" w:rsidRDefault="00351600">
          <w:pPr>
            <w:pStyle w:val="TOC2"/>
            <w:tabs>
              <w:tab w:val="left" w:pos="880"/>
              <w:tab w:val="right" w:leader="dot" w:pos="9350"/>
            </w:tabs>
            <w:rPr>
              <w:rFonts w:asciiTheme="minorHAnsi" w:hAnsiTheme="minorHAnsi"/>
              <w:noProof/>
              <w:lang w:eastAsia="en-US"/>
            </w:rPr>
          </w:pPr>
          <w:hyperlink w:anchor="_Toc75953789" w:history="1">
            <w:r w:rsidR="00B1596A" w:rsidRPr="007C239B">
              <w:rPr>
                <w:rStyle w:val="Hyperlink"/>
                <w:noProof/>
              </w:rPr>
              <w:t>1.1.</w:t>
            </w:r>
            <w:r w:rsidR="00B1596A">
              <w:rPr>
                <w:rFonts w:asciiTheme="minorHAnsi" w:hAnsiTheme="minorHAnsi"/>
                <w:noProof/>
                <w:lang w:eastAsia="en-US"/>
              </w:rPr>
              <w:tab/>
            </w:r>
            <w:r w:rsidR="00B1596A" w:rsidRPr="007C239B">
              <w:rPr>
                <w:rStyle w:val="Hyperlink"/>
                <w:noProof/>
              </w:rPr>
              <w:t>State of oil and gas methane management</w:t>
            </w:r>
            <w:r w:rsidR="00B1596A">
              <w:rPr>
                <w:noProof/>
                <w:webHidden/>
              </w:rPr>
              <w:tab/>
            </w:r>
            <w:r w:rsidR="00B1596A">
              <w:rPr>
                <w:noProof/>
                <w:webHidden/>
              </w:rPr>
              <w:fldChar w:fldCharType="begin"/>
            </w:r>
            <w:r w:rsidR="00B1596A">
              <w:rPr>
                <w:noProof/>
                <w:webHidden/>
              </w:rPr>
              <w:instrText xml:space="preserve"> PAGEREF _Toc75953789 \h </w:instrText>
            </w:r>
            <w:r w:rsidR="00B1596A">
              <w:rPr>
                <w:noProof/>
                <w:webHidden/>
              </w:rPr>
            </w:r>
            <w:r w:rsidR="00B1596A">
              <w:rPr>
                <w:noProof/>
                <w:webHidden/>
              </w:rPr>
              <w:fldChar w:fldCharType="separate"/>
            </w:r>
            <w:r w:rsidR="00B1596A">
              <w:rPr>
                <w:noProof/>
                <w:webHidden/>
              </w:rPr>
              <w:t>8</w:t>
            </w:r>
            <w:r w:rsidR="00B1596A">
              <w:rPr>
                <w:noProof/>
                <w:webHidden/>
              </w:rPr>
              <w:fldChar w:fldCharType="end"/>
            </w:r>
          </w:hyperlink>
        </w:p>
        <w:p w14:paraId="7A92A1D1" w14:textId="77777777" w:rsidR="00B1596A" w:rsidRDefault="00351600">
          <w:pPr>
            <w:pStyle w:val="TOC2"/>
            <w:tabs>
              <w:tab w:val="left" w:pos="880"/>
              <w:tab w:val="right" w:leader="dot" w:pos="9350"/>
            </w:tabs>
            <w:rPr>
              <w:rFonts w:asciiTheme="minorHAnsi" w:hAnsiTheme="minorHAnsi"/>
              <w:noProof/>
              <w:lang w:eastAsia="en-US"/>
            </w:rPr>
          </w:pPr>
          <w:hyperlink w:anchor="_Toc75953790" w:history="1">
            <w:r w:rsidR="00B1596A" w:rsidRPr="007C239B">
              <w:rPr>
                <w:rStyle w:val="Hyperlink"/>
                <w:noProof/>
              </w:rPr>
              <w:t>1.2.</w:t>
            </w:r>
            <w:r w:rsidR="00B1596A">
              <w:rPr>
                <w:rFonts w:asciiTheme="minorHAnsi" w:hAnsiTheme="minorHAnsi"/>
                <w:noProof/>
                <w:lang w:eastAsia="en-US"/>
              </w:rPr>
              <w:tab/>
            </w:r>
            <w:r w:rsidR="00B1596A" w:rsidRPr="007C239B">
              <w:rPr>
                <w:rStyle w:val="Hyperlink"/>
                <w:noProof/>
              </w:rPr>
              <w:t>The scale of the global challenge</w:t>
            </w:r>
            <w:r w:rsidR="00B1596A">
              <w:rPr>
                <w:noProof/>
                <w:webHidden/>
              </w:rPr>
              <w:tab/>
            </w:r>
            <w:r w:rsidR="00B1596A">
              <w:rPr>
                <w:noProof/>
                <w:webHidden/>
              </w:rPr>
              <w:fldChar w:fldCharType="begin"/>
            </w:r>
            <w:r w:rsidR="00B1596A">
              <w:rPr>
                <w:noProof/>
                <w:webHidden/>
              </w:rPr>
              <w:instrText xml:space="preserve"> PAGEREF _Toc75953790 \h </w:instrText>
            </w:r>
            <w:r w:rsidR="00B1596A">
              <w:rPr>
                <w:noProof/>
                <w:webHidden/>
              </w:rPr>
            </w:r>
            <w:r w:rsidR="00B1596A">
              <w:rPr>
                <w:noProof/>
                <w:webHidden/>
              </w:rPr>
              <w:fldChar w:fldCharType="separate"/>
            </w:r>
            <w:r w:rsidR="00B1596A">
              <w:rPr>
                <w:noProof/>
                <w:webHidden/>
              </w:rPr>
              <w:t>10</w:t>
            </w:r>
            <w:r w:rsidR="00B1596A">
              <w:rPr>
                <w:noProof/>
                <w:webHidden/>
              </w:rPr>
              <w:fldChar w:fldCharType="end"/>
            </w:r>
          </w:hyperlink>
        </w:p>
        <w:p w14:paraId="6656D532" w14:textId="77777777" w:rsidR="00B1596A" w:rsidRDefault="00351600">
          <w:pPr>
            <w:pStyle w:val="TOC2"/>
            <w:tabs>
              <w:tab w:val="left" w:pos="880"/>
              <w:tab w:val="right" w:leader="dot" w:pos="9350"/>
            </w:tabs>
            <w:rPr>
              <w:rFonts w:asciiTheme="minorHAnsi" w:hAnsiTheme="minorHAnsi"/>
              <w:noProof/>
              <w:lang w:eastAsia="en-US"/>
            </w:rPr>
          </w:pPr>
          <w:hyperlink w:anchor="_Toc75953791" w:history="1">
            <w:r w:rsidR="00B1596A" w:rsidRPr="007C239B">
              <w:rPr>
                <w:rStyle w:val="Hyperlink"/>
                <w:noProof/>
              </w:rPr>
              <w:t>1.3.</w:t>
            </w:r>
            <w:r w:rsidR="00B1596A">
              <w:rPr>
                <w:rFonts w:asciiTheme="minorHAnsi" w:hAnsiTheme="minorHAnsi"/>
                <w:noProof/>
                <w:lang w:eastAsia="en-US"/>
              </w:rPr>
              <w:tab/>
            </w:r>
            <w:r w:rsidR="00B1596A" w:rsidRPr="007C239B">
              <w:rPr>
                <w:rStyle w:val="Hyperlink"/>
                <w:noProof/>
              </w:rPr>
              <w:t>Abatement techniques</w:t>
            </w:r>
            <w:r w:rsidR="00B1596A">
              <w:rPr>
                <w:noProof/>
                <w:webHidden/>
              </w:rPr>
              <w:tab/>
            </w:r>
            <w:r w:rsidR="00B1596A">
              <w:rPr>
                <w:noProof/>
                <w:webHidden/>
              </w:rPr>
              <w:fldChar w:fldCharType="begin"/>
            </w:r>
            <w:r w:rsidR="00B1596A">
              <w:rPr>
                <w:noProof/>
                <w:webHidden/>
              </w:rPr>
              <w:instrText xml:space="preserve"> PAGEREF _Toc75953791 \h </w:instrText>
            </w:r>
            <w:r w:rsidR="00B1596A">
              <w:rPr>
                <w:noProof/>
                <w:webHidden/>
              </w:rPr>
            </w:r>
            <w:r w:rsidR="00B1596A">
              <w:rPr>
                <w:noProof/>
                <w:webHidden/>
              </w:rPr>
              <w:fldChar w:fldCharType="separate"/>
            </w:r>
            <w:r w:rsidR="00B1596A">
              <w:rPr>
                <w:noProof/>
                <w:webHidden/>
              </w:rPr>
              <w:t>13</w:t>
            </w:r>
            <w:r w:rsidR="00B1596A">
              <w:rPr>
                <w:noProof/>
                <w:webHidden/>
              </w:rPr>
              <w:fldChar w:fldCharType="end"/>
            </w:r>
          </w:hyperlink>
        </w:p>
        <w:p w14:paraId="2C3DCC30" w14:textId="77777777" w:rsidR="00B1596A" w:rsidRDefault="00351600">
          <w:pPr>
            <w:pStyle w:val="TOC2"/>
            <w:tabs>
              <w:tab w:val="left" w:pos="880"/>
              <w:tab w:val="right" w:leader="dot" w:pos="9350"/>
            </w:tabs>
            <w:rPr>
              <w:rFonts w:asciiTheme="minorHAnsi" w:hAnsiTheme="minorHAnsi"/>
              <w:noProof/>
              <w:lang w:eastAsia="en-US"/>
            </w:rPr>
          </w:pPr>
          <w:hyperlink w:anchor="_Toc75953792" w:history="1">
            <w:r w:rsidR="00B1596A" w:rsidRPr="007C239B">
              <w:rPr>
                <w:rStyle w:val="Hyperlink"/>
                <w:noProof/>
              </w:rPr>
              <w:t>1.4.</w:t>
            </w:r>
            <w:r w:rsidR="00B1596A">
              <w:rPr>
                <w:rFonts w:asciiTheme="minorHAnsi" w:hAnsiTheme="minorHAnsi"/>
                <w:noProof/>
                <w:lang w:eastAsia="en-US"/>
              </w:rPr>
              <w:tab/>
            </w:r>
            <w:r w:rsidR="00B1596A" w:rsidRPr="007C239B">
              <w:rPr>
                <w:rStyle w:val="Hyperlink"/>
                <w:noProof/>
              </w:rPr>
              <w:t>The future of the oil and gas supply chains</w:t>
            </w:r>
            <w:r w:rsidR="00B1596A">
              <w:rPr>
                <w:noProof/>
                <w:webHidden/>
              </w:rPr>
              <w:tab/>
            </w:r>
            <w:r w:rsidR="00B1596A">
              <w:rPr>
                <w:noProof/>
                <w:webHidden/>
              </w:rPr>
              <w:fldChar w:fldCharType="begin"/>
            </w:r>
            <w:r w:rsidR="00B1596A">
              <w:rPr>
                <w:noProof/>
                <w:webHidden/>
              </w:rPr>
              <w:instrText xml:space="preserve"> PAGEREF _Toc75953792 \h </w:instrText>
            </w:r>
            <w:r w:rsidR="00B1596A">
              <w:rPr>
                <w:noProof/>
                <w:webHidden/>
              </w:rPr>
            </w:r>
            <w:r w:rsidR="00B1596A">
              <w:rPr>
                <w:noProof/>
                <w:webHidden/>
              </w:rPr>
              <w:fldChar w:fldCharType="separate"/>
            </w:r>
            <w:r w:rsidR="00B1596A">
              <w:rPr>
                <w:noProof/>
                <w:webHidden/>
              </w:rPr>
              <w:t>18</w:t>
            </w:r>
            <w:r w:rsidR="00B1596A">
              <w:rPr>
                <w:noProof/>
                <w:webHidden/>
              </w:rPr>
              <w:fldChar w:fldCharType="end"/>
            </w:r>
          </w:hyperlink>
        </w:p>
        <w:p w14:paraId="59CF0BED" w14:textId="77777777" w:rsidR="00B1596A" w:rsidRDefault="00351600">
          <w:pPr>
            <w:pStyle w:val="TOC2"/>
            <w:tabs>
              <w:tab w:val="left" w:pos="880"/>
              <w:tab w:val="right" w:leader="dot" w:pos="9350"/>
            </w:tabs>
            <w:rPr>
              <w:rFonts w:asciiTheme="minorHAnsi" w:hAnsiTheme="minorHAnsi"/>
              <w:noProof/>
              <w:lang w:eastAsia="en-US"/>
            </w:rPr>
          </w:pPr>
          <w:hyperlink w:anchor="_Toc75953793" w:history="1">
            <w:r w:rsidR="00B1596A" w:rsidRPr="007C239B">
              <w:rPr>
                <w:rStyle w:val="Hyperlink"/>
                <w:noProof/>
              </w:rPr>
              <w:t>1.5.</w:t>
            </w:r>
            <w:r w:rsidR="00B1596A">
              <w:rPr>
                <w:rFonts w:asciiTheme="minorHAnsi" w:hAnsiTheme="minorHAnsi"/>
                <w:noProof/>
                <w:lang w:eastAsia="en-US"/>
              </w:rPr>
              <w:tab/>
            </w:r>
            <w:r w:rsidR="00B1596A" w:rsidRPr="007C239B">
              <w:rPr>
                <w:rStyle w:val="Hyperlink"/>
                <w:noProof/>
              </w:rPr>
              <w:t>Adoption Path</w:t>
            </w:r>
            <w:r w:rsidR="00B1596A">
              <w:rPr>
                <w:noProof/>
                <w:webHidden/>
              </w:rPr>
              <w:tab/>
            </w:r>
            <w:r w:rsidR="00B1596A">
              <w:rPr>
                <w:noProof/>
                <w:webHidden/>
              </w:rPr>
              <w:fldChar w:fldCharType="begin"/>
            </w:r>
            <w:r w:rsidR="00B1596A">
              <w:rPr>
                <w:noProof/>
                <w:webHidden/>
              </w:rPr>
              <w:instrText xml:space="preserve"> PAGEREF _Toc75953793 \h </w:instrText>
            </w:r>
            <w:r w:rsidR="00B1596A">
              <w:rPr>
                <w:noProof/>
                <w:webHidden/>
              </w:rPr>
            </w:r>
            <w:r w:rsidR="00B1596A">
              <w:rPr>
                <w:noProof/>
                <w:webHidden/>
              </w:rPr>
              <w:fldChar w:fldCharType="separate"/>
            </w:r>
            <w:r w:rsidR="00B1596A">
              <w:rPr>
                <w:noProof/>
                <w:webHidden/>
              </w:rPr>
              <w:t>21</w:t>
            </w:r>
            <w:r w:rsidR="00B1596A">
              <w:rPr>
                <w:noProof/>
                <w:webHidden/>
              </w:rPr>
              <w:fldChar w:fldCharType="end"/>
            </w:r>
          </w:hyperlink>
        </w:p>
        <w:p w14:paraId="77096FAA" w14:textId="77777777" w:rsidR="00B1596A" w:rsidRDefault="00351600">
          <w:pPr>
            <w:pStyle w:val="TOC3"/>
            <w:tabs>
              <w:tab w:val="left" w:pos="1320"/>
              <w:tab w:val="right" w:leader="dot" w:pos="9350"/>
            </w:tabs>
            <w:rPr>
              <w:rFonts w:asciiTheme="minorHAnsi" w:hAnsiTheme="minorHAnsi"/>
              <w:noProof/>
              <w:lang w:eastAsia="en-US"/>
            </w:rPr>
          </w:pPr>
          <w:hyperlink w:anchor="_Toc75953794" w:history="1">
            <w:r w:rsidR="00B1596A" w:rsidRPr="007C239B">
              <w:rPr>
                <w:rStyle w:val="Hyperlink"/>
                <w:noProof/>
              </w:rPr>
              <w:t>1.2.1</w:t>
            </w:r>
            <w:r w:rsidR="00B1596A">
              <w:rPr>
                <w:rFonts w:asciiTheme="minorHAnsi" w:hAnsiTheme="minorHAnsi"/>
                <w:noProof/>
                <w:lang w:eastAsia="en-US"/>
              </w:rPr>
              <w:tab/>
            </w:r>
            <w:r w:rsidR="00B1596A" w:rsidRPr="007C239B">
              <w:rPr>
                <w:rStyle w:val="Hyperlink"/>
                <w:noProof/>
              </w:rPr>
              <w:t>Current Adoption</w:t>
            </w:r>
            <w:r w:rsidR="00B1596A">
              <w:rPr>
                <w:noProof/>
                <w:webHidden/>
              </w:rPr>
              <w:tab/>
            </w:r>
            <w:r w:rsidR="00B1596A">
              <w:rPr>
                <w:noProof/>
                <w:webHidden/>
              </w:rPr>
              <w:fldChar w:fldCharType="begin"/>
            </w:r>
            <w:r w:rsidR="00B1596A">
              <w:rPr>
                <w:noProof/>
                <w:webHidden/>
              </w:rPr>
              <w:instrText xml:space="preserve"> PAGEREF _Toc75953794 \h </w:instrText>
            </w:r>
            <w:r w:rsidR="00B1596A">
              <w:rPr>
                <w:noProof/>
                <w:webHidden/>
              </w:rPr>
            </w:r>
            <w:r w:rsidR="00B1596A">
              <w:rPr>
                <w:noProof/>
                <w:webHidden/>
              </w:rPr>
              <w:fldChar w:fldCharType="separate"/>
            </w:r>
            <w:r w:rsidR="00B1596A">
              <w:rPr>
                <w:noProof/>
                <w:webHidden/>
              </w:rPr>
              <w:t>21</w:t>
            </w:r>
            <w:r w:rsidR="00B1596A">
              <w:rPr>
                <w:noProof/>
                <w:webHidden/>
              </w:rPr>
              <w:fldChar w:fldCharType="end"/>
            </w:r>
          </w:hyperlink>
        </w:p>
        <w:p w14:paraId="400DD487" w14:textId="77777777" w:rsidR="00B1596A" w:rsidRDefault="00351600">
          <w:pPr>
            <w:pStyle w:val="TOC3"/>
            <w:tabs>
              <w:tab w:val="left" w:pos="1320"/>
              <w:tab w:val="right" w:leader="dot" w:pos="9350"/>
            </w:tabs>
            <w:rPr>
              <w:rFonts w:asciiTheme="minorHAnsi" w:hAnsiTheme="minorHAnsi"/>
              <w:noProof/>
              <w:lang w:eastAsia="en-US"/>
            </w:rPr>
          </w:pPr>
          <w:hyperlink w:anchor="_Toc75953795" w:history="1">
            <w:r w:rsidR="00B1596A" w:rsidRPr="007C239B">
              <w:rPr>
                <w:rStyle w:val="Hyperlink"/>
                <w:noProof/>
              </w:rPr>
              <w:t>1.2.2</w:t>
            </w:r>
            <w:r w:rsidR="00B1596A">
              <w:rPr>
                <w:rFonts w:asciiTheme="minorHAnsi" w:hAnsiTheme="minorHAnsi"/>
                <w:noProof/>
                <w:lang w:eastAsia="en-US"/>
              </w:rPr>
              <w:tab/>
            </w:r>
            <w:r w:rsidR="00B1596A" w:rsidRPr="007C239B">
              <w:rPr>
                <w:rStyle w:val="Hyperlink"/>
                <w:noProof/>
              </w:rPr>
              <w:t>Trends to Accelerate Adoption</w:t>
            </w:r>
            <w:r w:rsidR="00B1596A">
              <w:rPr>
                <w:noProof/>
                <w:webHidden/>
              </w:rPr>
              <w:tab/>
            </w:r>
            <w:r w:rsidR="00B1596A">
              <w:rPr>
                <w:noProof/>
                <w:webHidden/>
              </w:rPr>
              <w:fldChar w:fldCharType="begin"/>
            </w:r>
            <w:r w:rsidR="00B1596A">
              <w:rPr>
                <w:noProof/>
                <w:webHidden/>
              </w:rPr>
              <w:instrText xml:space="preserve"> PAGEREF _Toc75953795 \h </w:instrText>
            </w:r>
            <w:r w:rsidR="00B1596A">
              <w:rPr>
                <w:noProof/>
                <w:webHidden/>
              </w:rPr>
            </w:r>
            <w:r w:rsidR="00B1596A">
              <w:rPr>
                <w:noProof/>
                <w:webHidden/>
              </w:rPr>
              <w:fldChar w:fldCharType="separate"/>
            </w:r>
            <w:r w:rsidR="00B1596A">
              <w:rPr>
                <w:noProof/>
                <w:webHidden/>
              </w:rPr>
              <w:t>22</w:t>
            </w:r>
            <w:r w:rsidR="00B1596A">
              <w:rPr>
                <w:noProof/>
                <w:webHidden/>
              </w:rPr>
              <w:fldChar w:fldCharType="end"/>
            </w:r>
          </w:hyperlink>
        </w:p>
        <w:p w14:paraId="6D9F1DFA" w14:textId="77777777" w:rsidR="00B1596A" w:rsidRDefault="00351600">
          <w:pPr>
            <w:pStyle w:val="TOC3"/>
            <w:tabs>
              <w:tab w:val="left" w:pos="1320"/>
              <w:tab w:val="right" w:leader="dot" w:pos="9350"/>
            </w:tabs>
            <w:rPr>
              <w:rFonts w:asciiTheme="minorHAnsi" w:hAnsiTheme="minorHAnsi"/>
              <w:noProof/>
              <w:lang w:eastAsia="en-US"/>
            </w:rPr>
          </w:pPr>
          <w:hyperlink w:anchor="_Toc75953796" w:history="1">
            <w:r w:rsidR="00B1596A" w:rsidRPr="007C239B">
              <w:rPr>
                <w:rStyle w:val="Hyperlink"/>
                <w:noProof/>
              </w:rPr>
              <w:t>1.2.3</w:t>
            </w:r>
            <w:r w:rsidR="00B1596A">
              <w:rPr>
                <w:rFonts w:asciiTheme="minorHAnsi" w:hAnsiTheme="minorHAnsi"/>
                <w:noProof/>
                <w:lang w:eastAsia="en-US"/>
              </w:rPr>
              <w:tab/>
            </w:r>
            <w:r w:rsidR="00B1596A" w:rsidRPr="007C239B">
              <w:rPr>
                <w:rStyle w:val="Hyperlink"/>
                <w:noProof/>
              </w:rPr>
              <w:t>Barriers to Adoption</w:t>
            </w:r>
            <w:r w:rsidR="00B1596A">
              <w:rPr>
                <w:noProof/>
                <w:webHidden/>
              </w:rPr>
              <w:tab/>
            </w:r>
            <w:r w:rsidR="00B1596A">
              <w:rPr>
                <w:noProof/>
                <w:webHidden/>
              </w:rPr>
              <w:fldChar w:fldCharType="begin"/>
            </w:r>
            <w:r w:rsidR="00B1596A">
              <w:rPr>
                <w:noProof/>
                <w:webHidden/>
              </w:rPr>
              <w:instrText xml:space="preserve"> PAGEREF _Toc75953796 \h </w:instrText>
            </w:r>
            <w:r w:rsidR="00B1596A">
              <w:rPr>
                <w:noProof/>
                <w:webHidden/>
              </w:rPr>
            </w:r>
            <w:r w:rsidR="00B1596A">
              <w:rPr>
                <w:noProof/>
                <w:webHidden/>
              </w:rPr>
              <w:fldChar w:fldCharType="separate"/>
            </w:r>
            <w:r w:rsidR="00B1596A">
              <w:rPr>
                <w:noProof/>
                <w:webHidden/>
              </w:rPr>
              <w:t>23</w:t>
            </w:r>
            <w:r w:rsidR="00B1596A">
              <w:rPr>
                <w:noProof/>
                <w:webHidden/>
              </w:rPr>
              <w:fldChar w:fldCharType="end"/>
            </w:r>
          </w:hyperlink>
        </w:p>
        <w:p w14:paraId="0C4DDEFC" w14:textId="77777777" w:rsidR="00B1596A" w:rsidRDefault="00351600">
          <w:pPr>
            <w:pStyle w:val="TOC3"/>
            <w:tabs>
              <w:tab w:val="left" w:pos="1320"/>
              <w:tab w:val="right" w:leader="dot" w:pos="9350"/>
            </w:tabs>
            <w:rPr>
              <w:rFonts w:asciiTheme="minorHAnsi" w:hAnsiTheme="minorHAnsi"/>
              <w:noProof/>
              <w:lang w:eastAsia="en-US"/>
            </w:rPr>
          </w:pPr>
          <w:hyperlink w:anchor="_Toc75953797" w:history="1">
            <w:r w:rsidR="00B1596A" w:rsidRPr="007C239B">
              <w:rPr>
                <w:rStyle w:val="Hyperlink"/>
                <w:noProof/>
              </w:rPr>
              <w:t>1.2.4</w:t>
            </w:r>
            <w:r w:rsidR="00B1596A">
              <w:rPr>
                <w:rFonts w:asciiTheme="minorHAnsi" w:hAnsiTheme="minorHAnsi"/>
                <w:noProof/>
                <w:lang w:eastAsia="en-US"/>
              </w:rPr>
              <w:tab/>
            </w:r>
            <w:r w:rsidR="00B1596A" w:rsidRPr="007C239B">
              <w:rPr>
                <w:rStyle w:val="Hyperlink"/>
                <w:noProof/>
              </w:rPr>
              <w:t>Adoption Potential</w:t>
            </w:r>
            <w:r w:rsidR="00B1596A">
              <w:rPr>
                <w:noProof/>
                <w:webHidden/>
              </w:rPr>
              <w:tab/>
            </w:r>
            <w:r w:rsidR="00B1596A">
              <w:rPr>
                <w:noProof/>
                <w:webHidden/>
              </w:rPr>
              <w:fldChar w:fldCharType="begin"/>
            </w:r>
            <w:r w:rsidR="00B1596A">
              <w:rPr>
                <w:noProof/>
                <w:webHidden/>
              </w:rPr>
              <w:instrText xml:space="preserve"> PAGEREF _Toc75953797 \h </w:instrText>
            </w:r>
            <w:r w:rsidR="00B1596A">
              <w:rPr>
                <w:noProof/>
                <w:webHidden/>
              </w:rPr>
            </w:r>
            <w:r w:rsidR="00B1596A">
              <w:rPr>
                <w:noProof/>
                <w:webHidden/>
              </w:rPr>
              <w:fldChar w:fldCharType="separate"/>
            </w:r>
            <w:r w:rsidR="00B1596A">
              <w:rPr>
                <w:noProof/>
                <w:webHidden/>
              </w:rPr>
              <w:t>25</w:t>
            </w:r>
            <w:r w:rsidR="00B1596A">
              <w:rPr>
                <w:noProof/>
                <w:webHidden/>
              </w:rPr>
              <w:fldChar w:fldCharType="end"/>
            </w:r>
          </w:hyperlink>
        </w:p>
        <w:p w14:paraId="22701109" w14:textId="77777777" w:rsidR="00B1596A" w:rsidRDefault="00351600">
          <w:pPr>
            <w:pStyle w:val="TOC2"/>
            <w:tabs>
              <w:tab w:val="left" w:pos="880"/>
              <w:tab w:val="right" w:leader="dot" w:pos="9350"/>
            </w:tabs>
            <w:rPr>
              <w:rFonts w:asciiTheme="minorHAnsi" w:hAnsiTheme="minorHAnsi"/>
              <w:noProof/>
              <w:lang w:eastAsia="en-US"/>
            </w:rPr>
          </w:pPr>
          <w:hyperlink w:anchor="_Toc75953798" w:history="1">
            <w:r w:rsidR="00B1596A" w:rsidRPr="007C239B">
              <w:rPr>
                <w:rStyle w:val="Hyperlink"/>
                <w:noProof/>
              </w:rPr>
              <w:t>1.3</w:t>
            </w:r>
            <w:r w:rsidR="00B1596A">
              <w:rPr>
                <w:rFonts w:asciiTheme="minorHAnsi" w:hAnsiTheme="minorHAnsi"/>
                <w:noProof/>
                <w:lang w:eastAsia="en-US"/>
              </w:rPr>
              <w:tab/>
            </w:r>
            <w:r w:rsidR="00B1596A" w:rsidRPr="007C239B">
              <w:rPr>
                <w:rStyle w:val="Hyperlink"/>
                <w:noProof/>
              </w:rPr>
              <w:t>Advantages and disadvantages of oil and gas methane management</w:t>
            </w:r>
            <w:r w:rsidR="00B1596A">
              <w:rPr>
                <w:noProof/>
                <w:webHidden/>
              </w:rPr>
              <w:tab/>
            </w:r>
            <w:r w:rsidR="00B1596A">
              <w:rPr>
                <w:noProof/>
                <w:webHidden/>
              </w:rPr>
              <w:fldChar w:fldCharType="begin"/>
            </w:r>
            <w:r w:rsidR="00B1596A">
              <w:rPr>
                <w:noProof/>
                <w:webHidden/>
              </w:rPr>
              <w:instrText xml:space="preserve"> PAGEREF _Toc75953798 \h </w:instrText>
            </w:r>
            <w:r w:rsidR="00B1596A">
              <w:rPr>
                <w:noProof/>
                <w:webHidden/>
              </w:rPr>
            </w:r>
            <w:r w:rsidR="00B1596A">
              <w:rPr>
                <w:noProof/>
                <w:webHidden/>
              </w:rPr>
              <w:fldChar w:fldCharType="separate"/>
            </w:r>
            <w:r w:rsidR="00B1596A">
              <w:rPr>
                <w:noProof/>
                <w:webHidden/>
              </w:rPr>
              <w:t>25</w:t>
            </w:r>
            <w:r w:rsidR="00B1596A">
              <w:rPr>
                <w:noProof/>
                <w:webHidden/>
              </w:rPr>
              <w:fldChar w:fldCharType="end"/>
            </w:r>
          </w:hyperlink>
        </w:p>
        <w:p w14:paraId="404A558B" w14:textId="77777777" w:rsidR="00B1596A" w:rsidRDefault="00351600">
          <w:pPr>
            <w:pStyle w:val="TOC3"/>
            <w:tabs>
              <w:tab w:val="left" w:pos="1320"/>
              <w:tab w:val="right" w:leader="dot" w:pos="9350"/>
            </w:tabs>
            <w:rPr>
              <w:rFonts w:asciiTheme="minorHAnsi" w:hAnsiTheme="minorHAnsi"/>
              <w:noProof/>
              <w:lang w:eastAsia="en-US"/>
            </w:rPr>
          </w:pPr>
          <w:hyperlink w:anchor="_Toc75953799" w:history="1">
            <w:r w:rsidR="00B1596A" w:rsidRPr="007C239B">
              <w:rPr>
                <w:rStyle w:val="Hyperlink"/>
                <w:noProof/>
              </w:rPr>
              <w:t>1.3.1</w:t>
            </w:r>
            <w:r w:rsidR="00B1596A">
              <w:rPr>
                <w:rFonts w:asciiTheme="minorHAnsi" w:hAnsiTheme="minorHAnsi"/>
                <w:noProof/>
                <w:lang w:eastAsia="en-US"/>
              </w:rPr>
              <w:tab/>
            </w:r>
            <w:r w:rsidR="00B1596A" w:rsidRPr="007C239B">
              <w:rPr>
                <w:rStyle w:val="Hyperlink"/>
                <w:noProof/>
              </w:rPr>
              <w:t>Similar Solutions</w:t>
            </w:r>
            <w:r w:rsidR="00B1596A">
              <w:rPr>
                <w:noProof/>
                <w:webHidden/>
              </w:rPr>
              <w:tab/>
            </w:r>
            <w:r w:rsidR="00B1596A">
              <w:rPr>
                <w:noProof/>
                <w:webHidden/>
              </w:rPr>
              <w:fldChar w:fldCharType="begin"/>
            </w:r>
            <w:r w:rsidR="00B1596A">
              <w:rPr>
                <w:noProof/>
                <w:webHidden/>
              </w:rPr>
              <w:instrText xml:space="preserve"> PAGEREF _Toc75953799 \h </w:instrText>
            </w:r>
            <w:r w:rsidR="00B1596A">
              <w:rPr>
                <w:noProof/>
                <w:webHidden/>
              </w:rPr>
            </w:r>
            <w:r w:rsidR="00B1596A">
              <w:rPr>
                <w:noProof/>
                <w:webHidden/>
              </w:rPr>
              <w:fldChar w:fldCharType="separate"/>
            </w:r>
            <w:r w:rsidR="00B1596A">
              <w:rPr>
                <w:noProof/>
                <w:webHidden/>
              </w:rPr>
              <w:t>25</w:t>
            </w:r>
            <w:r w:rsidR="00B1596A">
              <w:rPr>
                <w:noProof/>
                <w:webHidden/>
              </w:rPr>
              <w:fldChar w:fldCharType="end"/>
            </w:r>
          </w:hyperlink>
        </w:p>
        <w:p w14:paraId="7EC09613" w14:textId="77777777" w:rsidR="00B1596A" w:rsidRDefault="00351600">
          <w:pPr>
            <w:pStyle w:val="TOC3"/>
            <w:tabs>
              <w:tab w:val="left" w:pos="1320"/>
              <w:tab w:val="right" w:leader="dot" w:pos="9350"/>
            </w:tabs>
            <w:rPr>
              <w:rFonts w:asciiTheme="minorHAnsi" w:hAnsiTheme="minorHAnsi"/>
              <w:noProof/>
              <w:lang w:eastAsia="en-US"/>
            </w:rPr>
          </w:pPr>
          <w:hyperlink w:anchor="_Toc75953800" w:history="1">
            <w:r w:rsidR="00B1596A" w:rsidRPr="007C239B">
              <w:rPr>
                <w:rStyle w:val="Hyperlink"/>
                <w:noProof/>
              </w:rPr>
              <w:t>1.3.2</w:t>
            </w:r>
            <w:r w:rsidR="00B1596A">
              <w:rPr>
                <w:rFonts w:asciiTheme="minorHAnsi" w:hAnsiTheme="minorHAnsi"/>
                <w:noProof/>
                <w:lang w:eastAsia="en-US"/>
              </w:rPr>
              <w:tab/>
            </w:r>
            <w:r w:rsidR="00B1596A" w:rsidRPr="007C239B">
              <w:rPr>
                <w:rStyle w:val="Hyperlink"/>
                <w:noProof/>
              </w:rPr>
              <w:t>Arguments for Adoption</w:t>
            </w:r>
            <w:r w:rsidR="00B1596A">
              <w:rPr>
                <w:noProof/>
                <w:webHidden/>
              </w:rPr>
              <w:tab/>
            </w:r>
            <w:r w:rsidR="00B1596A">
              <w:rPr>
                <w:noProof/>
                <w:webHidden/>
              </w:rPr>
              <w:fldChar w:fldCharType="begin"/>
            </w:r>
            <w:r w:rsidR="00B1596A">
              <w:rPr>
                <w:noProof/>
                <w:webHidden/>
              </w:rPr>
              <w:instrText xml:space="preserve"> PAGEREF _Toc75953800 \h </w:instrText>
            </w:r>
            <w:r w:rsidR="00B1596A">
              <w:rPr>
                <w:noProof/>
                <w:webHidden/>
              </w:rPr>
            </w:r>
            <w:r w:rsidR="00B1596A">
              <w:rPr>
                <w:noProof/>
                <w:webHidden/>
              </w:rPr>
              <w:fldChar w:fldCharType="separate"/>
            </w:r>
            <w:r w:rsidR="00B1596A">
              <w:rPr>
                <w:noProof/>
                <w:webHidden/>
              </w:rPr>
              <w:t>27</w:t>
            </w:r>
            <w:r w:rsidR="00B1596A">
              <w:rPr>
                <w:noProof/>
                <w:webHidden/>
              </w:rPr>
              <w:fldChar w:fldCharType="end"/>
            </w:r>
          </w:hyperlink>
        </w:p>
        <w:p w14:paraId="3D4A5C46" w14:textId="77777777" w:rsidR="00B1596A" w:rsidRDefault="00351600">
          <w:pPr>
            <w:pStyle w:val="TOC3"/>
            <w:tabs>
              <w:tab w:val="left" w:pos="1320"/>
              <w:tab w:val="right" w:leader="dot" w:pos="9350"/>
            </w:tabs>
            <w:rPr>
              <w:rFonts w:asciiTheme="minorHAnsi" w:hAnsiTheme="minorHAnsi"/>
              <w:noProof/>
              <w:lang w:eastAsia="en-US"/>
            </w:rPr>
          </w:pPr>
          <w:hyperlink w:anchor="_Toc75953801" w:history="1">
            <w:r w:rsidR="00B1596A" w:rsidRPr="007C239B">
              <w:rPr>
                <w:rStyle w:val="Hyperlink"/>
                <w:noProof/>
              </w:rPr>
              <w:t>1.3.3</w:t>
            </w:r>
            <w:r w:rsidR="00B1596A">
              <w:rPr>
                <w:rFonts w:asciiTheme="minorHAnsi" w:hAnsiTheme="minorHAnsi"/>
                <w:noProof/>
                <w:lang w:eastAsia="en-US"/>
              </w:rPr>
              <w:tab/>
            </w:r>
            <w:r w:rsidR="00B1596A" w:rsidRPr="007C239B">
              <w:rPr>
                <w:rStyle w:val="Hyperlink"/>
                <w:noProof/>
              </w:rPr>
              <w:t>Additional Benefits and Burdens</w:t>
            </w:r>
            <w:r w:rsidR="00B1596A">
              <w:rPr>
                <w:noProof/>
                <w:webHidden/>
              </w:rPr>
              <w:tab/>
            </w:r>
            <w:r w:rsidR="00B1596A">
              <w:rPr>
                <w:noProof/>
                <w:webHidden/>
              </w:rPr>
              <w:fldChar w:fldCharType="begin"/>
            </w:r>
            <w:r w:rsidR="00B1596A">
              <w:rPr>
                <w:noProof/>
                <w:webHidden/>
              </w:rPr>
              <w:instrText xml:space="preserve"> PAGEREF _Toc75953801 \h </w:instrText>
            </w:r>
            <w:r w:rsidR="00B1596A">
              <w:rPr>
                <w:noProof/>
                <w:webHidden/>
              </w:rPr>
            </w:r>
            <w:r w:rsidR="00B1596A">
              <w:rPr>
                <w:noProof/>
                <w:webHidden/>
              </w:rPr>
              <w:fldChar w:fldCharType="separate"/>
            </w:r>
            <w:r w:rsidR="00B1596A">
              <w:rPr>
                <w:noProof/>
                <w:webHidden/>
              </w:rPr>
              <w:t>27</w:t>
            </w:r>
            <w:r w:rsidR="00B1596A">
              <w:rPr>
                <w:noProof/>
                <w:webHidden/>
              </w:rPr>
              <w:fldChar w:fldCharType="end"/>
            </w:r>
          </w:hyperlink>
        </w:p>
        <w:p w14:paraId="68C2CF8E" w14:textId="77777777" w:rsidR="00B1596A" w:rsidRDefault="00351600">
          <w:pPr>
            <w:pStyle w:val="TOC1"/>
            <w:tabs>
              <w:tab w:val="left" w:pos="440"/>
              <w:tab w:val="right" w:leader="dot" w:pos="9350"/>
            </w:tabs>
            <w:rPr>
              <w:rFonts w:asciiTheme="minorHAnsi" w:hAnsiTheme="minorHAnsi"/>
              <w:noProof/>
              <w:lang w:eastAsia="en-US"/>
            </w:rPr>
          </w:pPr>
          <w:hyperlink w:anchor="_Toc75953802" w:history="1">
            <w:r w:rsidR="00B1596A" w:rsidRPr="007C239B">
              <w:rPr>
                <w:rStyle w:val="Hyperlink"/>
                <w:noProof/>
              </w:rPr>
              <w:t>2</w:t>
            </w:r>
            <w:r w:rsidR="00B1596A">
              <w:rPr>
                <w:rFonts w:asciiTheme="minorHAnsi" w:hAnsiTheme="minorHAnsi"/>
                <w:noProof/>
                <w:lang w:eastAsia="en-US"/>
              </w:rPr>
              <w:tab/>
            </w:r>
            <w:r w:rsidR="00B1596A" w:rsidRPr="007C239B">
              <w:rPr>
                <w:rStyle w:val="Hyperlink"/>
                <w:noProof/>
              </w:rPr>
              <w:t>Methodology</w:t>
            </w:r>
            <w:r w:rsidR="00B1596A">
              <w:rPr>
                <w:noProof/>
                <w:webHidden/>
              </w:rPr>
              <w:tab/>
            </w:r>
            <w:r w:rsidR="00B1596A">
              <w:rPr>
                <w:noProof/>
                <w:webHidden/>
              </w:rPr>
              <w:fldChar w:fldCharType="begin"/>
            </w:r>
            <w:r w:rsidR="00B1596A">
              <w:rPr>
                <w:noProof/>
                <w:webHidden/>
              </w:rPr>
              <w:instrText xml:space="preserve"> PAGEREF _Toc75953802 \h </w:instrText>
            </w:r>
            <w:r w:rsidR="00B1596A">
              <w:rPr>
                <w:noProof/>
                <w:webHidden/>
              </w:rPr>
            </w:r>
            <w:r w:rsidR="00B1596A">
              <w:rPr>
                <w:noProof/>
                <w:webHidden/>
              </w:rPr>
              <w:fldChar w:fldCharType="separate"/>
            </w:r>
            <w:r w:rsidR="00B1596A">
              <w:rPr>
                <w:noProof/>
                <w:webHidden/>
              </w:rPr>
              <w:t>28</w:t>
            </w:r>
            <w:r w:rsidR="00B1596A">
              <w:rPr>
                <w:noProof/>
                <w:webHidden/>
              </w:rPr>
              <w:fldChar w:fldCharType="end"/>
            </w:r>
          </w:hyperlink>
        </w:p>
        <w:p w14:paraId="14A16A88" w14:textId="77777777" w:rsidR="00B1596A" w:rsidRDefault="00351600">
          <w:pPr>
            <w:pStyle w:val="TOC2"/>
            <w:tabs>
              <w:tab w:val="left" w:pos="880"/>
              <w:tab w:val="right" w:leader="dot" w:pos="9350"/>
            </w:tabs>
            <w:rPr>
              <w:rFonts w:asciiTheme="minorHAnsi" w:hAnsiTheme="minorHAnsi"/>
              <w:noProof/>
              <w:lang w:eastAsia="en-US"/>
            </w:rPr>
          </w:pPr>
          <w:hyperlink w:anchor="_Toc75953803" w:history="1">
            <w:r w:rsidR="00B1596A" w:rsidRPr="007C239B">
              <w:rPr>
                <w:rStyle w:val="Hyperlink"/>
                <w:noProof/>
              </w:rPr>
              <w:t>2.1</w:t>
            </w:r>
            <w:r w:rsidR="00B1596A">
              <w:rPr>
                <w:rFonts w:asciiTheme="minorHAnsi" w:hAnsiTheme="minorHAnsi"/>
                <w:noProof/>
                <w:lang w:eastAsia="en-US"/>
              </w:rPr>
              <w:tab/>
            </w:r>
            <w:r w:rsidR="00B1596A" w:rsidRPr="007C239B">
              <w:rPr>
                <w:rStyle w:val="Hyperlink"/>
                <w:noProof/>
              </w:rPr>
              <w:t>Introduction</w:t>
            </w:r>
            <w:r w:rsidR="00B1596A">
              <w:rPr>
                <w:noProof/>
                <w:webHidden/>
              </w:rPr>
              <w:tab/>
            </w:r>
            <w:r w:rsidR="00B1596A">
              <w:rPr>
                <w:noProof/>
                <w:webHidden/>
              </w:rPr>
              <w:fldChar w:fldCharType="begin"/>
            </w:r>
            <w:r w:rsidR="00B1596A">
              <w:rPr>
                <w:noProof/>
                <w:webHidden/>
              </w:rPr>
              <w:instrText xml:space="preserve"> PAGEREF _Toc75953803 \h </w:instrText>
            </w:r>
            <w:r w:rsidR="00B1596A">
              <w:rPr>
                <w:noProof/>
                <w:webHidden/>
              </w:rPr>
            </w:r>
            <w:r w:rsidR="00B1596A">
              <w:rPr>
                <w:noProof/>
                <w:webHidden/>
              </w:rPr>
              <w:fldChar w:fldCharType="separate"/>
            </w:r>
            <w:r w:rsidR="00B1596A">
              <w:rPr>
                <w:noProof/>
                <w:webHidden/>
              </w:rPr>
              <w:t>28</w:t>
            </w:r>
            <w:r w:rsidR="00B1596A">
              <w:rPr>
                <w:noProof/>
                <w:webHidden/>
              </w:rPr>
              <w:fldChar w:fldCharType="end"/>
            </w:r>
          </w:hyperlink>
        </w:p>
        <w:p w14:paraId="0F80A51F" w14:textId="77777777" w:rsidR="00B1596A" w:rsidRDefault="00351600">
          <w:pPr>
            <w:pStyle w:val="TOC2"/>
            <w:tabs>
              <w:tab w:val="left" w:pos="880"/>
              <w:tab w:val="right" w:leader="dot" w:pos="9350"/>
            </w:tabs>
            <w:rPr>
              <w:rFonts w:asciiTheme="minorHAnsi" w:hAnsiTheme="minorHAnsi"/>
              <w:noProof/>
              <w:lang w:eastAsia="en-US"/>
            </w:rPr>
          </w:pPr>
          <w:hyperlink w:anchor="_Toc75953804" w:history="1">
            <w:r w:rsidR="00B1596A" w:rsidRPr="007C239B">
              <w:rPr>
                <w:rStyle w:val="Hyperlink"/>
                <w:noProof/>
              </w:rPr>
              <w:t>2.2</w:t>
            </w:r>
            <w:r w:rsidR="00B1596A">
              <w:rPr>
                <w:rFonts w:asciiTheme="minorHAnsi" w:hAnsiTheme="minorHAnsi"/>
                <w:noProof/>
                <w:lang w:eastAsia="en-US"/>
              </w:rPr>
              <w:tab/>
            </w:r>
            <w:r w:rsidR="00B1596A" w:rsidRPr="007C239B">
              <w:rPr>
                <w:rStyle w:val="Hyperlink"/>
                <w:noProof/>
              </w:rPr>
              <w:t>Data Sources</w:t>
            </w:r>
            <w:r w:rsidR="00B1596A">
              <w:rPr>
                <w:noProof/>
                <w:webHidden/>
              </w:rPr>
              <w:tab/>
            </w:r>
            <w:r w:rsidR="00B1596A">
              <w:rPr>
                <w:noProof/>
                <w:webHidden/>
              </w:rPr>
              <w:fldChar w:fldCharType="begin"/>
            </w:r>
            <w:r w:rsidR="00B1596A">
              <w:rPr>
                <w:noProof/>
                <w:webHidden/>
              </w:rPr>
              <w:instrText xml:space="preserve"> PAGEREF _Toc75953804 \h </w:instrText>
            </w:r>
            <w:r w:rsidR="00B1596A">
              <w:rPr>
                <w:noProof/>
                <w:webHidden/>
              </w:rPr>
            </w:r>
            <w:r w:rsidR="00B1596A">
              <w:rPr>
                <w:noProof/>
                <w:webHidden/>
              </w:rPr>
              <w:fldChar w:fldCharType="separate"/>
            </w:r>
            <w:r w:rsidR="00B1596A">
              <w:rPr>
                <w:noProof/>
                <w:webHidden/>
              </w:rPr>
              <w:t>29</w:t>
            </w:r>
            <w:r w:rsidR="00B1596A">
              <w:rPr>
                <w:noProof/>
                <w:webHidden/>
              </w:rPr>
              <w:fldChar w:fldCharType="end"/>
            </w:r>
          </w:hyperlink>
        </w:p>
        <w:p w14:paraId="554B5533" w14:textId="77777777" w:rsidR="00B1596A" w:rsidRDefault="00351600">
          <w:pPr>
            <w:pStyle w:val="TOC2"/>
            <w:tabs>
              <w:tab w:val="left" w:pos="880"/>
              <w:tab w:val="right" w:leader="dot" w:pos="9350"/>
            </w:tabs>
            <w:rPr>
              <w:rFonts w:asciiTheme="minorHAnsi" w:hAnsiTheme="minorHAnsi"/>
              <w:noProof/>
              <w:lang w:eastAsia="en-US"/>
            </w:rPr>
          </w:pPr>
          <w:hyperlink w:anchor="_Toc75953805" w:history="1">
            <w:r w:rsidR="00B1596A" w:rsidRPr="007C239B">
              <w:rPr>
                <w:rStyle w:val="Hyperlink"/>
                <w:noProof/>
              </w:rPr>
              <w:t>2.3</w:t>
            </w:r>
            <w:r w:rsidR="00B1596A">
              <w:rPr>
                <w:rFonts w:asciiTheme="minorHAnsi" w:hAnsiTheme="minorHAnsi"/>
                <w:noProof/>
                <w:lang w:eastAsia="en-US"/>
              </w:rPr>
              <w:tab/>
            </w:r>
            <w:r w:rsidR="00B1596A" w:rsidRPr="007C239B">
              <w:rPr>
                <w:rStyle w:val="Hyperlink"/>
                <w:noProof/>
              </w:rPr>
              <w:t>Total Addressable Market</w:t>
            </w:r>
            <w:r w:rsidR="00B1596A">
              <w:rPr>
                <w:noProof/>
                <w:webHidden/>
              </w:rPr>
              <w:tab/>
            </w:r>
            <w:r w:rsidR="00B1596A">
              <w:rPr>
                <w:noProof/>
                <w:webHidden/>
              </w:rPr>
              <w:fldChar w:fldCharType="begin"/>
            </w:r>
            <w:r w:rsidR="00B1596A">
              <w:rPr>
                <w:noProof/>
                <w:webHidden/>
              </w:rPr>
              <w:instrText xml:space="preserve"> PAGEREF _Toc75953805 \h </w:instrText>
            </w:r>
            <w:r w:rsidR="00B1596A">
              <w:rPr>
                <w:noProof/>
                <w:webHidden/>
              </w:rPr>
            </w:r>
            <w:r w:rsidR="00B1596A">
              <w:rPr>
                <w:noProof/>
                <w:webHidden/>
              </w:rPr>
              <w:fldChar w:fldCharType="separate"/>
            </w:r>
            <w:r w:rsidR="00B1596A">
              <w:rPr>
                <w:noProof/>
                <w:webHidden/>
              </w:rPr>
              <w:t>29</w:t>
            </w:r>
            <w:r w:rsidR="00B1596A">
              <w:rPr>
                <w:noProof/>
                <w:webHidden/>
              </w:rPr>
              <w:fldChar w:fldCharType="end"/>
            </w:r>
          </w:hyperlink>
        </w:p>
        <w:p w14:paraId="4610758C" w14:textId="77777777" w:rsidR="00B1596A" w:rsidRDefault="00351600">
          <w:pPr>
            <w:pStyle w:val="TOC2"/>
            <w:tabs>
              <w:tab w:val="left" w:pos="880"/>
              <w:tab w:val="right" w:leader="dot" w:pos="9350"/>
            </w:tabs>
            <w:rPr>
              <w:rFonts w:asciiTheme="minorHAnsi" w:hAnsiTheme="minorHAnsi"/>
              <w:noProof/>
              <w:lang w:eastAsia="en-US"/>
            </w:rPr>
          </w:pPr>
          <w:hyperlink w:anchor="_Toc75953806" w:history="1">
            <w:r w:rsidR="00B1596A" w:rsidRPr="007C239B">
              <w:rPr>
                <w:rStyle w:val="Hyperlink"/>
                <w:noProof/>
              </w:rPr>
              <w:t>2.4</w:t>
            </w:r>
            <w:r w:rsidR="00B1596A">
              <w:rPr>
                <w:rFonts w:asciiTheme="minorHAnsi" w:hAnsiTheme="minorHAnsi"/>
                <w:noProof/>
                <w:lang w:eastAsia="en-US"/>
              </w:rPr>
              <w:tab/>
            </w:r>
            <w:r w:rsidR="00B1596A" w:rsidRPr="007C239B">
              <w:rPr>
                <w:rStyle w:val="Hyperlink"/>
                <w:noProof/>
              </w:rPr>
              <w:t>Adoption Scenarios</w:t>
            </w:r>
            <w:r w:rsidR="00B1596A">
              <w:rPr>
                <w:noProof/>
                <w:webHidden/>
              </w:rPr>
              <w:tab/>
            </w:r>
            <w:r w:rsidR="00B1596A">
              <w:rPr>
                <w:noProof/>
                <w:webHidden/>
              </w:rPr>
              <w:fldChar w:fldCharType="begin"/>
            </w:r>
            <w:r w:rsidR="00B1596A">
              <w:rPr>
                <w:noProof/>
                <w:webHidden/>
              </w:rPr>
              <w:instrText xml:space="preserve"> PAGEREF _Toc75953806 \h </w:instrText>
            </w:r>
            <w:r w:rsidR="00B1596A">
              <w:rPr>
                <w:noProof/>
                <w:webHidden/>
              </w:rPr>
            </w:r>
            <w:r w:rsidR="00B1596A">
              <w:rPr>
                <w:noProof/>
                <w:webHidden/>
              </w:rPr>
              <w:fldChar w:fldCharType="separate"/>
            </w:r>
            <w:r w:rsidR="00B1596A">
              <w:rPr>
                <w:noProof/>
                <w:webHidden/>
              </w:rPr>
              <w:t>29</w:t>
            </w:r>
            <w:r w:rsidR="00B1596A">
              <w:rPr>
                <w:noProof/>
                <w:webHidden/>
              </w:rPr>
              <w:fldChar w:fldCharType="end"/>
            </w:r>
          </w:hyperlink>
        </w:p>
        <w:p w14:paraId="007A448B" w14:textId="77777777" w:rsidR="00B1596A" w:rsidRDefault="00351600">
          <w:pPr>
            <w:pStyle w:val="TOC3"/>
            <w:tabs>
              <w:tab w:val="left" w:pos="1320"/>
              <w:tab w:val="right" w:leader="dot" w:pos="9350"/>
            </w:tabs>
            <w:rPr>
              <w:rFonts w:asciiTheme="minorHAnsi" w:hAnsiTheme="minorHAnsi"/>
              <w:noProof/>
              <w:lang w:eastAsia="en-US"/>
            </w:rPr>
          </w:pPr>
          <w:hyperlink w:anchor="_Toc75953807" w:history="1">
            <w:r w:rsidR="00B1596A" w:rsidRPr="007C239B">
              <w:rPr>
                <w:rStyle w:val="Hyperlink"/>
                <w:noProof/>
              </w:rPr>
              <w:t>2.4.1</w:t>
            </w:r>
            <w:r w:rsidR="00B1596A">
              <w:rPr>
                <w:rFonts w:asciiTheme="minorHAnsi" w:hAnsiTheme="minorHAnsi"/>
                <w:noProof/>
                <w:lang w:eastAsia="en-US"/>
              </w:rPr>
              <w:tab/>
            </w:r>
            <w:r w:rsidR="00B1596A" w:rsidRPr="007C239B">
              <w:rPr>
                <w:rStyle w:val="Hyperlink"/>
                <w:noProof/>
              </w:rPr>
              <w:t>Reference Case / Current Adoption</w:t>
            </w:r>
            <w:r w:rsidR="00B1596A">
              <w:rPr>
                <w:noProof/>
                <w:webHidden/>
              </w:rPr>
              <w:tab/>
            </w:r>
            <w:r w:rsidR="00B1596A">
              <w:rPr>
                <w:noProof/>
                <w:webHidden/>
              </w:rPr>
              <w:fldChar w:fldCharType="begin"/>
            </w:r>
            <w:r w:rsidR="00B1596A">
              <w:rPr>
                <w:noProof/>
                <w:webHidden/>
              </w:rPr>
              <w:instrText xml:space="preserve"> PAGEREF _Toc75953807 \h </w:instrText>
            </w:r>
            <w:r w:rsidR="00B1596A">
              <w:rPr>
                <w:noProof/>
                <w:webHidden/>
              </w:rPr>
            </w:r>
            <w:r w:rsidR="00B1596A">
              <w:rPr>
                <w:noProof/>
                <w:webHidden/>
              </w:rPr>
              <w:fldChar w:fldCharType="separate"/>
            </w:r>
            <w:r w:rsidR="00B1596A">
              <w:rPr>
                <w:noProof/>
                <w:webHidden/>
              </w:rPr>
              <w:t>30</w:t>
            </w:r>
            <w:r w:rsidR="00B1596A">
              <w:rPr>
                <w:noProof/>
                <w:webHidden/>
              </w:rPr>
              <w:fldChar w:fldCharType="end"/>
            </w:r>
          </w:hyperlink>
        </w:p>
        <w:p w14:paraId="6DA44350" w14:textId="77777777" w:rsidR="00B1596A" w:rsidRDefault="00351600">
          <w:pPr>
            <w:pStyle w:val="TOC3"/>
            <w:tabs>
              <w:tab w:val="left" w:pos="1320"/>
              <w:tab w:val="right" w:leader="dot" w:pos="9350"/>
            </w:tabs>
            <w:rPr>
              <w:rFonts w:asciiTheme="minorHAnsi" w:hAnsiTheme="minorHAnsi"/>
              <w:noProof/>
              <w:lang w:eastAsia="en-US"/>
            </w:rPr>
          </w:pPr>
          <w:hyperlink w:anchor="_Toc75953808" w:history="1">
            <w:r w:rsidR="00B1596A" w:rsidRPr="007C239B">
              <w:rPr>
                <w:rStyle w:val="Hyperlink"/>
                <w:noProof/>
              </w:rPr>
              <w:t>2.4.2</w:t>
            </w:r>
            <w:r w:rsidR="00B1596A">
              <w:rPr>
                <w:rFonts w:asciiTheme="minorHAnsi" w:hAnsiTheme="minorHAnsi"/>
                <w:noProof/>
                <w:lang w:eastAsia="en-US"/>
              </w:rPr>
              <w:tab/>
            </w:r>
            <w:r w:rsidR="00B1596A" w:rsidRPr="007C239B">
              <w:rPr>
                <w:rStyle w:val="Hyperlink"/>
                <w:noProof/>
              </w:rPr>
              <w:t>Project Drawdown Scenarios</w:t>
            </w:r>
            <w:r w:rsidR="00B1596A">
              <w:rPr>
                <w:noProof/>
                <w:webHidden/>
              </w:rPr>
              <w:tab/>
            </w:r>
            <w:r w:rsidR="00B1596A">
              <w:rPr>
                <w:noProof/>
                <w:webHidden/>
              </w:rPr>
              <w:fldChar w:fldCharType="begin"/>
            </w:r>
            <w:r w:rsidR="00B1596A">
              <w:rPr>
                <w:noProof/>
                <w:webHidden/>
              </w:rPr>
              <w:instrText xml:space="preserve"> PAGEREF _Toc75953808 \h </w:instrText>
            </w:r>
            <w:r w:rsidR="00B1596A">
              <w:rPr>
                <w:noProof/>
                <w:webHidden/>
              </w:rPr>
            </w:r>
            <w:r w:rsidR="00B1596A">
              <w:rPr>
                <w:noProof/>
                <w:webHidden/>
              </w:rPr>
              <w:fldChar w:fldCharType="separate"/>
            </w:r>
            <w:r w:rsidR="00B1596A">
              <w:rPr>
                <w:noProof/>
                <w:webHidden/>
              </w:rPr>
              <w:t>30</w:t>
            </w:r>
            <w:r w:rsidR="00B1596A">
              <w:rPr>
                <w:noProof/>
                <w:webHidden/>
              </w:rPr>
              <w:fldChar w:fldCharType="end"/>
            </w:r>
          </w:hyperlink>
        </w:p>
        <w:p w14:paraId="51B74475" w14:textId="77777777" w:rsidR="00B1596A" w:rsidRDefault="00351600">
          <w:pPr>
            <w:pStyle w:val="TOC3"/>
            <w:tabs>
              <w:tab w:val="left" w:pos="1320"/>
              <w:tab w:val="right" w:leader="dot" w:pos="9350"/>
            </w:tabs>
            <w:rPr>
              <w:rFonts w:asciiTheme="minorHAnsi" w:hAnsiTheme="minorHAnsi"/>
              <w:noProof/>
              <w:lang w:eastAsia="en-US"/>
            </w:rPr>
          </w:pPr>
          <w:hyperlink w:anchor="_Toc75953809" w:history="1">
            <w:r w:rsidR="00B1596A" w:rsidRPr="007C239B">
              <w:rPr>
                <w:rStyle w:val="Hyperlink"/>
                <w:noProof/>
              </w:rPr>
              <w:t>2.4.3</w:t>
            </w:r>
            <w:r w:rsidR="00B1596A">
              <w:rPr>
                <w:rFonts w:asciiTheme="minorHAnsi" w:hAnsiTheme="minorHAnsi"/>
                <w:noProof/>
                <w:lang w:eastAsia="en-US"/>
              </w:rPr>
              <w:tab/>
            </w:r>
            <w:r w:rsidR="00B1596A" w:rsidRPr="007C239B">
              <w:rPr>
                <w:rStyle w:val="Hyperlink"/>
                <w:noProof/>
              </w:rPr>
              <w:t>Alternative model scenarios</w:t>
            </w:r>
            <w:r w:rsidR="00B1596A">
              <w:rPr>
                <w:noProof/>
                <w:webHidden/>
              </w:rPr>
              <w:tab/>
            </w:r>
            <w:r w:rsidR="00B1596A">
              <w:rPr>
                <w:noProof/>
                <w:webHidden/>
              </w:rPr>
              <w:fldChar w:fldCharType="begin"/>
            </w:r>
            <w:r w:rsidR="00B1596A">
              <w:rPr>
                <w:noProof/>
                <w:webHidden/>
              </w:rPr>
              <w:instrText xml:space="preserve"> PAGEREF _Toc75953809 \h </w:instrText>
            </w:r>
            <w:r w:rsidR="00B1596A">
              <w:rPr>
                <w:noProof/>
                <w:webHidden/>
              </w:rPr>
            </w:r>
            <w:r w:rsidR="00B1596A">
              <w:rPr>
                <w:noProof/>
                <w:webHidden/>
              </w:rPr>
              <w:fldChar w:fldCharType="separate"/>
            </w:r>
            <w:r w:rsidR="00B1596A">
              <w:rPr>
                <w:noProof/>
                <w:webHidden/>
              </w:rPr>
              <w:t>30</w:t>
            </w:r>
            <w:r w:rsidR="00B1596A">
              <w:rPr>
                <w:noProof/>
                <w:webHidden/>
              </w:rPr>
              <w:fldChar w:fldCharType="end"/>
            </w:r>
          </w:hyperlink>
        </w:p>
        <w:p w14:paraId="7ECA0D33" w14:textId="77777777" w:rsidR="00B1596A" w:rsidRDefault="00351600">
          <w:pPr>
            <w:pStyle w:val="TOC2"/>
            <w:tabs>
              <w:tab w:val="left" w:pos="880"/>
              <w:tab w:val="right" w:leader="dot" w:pos="9350"/>
            </w:tabs>
            <w:rPr>
              <w:rFonts w:asciiTheme="minorHAnsi" w:hAnsiTheme="minorHAnsi"/>
              <w:noProof/>
              <w:lang w:eastAsia="en-US"/>
            </w:rPr>
          </w:pPr>
          <w:hyperlink w:anchor="_Toc75953810" w:history="1">
            <w:r w:rsidR="00B1596A" w:rsidRPr="007C239B">
              <w:rPr>
                <w:rStyle w:val="Hyperlink"/>
                <w:noProof/>
              </w:rPr>
              <w:t>2.5</w:t>
            </w:r>
            <w:r w:rsidR="00B1596A">
              <w:rPr>
                <w:rFonts w:asciiTheme="minorHAnsi" w:hAnsiTheme="minorHAnsi"/>
                <w:noProof/>
                <w:lang w:eastAsia="en-US"/>
              </w:rPr>
              <w:tab/>
            </w:r>
            <w:r w:rsidR="00B1596A" w:rsidRPr="007C239B">
              <w:rPr>
                <w:rStyle w:val="Hyperlink"/>
                <w:noProof/>
              </w:rPr>
              <w:t>Inputs</w:t>
            </w:r>
            <w:r w:rsidR="00B1596A">
              <w:rPr>
                <w:noProof/>
                <w:webHidden/>
              </w:rPr>
              <w:tab/>
            </w:r>
            <w:r w:rsidR="00B1596A">
              <w:rPr>
                <w:noProof/>
                <w:webHidden/>
              </w:rPr>
              <w:fldChar w:fldCharType="begin"/>
            </w:r>
            <w:r w:rsidR="00B1596A">
              <w:rPr>
                <w:noProof/>
                <w:webHidden/>
              </w:rPr>
              <w:instrText xml:space="preserve"> PAGEREF _Toc75953810 \h </w:instrText>
            </w:r>
            <w:r w:rsidR="00B1596A">
              <w:rPr>
                <w:noProof/>
                <w:webHidden/>
              </w:rPr>
            </w:r>
            <w:r w:rsidR="00B1596A">
              <w:rPr>
                <w:noProof/>
                <w:webHidden/>
              </w:rPr>
              <w:fldChar w:fldCharType="separate"/>
            </w:r>
            <w:r w:rsidR="00B1596A">
              <w:rPr>
                <w:noProof/>
                <w:webHidden/>
              </w:rPr>
              <w:t>31</w:t>
            </w:r>
            <w:r w:rsidR="00B1596A">
              <w:rPr>
                <w:noProof/>
                <w:webHidden/>
              </w:rPr>
              <w:fldChar w:fldCharType="end"/>
            </w:r>
          </w:hyperlink>
        </w:p>
        <w:p w14:paraId="28694F6C" w14:textId="77777777" w:rsidR="00B1596A" w:rsidRDefault="00351600">
          <w:pPr>
            <w:pStyle w:val="TOC3"/>
            <w:tabs>
              <w:tab w:val="left" w:pos="1320"/>
              <w:tab w:val="right" w:leader="dot" w:pos="9350"/>
            </w:tabs>
            <w:rPr>
              <w:rFonts w:asciiTheme="minorHAnsi" w:hAnsiTheme="minorHAnsi"/>
              <w:noProof/>
              <w:lang w:eastAsia="en-US"/>
            </w:rPr>
          </w:pPr>
          <w:hyperlink w:anchor="_Toc75953811" w:history="1">
            <w:r w:rsidR="00B1596A" w:rsidRPr="007C239B">
              <w:rPr>
                <w:rStyle w:val="Hyperlink"/>
                <w:noProof/>
              </w:rPr>
              <w:t>2.5.1</w:t>
            </w:r>
            <w:r w:rsidR="00B1596A">
              <w:rPr>
                <w:rFonts w:asciiTheme="minorHAnsi" w:hAnsiTheme="minorHAnsi"/>
                <w:noProof/>
                <w:lang w:eastAsia="en-US"/>
              </w:rPr>
              <w:tab/>
            </w:r>
            <w:r w:rsidR="00B1596A" w:rsidRPr="007C239B">
              <w:rPr>
                <w:rStyle w:val="Hyperlink"/>
                <w:noProof/>
              </w:rPr>
              <w:t>Climate Inputs</w:t>
            </w:r>
            <w:r w:rsidR="00B1596A">
              <w:rPr>
                <w:noProof/>
                <w:webHidden/>
              </w:rPr>
              <w:tab/>
            </w:r>
            <w:r w:rsidR="00B1596A">
              <w:rPr>
                <w:noProof/>
                <w:webHidden/>
              </w:rPr>
              <w:fldChar w:fldCharType="begin"/>
            </w:r>
            <w:r w:rsidR="00B1596A">
              <w:rPr>
                <w:noProof/>
                <w:webHidden/>
              </w:rPr>
              <w:instrText xml:space="preserve"> PAGEREF _Toc75953811 \h </w:instrText>
            </w:r>
            <w:r w:rsidR="00B1596A">
              <w:rPr>
                <w:noProof/>
                <w:webHidden/>
              </w:rPr>
            </w:r>
            <w:r w:rsidR="00B1596A">
              <w:rPr>
                <w:noProof/>
                <w:webHidden/>
              </w:rPr>
              <w:fldChar w:fldCharType="separate"/>
            </w:r>
            <w:r w:rsidR="00B1596A">
              <w:rPr>
                <w:noProof/>
                <w:webHidden/>
              </w:rPr>
              <w:t>32</w:t>
            </w:r>
            <w:r w:rsidR="00B1596A">
              <w:rPr>
                <w:noProof/>
                <w:webHidden/>
              </w:rPr>
              <w:fldChar w:fldCharType="end"/>
            </w:r>
          </w:hyperlink>
        </w:p>
        <w:p w14:paraId="6B18994E" w14:textId="77777777" w:rsidR="00B1596A" w:rsidRDefault="00351600">
          <w:pPr>
            <w:pStyle w:val="TOC3"/>
            <w:tabs>
              <w:tab w:val="left" w:pos="1320"/>
              <w:tab w:val="right" w:leader="dot" w:pos="9350"/>
            </w:tabs>
            <w:rPr>
              <w:rFonts w:asciiTheme="minorHAnsi" w:hAnsiTheme="minorHAnsi"/>
              <w:noProof/>
              <w:lang w:eastAsia="en-US"/>
            </w:rPr>
          </w:pPr>
          <w:hyperlink w:anchor="_Toc75953812" w:history="1">
            <w:r w:rsidR="00B1596A" w:rsidRPr="007C239B">
              <w:rPr>
                <w:rStyle w:val="Hyperlink"/>
                <w:noProof/>
              </w:rPr>
              <w:t>2.5.2</w:t>
            </w:r>
            <w:r w:rsidR="00B1596A">
              <w:rPr>
                <w:rFonts w:asciiTheme="minorHAnsi" w:hAnsiTheme="minorHAnsi"/>
                <w:noProof/>
                <w:lang w:eastAsia="en-US"/>
              </w:rPr>
              <w:tab/>
            </w:r>
            <w:r w:rsidR="00B1596A" w:rsidRPr="007C239B">
              <w:rPr>
                <w:rStyle w:val="Hyperlink"/>
                <w:noProof/>
              </w:rPr>
              <w:t>Financial Inputs</w:t>
            </w:r>
            <w:r w:rsidR="00B1596A">
              <w:rPr>
                <w:noProof/>
                <w:webHidden/>
              </w:rPr>
              <w:tab/>
            </w:r>
            <w:r w:rsidR="00B1596A">
              <w:rPr>
                <w:noProof/>
                <w:webHidden/>
              </w:rPr>
              <w:fldChar w:fldCharType="begin"/>
            </w:r>
            <w:r w:rsidR="00B1596A">
              <w:rPr>
                <w:noProof/>
                <w:webHidden/>
              </w:rPr>
              <w:instrText xml:space="preserve"> PAGEREF _Toc75953812 \h </w:instrText>
            </w:r>
            <w:r w:rsidR="00B1596A">
              <w:rPr>
                <w:noProof/>
                <w:webHidden/>
              </w:rPr>
            </w:r>
            <w:r w:rsidR="00B1596A">
              <w:rPr>
                <w:noProof/>
                <w:webHidden/>
              </w:rPr>
              <w:fldChar w:fldCharType="separate"/>
            </w:r>
            <w:r w:rsidR="00B1596A">
              <w:rPr>
                <w:noProof/>
                <w:webHidden/>
              </w:rPr>
              <w:t>32</w:t>
            </w:r>
            <w:r w:rsidR="00B1596A">
              <w:rPr>
                <w:noProof/>
                <w:webHidden/>
              </w:rPr>
              <w:fldChar w:fldCharType="end"/>
            </w:r>
          </w:hyperlink>
        </w:p>
        <w:p w14:paraId="29BE3295" w14:textId="77777777" w:rsidR="00B1596A" w:rsidRDefault="00351600">
          <w:pPr>
            <w:pStyle w:val="TOC3"/>
            <w:tabs>
              <w:tab w:val="left" w:pos="1320"/>
              <w:tab w:val="right" w:leader="dot" w:pos="9350"/>
            </w:tabs>
            <w:rPr>
              <w:rFonts w:asciiTheme="minorHAnsi" w:hAnsiTheme="minorHAnsi"/>
              <w:noProof/>
              <w:lang w:eastAsia="en-US"/>
            </w:rPr>
          </w:pPr>
          <w:hyperlink w:anchor="_Toc75953813" w:history="1">
            <w:r w:rsidR="00B1596A" w:rsidRPr="007C239B">
              <w:rPr>
                <w:rStyle w:val="Hyperlink"/>
                <w:noProof/>
              </w:rPr>
              <w:t>2.5.3</w:t>
            </w:r>
            <w:r w:rsidR="00B1596A">
              <w:rPr>
                <w:rFonts w:asciiTheme="minorHAnsi" w:hAnsiTheme="minorHAnsi"/>
                <w:noProof/>
                <w:lang w:eastAsia="en-US"/>
              </w:rPr>
              <w:tab/>
            </w:r>
            <w:r w:rsidR="00B1596A" w:rsidRPr="007C239B">
              <w:rPr>
                <w:rStyle w:val="Hyperlink"/>
                <w:noProof/>
              </w:rPr>
              <w:t>Technical Inputs</w:t>
            </w:r>
            <w:r w:rsidR="00B1596A">
              <w:rPr>
                <w:noProof/>
                <w:webHidden/>
              </w:rPr>
              <w:tab/>
            </w:r>
            <w:r w:rsidR="00B1596A">
              <w:rPr>
                <w:noProof/>
                <w:webHidden/>
              </w:rPr>
              <w:fldChar w:fldCharType="begin"/>
            </w:r>
            <w:r w:rsidR="00B1596A">
              <w:rPr>
                <w:noProof/>
                <w:webHidden/>
              </w:rPr>
              <w:instrText xml:space="preserve"> PAGEREF _Toc75953813 \h </w:instrText>
            </w:r>
            <w:r w:rsidR="00B1596A">
              <w:rPr>
                <w:noProof/>
                <w:webHidden/>
              </w:rPr>
            </w:r>
            <w:r w:rsidR="00B1596A">
              <w:rPr>
                <w:noProof/>
                <w:webHidden/>
              </w:rPr>
              <w:fldChar w:fldCharType="separate"/>
            </w:r>
            <w:r w:rsidR="00B1596A">
              <w:rPr>
                <w:noProof/>
                <w:webHidden/>
              </w:rPr>
              <w:t>33</w:t>
            </w:r>
            <w:r w:rsidR="00B1596A">
              <w:rPr>
                <w:noProof/>
                <w:webHidden/>
              </w:rPr>
              <w:fldChar w:fldCharType="end"/>
            </w:r>
          </w:hyperlink>
        </w:p>
        <w:p w14:paraId="00A751AE" w14:textId="77777777" w:rsidR="00B1596A" w:rsidRDefault="00351600">
          <w:pPr>
            <w:pStyle w:val="TOC2"/>
            <w:tabs>
              <w:tab w:val="left" w:pos="880"/>
              <w:tab w:val="right" w:leader="dot" w:pos="9350"/>
            </w:tabs>
            <w:rPr>
              <w:rFonts w:asciiTheme="minorHAnsi" w:hAnsiTheme="minorHAnsi"/>
              <w:noProof/>
              <w:lang w:eastAsia="en-US"/>
            </w:rPr>
          </w:pPr>
          <w:hyperlink w:anchor="_Toc75953814" w:history="1">
            <w:r w:rsidR="00B1596A" w:rsidRPr="007C239B">
              <w:rPr>
                <w:rStyle w:val="Hyperlink"/>
                <w:noProof/>
              </w:rPr>
              <w:t>2.6</w:t>
            </w:r>
            <w:r w:rsidR="00B1596A">
              <w:rPr>
                <w:rFonts w:asciiTheme="minorHAnsi" w:hAnsiTheme="minorHAnsi"/>
                <w:noProof/>
                <w:lang w:eastAsia="en-US"/>
              </w:rPr>
              <w:tab/>
            </w:r>
            <w:r w:rsidR="00B1596A" w:rsidRPr="007C239B">
              <w:rPr>
                <w:rStyle w:val="Hyperlink"/>
                <w:noProof/>
              </w:rPr>
              <w:t>Assumptions</w:t>
            </w:r>
            <w:r w:rsidR="00B1596A">
              <w:rPr>
                <w:noProof/>
                <w:webHidden/>
              </w:rPr>
              <w:tab/>
            </w:r>
            <w:r w:rsidR="00B1596A">
              <w:rPr>
                <w:noProof/>
                <w:webHidden/>
              </w:rPr>
              <w:fldChar w:fldCharType="begin"/>
            </w:r>
            <w:r w:rsidR="00B1596A">
              <w:rPr>
                <w:noProof/>
                <w:webHidden/>
              </w:rPr>
              <w:instrText xml:space="preserve"> PAGEREF _Toc75953814 \h </w:instrText>
            </w:r>
            <w:r w:rsidR="00B1596A">
              <w:rPr>
                <w:noProof/>
                <w:webHidden/>
              </w:rPr>
            </w:r>
            <w:r w:rsidR="00B1596A">
              <w:rPr>
                <w:noProof/>
                <w:webHidden/>
              </w:rPr>
              <w:fldChar w:fldCharType="separate"/>
            </w:r>
            <w:r w:rsidR="00B1596A">
              <w:rPr>
                <w:noProof/>
                <w:webHidden/>
              </w:rPr>
              <w:t>34</w:t>
            </w:r>
            <w:r w:rsidR="00B1596A">
              <w:rPr>
                <w:noProof/>
                <w:webHidden/>
              </w:rPr>
              <w:fldChar w:fldCharType="end"/>
            </w:r>
          </w:hyperlink>
        </w:p>
        <w:p w14:paraId="2DF521A1" w14:textId="77777777" w:rsidR="00B1596A" w:rsidRDefault="00351600">
          <w:pPr>
            <w:pStyle w:val="TOC2"/>
            <w:tabs>
              <w:tab w:val="left" w:pos="880"/>
              <w:tab w:val="right" w:leader="dot" w:pos="9350"/>
            </w:tabs>
            <w:rPr>
              <w:rFonts w:asciiTheme="minorHAnsi" w:hAnsiTheme="minorHAnsi"/>
              <w:noProof/>
              <w:lang w:eastAsia="en-US"/>
            </w:rPr>
          </w:pPr>
          <w:hyperlink w:anchor="_Toc75953815" w:history="1">
            <w:r w:rsidR="00B1596A" w:rsidRPr="007C239B">
              <w:rPr>
                <w:rStyle w:val="Hyperlink"/>
                <w:noProof/>
              </w:rPr>
              <w:t>2.7</w:t>
            </w:r>
            <w:r w:rsidR="00B1596A">
              <w:rPr>
                <w:rFonts w:asciiTheme="minorHAnsi" w:hAnsiTheme="minorHAnsi"/>
                <w:noProof/>
                <w:lang w:eastAsia="en-US"/>
              </w:rPr>
              <w:tab/>
            </w:r>
            <w:r w:rsidR="00B1596A" w:rsidRPr="007C239B">
              <w:rPr>
                <w:rStyle w:val="Hyperlink"/>
                <w:noProof/>
              </w:rPr>
              <w:t>Integration</w:t>
            </w:r>
            <w:r w:rsidR="00B1596A">
              <w:rPr>
                <w:noProof/>
                <w:webHidden/>
              </w:rPr>
              <w:tab/>
            </w:r>
            <w:r w:rsidR="00B1596A">
              <w:rPr>
                <w:noProof/>
                <w:webHidden/>
              </w:rPr>
              <w:fldChar w:fldCharType="begin"/>
            </w:r>
            <w:r w:rsidR="00B1596A">
              <w:rPr>
                <w:noProof/>
                <w:webHidden/>
              </w:rPr>
              <w:instrText xml:space="preserve"> PAGEREF _Toc75953815 \h </w:instrText>
            </w:r>
            <w:r w:rsidR="00B1596A">
              <w:rPr>
                <w:noProof/>
                <w:webHidden/>
              </w:rPr>
            </w:r>
            <w:r w:rsidR="00B1596A">
              <w:rPr>
                <w:noProof/>
                <w:webHidden/>
              </w:rPr>
              <w:fldChar w:fldCharType="separate"/>
            </w:r>
            <w:r w:rsidR="00B1596A">
              <w:rPr>
                <w:noProof/>
                <w:webHidden/>
              </w:rPr>
              <w:t>35</w:t>
            </w:r>
            <w:r w:rsidR="00B1596A">
              <w:rPr>
                <w:noProof/>
                <w:webHidden/>
              </w:rPr>
              <w:fldChar w:fldCharType="end"/>
            </w:r>
          </w:hyperlink>
        </w:p>
        <w:p w14:paraId="3017F7C8" w14:textId="77777777" w:rsidR="00B1596A" w:rsidRDefault="00351600">
          <w:pPr>
            <w:pStyle w:val="TOC2"/>
            <w:tabs>
              <w:tab w:val="left" w:pos="880"/>
              <w:tab w:val="right" w:leader="dot" w:pos="9350"/>
            </w:tabs>
            <w:rPr>
              <w:rFonts w:asciiTheme="minorHAnsi" w:hAnsiTheme="minorHAnsi"/>
              <w:noProof/>
              <w:lang w:eastAsia="en-US"/>
            </w:rPr>
          </w:pPr>
          <w:hyperlink w:anchor="_Toc75953816" w:history="1">
            <w:r w:rsidR="00B1596A" w:rsidRPr="007C239B">
              <w:rPr>
                <w:rStyle w:val="Hyperlink"/>
                <w:noProof/>
              </w:rPr>
              <w:t>2.8</w:t>
            </w:r>
            <w:r w:rsidR="00B1596A">
              <w:rPr>
                <w:rFonts w:asciiTheme="minorHAnsi" w:hAnsiTheme="minorHAnsi"/>
                <w:noProof/>
                <w:lang w:eastAsia="en-US"/>
              </w:rPr>
              <w:tab/>
            </w:r>
            <w:r w:rsidR="00B1596A" w:rsidRPr="007C239B">
              <w:rPr>
                <w:rStyle w:val="Hyperlink"/>
                <w:noProof/>
              </w:rPr>
              <w:t>Limitations/Further Development</w:t>
            </w:r>
            <w:r w:rsidR="00B1596A">
              <w:rPr>
                <w:noProof/>
                <w:webHidden/>
              </w:rPr>
              <w:tab/>
            </w:r>
            <w:r w:rsidR="00B1596A">
              <w:rPr>
                <w:noProof/>
                <w:webHidden/>
              </w:rPr>
              <w:fldChar w:fldCharType="begin"/>
            </w:r>
            <w:r w:rsidR="00B1596A">
              <w:rPr>
                <w:noProof/>
                <w:webHidden/>
              </w:rPr>
              <w:instrText xml:space="preserve"> PAGEREF _Toc75953816 \h </w:instrText>
            </w:r>
            <w:r w:rsidR="00B1596A">
              <w:rPr>
                <w:noProof/>
                <w:webHidden/>
              </w:rPr>
            </w:r>
            <w:r w:rsidR="00B1596A">
              <w:rPr>
                <w:noProof/>
                <w:webHidden/>
              </w:rPr>
              <w:fldChar w:fldCharType="separate"/>
            </w:r>
            <w:r w:rsidR="00B1596A">
              <w:rPr>
                <w:noProof/>
                <w:webHidden/>
              </w:rPr>
              <w:t>35</w:t>
            </w:r>
            <w:r w:rsidR="00B1596A">
              <w:rPr>
                <w:noProof/>
                <w:webHidden/>
              </w:rPr>
              <w:fldChar w:fldCharType="end"/>
            </w:r>
          </w:hyperlink>
        </w:p>
        <w:p w14:paraId="22896DEA" w14:textId="77777777" w:rsidR="00B1596A" w:rsidRDefault="00351600">
          <w:pPr>
            <w:pStyle w:val="TOC1"/>
            <w:tabs>
              <w:tab w:val="left" w:pos="440"/>
              <w:tab w:val="right" w:leader="dot" w:pos="9350"/>
            </w:tabs>
            <w:rPr>
              <w:rFonts w:asciiTheme="minorHAnsi" w:hAnsiTheme="minorHAnsi"/>
              <w:noProof/>
              <w:lang w:eastAsia="en-US"/>
            </w:rPr>
          </w:pPr>
          <w:hyperlink w:anchor="_Toc75953817" w:history="1">
            <w:r w:rsidR="00B1596A" w:rsidRPr="007C239B">
              <w:rPr>
                <w:rStyle w:val="Hyperlink"/>
                <w:noProof/>
              </w:rPr>
              <w:t>3</w:t>
            </w:r>
            <w:r w:rsidR="00B1596A">
              <w:rPr>
                <w:rFonts w:asciiTheme="minorHAnsi" w:hAnsiTheme="minorHAnsi"/>
                <w:noProof/>
                <w:lang w:eastAsia="en-US"/>
              </w:rPr>
              <w:tab/>
            </w:r>
            <w:r w:rsidR="00B1596A" w:rsidRPr="007C239B">
              <w:rPr>
                <w:rStyle w:val="Hyperlink"/>
                <w:noProof/>
              </w:rPr>
              <w:t>Results</w:t>
            </w:r>
            <w:r w:rsidR="00B1596A">
              <w:rPr>
                <w:noProof/>
                <w:webHidden/>
              </w:rPr>
              <w:tab/>
            </w:r>
            <w:r w:rsidR="00B1596A">
              <w:rPr>
                <w:noProof/>
                <w:webHidden/>
              </w:rPr>
              <w:fldChar w:fldCharType="begin"/>
            </w:r>
            <w:r w:rsidR="00B1596A">
              <w:rPr>
                <w:noProof/>
                <w:webHidden/>
              </w:rPr>
              <w:instrText xml:space="preserve"> PAGEREF _Toc75953817 \h </w:instrText>
            </w:r>
            <w:r w:rsidR="00B1596A">
              <w:rPr>
                <w:noProof/>
                <w:webHidden/>
              </w:rPr>
            </w:r>
            <w:r w:rsidR="00B1596A">
              <w:rPr>
                <w:noProof/>
                <w:webHidden/>
              </w:rPr>
              <w:fldChar w:fldCharType="separate"/>
            </w:r>
            <w:r w:rsidR="00B1596A">
              <w:rPr>
                <w:noProof/>
                <w:webHidden/>
              </w:rPr>
              <w:t>37</w:t>
            </w:r>
            <w:r w:rsidR="00B1596A">
              <w:rPr>
                <w:noProof/>
                <w:webHidden/>
              </w:rPr>
              <w:fldChar w:fldCharType="end"/>
            </w:r>
          </w:hyperlink>
        </w:p>
        <w:p w14:paraId="0D4A7953" w14:textId="77777777" w:rsidR="00B1596A" w:rsidRDefault="00351600">
          <w:pPr>
            <w:pStyle w:val="TOC2"/>
            <w:tabs>
              <w:tab w:val="left" w:pos="880"/>
              <w:tab w:val="right" w:leader="dot" w:pos="9350"/>
            </w:tabs>
            <w:rPr>
              <w:rFonts w:asciiTheme="minorHAnsi" w:hAnsiTheme="minorHAnsi"/>
              <w:noProof/>
              <w:lang w:eastAsia="en-US"/>
            </w:rPr>
          </w:pPr>
          <w:hyperlink w:anchor="_Toc75953818" w:history="1">
            <w:r w:rsidR="00B1596A" w:rsidRPr="007C239B">
              <w:rPr>
                <w:rStyle w:val="Hyperlink"/>
                <w:noProof/>
              </w:rPr>
              <w:t>3.2</w:t>
            </w:r>
            <w:r w:rsidR="00B1596A">
              <w:rPr>
                <w:rFonts w:asciiTheme="minorHAnsi" w:hAnsiTheme="minorHAnsi"/>
                <w:noProof/>
                <w:lang w:eastAsia="en-US"/>
              </w:rPr>
              <w:tab/>
            </w:r>
            <w:r w:rsidR="00B1596A" w:rsidRPr="007C239B">
              <w:rPr>
                <w:rStyle w:val="Hyperlink"/>
                <w:noProof/>
              </w:rPr>
              <w:t>Adoption</w:t>
            </w:r>
            <w:r w:rsidR="00B1596A">
              <w:rPr>
                <w:noProof/>
                <w:webHidden/>
              </w:rPr>
              <w:tab/>
            </w:r>
            <w:r w:rsidR="00B1596A">
              <w:rPr>
                <w:noProof/>
                <w:webHidden/>
              </w:rPr>
              <w:fldChar w:fldCharType="begin"/>
            </w:r>
            <w:r w:rsidR="00B1596A">
              <w:rPr>
                <w:noProof/>
                <w:webHidden/>
              </w:rPr>
              <w:instrText xml:space="preserve"> PAGEREF _Toc75953818 \h </w:instrText>
            </w:r>
            <w:r w:rsidR="00B1596A">
              <w:rPr>
                <w:noProof/>
                <w:webHidden/>
              </w:rPr>
            </w:r>
            <w:r w:rsidR="00B1596A">
              <w:rPr>
                <w:noProof/>
                <w:webHidden/>
              </w:rPr>
              <w:fldChar w:fldCharType="separate"/>
            </w:r>
            <w:r w:rsidR="00B1596A">
              <w:rPr>
                <w:noProof/>
                <w:webHidden/>
              </w:rPr>
              <w:t>37</w:t>
            </w:r>
            <w:r w:rsidR="00B1596A">
              <w:rPr>
                <w:noProof/>
                <w:webHidden/>
              </w:rPr>
              <w:fldChar w:fldCharType="end"/>
            </w:r>
          </w:hyperlink>
        </w:p>
        <w:p w14:paraId="7D1D0FAC" w14:textId="77777777" w:rsidR="00B1596A" w:rsidRDefault="00351600">
          <w:pPr>
            <w:pStyle w:val="TOC2"/>
            <w:tabs>
              <w:tab w:val="left" w:pos="880"/>
              <w:tab w:val="right" w:leader="dot" w:pos="9350"/>
            </w:tabs>
            <w:rPr>
              <w:rFonts w:asciiTheme="minorHAnsi" w:hAnsiTheme="minorHAnsi"/>
              <w:noProof/>
              <w:lang w:eastAsia="en-US"/>
            </w:rPr>
          </w:pPr>
          <w:hyperlink w:anchor="_Toc75953819" w:history="1">
            <w:r w:rsidR="00B1596A" w:rsidRPr="007C239B">
              <w:rPr>
                <w:rStyle w:val="Hyperlink"/>
                <w:noProof/>
              </w:rPr>
              <w:t>3.3</w:t>
            </w:r>
            <w:r w:rsidR="00B1596A">
              <w:rPr>
                <w:rFonts w:asciiTheme="minorHAnsi" w:hAnsiTheme="minorHAnsi"/>
                <w:noProof/>
                <w:lang w:eastAsia="en-US"/>
              </w:rPr>
              <w:tab/>
            </w:r>
            <w:r w:rsidR="00B1596A" w:rsidRPr="007C239B">
              <w:rPr>
                <w:rStyle w:val="Hyperlink"/>
                <w:noProof/>
              </w:rPr>
              <w:t>Climate Impacts</w:t>
            </w:r>
            <w:r w:rsidR="00B1596A">
              <w:rPr>
                <w:noProof/>
                <w:webHidden/>
              </w:rPr>
              <w:tab/>
            </w:r>
            <w:r w:rsidR="00B1596A">
              <w:rPr>
                <w:noProof/>
                <w:webHidden/>
              </w:rPr>
              <w:fldChar w:fldCharType="begin"/>
            </w:r>
            <w:r w:rsidR="00B1596A">
              <w:rPr>
                <w:noProof/>
                <w:webHidden/>
              </w:rPr>
              <w:instrText xml:space="preserve"> PAGEREF _Toc75953819 \h </w:instrText>
            </w:r>
            <w:r w:rsidR="00B1596A">
              <w:rPr>
                <w:noProof/>
                <w:webHidden/>
              </w:rPr>
            </w:r>
            <w:r w:rsidR="00B1596A">
              <w:rPr>
                <w:noProof/>
                <w:webHidden/>
              </w:rPr>
              <w:fldChar w:fldCharType="separate"/>
            </w:r>
            <w:r w:rsidR="00B1596A">
              <w:rPr>
                <w:noProof/>
                <w:webHidden/>
              </w:rPr>
              <w:t>37</w:t>
            </w:r>
            <w:r w:rsidR="00B1596A">
              <w:rPr>
                <w:noProof/>
                <w:webHidden/>
              </w:rPr>
              <w:fldChar w:fldCharType="end"/>
            </w:r>
          </w:hyperlink>
        </w:p>
        <w:p w14:paraId="5EEF299D" w14:textId="77777777" w:rsidR="00B1596A" w:rsidRDefault="00351600">
          <w:pPr>
            <w:pStyle w:val="TOC2"/>
            <w:tabs>
              <w:tab w:val="left" w:pos="880"/>
              <w:tab w:val="right" w:leader="dot" w:pos="9350"/>
            </w:tabs>
            <w:rPr>
              <w:rFonts w:asciiTheme="minorHAnsi" w:hAnsiTheme="minorHAnsi"/>
              <w:noProof/>
              <w:lang w:eastAsia="en-US"/>
            </w:rPr>
          </w:pPr>
          <w:hyperlink w:anchor="_Toc75953820" w:history="1">
            <w:r w:rsidR="00B1596A" w:rsidRPr="007C239B">
              <w:rPr>
                <w:rStyle w:val="Hyperlink"/>
                <w:noProof/>
              </w:rPr>
              <w:t>3.4</w:t>
            </w:r>
            <w:r w:rsidR="00B1596A">
              <w:rPr>
                <w:rFonts w:asciiTheme="minorHAnsi" w:hAnsiTheme="minorHAnsi"/>
                <w:noProof/>
                <w:lang w:eastAsia="en-US"/>
              </w:rPr>
              <w:tab/>
            </w:r>
            <w:r w:rsidR="00B1596A" w:rsidRPr="007C239B">
              <w:rPr>
                <w:rStyle w:val="Hyperlink"/>
                <w:noProof/>
              </w:rPr>
              <w:t>Financial Impacts</w:t>
            </w:r>
            <w:r w:rsidR="00B1596A">
              <w:rPr>
                <w:noProof/>
                <w:webHidden/>
              </w:rPr>
              <w:tab/>
            </w:r>
            <w:r w:rsidR="00B1596A">
              <w:rPr>
                <w:noProof/>
                <w:webHidden/>
              </w:rPr>
              <w:fldChar w:fldCharType="begin"/>
            </w:r>
            <w:r w:rsidR="00B1596A">
              <w:rPr>
                <w:noProof/>
                <w:webHidden/>
              </w:rPr>
              <w:instrText xml:space="preserve"> PAGEREF _Toc75953820 \h </w:instrText>
            </w:r>
            <w:r w:rsidR="00B1596A">
              <w:rPr>
                <w:noProof/>
                <w:webHidden/>
              </w:rPr>
            </w:r>
            <w:r w:rsidR="00B1596A">
              <w:rPr>
                <w:noProof/>
                <w:webHidden/>
              </w:rPr>
              <w:fldChar w:fldCharType="separate"/>
            </w:r>
            <w:r w:rsidR="00B1596A">
              <w:rPr>
                <w:noProof/>
                <w:webHidden/>
              </w:rPr>
              <w:t>39</w:t>
            </w:r>
            <w:r w:rsidR="00B1596A">
              <w:rPr>
                <w:noProof/>
                <w:webHidden/>
              </w:rPr>
              <w:fldChar w:fldCharType="end"/>
            </w:r>
          </w:hyperlink>
        </w:p>
        <w:p w14:paraId="181C5277" w14:textId="77777777" w:rsidR="00B1596A" w:rsidRDefault="00351600">
          <w:pPr>
            <w:pStyle w:val="TOC2"/>
            <w:tabs>
              <w:tab w:val="left" w:pos="880"/>
              <w:tab w:val="right" w:leader="dot" w:pos="9350"/>
            </w:tabs>
            <w:rPr>
              <w:rFonts w:asciiTheme="minorHAnsi" w:hAnsiTheme="minorHAnsi"/>
              <w:noProof/>
              <w:lang w:eastAsia="en-US"/>
            </w:rPr>
          </w:pPr>
          <w:hyperlink w:anchor="_Toc75953821" w:history="1">
            <w:r w:rsidR="00B1596A" w:rsidRPr="007C239B">
              <w:rPr>
                <w:rStyle w:val="Hyperlink"/>
                <w:noProof/>
              </w:rPr>
              <w:t>3.5</w:t>
            </w:r>
            <w:r w:rsidR="00B1596A">
              <w:rPr>
                <w:rFonts w:asciiTheme="minorHAnsi" w:hAnsiTheme="minorHAnsi"/>
                <w:noProof/>
                <w:lang w:eastAsia="en-US"/>
              </w:rPr>
              <w:tab/>
            </w:r>
            <w:r w:rsidR="00B1596A" w:rsidRPr="007C239B">
              <w:rPr>
                <w:rStyle w:val="Hyperlink"/>
                <w:noProof/>
              </w:rPr>
              <w:t>Alternative scenarios</w:t>
            </w:r>
            <w:r w:rsidR="00B1596A">
              <w:rPr>
                <w:noProof/>
                <w:webHidden/>
              </w:rPr>
              <w:tab/>
            </w:r>
            <w:r w:rsidR="00B1596A">
              <w:rPr>
                <w:noProof/>
                <w:webHidden/>
              </w:rPr>
              <w:fldChar w:fldCharType="begin"/>
            </w:r>
            <w:r w:rsidR="00B1596A">
              <w:rPr>
                <w:noProof/>
                <w:webHidden/>
              </w:rPr>
              <w:instrText xml:space="preserve"> PAGEREF _Toc75953821 \h </w:instrText>
            </w:r>
            <w:r w:rsidR="00B1596A">
              <w:rPr>
                <w:noProof/>
                <w:webHidden/>
              </w:rPr>
            </w:r>
            <w:r w:rsidR="00B1596A">
              <w:rPr>
                <w:noProof/>
                <w:webHidden/>
              </w:rPr>
              <w:fldChar w:fldCharType="separate"/>
            </w:r>
            <w:r w:rsidR="00B1596A">
              <w:rPr>
                <w:noProof/>
                <w:webHidden/>
              </w:rPr>
              <w:t>40</w:t>
            </w:r>
            <w:r w:rsidR="00B1596A">
              <w:rPr>
                <w:noProof/>
                <w:webHidden/>
              </w:rPr>
              <w:fldChar w:fldCharType="end"/>
            </w:r>
          </w:hyperlink>
        </w:p>
        <w:p w14:paraId="11945E53" w14:textId="77777777" w:rsidR="00B1596A" w:rsidRDefault="00351600">
          <w:pPr>
            <w:pStyle w:val="TOC1"/>
            <w:tabs>
              <w:tab w:val="left" w:pos="440"/>
              <w:tab w:val="right" w:leader="dot" w:pos="9350"/>
            </w:tabs>
            <w:rPr>
              <w:rFonts w:asciiTheme="minorHAnsi" w:hAnsiTheme="minorHAnsi"/>
              <w:noProof/>
              <w:lang w:eastAsia="en-US"/>
            </w:rPr>
          </w:pPr>
          <w:hyperlink w:anchor="_Toc75953822" w:history="1">
            <w:r w:rsidR="00B1596A" w:rsidRPr="007C239B">
              <w:rPr>
                <w:rStyle w:val="Hyperlink"/>
                <w:noProof/>
              </w:rPr>
              <w:t>4</w:t>
            </w:r>
            <w:r w:rsidR="00B1596A">
              <w:rPr>
                <w:rFonts w:asciiTheme="minorHAnsi" w:hAnsiTheme="minorHAnsi"/>
                <w:noProof/>
                <w:lang w:eastAsia="en-US"/>
              </w:rPr>
              <w:tab/>
            </w:r>
            <w:r w:rsidR="00B1596A" w:rsidRPr="007C239B">
              <w:rPr>
                <w:rStyle w:val="Hyperlink"/>
                <w:noProof/>
              </w:rPr>
              <w:t>Discussion</w:t>
            </w:r>
            <w:r w:rsidR="00B1596A">
              <w:rPr>
                <w:noProof/>
                <w:webHidden/>
              </w:rPr>
              <w:tab/>
            </w:r>
            <w:r w:rsidR="00B1596A">
              <w:rPr>
                <w:noProof/>
                <w:webHidden/>
              </w:rPr>
              <w:fldChar w:fldCharType="begin"/>
            </w:r>
            <w:r w:rsidR="00B1596A">
              <w:rPr>
                <w:noProof/>
                <w:webHidden/>
              </w:rPr>
              <w:instrText xml:space="preserve"> PAGEREF _Toc75953822 \h </w:instrText>
            </w:r>
            <w:r w:rsidR="00B1596A">
              <w:rPr>
                <w:noProof/>
                <w:webHidden/>
              </w:rPr>
            </w:r>
            <w:r w:rsidR="00B1596A">
              <w:rPr>
                <w:noProof/>
                <w:webHidden/>
              </w:rPr>
              <w:fldChar w:fldCharType="separate"/>
            </w:r>
            <w:r w:rsidR="00B1596A">
              <w:rPr>
                <w:noProof/>
                <w:webHidden/>
              </w:rPr>
              <w:t>42</w:t>
            </w:r>
            <w:r w:rsidR="00B1596A">
              <w:rPr>
                <w:noProof/>
                <w:webHidden/>
              </w:rPr>
              <w:fldChar w:fldCharType="end"/>
            </w:r>
          </w:hyperlink>
        </w:p>
        <w:p w14:paraId="03F34762" w14:textId="77777777" w:rsidR="00B1596A" w:rsidRDefault="00351600">
          <w:pPr>
            <w:pStyle w:val="TOC2"/>
            <w:tabs>
              <w:tab w:val="left" w:pos="880"/>
              <w:tab w:val="right" w:leader="dot" w:pos="9350"/>
            </w:tabs>
            <w:rPr>
              <w:rFonts w:asciiTheme="minorHAnsi" w:hAnsiTheme="minorHAnsi"/>
              <w:noProof/>
              <w:lang w:eastAsia="en-US"/>
            </w:rPr>
          </w:pPr>
          <w:hyperlink w:anchor="_Toc75953823" w:history="1">
            <w:r w:rsidR="00B1596A" w:rsidRPr="007C239B">
              <w:rPr>
                <w:rStyle w:val="Hyperlink"/>
                <w:noProof/>
              </w:rPr>
              <w:t>4.2</w:t>
            </w:r>
            <w:r w:rsidR="00B1596A">
              <w:rPr>
                <w:rFonts w:asciiTheme="minorHAnsi" w:hAnsiTheme="minorHAnsi"/>
                <w:noProof/>
                <w:lang w:eastAsia="en-US"/>
              </w:rPr>
              <w:tab/>
            </w:r>
            <w:r w:rsidR="00B1596A" w:rsidRPr="007C239B">
              <w:rPr>
                <w:rStyle w:val="Hyperlink"/>
                <w:noProof/>
              </w:rPr>
              <w:t>Limitations</w:t>
            </w:r>
            <w:r w:rsidR="00B1596A">
              <w:rPr>
                <w:noProof/>
                <w:webHidden/>
              </w:rPr>
              <w:tab/>
            </w:r>
            <w:r w:rsidR="00B1596A">
              <w:rPr>
                <w:noProof/>
                <w:webHidden/>
              </w:rPr>
              <w:fldChar w:fldCharType="begin"/>
            </w:r>
            <w:r w:rsidR="00B1596A">
              <w:rPr>
                <w:noProof/>
                <w:webHidden/>
              </w:rPr>
              <w:instrText xml:space="preserve"> PAGEREF _Toc75953823 \h </w:instrText>
            </w:r>
            <w:r w:rsidR="00B1596A">
              <w:rPr>
                <w:noProof/>
                <w:webHidden/>
              </w:rPr>
            </w:r>
            <w:r w:rsidR="00B1596A">
              <w:rPr>
                <w:noProof/>
                <w:webHidden/>
              </w:rPr>
              <w:fldChar w:fldCharType="separate"/>
            </w:r>
            <w:r w:rsidR="00B1596A">
              <w:rPr>
                <w:noProof/>
                <w:webHidden/>
              </w:rPr>
              <w:t>44</w:t>
            </w:r>
            <w:r w:rsidR="00B1596A">
              <w:rPr>
                <w:noProof/>
                <w:webHidden/>
              </w:rPr>
              <w:fldChar w:fldCharType="end"/>
            </w:r>
          </w:hyperlink>
        </w:p>
        <w:p w14:paraId="27063B0B" w14:textId="77777777" w:rsidR="00B1596A" w:rsidRDefault="00351600">
          <w:pPr>
            <w:pStyle w:val="TOC2"/>
            <w:tabs>
              <w:tab w:val="left" w:pos="880"/>
              <w:tab w:val="right" w:leader="dot" w:pos="9350"/>
            </w:tabs>
            <w:rPr>
              <w:rFonts w:asciiTheme="minorHAnsi" w:hAnsiTheme="minorHAnsi"/>
              <w:noProof/>
              <w:lang w:eastAsia="en-US"/>
            </w:rPr>
          </w:pPr>
          <w:hyperlink w:anchor="_Toc75953824" w:history="1">
            <w:r w:rsidR="00B1596A" w:rsidRPr="007C239B">
              <w:rPr>
                <w:rStyle w:val="Hyperlink"/>
                <w:noProof/>
              </w:rPr>
              <w:t>4.3</w:t>
            </w:r>
            <w:r w:rsidR="00B1596A">
              <w:rPr>
                <w:rFonts w:asciiTheme="minorHAnsi" w:hAnsiTheme="minorHAnsi"/>
                <w:noProof/>
                <w:lang w:eastAsia="en-US"/>
              </w:rPr>
              <w:tab/>
            </w:r>
            <w:r w:rsidR="00B1596A" w:rsidRPr="007C239B">
              <w:rPr>
                <w:rStyle w:val="Hyperlink"/>
                <w:noProof/>
              </w:rPr>
              <w:t>Benchmarks</w:t>
            </w:r>
            <w:r w:rsidR="00B1596A">
              <w:rPr>
                <w:noProof/>
                <w:webHidden/>
              </w:rPr>
              <w:tab/>
            </w:r>
            <w:r w:rsidR="00B1596A">
              <w:rPr>
                <w:noProof/>
                <w:webHidden/>
              </w:rPr>
              <w:fldChar w:fldCharType="begin"/>
            </w:r>
            <w:r w:rsidR="00B1596A">
              <w:rPr>
                <w:noProof/>
                <w:webHidden/>
              </w:rPr>
              <w:instrText xml:space="preserve"> PAGEREF _Toc75953824 \h </w:instrText>
            </w:r>
            <w:r w:rsidR="00B1596A">
              <w:rPr>
                <w:noProof/>
                <w:webHidden/>
              </w:rPr>
            </w:r>
            <w:r w:rsidR="00B1596A">
              <w:rPr>
                <w:noProof/>
                <w:webHidden/>
              </w:rPr>
              <w:fldChar w:fldCharType="separate"/>
            </w:r>
            <w:r w:rsidR="00B1596A">
              <w:rPr>
                <w:noProof/>
                <w:webHidden/>
              </w:rPr>
              <w:t>45</w:t>
            </w:r>
            <w:r w:rsidR="00B1596A">
              <w:rPr>
                <w:noProof/>
                <w:webHidden/>
              </w:rPr>
              <w:fldChar w:fldCharType="end"/>
            </w:r>
          </w:hyperlink>
        </w:p>
        <w:p w14:paraId="3513D091" w14:textId="77777777" w:rsidR="00B1596A" w:rsidRDefault="00351600">
          <w:pPr>
            <w:pStyle w:val="TOC1"/>
            <w:tabs>
              <w:tab w:val="left" w:pos="440"/>
              <w:tab w:val="right" w:leader="dot" w:pos="9350"/>
            </w:tabs>
            <w:rPr>
              <w:rFonts w:asciiTheme="minorHAnsi" w:hAnsiTheme="minorHAnsi"/>
              <w:noProof/>
              <w:lang w:eastAsia="en-US"/>
            </w:rPr>
          </w:pPr>
          <w:hyperlink w:anchor="_Toc75953825" w:history="1">
            <w:r w:rsidR="00B1596A" w:rsidRPr="007C239B">
              <w:rPr>
                <w:rStyle w:val="Hyperlink"/>
                <w:noProof/>
              </w:rPr>
              <w:t>5</w:t>
            </w:r>
            <w:r w:rsidR="00B1596A">
              <w:rPr>
                <w:rFonts w:asciiTheme="minorHAnsi" w:hAnsiTheme="minorHAnsi"/>
                <w:noProof/>
                <w:lang w:eastAsia="en-US"/>
              </w:rPr>
              <w:tab/>
            </w:r>
            <w:r w:rsidR="00B1596A" w:rsidRPr="007C239B">
              <w:rPr>
                <w:rStyle w:val="Hyperlink"/>
                <w:noProof/>
              </w:rPr>
              <w:t>References</w:t>
            </w:r>
            <w:r w:rsidR="00B1596A">
              <w:rPr>
                <w:noProof/>
                <w:webHidden/>
              </w:rPr>
              <w:tab/>
            </w:r>
            <w:r w:rsidR="00B1596A">
              <w:rPr>
                <w:noProof/>
                <w:webHidden/>
              </w:rPr>
              <w:fldChar w:fldCharType="begin"/>
            </w:r>
            <w:r w:rsidR="00B1596A">
              <w:rPr>
                <w:noProof/>
                <w:webHidden/>
              </w:rPr>
              <w:instrText xml:space="preserve"> PAGEREF _Toc75953825 \h </w:instrText>
            </w:r>
            <w:r w:rsidR="00B1596A">
              <w:rPr>
                <w:noProof/>
                <w:webHidden/>
              </w:rPr>
            </w:r>
            <w:r w:rsidR="00B1596A">
              <w:rPr>
                <w:noProof/>
                <w:webHidden/>
              </w:rPr>
              <w:fldChar w:fldCharType="separate"/>
            </w:r>
            <w:r w:rsidR="00B1596A">
              <w:rPr>
                <w:noProof/>
                <w:webHidden/>
              </w:rPr>
              <w:t>46</w:t>
            </w:r>
            <w:r w:rsidR="00B1596A">
              <w:rPr>
                <w:noProof/>
                <w:webHidden/>
              </w:rPr>
              <w:fldChar w:fldCharType="end"/>
            </w:r>
          </w:hyperlink>
        </w:p>
        <w:p w14:paraId="54350DA9" w14:textId="77777777" w:rsidR="00B1596A" w:rsidRDefault="00351600">
          <w:pPr>
            <w:pStyle w:val="TOC1"/>
            <w:tabs>
              <w:tab w:val="left" w:pos="440"/>
              <w:tab w:val="right" w:leader="dot" w:pos="9350"/>
            </w:tabs>
            <w:rPr>
              <w:rFonts w:asciiTheme="minorHAnsi" w:hAnsiTheme="minorHAnsi"/>
              <w:noProof/>
              <w:lang w:eastAsia="en-US"/>
            </w:rPr>
          </w:pPr>
          <w:hyperlink w:anchor="_Toc75953826" w:history="1">
            <w:r w:rsidR="00B1596A" w:rsidRPr="007C239B">
              <w:rPr>
                <w:rStyle w:val="Hyperlink"/>
                <w:noProof/>
              </w:rPr>
              <w:t>6</w:t>
            </w:r>
            <w:r w:rsidR="00B1596A">
              <w:rPr>
                <w:rFonts w:asciiTheme="minorHAnsi" w:hAnsiTheme="minorHAnsi"/>
                <w:noProof/>
                <w:lang w:eastAsia="en-US"/>
              </w:rPr>
              <w:tab/>
            </w:r>
            <w:r w:rsidR="00B1596A" w:rsidRPr="007C239B">
              <w:rPr>
                <w:rStyle w:val="Hyperlink"/>
                <w:noProof/>
              </w:rPr>
              <w:t>Glossary</w:t>
            </w:r>
            <w:r w:rsidR="00B1596A">
              <w:rPr>
                <w:noProof/>
                <w:webHidden/>
              </w:rPr>
              <w:tab/>
            </w:r>
            <w:r w:rsidR="00B1596A">
              <w:rPr>
                <w:noProof/>
                <w:webHidden/>
              </w:rPr>
              <w:fldChar w:fldCharType="begin"/>
            </w:r>
            <w:r w:rsidR="00B1596A">
              <w:rPr>
                <w:noProof/>
                <w:webHidden/>
              </w:rPr>
              <w:instrText xml:space="preserve"> PAGEREF _Toc75953826 \h </w:instrText>
            </w:r>
            <w:r w:rsidR="00B1596A">
              <w:rPr>
                <w:noProof/>
                <w:webHidden/>
              </w:rPr>
            </w:r>
            <w:r w:rsidR="00B1596A">
              <w:rPr>
                <w:noProof/>
                <w:webHidden/>
              </w:rPr>
              <w:fldChar w:fldCharType="separate"/>
            </w:r>
            <w:r w:rsidR="00B1596A">
              <w:rPr>
                <w:noProof/>
                <w:webHidden/>
              </w:rPr>
              <w:t>51</w:t>
            </w:r>
            <w:r w:rsidR="00B1596A">
              <w:rPr>
                <w:noProof/>
                <w:webHidden/>
              </w:rPr>
              <w:fldChar w:fldCharType="end"/>
            </w:r>
          </w:hyperlink>
        </w:p>
        <w:p w14:paraId="12C7DAF6" w14:textId="5297385E" w:rsidR="00640665" w:rsidRPr="00AF41A6" w:rsidRDefault="00640665" w:rsidP="00EB247F">
          <w:pPr>
            <w:spacing w:after="0"/>
          </w:pPr>
          <w:r w:rsidRPr="00AF41A6">
            <w:rPr>
              <w:b/>
              <w:bCs/>
            </w:rPr>
            <w:fldChar w:fldCharType="end"/>
          </w:r>
        </w:p>
      </w:sdtContent>
    </w:sdt>
    <w:p w14:paraId="1827C10C" w14:textId="3B09BCA5" w:rsidR="00F15AEE" w:rsidRPr="00AF41A6" w:rsidRDefault="00F15AEE" w:rsidP="00EB247F">
      <w:pPr>
        <w:spacing w:after="0"/>
      </w:pPr>
      <w:r w:rsidRPr="00AF41A6">
        <w:br w:type="page"/>
      </w:r>
    </w:p>
    <w:p w14:paraId="325B3971" w14:textId="4DF0A92F" w:rsidR="2D56E7D4" w:rsidRPr="00AF41A6" w:rsidRDefault="00C23CAC" w:rsidP="00EB247F">
      <w:pPr>
        <w:pStyle w:val="Heading1"/>
        <w:numPr>
          <w:ilvl w:val="0"/>
          <w:numId w:val="0"/>
        </w:numPr>
      </w:pPr>
      <w:bookmarkStart w:id="0" w:name="_Toc75953784"/>
      <w:r w:rsidRPr="00AF41A6">
        <w:lastRenderedPageBreak/>
        <w:t xml:space="preserve">List of </w:t>
      </w:r>
      <w:r w:rsidR="2D56E7D4" w:rsidRPr="00AF41A6">
        <w:t>Figures</w:t>
      </w:r>
      <w:bookmarkEnd w:id="0"/>
    </w:p>
    <w:p w14:paraId="23954569" w14:textId="77777777" w:rsidR="003D1925" w:rsidRDefault="00F15AEE">
      <w:pPr>
        <w:pStyle w:val="TableofFigures"/>
        <w:tabs>
          <w:tab w:val="right" w:leader="dot" w:pos="9350"/>
        </w:tabs>
        <w:rPr>
          <w:rFonts w:asciiTheme="minorHAnsi" w:hAnsiTheme="minorHAnsi"/>
          <w:noProof/>
          <w:lang w:eastAsia="en-US"/>
        </w:rPr>
      </w:pPr>
      <w:r w:rsidRPr="00AF41A6">
        <w:fldChar w:fldCharType="begin"/>
      </w:r>
      <w:r w:rsidRPr="00AF41A6">
        <w:instrText xml:space="preserve"> TOC \h \z \c "Figure" </w:instrText>
      </w:r>
      <w:r w:rsidRPr="00AF41A6">
        <w:fldChar w:fldCharType="separate"/>
      </w:r>
      <w:hyperlink w:anchor="_Toc75940735" w:history="1">
        <w:r w:rsidR="003D1925" w:rsidRPr="006F1F3B">
          <w:rPr>
            <w:rStyle w:val="Hyperlink"/>
            <w:noProof/>
          </w:rPr>
          <w:t>Figure 1: The oil and gas supply chains (EIA).</w:t>
        </w:r>
        <w:r w:rsidR="003D1925">
          <w:rPr>
            <w:noProof/>
            <w:webHidden/>
          </w:rPr>
          <w:tab/>
        </w:r>
        <w:r w:rsidR="003D1925">
          <w:rPr>
            <w:noProof/>
            <w:webHidden/>
          </w:rPr>
          <w:fldChar w:fldCharType="begin"/>
        </w:r>
        <w:r w:rsidR="003D1925">
          <w:rPr>
            <w:noProof/>
            <w:webHidden/>
          </w:rPr>
          <w:instrText xml:space="preserve"> PAGEREF _Toc75940735 \h </w:instrText>
        </w:r>
        <w:r w:rsidR="003D1925">
          <w:rPr>
            <w:noProof/>
            <w:webHidden/>
          </w:rPr>
        </w:r>
        <w:r w:rsidR="003D1925">
          <w:rPr>
            <w:noProof/>
            <w:webHidden/>
          </w:rPr>
          <w:fldChar w:fldCharType="separate"/>
        </w:r>
        <w:r w:rsidR="003D1925">
          <w:rPr>
            <w:noProof/>
            <w:webHidden/>
          </w:rPr>
          <w:t>8</w:t>
        </w:r>
        <w:r w:rsidR="003D1925">
          <w:rPr>
            <w:noProof/>
            <w:webHidden/>
          </w:rPr>
          <w:fldChar w:fldCharType="end"/>
        </w:r>
      </w:hyperlink>
    </w:p>
    <w:p w14:paraId="3094A530" w14:textId="77777777" w:rsidR="003D1925" w:rsidRDefault="00351600">
      <w:pPr>
        <w:pStyle w:val="TableofFigures"/>
        <w:tabs>
          <w:tab w:val="right" w:leader="dot" w:pos="9350"/>
        </w:tabs>
        <w:rPr>
          <w:rFonts w:asciiTheme="minorHAnsi" w:hAnsiTheme="minorHAnsi"/>
          <w:noProof/>
          <w:lang w:eastAsia="en-US"/>
        </w:rPr>
      </w:pPr>
      <w:hyperlink w:anchor="_Toc75940736" w:history="1">
        <w:r w:rsidR="003D1925" w:rsidRPr="006F1F3B">
          <w:rPr>
            <w:rStyle w:val="Hyperlink"/>
            <w:noProof/>
          </w:rPr>
          <w:t>Figure 2: Methane emission categories in the natural gas supply chains.</w:t>
        </w:r>
        <w:r w:rsidR="003D1925">
          <w:rPr>
            <w:noProof/>
            <w:webHidden/>
          </w:rPr>
          <w:tab/>
        </w:r>
        <w:r w:rsidR="003D1925">
          <w:rPr>
            <w:noProof/>
            <w:webHidden/>
          </w:rPr>
          <w:fldChar w:fldCharType="begin"/>
        </w:r>
        <w:r w:rsidR="003D1925">
          <w:rPr>
            <w:noProof/>
            <w:webHidden/>
          </w:rPr>
          <w:instrText xml:space="preserve"> PAGEREF _Toc75940736 \h </w:instrText>
        </w:r>
        <w:r w:rsidR="003D1925">
          <w:rPr>
            <w:noProof/>
            <w:webHidden/>
          </w:rPr>
        </w:r>
        <w:r w:rsidR="003D1925">
          <w:rPr>
            <w:noProof/>
            <w:webHidden/>
          </w:rPr>
          <w:fldChar w:fldCharType="separate"/>
        </w:r>
        <w:r w:rsidR="003D1925">
          <w:rPr>
            <w:noProof/>
            <w:webHidden/>
          </w:rPr>
          <w:t>10</w:t>
        </w:r>
        <w:r w:rsidR="003D1925">
          <w:rPr>
            <w:noProof/>
            <w:webHidden/>
          </w:rPr>
          <w:fldChar w:fldCharType="end"/>
        </w:r>
      </w:hyperlink>
    </w:p>
    <w:p w14:paraId="5191E652" w14:textId="77777777" w:rsidR="003D1925" w:rsidRDefault="00351600">
      <w:pPr>
        <w:pStyle w:val="TableofFigures"/>
        <w:tabs>
          <w:tab w:val="right" w:leader="dot" w:pos="9350"/>
        </w:tabs>
        <w:rPr>
          <w:rFonts w:asciiTheme="minorHAnsi" w:hAnsiTheme="minorHAnsi"/>
          <w:noProof/>
          <w:lang w:eastAsia="en-US"/>
        </w:rPr>
      </w:pPr>
      <w:hyperlink w:anchor="_Toc75940737" w:history="1">
        <w:r w:rsidR="003D1925" w:rsidRPr="006F1F3B">
          <w:rPr>
            <w:rStyle w:val="Hyperlink"/>
            <w:noProof/>
          </w:rPr>
          <w:t xml:space="preserve">Figure 3: Emissions source categories from United State natural gas supply chain </w:t>
        </w:r>
        <w:r w:rsidR="003D1925" w:rsidRPr="006F1F3B">
          <w:rPr>
            <w:rStyle w:val="Hyperlink"/>
            <w:rFonts w:cs="Times New Roman"/>
            <w:noProof/>
          </w:rPr>
          <w:t>(ICF International, 2014)</w:t>
        </w:r>
        <w:r w:rsidR="003D1925" w:rsidRPr="006F1F3B">
          <w:rPr>
            <w:rStyle w:val="Hyperlink"/>
            <w:noProof/>
          </w:rPr>
          <w:t>.</w:t>
        </w:r>
        <w:r w:rsidR="003D1925">
          <w:rPr>
            <w:noProof/>
            <w:webHidden/>
          </w:rPr>
          <w:tab/>
        </w:r>
        <w:r w:rsidR="003D1925">
          <w:rPr>
            <w:noProof/>
            <w:webHidden/>
          </w:rPr>
          <w:fldChar w:fldCharType="begin"/>
        </w:r>
        <w:r w:rsidR="003D1925">
          <w:rPr>
            <w:noProof/>
            <w:webHidden/>
          </w:rPr>
          <w:instrText xml:space="preserve"> PAGEREF _Toc75940737 \h </w:instrText>
        </w:r>
        <w:r w:rsidR="003D1925">
          <w:rPr>
            <w:noProof/>
            <w:webHidden/>
          </w:rPr>
        </w:r>
        <w:r w:rsidR="003D1925">
          <w:rPr>
            <w:noProof/>
            <w:webHidden/>
          </w:rPr>
          <w:fldChar w:fldCharType="separate"/>
        </w:r>
        <w:r w:rsidR="003D1925">
          <w:rPr>
            <w:noProof/>
            <w:webHidden/>
          </w:rPr>
          <w:t>10</w:t>
        </w:r>
        <w:r w:rsidR="003D1925">
          <w:rPr>
            <w:noProof/>
            <w:webHidden/>
          </w:rPr>
          <w:fldChar w:fldCharType="end"/>
        </w:r>
      </w:hyperlink>
    </w:p>
    <w:p w14:paraId="653DC75B" w14:textId="77777777" w:rsidR="003D1925" w:rsidRDefault="00351600">
      <w:pPr>
        <w:pStyle w:val="TableofFigures"/>
        <w:tabs>
          <w:tab w:val="right" w:leader="dot" w:pos="9350"/>
        </w:tabs>
        <w:rPr>
          <w:rFonts w:asciiTheme="minorHAnsi" w:hAnsiTheme="minorHAnsi"/>
          <w:noProof/>
          <w:lang w:eastAsia="en-US"/>
        </w:rPr>
      </w:pPr>
      <w:hyperlink w:anchor="_Toc75940738" w:history="1">
        <w:r w:rsidR="003D1925" w:rsidRPr="006F1F3B">
          <w:rPr>
            <w:rStyle w:val="Hyperlink"/>
            <w:noProof/>
          </w:rPr>
          <w:t>Figure 4: Global non-CO</w:t>
        </w:r>
        <w:r w:rsidR="003D1925" w:rsidRPr="006F1F3B">
          <w:rPr>
            <w:rStyle w:val="Hyperlink"/>
            <w:noProof/>
            <w:vertAlign w:val="subscript"/>
          </w:rPr>
          <w:t>2</w:t>
        </w:r>
        <w:r w:rsidR="003D1925" w:rsidRPr="006F1F3B">
          <w:rPr>
            <w:rStyle w:val="Hyperlink"/>
            <w:noProof/>
          </w:rPr>
          <w:t xml:space="preserve"> greenhouse gas emissions expressed on CO</w:t>
        </w:r>
        <w:r w:rsidR="003D1925" w:rsidRPr="006F1F3B">
          <w:rPr>
            <w:rStyle w:val="Hyperlink"/>
            <w:noProof/>
            <w:vertAlign w:val="subscript"/>
          </w:rPr>
          <w:t>2</w:t>
        </w:r>
        <w:r w:rsidR="003D1925" w:rsidRPr="006F1F3B">
          <w:rPr>
            <w:rStyle w:val="Hyperlink"/>
            <w:noProof/>
          </w:rPr>
          <w:t xml:space="preserve">-equivalent basis </w:t>
        </w:r>
        <w:r w:rsidR="003D1925" w:rsidRPr="006F1F3B">
          <w:rPr>
            <w:rStyle w:val="Hyperlink"/>
            <w:rFonts w:cs="Times New Roman"/>
            <w:noProof/>
          </w:rPr>
          <w:t>(US EPA, 2019b)</w:t>
        </w:r>
        <w:r w:rsidR="003D1925" w:rsidRPr="006F1F3B">
          <w:rPr>
            <w:rStyle w:val="Hyperlink"/>
            <w:noProof/>
          </w:rPr>
          <w:t>.</w:t>
        </w:r>
        <w:r w:rsidR="003D1925">
          <w:rPr>
            <w:noProof/>
            <w:webHidden/>
          </w:rPr>
          <w:tab/>
        </w:r>
        <w:r w:rsidR="003D1925">
          <w:rPr>
            <w:noProof/>
            <w:webHidden/>
          </w:rPr>
          <w:fldChar w:fldCharType="begin"/>
        </w:r>
        <w:r w:rsidR="003D1925">
          <w:rPr>
            <w:noProof/>
            <w:webHidden/>
          </w:rPr>
          <w:instrText xml:space="preserve"> PAGEREF _Toc75940738 \h </w:instrText>
        </w:r>
        <w:r w:rsidR="003D1925">
          <w:rPr>
            <w:noProof/>
            <w:webHidden/>
          </w:rPr>
        </w:r>
        <w:r w:rsidR="003D1925">
          <w:rPr>
            <w:noProof/>
            <w:webHidden/>
          </w:rPr>
          <w:fldChar w:fldCharType="separate"/>
        </w:r>
        <w:r w:rsidR="003D1925">
          <w:rPr>
            <w:noProof/>
            <w:webHidden/>
          </w:rPr>
          <w:t>11</w:t>
        </w:r>
        <w:r w:rsidR="003D1925">
          <w:rPr>
            <w:noProof/>
            <w:webHidden/>
          </w:rPr>
          <w:fldChar w:fldCharType="end"/>
        </w:r>
      </w:hyperlink>
    </w:p>
    <w:p w14:paraId="0E15D9A9" w14:textId="77777777" w:rsidR="003D1925" w:rsidRDefault="00351600">
      <w:pPr>
        <w:pStyle w:val="TableofFigures"/>
        <w:tabs>
          <w:tab w:val="right" w:leader="dot" w:pos="9350"/>
        </w:tabs>
        <w:rPr>
          <w:rFonts w:asciiTheme="minorHAnsi" w:hAnsiTheme="minorHAnsi"/>
          <w:noProof/>
          <w:lang w:eastAsia="en-US"/>
        </w:rPr>
      </w:pPr>
      <w:hyperlink w:anchor="_Toc75940739" w:history="1">
        <w:r w:rsidR="003D1925" w:rsidRPr="006F1F3B">
          <w:rPr>
            <w:rStyle w:val="Hyperlink"/>
            <w:noProof/>
          </w:rPr>
          <w:t>Figure 5: Methane emissions from oil and gas sector expressed in Mt CO</w:t>
        </w:r>
        <w:r w:rsidR="003D1925" w:rsidRPr="006F1F3B">
          <w:rPr>
            <w:rStyle w:val="Hyperlink"/>
            <w:noProof/>
            <w:vertAlign w:val="subscript"/>
          </w:rPr>
          <w:t>2</w:t>
        </w:r>
        <w:r w:rsidR="003D1925" w:rsidRPr="006F1F3B">
          <w:rPr>
            <w:rStyle w:val="Hyperlink"/>
            <w:noProof/>
          </w:rPr>
          <w:t xml:space="preserve">e, projected for 2030 based on 2015 inventory data </w:t>
        </w:r>
        <w:r w:rsidR="003D1925" w:rsidRPr="006F1F3B">
          <w:rPr>
            <w:rStyle w:val="Hyperlink"/>
            <w:rFonts w:cs="Times New Roman"/>
            <w:noProof/>
          </w:rPr>
          <w:t>(US EPA, 2019b)</w:t>
        </w:r>
        <w:r w:rsidR="003D1925" w:rsidRPr="006F1F3B">
          <w:rPr>
            <w:rStyle w:val="Hyperlink"/>
            <w:noProof/>
          </w:rPr>
          <w:t>.</w:t>
        </w:r>
        <w:r w:rsidR="003D1925">
          <w:rPr>
            <w:noProof/>
            <w:webHidden/>
          </w:rPr>
          <w:tab/>
        </w:r>
        <w:r w:rsidR="003D1925">
          <w:rPr>
            <w:noProof/>
            <w:webHidden/>
          </w:rPr>
          <w:fldChar w:fldCharType="begin"/>
        </w:r>
        <w:r w:rsidR="003D1925">
          <w:rPr>
            <w:noProof/>
            <w:webHidden/>
          </w:rPr>
          <w:instrText xml:space="preserve"> PAGEREF _Toc75940739 \h </w:instrText>
        </w:r>
        <w:r w:rsidR="003D1925">
          <w:rPr>
            <w:noProof/>
            <w:webHidden/>
          </w:rPr>
        </w:r>
        <w:r w:rsidR="003D1925">
          <w:rPr>
            <w:noProof/>
            <w:webHidden/>
          </w:rPr>
          <w:fldChar w:fldCharType="separate"/>
        </w:r>
        <w:r w:rsidR="003D1925">
          <w:rPr>
            <w:noProof/>
            <w:webHidden/>
          </w:rPr>
          <w:t>12</w:t>
        </w:r>
        <w:r w:rsidR="003D1925">
          <w:rPr>
            <w:noProof/>
            <w:webHidden/>
          </w:rPr>
          <w:fldChar w:fldCharType="end"/>
        </w:r>
      </w:hyperlink>
    </w:p>
    <w:p w14:paraId="774BD593" w14:textId="77777777" w:rsidR="003D1925" w:rsidRDefault="00351600">
      <w:pPr>
        <w:pStyle w:val="TableofFigures"/>
        <w:tabs>
          <w:tab w:val="right" w:leader="dot" w:pos="9350"/>
        </w:tabs>
        <w:rPr>
          <w:rFonts w:asciiTheme="minorHAnsi" w:hAnsiTheme="minorHAnsi"/>
          <w:noProof/>
          <w:lang w:eastAsia="en-US"/>
        </w:rPr>
      </w:pPr>
      <w:hyperlink w:anchor="_Toc75940740" w:history="1">
        <w:r w:rsidR="003D1925" w:rsidRPr="006F1F3B">
          <w:rPr>
            <w:rStyle w:val="Hyperlink"/>
            <w:noProof/>
          </w:rPr>
          <w:t xml:space="preserve">Figure 6: Intensity of natural gas losses as percentage of volume produced in the United States </w:t>
        </w:r>
        <w:r w:rsidR="003D1925" w:rsidRPr="006F1F3B">
          <w:rPr>
            <w:rStyle w:val="Hyperlink"/>
            <w:rFonts w:cs="Times New Roman"/>
            <w:noProof/>
          </w:rPr>
          <w:t>(Munnings &amp; Krupnick, 2017)</w:t>
        </w:r>
        <w:r w:rsidR="003D1925" w:rsidRPr="006F1F3B">
          <w:rPr>
            <w:rStyle w:val="Hyperlink"/>
            <w:noProof/>
          </w:rPr>
          <w:t>.</w:t>
        </w:r>
        <w:r w:rsidR="003D1925">
          <w:rPr>
            <w:noProof/>
            <w:webHidden/>
          </w:rPr>
          <w:tab/>
        </w:r>
        <w:r w:rsidR="003D1925">
          <w:rPr>
            <w:noProof/>
            <w:webHidden/>
          </w:rPr>
          <w:fldChar w:fldCharType="begin"/>
        </w:r>
        <w:r w:rsidR="003D1925">
          <w:rPr>
            <w:noProof/>
            <w:webHidden/>
          </w:rPr>
          <w:instrText xml:space="preserve"> PAGEREF _Toc75940740 \h </w:instrText>
        </w:r>
        <w:r w:rsidR="003D1925">
          <w:rPr>
            <w:noProof/>
            <w:webHidden/>
          </w:rPr>
        </w:r>
        <w:r w:rsidR="003D1925">
          <w:rPr>
            <w:noProof/>
            <w:webHidden/>
          </w:rPr>
          <w:fldChar w:fldCharType="separate"/>
        </w:r>
        <w:r w:rsidR="003D1925">
          <w:rPr>
            <w:noProof/>
            <w:webHidden/>
          </w:rPr>
          <w:t>13</w:t>
        </w:r>
        <w:r w:rsidR="003D1925">
          <w:rPr>
            <w:noProof/>
            <w:webHidden/>
          </w:rPr>
          <w:fldChar w:fldCharType="end"/>
        </w:r>
      </w:hyperlink>
    </w:p>
    <w:p w14:paraId="334D568C" w14:textId="77777777" w:rsidR="003D1925" w:rsidRDefault="00351600">
      <w:pPr>
        <w:pStyle w:val="TableofFigures"/>
        <w:tabs>
          <w:tab w:val="right" w:leader="dot" w:pos="9350"/>
        </w:tabs>
        <w:rPr>
          <w:rFonts w:asciiTheme="minorHAnsi" w:hAnsiTheme="minorHAnsi"/>
          <w:noProof/>
          <w:lang w:eastAsia="en-US"/>
        </w:rPr>
      </w:pPr>
      <w:hyperlink w:anchor="_Toc75940741" w:history="1">
        <w:r w:rsidR="003D1925" w:rsidRPr="006F1F3B">
          <w:rPr>
            <w:rStyle w:val="Hyperlink"/>
            <w:noProof/>
          </w:rPr>
          <w:t>Figure 7: Top categories of methane abatement measures implemented in 2019 in the United States (US EPA Gas STAR).</w:t>
        </w:r>
        <w:r w:rsidR="003D1925">
          <w:rPr>
            <w:noProof/>
            <w:webHidden/>
          </w:rPr>
          <w:tab/>
        </w:r>
        <w:r w:rsidR="003D1925">
          <w:rPr>
            <w:noProof/>
            <w:webHidden/>
          </w:rPr>
          <w:fldChar w:fldCharType="begin"/>
        </w:r>
        <w:r w:rsidR="003D1925">
          <w:rPr>
            <w:noProof/>
            <w:webHidden/>
          </w:rPr>
          <w:instrText xml:space="preserve"> PAGEREF _Toc75940741 \h </w:instrText>
        </w:r>
        <w:r w:rsidR="003D1925">
          <w:rPr>
            <w:noProof/>
            <w:webHidden/>
          </w:rPr>
        </w:r>
        <w:r w:rsidR="003D1925">
          <w:rPr>
            <w:noProof/>
            <w:webHidden/>
          </w:rPr>
          <w:fldChar w:fldCharType="separate"/>
        </w:r>
        <w:r w:rsidR="003D1925">
          <w:rPr>
            <w:noProof/>
            <w:webHidden/>
          </w:rPr>
          <w:t>14</w:t>
        </w:r>
        <w:r w:rsidR="003D1925">
          <w:rPr>
            <w:noProof/>
            <w:webHidden/>
          </w:rPr>
          <w:fldChar w:fldCharType="end"/>
        </w:r>
      </w:hyperlink>
    </w:p>
    <w:p w14:paraId="38FE134C" w14:textId="77777777" w:rsidR="003D1925" w:rsidRDefault="00351600">
      <w:pPr>
        <w:pStyle w:val="TableofFigures"/>
        <w:tabs>
          <w:tab w:val="right" w:leader="dot" w:pos="9350"/>
        </w:tabs>
        <w:rPr>
          <w:rFonts w:asciiTheme="minorHAnsi" w:hAnsiTheme="minorHAnsi"/>
          <w:noProof/>
          <w:lang w:eastAsia="en-US"/>
        </w:rPr>
      </w:pPr>
      <w:hyperlink w:anchor="_Toc75940742" w:history="1">
        <w:r w:rsidR="003D1925" w:rsidRPr="006F1F3B">
          <w:rPr>
            <w:rStyle w:val="Hyperlink"/>
            <w:noProof/>
          </w:rPr>
          <w:t xml:space="preserve">Figure 8: Methane abatement opportunities in global assessment of oil and gas supply chains – 2030 estimate </w:t>
        </w:r>
        <w:r w:rsidR="003D1925" w:rsidRPr="006F1F3B">
          <w:rPr>
            <w:rStyle w:val="Hyperlink"/>
            <w:rFonts w:cs="Times New Roman"/>
            <w:noProof/>
          </w:rPr>
          <w:t>(US EPA, 2019a)</w:t>
        </w:r>
        <w:r w:rsidR="003D1925" w:rsidRPr="006F1F3B">
          <w:rPr>
            <w:rStyle w:val="Hyperlink"/>
            <w:noProof/>
          </w:rPr>
          <w:t>.</w:t>
        </w:r>
        <w:r w:rsidR="003D1925">
          <w:rPr>
            <w:noProof/>
            <w:webHidden/>
          </w:rPr>
          <w:tab/>
        </w:r>
        <w:r w:rsidR="003D1925">
          <w:rPr>
            <w:noProof/>
            <w:webHidden/>
          </w:rPr>
          <w:fldChar w:fldCharType="begin"/>
        </w:r>
        <w:r w:rsidR="003D1925">
          <w:rPr>
            <w:noProof/>
            <w:webHidden/>
          </w:rPr>
          <w:instrText xml:space="preserve"> PAGEREF _Toc75940742 \h </w:instrText>
        </w:r>
        <w:r w:rsidR="003D1925">
          <w:rPr>
            <w:noProof/>
            <w:webHidden/>
          </w:rPr>
        </w:r>
        <w:r w:rsidR="003D1925">
          <w:rPr>
            <w:noProof/>
            <w:webHidden/>
          </w:rPr>
          <w:fldChar w:fldCharType="separate"/>
        </w:r>
        <w:r w:rsidR="003D1925">
          <w:rPr>
            <w:noProof/>
            <w:webHidden/>
          </w:rPr>
          <w:t>15</w:t>
        </w:r>
        <w:r w:rsidR="003D1925">
          <w:rPr>
            <w:noProof/>
            <w:webHidden/>
          </w:rPr>
          <w:fldChar w:fldCharType="end"/>
        </w:r>
      </w:hyperlink>
    </w:p>
    <w:p w14:paraId="06372DAB" w14:textId="77777777" w:rsidR="003D1925" w:rsidRDefault="00351600">
      <w:pPr>
        <w:pStyle w:val="TableofFigures"/>
        <w:tabs>
          <w:tab w:val="right" w:leader="dot" w:pos="9350"/>
        </w:tabs>
        <w:rPr>
          <w:rFonts w:asciiTheme="minorHAnsi" w:hAnsiTheme="minorHAnsi"/>
          <w:noProof/>
          <w:lang w:eastAsia="en-US"/>
        </w:rPr>
      </w:pPr>
      <w:hyperlink w:anchor="_Toc75940743" w:history="1">
        <w:r w:rsidR="003D1925" w:rsidRPr="006F1F3B">
          <w:rPr>
            <w:rStyle w:val="Hyperlink"/>
            <w:noProof/>
          </w:rPr>
          <w:t>Figure 9: Aerial detection of a methane leak from a storage facility (University of Michigan)</w:t>
        </w:r>
        <w:r w:rsidR="003D1925">
          <w:rPr>
            <w:noProof/>
            <w:webHidden/>
          </w:rPr>
          <w:tab/>
        </w:r>
        <w:r w:rsidR="003D1925">
          <w:rPr>
            <w:noProof/>
            <w:webHidden/>
          </w:rPr>
          <w:fldChar w:fldCharType="begin"/>
        </w:r>
        <w:r w:rsidR="003D1925">
          <w:rPr>
            <w:noProof/>
            <w:webHidden/>
          </w:rPr>
          <w:instrText xml:space="preserve"> PAGEREF _Toc75940743 \h </w:instrText>
        </w:r>
        <w:r w:rsidR="003D1925">
          <w:rPr>
            <w:noProof/>
            <w:webHidden/>
          </w:rPr>
        </w:r>
        <w:r w:rsidR="003D1925">
          <w:rPr>
            <w:noProof/>
            <w:webHidden/>
          </w:rPr>
          <w:fldChar w:fldCharType="separate"/>
        </w:r>
        <w:r w:rsidR="003D1925">
          <w:rPr>
            <w:noProof/>
            <w:webHidden/>
          </w:rPr>
          <w:t>17</w:t>
        </w:r>
        <w:r w:rsidR="003D1925">
          <w:rPr>
            <w:noProof/>
            <w:webHidden/>
          </w:rPr>
          <w:fldChar w:fldCharType="end"/>
        </w:r>
      </w:hyperlink>
    </w:p>
    <w:p w14:paraId="0DDFB18C" w14:textId="77777777" w:rsidR="003D1925" w:rsidRDefault="00351600">
      <w:pPr>
        <w:pStyle w:val="TableofFigures"/>
        <w:tabs>
          <w:tab w:val="right" w:leader="dot" w:pos="9350"/>
        </w:tabs>
        <w:rPr>
          <w:rFonts w:asciiTheme="minorHAnsi" w:hAnsiTheme="minorHAnsi"/>
          <w:noProof/>
          <w:lang w:eastAsia="en-US"/>
        </w:rPr>
      </w:pPr>
      <w:hyperlink w:anchor="_Toc75940744" w:history="1">
        <w:r w:rsidR="003D1925" w:rsidRPr="006F1F3B">
          <w:rPr>
            <w:rStyle w:val="Hyperlink"/>
            <w:noProof/>
          </w:rPr>
          <w:t xml:space="preserve">Figure 10: Methane leaks by natural gas distribution pipeline material and age </w:t>
        </w:r>
        <w:r w:rsidR="003D1925" w:rsidRPr="006F1F3B">
          <w:rPr>
            <w:rStyle w:val="Hyperlink"/>
            <w:rFonts w:cs="Times New Roman"/>
            <w:noProof/>
          </w:rPr>
          <w:t>(Weller et al., 2020)</w:t>
        </w:r>
        <w:r w:rsidR="003D1925" w:rsidRPr="006F1F3B">
          <w:rPr>
            <w:rStyle w:val="Hyperlink"/>
            <w:noProof/>
          </w:rPr>
          <w:t>.</w:t>
        </w:r>
        <w:r w:rsidR="003D1925">
          <w:rPr>
            <w:noProof/>
            <w:webHidden/>
          </w:rPr>
          <w:tab/>
        </w:r>
        <w:r w:rsidR="003D1925">
          <w:rPr>
            <w:noProof/>
            <w:webHidden/>
          </w:rPr>
          <w:fldChar w:fldCharType="begin"/>
        </w:r>
        <w:r w:rsidR="003D1925">
          <w:rPr>
            <w:noProof/>
            <w:webHidden/>
          </w:rPr>
          <w:instrText xml:space="preserve"> PAGEREF _Toc75940744 \h </w:instrText>
        </w:r>
        <w:r w:rsidR="003D1925">
          <w:rPr>
            <w:noProof/>
            <w:webHidden/>
          </w:rPr>
        </w:r>
        <w:r w:rsidR="003D1925">
          <w:rPr>
            <w:noProof/>
            <w:webHidden/>
          </w:rPr>
          <w:fldChar w:fldCharType="separate"/>
        </w:r>
        <w:r w:rsidR="003D1925">
          <w:rPr>
            <w:noProof/>
            <w:webHidden/>
          </w:rPr>
          <w:t>18</w:t>
        </w:r>
        <w:r w:rsidR="003D1925">
          <w:rPr>
            <w:noProof/>
            <w:webHidden/>
          </w:rPr>
          <w:fldChar w:fldCharType="end"/>
        </w:r>
      </w:hyperlink>
    </w:p>
    <w:p w14:paraId="59AAF2B8" w14:textId="77777777" w:rsidR="003D1925" w:rsidRDefault="00351600">
      <w:pPr>
        <w:pStyle w:val="TableofFigures"/>
        <w:tabs>
          <w:tab w:val="right" w:leader="dot" w:pos="9350"/>
        </w:tabs>
        <w:rPr>
          <w:rFonts w:asciiTheme="minorHAnsi" w:hAnsiTheme="minorHAnsi"/>
          <w:noProof/>
          <w:lang w:eastAsia="en-US"/>
        </w:rPr>
      </w:pPr>
      <w:hyperlink w:anchor="_Toc75940745" w:history="1">
        <w:r w:rsidR="003D1925" w:rsidRPr="006F1F3B">
          <w:rPr>
            <w:rStyle w:val="Hyperlink"/>
            <w:noProof/>
          </w:rPr>
          <w:t xml:space="preserve">Figure 11: </w:t>
        </w:r>
        <w:r w:rsidR="003D1925" w:rsidRPr="006F1F3B">
          <w:rPr>
            <w:rStyle w:val="Hyperlink"/>
            <w:bCs/>
            <w:noProof/>
          </w:rPr>
          <w:t xml:space="preserve">Satellite-measured oil and gas methane leaks </w:t>
        </w:r>
        <w:r w:rsidR="003D1925" w:rsidRPr="006F1F3B">
          <w:rPr>
            <w:rStyle w:val="Hyperlink"/>
            <w:rFonts w:cs="Times New Roman"/>
            <w:noProof/>
          </w:rPr>
          <w:t>(IEA, 2020b)</w:t>
        </w:r>
        <w:r w:rsidR="003D1925" w:rsidRPr="006F1F3B">
          <w:rPr>
            <w:rStyle w:val="Hyperlink"/>
            <w:bCs/>
            <w:noProof/>
          </w:rPr>
          <w:t>.</w:t>
        </w:r>
        <w:r w:rsidR="003D1925">
          <w:rPr>
            <w:noProof/>
            <w:webHidden/>
          </w:rPr>
          <w:tab/>
        </w:r>
        <w:r w:rsidR="003D1925">
          <w:rPr>
            <w:noProof/>
            <w:webHidden/>
          </w:rPr>
          <w:fldChar w:fldCharType="begin"/>
        </w:r>
        <w:r w:rsidR="003D1925">
          <w:rPr>
            <w:noProof/>
            <w:webHidden/>
          </w:rPr>
          <w:instrText xml:space="preserve"> PAGEREF _Toc75940745 \h </w:instrText>
        </w:r>
        <w:r w:rsidR="003D1925">
          <w:rPr>
            <w:noProof/>
            <w:webHidden/>
          </w:rPr>
        </w:r>
        <w:r w:rsidR="003D1925">
          <w:rPr>
            <w:noProof/>
            <w:webHidden/>
          </w:rPr>
          <w:fldChar w:fldCharType="separate"/>
        </w:r>
        <w:r w:rsidR="003D1925">
          <w:rPr>
            <w:noProof/>
            <w:webHidden/>
          </w:rPr>
          <w:t>24</w:t>
        </w:r>
        <w:r w:rsidR="003D1925">
          <w:rPr>
            <w:noProof/>
            <w:webHidden/>
          </w:rPr>
          <w:fldChar w:fldCharType="end"/>
        </w:r>
      </w:hyperlink>
    </w:p>
    <w:p w14:paraId="0E2E52CA" w14:textId="77777777" w:rsidR="003D1925" w:rsidRDefault="00351600">
      <w:pPr>
        <w:pStyle w:val="TableofFigures"/>
        <w:tabs>
          <w:tab w:val="right" w:leader="dot" w:pos="9350"/>
        </w:tabs>
        <w:rPr>
          <w:rFonts w:asciiTheme="minorHAnsi" w:hAnsiTheme="minorHAnsi"/>
          <w:noProof/>
          <w:lang w:eastAsia="en-US"/>
        </w:rPr>
      </w:pPr>
      <w:hyperlink w:anchor="_Toc75940746" w:history="1">
        <w:r w:rsidR="003D1925" w:rsidRPr="006F1F3B">
          <w:rPr>
            <w:rStyle w:val="Hyperlink"/>
            <w:noProof/>
          </w:rPr>
          <w:t>Figure 12: Contextual framing with related solutions and processes.</w:t>
        </w:r>
        <w:r w:rsidR="003D1925">
          <w:rPr>
            <w:noProof/>
            <w:webHidden/>
          </w:rPr>
          <w:tab/>
        </w:r>
        <w:r w:rsidR="003D1925">
          <w:rPr>
            <w:noProof/>
            <w:webHidden/>
          </w:rPr>
          <w:fldChar w:fldCharType="begin"/>
        </w:r>
        <w:r w:rsidR="003D1925">
          <w:rPr>
            <w:noProof/>
            <w:webHidden/>
          </w:rPr>
          <w:instrText xml:space="preserve"> PAGEREF _Toc75940746 \h </w:instrText>
        </w:r>
        <w:r w:rsidR="003D1925">
          <w:rPr>
            <w:noProof/>
            <w:webHidden/>
          </w:rPr>
        </w:r>
        <w:r w:rsidR="003D1925">
          <w:rPr>
            <w:noProof/>
            <w:webHidden/>
          </w:rPr>
          <w:fldChar w:fldCharType="separate"/>
        </w:r>
        <w:r w:rsidR="003D1925">
          <w:rPr>
            <w:noProof/>
            <w:webHidden/>
          </w:rPr>
          <w:t>28</w:t>
        </w:r>
        <w:r w:rsidR="003D1925">
          <w:rPr>
            <w:noProof/>
            <w:webHidden/>
          </w:rPr>
          <w:fldChar w:fldCharType="end"/>
        </w:r>
      </w:hyperlink>
    </w:p>
    <w:p w14:paraId="222ACFF9" w14:textId="77777777" w:rsidR="003D1925" w:rsidRDefault="00351600">
      <w:pPr>
        <w:pStyle w:val="TableofFigures"/>
        <w:tabs>
          <w:tab w:val="right" w:leader="dot" w:pos="9350"/>
        </w:tabs>
        <w:rPr>
          <w:rFonts w:asciiTheme="minorHAnsi" w:hAnsiTheme="minorHAnsi"/>
          <w:noProof/>
          <w:lang w:eastAsia="en-US"/>
        </w:rPr>
      </w:pPr>
      <w:hyperlink w:anchor="_Toc75940747" w:history="1">
        <w:r w:rsidR="003D1925" w:rsidRPr="006F1F3B">
          <w:rPr>
            <w:rStyle w:val="Hyperlink"/>
            <w:noProof/>
          </w:rPr>
          <w:t>Figure 13: Generic abatement device modeling method.</w:t>
        </w:r>
        <w:r w:rsidR="003D1925">
          <w:rPr>
            <w:noProof/>
            <w:webHidden/>
          </w:rPr>
          <w:tab/>
        </w:r>
        <w:r w:rsidR="003D1925">
          <w:rPr>
            <w:noProof/>
            <w:webHidden/>
          </w:rPr>
          <w:fldChar w:fldCharType="begin"/>
        </w:r>
        <w:r w:rsidR="003D1925">
          <w:rPr>
            <w:noProof/>
            <w:webHidden/>
          </w:rPr>
          <w:instrText xml:space="preserve"> PAGEREF _Toc75940747 \h </w:instrText>
        </w:r>
        <w:r w:rsidR="003D1925">
          <w:rPr>
            <w:noProof/>
            <w:webHidden/>
          </w:rPr>
        </w:r>
        <w:r w:rsidR="003D1925">
          <w:rPr>
            <w:noProof/>
            <w:webHidden/>
          </w:rPr>
          <w:fldChar w:fldCharType="separate"/>
        </w:r>
        <w:r w:rsidR="003D1925">
          <w:rPr>
            <w:noProof/>
            <w:webHidden/>
          </w:rPr>
          <w:t>34</w:t>
        </w:r>
        <w:r w:rsidR="003D1925">
          <w:rPr>
            <w:noProof/>
            <w:webHidden/>
          </w:rPr>
          <w:fldChar w:fldCharType="end"/>
        </w:r>
      </w:hyperlink>
    </w:p>
    <w:p w14:paraId="5F794CF6" w14:textId="77777777" w:rsidR="003D1925" w:rsidRDefault="00351600">
      <w:pPr>
        <w:pStyle w:val="TableofFigures"/>
        <w:tabs>
          <w:tab w:val="right" w:leader="dot" w:pos="9350"/>
        </w:tabs>
        <w:rPr>
          <w:rFonts w:asciiTheme="minorHAnsi" w:hAnsiTheme="minorHAnsi"/>
          <w:noProof/>
          <w:lang w:eastAsia="en-US"/>
        </w:rPr>
      </w:pPr>
      <w:hyperlink w:anchor="_Toc75940748" w:history="1">
        <w:r w:rsidR="003D1925" w:rsidRPr="006F1F3B">
          <w:rPr>
            <w:rStyle w:val="Hyperlink"/>
            <w:noProof/>
          </w:rPr>
          <w:t>Figure 14: World Annual Adoption 2020-2050</w:t>
        </w:r>
        <w:r w:rsidR="003D1925">
          <w:rPr>
            <w:noProof/>
            <w:webHidden/>
          </w:rPr>
          <w:tab/>
        </w:r>
        <w:r w:rsidR="003D1925">
          <w:rPr>
            <w:noProof/>
            <w:webHidden/>
          </w:rPr>
          <w:fldChar w:fldCharType="begin"/>
        </w:r>
        <w:r w:rsidR="003D1925">
          <w:rPr>
            <w:noProof/>
            <w:webHidden/>
          </w:rPr>
          <w:instrText xml:space="preserve"> PAGEREF _Toc75940748 \h </w:instrText>
        </w:r>
        <w:r w:rsidR="003D1925">
          <w:rPr>
            <w:noProof/>
            <w:webHidden/>
          </w:rPr>
        </w:r>
        <w:r w:rsidR="003D1925">
          <w:rPr>
            <w:noProof/>
            <w:webHidden/>
          </w:rPr>
          <w:fldChar w:fldCharType="separate"/>
        </w:r>
        <w:r w:rsidR="003D1925">
          <w:rPr>
            <w:noProof/>
            <w:webHidden/>
          </w:rPr>
          <w:t>39</w:t>
        </w:r>
        <w:r w:rsidR="003D1925">
          <w:rPr>
            <w:noProof/>
            <w:webHidden/>
          </w:rPr>
          <w:fldChar w:fldCharType="end"/>
        </w:r>
      </w:hyperlink>
    </w:p>
    <w:p w14:paraId="4B8A5A79" w14:textId="77777777" w:rsidR="003D1925" w:rsidRDefault="00351600">
      <w:pPr>
        <w:pStyle w:val="TableofFigures"/>
        <w:tabs>
          <w:tab w:val="right" w:leader="dot" w:pos="9350"/>
        </w:tabs>
        <w:rPr>
          <w:rFonts w:asciiTheme="minorHAnsi" w:hAnsiTheme="minorHAnsi"/>
          <w:noProof/>
          <w:lang w:eastAsia="en-US"/>
        </w:rPr>
      </w:pPr>
      <w:hyperlink w:anchor="_Toc75940749" w:history="1">
        <w:r w:rsidR="003D1925" w:rsidRPr="006F1F3B">
          <w:rPr>
            <w:rStyle w:val="Hyperlink"/>
            <w:noProof/>
          </w:rPr>
          <w:t>Figure 15: World annual</w:t>
        </w:r>
        <w:r w:rsidR="003D1925" w:rsidRPr="006F1F3B">
          <w:rPr>
            <w:rStyle w:val="Hyperlink"/>
            <w:noProof/>
            <w:vertAlign w:val="subscript"/>
          </w:rPr>
          <w:t xml:space="preserve"> </w:t>
        </w:r>
        <w:r w:rsidR="003D1925" w:rsidRPr="006F1F3B">
          <w:rPr>
            <w:rStyle w:val="Hyperlink"/>
            <w:noProof/>
          </w:rPr>
          <w:t>greenhouse gas emissions reduction.</w:t>
        </w:r>
        <w:r w:rsidR="003D1925">
          <w:rPr>
            <w:noProof/>
            <w:webHidden/>
          </w:rPr>
          <w:tab/>
        </w:r>
        <w:r w:rsidR="003D1925">
          <w:rPr>
            <w:noProof/>
            <w:webHidden/>
          </w:rPr>
          <w:fldChar w:fldCharType="begin"/>
        </w:r>
        <w:r w:rsidR="003D1925">
          <w:rPr>
            <w:noProof/>
            <w:webHidden/>
          </w:rPr>
          <w:instrText xml:space="preserve"> PAGEREF _Toc75940749 \h </w:instrText>
        </w:r>
        <w:r w:rsidR="003D1925">
          <w:rPr>
            <w:noProof/>
            <w:webHidden/>
          </w:rPr>
        </w:r>
        <w:r w:rsidR="003D1925">
          <w:rPr>
            <w:noProof/>
            <w:webHidden/>
          </w:rPr>
          <w:fldChar w:fldCharType="separate"/>
        </w:r>
        <w:r w:rsidR="003D1925">
          <w:rPr>
            <w:noProof/>
            <w:webHidden/>
          </w:rPr>
          <w:t>41</w:t>
        </w:r>
        <w:r w:rsidR="003D1925">
          <w:rPr>
            <w:noProof/>
            <w:webHidden/>
          </w:rPr>
          <w:fldChar w:fldCharType="end"/>
        </w:r>
      </w:hyperlink>
    </w:p>
    <w:p w14:paraId="15BDBD62" w14:textId="77777777" w:rsidR="003D1925" w:rsidRDefault="00351600">
      <w:pPr>
        <w:pStyle w:val="TableofFigures"/>
        <w:tabs>
          <w:tab w:val="right" w:leader="dot" w:pos="9350"/>
        </w:tabs>
        <w:rPr>
          <w:rFonts w:asciiTheme="minorHAnsi" w:hAnsiTheme="minorHAnsi"/>
          <w:noProof/>
          <w:lang w:eastAsia="en-US"/>
        </w:rPr>
      </w:pPr>
      <w:hyperlink w:anchor="_Toc75940750" w:history="1">
        <w:r w:rsidR="003D1925" w:rsidRPr="006F1F3B">
          <w:rPr>
            <w:rStyle w:val="Hyperlink"/>
            <w:noProof/>
          </w:rPr>
          <w:t>Figure 16: Adoption cases in alternative scenario 1.</w:t>
        </w:r>
        <w:r w:rsidR="003D1925">
          <w:rPr>
            <w:noProof/>
            <w:webHidden/>
          </w:rPr>
          <w:tab/>
        </w:r>
        <w:r w:rsidR="003D1925">
          <w:rPr>
            <w:noProof/>
            <w:webHidden/>
          </w:rPr>
          <w:fldChar w:fldCharType="begin"/>
        </w:r>
        <w:r w:rsidR="003D1925">
          <w:rPr>
            <w:noProof/>
            <w:webHidden/>
          </w:rPr>
          <w:instrText xml:space="preserve"> PAGEREF _Toc75940750 \h </w:instrText>
        </w:r>
        <w:r w:rsidR="003D1925">
          <w:rPr>
            <w:noProof/>
            <w:webHidden/>
          </w:rPr>
        </w:r>
        <w:r w:rsidR="003D1925">
          <w:rPr>
            <w:noProof/>
            <w:webHidden/>
          </w:rPr>
          <w:fldChar w:fldCharType="separate"/>
        </w:r>
        <w:r w:rsidR="003D1925">
          <w:rPr>
            <w:noProof/>
            <w:webHidden/>
          </w:rPr>
          <w:t>42</w:t>
        </w:r>
        <w:r w:rsidR="003D1925">
          <w:rPr>
            <w:noProof/>
            <w:webHidden/>
          </w:rPr>
          <w:fldChar w:fldCharType="end"/>
        </w:r>
      </w:hyperlink>
    </w:p>
    <w:p w14:paraId="2B1721E2" w14:textId="77777777" w:rsidR="003D1925" w:rsidRDefault="00351600">
      <w:pPr>
        <w:pStyle w:val="TableofFigures"/>
        <w:tabs>
          <w:tab w:val="right" w:leader="dot" w:pos="9350"/>
        </w:tabs>
        <w:rPr>
          <w:rFonts w:asciiTheme="minorHAnsi" w:hAnsiTheme="minorHAnsi"/>
          <w:noProof/>
          <w:lang w:eastAsia="en-US"/>
        </w:rPr>
      </w:pPr>
      <w:hyperlink w:anchor="_Toc75940751" w:history="1">
        <w:r w:rsidR="003D1925" w:rsidRPr="006F1F3B">
          <w:rPr>
            <w:rStyle w:val="Hyperlink"/>
            <w:noProof/>
          </w:rPr>
          <w:t>Figure 17: Adoption in alternative scenario 2.</w:t>
        </w:r>
        <w:r w:rsidR="003D1925">
          <w:rPr>
            <w:noProof/>
            <w:webHidden/>
          </w:rPr>
          <w:tab/>
        </w:r>
        <w:r w:rsidR="003D1925">
          <w:rPr>
            <w:noProof/>
            <w:webHidden/>
          </w:rPr>
          <w:fldChar w:fldCharType="begin"/>
        </w:r>
        <w:r w:rsidR="003D1925">
          <w:rPr>
            <w:noProof/>
            <w:webHidden/>
          </w:rPr>
          <w:instrText xml:space="preserve"> PAGEREF _Toc75940751 \h </w:instrText>
        </w:r>
        <w:r w:rsidR="003D1925">
          <w:rPr>
            <w:noProof/>
            <w:webHidden/>
          </w:rPr>
        </w:r>
        <w:r w:rsidR="003D1925">
          <w:rPr>
            <w:noProof/>
            <w:webHidden/>
          </w:rPr>
          <w:fldChar w:fldCharType="separate"/>
        </w:r>
        <w:r w:rsidR="003D1925">
          <w:rPr>
            <w:noProof/>
            <w:webHidden/>
          </w:rPr>
          <w:t>43</w:t>
        </w:r>
        <w:r w:rsidR="003D1925">
          <w:rPr>
            <w:noProof/>
            <w:webHidden/>
          </w:rPr>
          <w:fldChar w:fldCharType="end"/>
        </w:r>
      </w:hyperlink>
    </w:p>
    <w:p w14:paraId="317BA74E" w14:textId="77777777" w:rsidR="003D1925" w:rsidRDefault="00351600">
      <w:pPr>
        <w:pStyle w:val="TableofFigures"/>
        <w:tabs>
          <w:tab w:val="right" w:leader="dot" w:pos="9350"/>
        </w:tabs>
        <w:rPr>
          <w:rFonts w:asciiTheme="minorHAnsi" w:hAnsiTheme="minorHAnsi"/>
          <w:noProof/>
          <w:lang w:eastAsia="en-US"/>
        </w:rPr>
      </w:pPr>
      <w:hyperlink w:anchor="_Toc75940752" w:history="1">
        <w:r w:rsidR="003D1925" w:rsidRPr="006F1F3B">
          <w:rPr>
            <w:rStyle w:val="Hyperlink"/>
            <w:noProof/>
          </w:rPr>
          <w:t>Figure 18 Benchmarking comparison of some key indicator results</w:t>
        </w:r>
        <w:r w:rsidR="003D1925">
          <w:rPr>
            <w:noProof/>
            <w:webHidden/>
          </w:rPr>
          <w:tab/>
        </w:r>
        <w:r w:rsidR="003D1925">
          <w:rPr>
            <w:noProof/>
            <w:webHidden/>
          </w:rPr>
          <w:fldChar w:fldCharType="begin"/>
        </w:r>
        <w:r w:rsidR="003D1925">
          <w:rPr>
            <w:noProof/>
            <w:webHidden/>
          </w:rPr>
          <w:instrText xml:space="preserve"> PAGEREF _Toc75940752 \h </w:instrText>
        </w:r>
        <w:r w:rsidR="003D1925">
          <w:rPr>
            <w:noProof/>
            <w:webHidden/>
          </w:rPr>
        </w:r>
        <w:r w:rsidR="003D1925">
          <w:rPr>
            <w:noProof/>
            <w:webHidden/>
          </w:rPr>
          <w:fldChar w:fldCharType="separate"/>
        </w:r>
        <w:r w:rsidR="003D1925">
          <w:rPr>
            <w:noProof/>
            <w:webHidden/>
          </w:rPr>
          <w:t>47</w:t>
        </w:r>
        <w:r w:rsidR="003D1925">
          <w:rPr>
            <w:noProof/>
            <w:webHidden/>
          </w:rPr>
          <w:fldChar w:fldCharType="end"/>
        </w:r>
      </w:hyperlink>
    </w:p>
    <w:p w14:paraId="5AD133BD" w14:textId="65171F28" w:rsidR="00640665" w:rsidRPr="00AF41A6" w:rsidRDefault="00F15AEE" w:rsidP="00483FFA">
      <w:r w:rsidRPr="00AF41A6">
        <w:fldChar w:fldCharType="end"/>
      </w:r>
    </w:p>
    <w:p w14:paraId="6055DED9" w14:textId="24973E3A" w:rsidR="006A4A08" w:rsidRPr="00AF41A6" w:rsidRDefault="00C23CAC" w:rsidP="00EB247F">
      <w:pPr>
        <w:pStyle w:val="Heading1"/>
        <w:numPr>
          <w:ilvl w:val="0"/>
          <w:numId w:val="0"/>
        </w:numPr>
      </w:pPr>
      <w:bookmarkStart w:id="1" w:name="_Toc75953785"/>
      <w:r w:rsidRPr="00AF41A6">
        <w:t xml:space="preserve">List of </w:t>
      </w:r>
      <w:r w:rsidR="2D56E7D4" w:rsidRPr="00AF41A6">
        <w:t>Tables</w:t>
      </w:r>
      <w:bookmarkEnd w:id="1"/>
    </w:p>
    <w:p w14:paraId="09DA7790" w14:textId="77777777" w:rsidR="003D1925" w:rsidRDefault="006A4A08">
      <w:pPr>
        <w:pStyle w:val="TableofFigures"/>
        <w:tabs>
          <w:tab w:val="right" w:leader="dot" w:pos="9350"/>
        </w:tabs>
        <w:rPr>
          <w:rFonts w:asciiTheme="minorHAnsi" w:hAnsiTheme="minorHAnsi"/>
          <w:noProof/>
          <w:lang w:eastAsia="en-US"/>
        </w:rPr>
      </w:pPr>
      <w:r w:rsidRPr="00AF41A6">
        <w:fldChar w:fldCharType="begin"/>
      </w:r>
      <w:r w:rsidRPr="00AF41A6">
        <w:instrText xml:space="preserve"> TOC \h \z \c "Table" </w:instrText>
      </w:r>
      <w:r w:rsidRPr="00AF41A6">
        <w:fldChar w:fldCharType="separate"/>
      </w:r>
      <w:hyperlink w:anchor="_Toc75940753" w:history="1">
        <w:r w:rsidR="003D1925" w:rsidRPr="00554469">
          <w:rPr>
            <w:rStyle w:val="Hyperlink"/>
            <w:noProof/>
          </w:rPr>
          <w:t>Table 1: Climate Inputs</w:t>
        </w:r>
        <w:r w:rsidR="003D1925">
          <w:rPr>
            <w:noProof/>
            <w:webHidden/>
          </w:rPr>
          <w:tab/>
        </w:r>
        <w:r w:rsidR="003D1925">
          <w:rPr>
            <w:noProof/>
            <w:webHidden/>
          </w:rPr>
          <w:fldChar w:fldCharType="begin"/>
        </w:r>
        <w:r w:rsidR="003D1925">
          <w:rPr>
            <w:noProof/>
            <w:webHidden/>
          </w:rPr>
          <w:instrText xml:space="preserve"> PAGEREF _Toc75940753 \h </w:instrText>
        </w:r>
        <w:r w:rsidR="003D1925">
          <w:rPr>
            <w:noProof/>
            <w:webHidden/>
          </w:rPr>
        </w:r>
        <w:r w:rsidR="003D1925">
          <w:rPr>
            <w:noProof/>
            <w:webHidden/>
          </w:rPr>
          <w:fldChar w:fldCharType="separate"/>
        </w:r>
        <w:r w:rsidR="003D1925">
          <w:rPr>
            <w:noProof/>
            <w:webHidden/>
          </w:rPr>
          <w:t>34</w:t>
        </w:r>
        <w:r w:rsidR="003D1925">
          <w:rPr>
            <w:noProof/>
            <w:webHidden/>
          </w:rPr>
          <w:fldChar w:fldCharType="end"/>
        </w:r>
      </w:hyperlink>
    </w:p>
    <w:p w14:paraId="1D298BC8" w14:textId="77777777" w:rsidR="003D1925" w:rsidRDefault="00351600">
      <w:pPr>
        <w:pStyle w:val="TableofFigures"/>
        <w:tabs>
          <w:tab w:val="right" w:leader="dot" w:pos="9350"/>
        </w:tabs>
        <w:rPr>
          <w:rFonts w:asciiTheme="minorHAnsi" w:hAnsiTheme="minorHAnsi"/>
          <w:noProof/>
          <w:lang w:eastAsia="en-US"/>
        </w:rPr>
      </w:pPr>
      <w:hyperlink w:anchor="_Toc75940754" w:history="1">
        <w:r w:rsidR="003D1925" w:rsidRPr="00554469">
          <w:rPr>
            <w:rStyle w:val="Hyperlink"/>
            <w:noProof/>
          </w:rPr>
          <w:t>Table 2: Financial Inputs for Solution – generic abatement device</w:t>
        </w:r>
        <w:r w:rsidR="003D1925">
          <w:rPr>
            <w:noProof/>
            <w:webHidden/>
          </w:rPr>
          <w:tab/>
        </w:r>
        <w:r w:rsidR="003D1925">
          <w:rPr>
            <w:noProof/>
            <w:webHidden/>
          </w:rPr>
          <w:fldChar w:fldCharType="begin"/>
        </w:r>
        <w:r w:rsidR="003D1925">
          <w:rPr>
            <w:noProof/>
            <w:webHidden/>
          </w:rPr>
          <w:instrText xml:space="preserve"> PAGEREF _Toc75940754 \h </w:instrText>
        </w:r>
        <w:r w:rsidR="003D1925">
          <w:rPr>
            <w:noProof/>
            <w:webHidden/>
          </w:rPr>
        </w:r>
        <w:r w:rsidR="003D1925">
          <w:rPr>
            <w:noProof/>
            <w:webHidden/>
          </w:rPr>
          <w:fldChar w:fldCharType="separate"/>
        </w:r>
        <w:r w:rsidR="003D1925">
          <w:rPr>
            <w:noProof/>
            <w:webHidden/>
          </w:rPr>
          <w:t>35</w:t>
        </w:r>
        <w:r w:rsidR="003D1925">
          <w:rPr>
            <w:noProof/>
            <w:webHidden/>
          </w:rPr>
          <w:fldChar w:fldCharType="end"/>
        </w:r>
      </w:hyperlink>
    </w:p>
    <w:p w14:paraId="5DE44189" w14:textId="77777777" w:rsidR="003D1925" w:rsidRDefault="00351600">
      <w:pPr>
        <w:pStyle w:val="TableofFigures"/>
        <w:tabs>
          <w:tab w:val="right" w:leader="dot" w:pos="9350"/>
        </w:tabs>
        <w:rPr>
          <w:rFonts w:asciiTheme="minorHAnsi" w:hAnsiTheme="minorHAnsi"/>
          <w:noProof/>
          <w:lang w:eastAsia="en-US"/>
        </w:rPr>
      </w:pPr>
      <w:hyperlink w:anchor="_Toc75940755" w:history="1">
        <w:r w:rsidR="003D1925" w:rsidRPr="00554469">
          <w:rPr>
            <w:rStyle w:val="Hyperlink"/>
            <w:noProof/>
          </w:rPr>
          <w:t>Table 3:  Technical Inputs for Solution</w:t>
        </w:r>
        <w:r w:rsidR="003D1925">
          <w:rPr>
            <w:noProof/>
            <w:webHidden/>
          </w:rPr>
          <w:tab/>
        </w:r>
        <w:r w:rsidR="003D1925">
          <w:rPr>
            <w:noProof/>
            <w:webHidden/>
          </w:rPr>
          <w:fldChar w:fldCharType="begin"/>
        </w:r>
        <w:r w:rsidR="003D1925">
          <w:rPr>
            <w:noProof/>
            <w:webHidden/>
          </w:rPr>
          <w:instrText xml:space="preserve"> PAGEREF _Toc75940755 \h </w:instrText>
        </w:r>
        <w:r w:rsidR="003D1925">
          <w:rPr>
            <w:noProof/>
            <w:webHidden/>
          </w:rPr>
        </w:r>
        <w:r w:rsidR="003D1925">
          <w:rPr>
            <w:noProof/>
            <w:webHidden/>
          </w:rPr>
          <w:fldChar w:fldCharType="separate"/>
        </w:r>
        <w:r w:rsidR="003D1925">
          <w:rPr>
            <w:noProof/>
            <w:webHidden/>
          </w:rPr>
          <w:t>36</w:t>
        </w:r>
        <w:r w:rsidR="003D1925">
          <w:rPr>
            <w:noProof/>
            <w:webHidden/>
          </w:rPr>
          <w:fldChar w:fldCharType="end"/>
        </w:r>
      </w:hyperlink>
    </w:p>
    <w:p w14:paraId="18B3025C" w14:textId="77777777" w:rsidR="003D1925" w:rsidRDefault="00351600">
      <w:pPr>
        <w:pStyle w:val="TableofFigures"/>
        <w:tabs>
          <w:tab w:val="right" w:leader="dot" w:pos="9350"/>
        </w:tabs>
        <w:rPr>
          <w:rFonts w:asciiTheme="minorHAnsi" w:hAnsiTheme="minorHAnsi"/>
          <w:noProof/>
          <w:lang w:eastAsia="en-US"/>
        </w:rPr>
      </w:pPr>
      <w:hyperlink w:anchor="_Toc75940756" w:history="1">
        <w:r w:rsidR="003D1925" w:rsidRPr="00554469">
          <w:rPr>
            <w:rStyle w:val="Hyperlink"/>
            <w:noProof/>
          </w:rPr>
          <w:t>Table 4: Climate Impacts</w:t>
        </w:r>
        <w:r w:rsidR="003D1925">
          <w:rPr>
            <w:noProof/>
            <w:webHidden/>
          </w:rPr>
          <w:tab/>
        </w:r>
        <w:r w:rsidR="003D1925">
          <w:rPr>
            <w:noProof/>
            <w:webHidden/>
          </w:rPr>
          <w:fldChar w:fldCharType="begin"/>
        </w:r>
        <w:r w:rsidR="003D1925">
          <w:rPr>
            <w:noProof/>
            <w:webHidden/>
          </w:rPr>
          <w:instrText xml:space="preserve"> PAGEREF _Toc75940756 \h </w:instrText>
        </w:r>
        <w:r w:rsidR="003D1925">
          <w:rPr>
            <w:noProof/>
            <w:webHidden/>
          </w:rPr>
        </w:r>
        <w:r w:rsidR="003D1925">
          <w:rPr>
            <w:noProof/>
            <w:webHidden/>
          </w:rPr>
          <w:fldChar w:fldCharType="separate"/>
        </w:r>
        <w:r w:rsidR="003D1925">
          <w:rPr>
            <w:noProof/>
            <w:webHidden/>
          </w:rPr>
          <w:t>39</w:t>
        </w:r>
        <w:r w:rsidR="003D1925">
          <w:rPr>
            <w:noProof/>
            <w:webHidden/>
          </w:rPr>
          <w:fldChar w:fldCharType="end"/>
        </w:r>
      </w:hyperlink>
    </w:p>
    <w:p w14:paraId="266E31E1" w14:textId="77777777" w:rsidR="003D1925" w:rsidRDefault="00351600">
      <w:pPr>
        <w:pStyle w:val="TableofFigures"/>
        <w:tabs>
          <w:tab w:val="right" w:leader="dot" w:pos="9350"/>
        </w:tabs>
        <w:rPr>
          <w:rFonts w:asciiTheme="minorHAnsi" w:hAnsiTheme="minorHAnsi"/>
          <w:noProof/>
          <w:lang w:eastAsia="en-US"/>
        </w:rPr>
      </w:pPr>
      <w:hyperlink w:anchor="_Toc75940757" w:history="1">
        <w:r w:rsidR="003D1925" w:rsidRPr="00554469">
          <w:rPr>
            <w:rStyle w:val="Hyperlink"/>
            <w:noProof/>
          </w:rPr>
          <w:t>Table 5: Impacts on Atmospheric Concentrations of CO</w:t>
        </w:r>
        <w:r w:rsidR="003D1925" w:rsidRPr="00554469">
          <w:rPr>
            <w:rStyle w:val="Hyperlink"/>
            <w:noProof/>
            <w:vertAlign w:val="subscript"/>
          </w:rPr>
          <w:t>2</w:t>
        </w:r>
        <w:r w:rsidR="003D1925" w:rsidRPr="00554469">
          <w:rPr>
            <w:rStyle w:val="Hyperlink"/>
            <w:noProof/>
          </w:rPr>
          <w:t>-eq</w:t>
        </w:r>
        <w:r w:rsidR="003D1925">
          <w:rPr>
            <w:noProof/>
            <w:webHidden/>
          </w:rPr>
          <w:tab/>
        </w:r>
        <w:r w:rsidR="003D1925">
          <w:rPr>
            <w:noProof/>
            <w:webHidden/>
          </w:rPr>
          <w:fldChar w:fldCharType="begin"/>
        </w:r>
        <w:r w:rsidR="003D1925">
          <w:rPr>
            <w:noProof/>
            <w:webHidden/>
          </w:rPr>
          <w:instrText xml:space="preserve"> PAGEREF _Toc75940757 \h </w:instrText>
        </w:r>
        <w:r w:rsidR="003D1925">
          <w:rPr>
            <w:noProof/>
            <w:webHidden/>
          </w:rPr>
        </w:r>
        <w:r w:rsidR="003D1925">
          <w:rPr>
            <w:noProof/>
            <w:webHidden/>
          </w:rPr>
          <w:fldChar w:fldCharType="separate"/>
        </w:r>
        <w:r w:rsidR="003D1925">
          <w:rPr>
            <w:noProof/>
            <w:webHidden/>
          </w:rPr>
          <w:t>40</w:t>
        </w:r>
        <w:r w:rsidR="003D1925">
          <w:rPr>
            <w:noProof/>
            <w:webHidden/>
          </w:rPr>
          <w:fldChar w:fldCharType="end"/>
        </w:r>
      </w:hyperlink>
    </w:p>
    <w:p w14:paraId="6C7C4FE4" w14:textId="77777777" w:rsidR="003D1925" w:rsidRDefault="00351600">
      <w:pPr>
        <w:pStyle w:val="TableofFigures"/>
        <w:tabs>
          <w:tab w:val="right" w:leader="dot" w:pos="9350"/>
        </w:tabs>
        <w:rPr>
          <w:rFonts w:asciiTheme="minorHAnsi" w:hAnsiTheme="minorHAnsi"/>
          <w:noProof/>
          <w:lang w:eastAsia="en-US"/>
        </w:rPr>
      </w:pPr>
      <w:hyperlink w:anchor="_Toc75940758" w:history="1">
        <w:r w:rsidR="003D1925" w:rsidRPr="00554469">
          <w:rPr>
            <w:rStyle w:val="Hyperlink"/>
            <w:noProof/>
          </w:rPr>
          <w:t>Table 6: Financial Impacts</w:t>
        </w:r>
        <w:r w:rsidR="003D1925">
          <w:rPr>
            <w:noProof/>
            <w:webHidden/>
          </w:rPr>
          <w:tab/>
        </w:r>
        <w:r w:rsidR="003D1925">
          <w:rPr>
            <w:noProof/>
            <w:webHidden/>
          </w:rPr>
          <w:fldChar w:fldCharType="begin"/>
        </w:r>
        <w:r w:rsidR="003D1925">
          <w:rPr>
            <w:noProof/>
            <w:webHidden/>
          </w:rPr>
          <w:instrText xml:space="preserve"> PAGEREF _Toc75940758 \h </w:instrText>
        </w:r>
        <w:r w:rsidR="003D1925">
          <w:rPr>
            <w:noProof/>
            <w:webHidden/>
          </w:rPr>
        </w:r>
        <w:r w:rsidR="003D1925">
          <w:rPr>
            <w:noProof/>
            <w:webHidden/>
          </w:rPr>
          <w:fldChar w:fldCharType="separate"/>
        </w:r>
        <w:r w:rsidR="003D1925">
          <w:rPr>
            <w:noProof/>
            <w:webHidden/>
          </w:rPr>
          <w:t>41</w:t>
        </w:r>
        <w:r w:rsidR="003D1925">
          <w:rPr>
            <w:noProof/>
            <w:webHidden/>
          </w:rPr>
          <w:fldChar w:fldCharType="end"/>
        </w:r>
      </w:hyperlink>
    </w:p>
    <w:p w14:paraId="7811BEC8" w14:textId="77777777" w:rsidR="003D1925" w:rsidRDefault="00351600">
      <w:pPr>
        <w:pStyle w:val="TableofFigures"/>
        <w:tabs>
          <w:tab w:val="right" w:leader="dot" w:pos="9350"/>
        </w:tabs>
        <w:rPr>
          <w:rFonts w:asciiTheme="minorHAnsi" w:hAnsiTheme="minorHAnsi"/>
          <w:noProof/>
          <w:lang w:eastAsia="en-US"/>
        </w:rPr>
      </w:pPr>
      <w:hyperlink w:anchor="_Toc75940759" w:history="1">
        <w:r w:rsidR="003D1925" w:rsidRPr="00554469">
          <w:rPr>
            <w:rStyle w:val="Hyperlink"/>
            <w:noProof/>
          </w:rPr>
          <w:t>Table 7: Key climate results in alternative scenario 1.</w:t>
        </w:r>
        <w:r w:rsidR="003D1925">
          <w:rPr>
            <w:noProof/>
            <w:webHidden/>
          </w:rPr>
          <w:tab/>
        </w:r>
        <w:r w:rsidR="003D1925">
          <w:rPr>
            <w:noProof/>
            <w:webHidden/>
          </w:rPr>
          <w:fldChar w:fldCharType="begin"/>
        </w:r>
        <w:r w:rsidR="003D1925">
          <w:rPr>
            <w:noProof/>
            <w:webHidden/>
          </w:rPr>
          <w:instrText xml:space="preserve"> PAGEREF _Toc75940759 \h </w:instrText>
        </w:r>
        <w:r w:rsidR="003D1925">
          <w:rPr>
            <w:noProof/>
            <w:webHidden/>
          </w:rPr>
        </w:r>
        <w:r w:rsidR="003D1925">
          <w:rPr>
            <w:noProof/>
            <w:webHidden/>
          </w:rPr>
          <w:fldChar w:fldCharType="separate"/>
        </w:r>
        <w:r w:rsidR="003D1925">
          <w:rPr>
            <w:noProof/>
            <w:webHidden/>
          </w:rPr>
          <w:t>42</w:t>
        </w:r>
        <w:r w:rsidR="003D1925">
          <w:rPr>
            <w:noProof/>
            <w:webHidden/>
          </w:rPr>
          <w:fldChar w:fldCharType="end"/>
        </w:r>
      </w:hyperlink>
    </w:p>
    <w:p w14:paraId="5BD100A8" w14:textId="77777777" w:rsidR="003D1925" w:rsidRDefault="00351600">
      <w:pPr>
        <w:pStyle w:val="TableofFigures"/>
        <w:tabs>
          <w:tab w:val="right" w:leader="dot" w:pos="9350"/>
        </w:tabs>
        <w:rPr>
          <w:rFonts w:asciiTheme="minorHAnsi" w:hAnsiTheme="minorHAnsi"/>
          <w:noProof/>
          <w:lang w:eastAsia="en-US"/>
        </w:rPr>
      </w:pPr>
      <w:hyperlink w:anchor="_Toc75940760" w:history="1">
        <w:r w:rsidR="003D1925" w:rsidRPr="00554469">
          <w:rPr>
            <w:rStyle w:val="Hyperlink"/>
            <w:noProof/>
          </w:rPr>
          <w:t>Table 8: Key financial results in alternative scenario 1.</w:t>
        </w:r>
        <w:r w:rsidR="003D1925">
          <w:rPr>
            <w:noProof/>
            <w:webHidden/>
          </w:rPr>
          <w:tab/>
        </w:r>
        <w:r w:rsidR="003D1925">
          <w:rPr>
            <w:noProof/>
            <w:webHidden/>
          </w:rPr>
          <w:fldChar w:fldCharType="begin"/>
        </w:r>
        <w:r w:rsidR="003D1925">
          <w:rPr>
            <w:noProof/>
            <w:webHidden/>
          </w:rPr>
          <w:instrText xml:space="preserve"> PAGEREF _Toc75940760 \h </w:instrText>
        </w:r>
        <w:r w:rsidR="003D1925">
          <w:rPr>
            <w:noProof/>
            <w:webHidden/>
          </w:rPr>
        </w:r>
        <w:r w:rsidR="003D1925">
          <w:rPr>
            <w:noProof/>
            <w:webHidden/>
          </w:rPr>
          <w:fldChar w:fldCharType="separate"/>
        </w:r>
        <w:r w:rsidR="003D1925">
          <w:rPr>
            <w:noProof/>
            <w:webHidden/>
          </w:rPr>
          <w:t>42</w:t>
        </w:r>
        <w:r w:rsidR="003D1925">
          <w:rPr>
            <w:noProof/>
            <w:webHidden/>
          </w:rPr>
          <w:fldChar w:fldCharType="end"/>
        </w:r>
      </w:hyperlink>
    </w:p>
    <w:p w14:paraId="7C130C90" w14:textId="77777777" w:rsidR="003D1925" w:rsidRDefault="00351600">
      <w:pPr>
        <w:pStyle w:val="TableofFigures"/>
        <w:tabs>
          <w:tab w:val="right" w:leader="dot" w:pos="9350"/>
        </w:tabs>
        <w:rPr>
          <w:rFonts w:asciiTheme="minorHAnsi" w:hAnsiTheme="minorHAnsi"/>
          <w:noProof/>
          <w:lang w:eastAsia="en-US"/>
        </w:rPr>
      </w:pPr>
      <w:hyperlink w:anchor="_Toc75940761" w:history="1">
        <w:r w:rsidR="003D1925" w:rsidRPr="00554469">
          <w:rPr>
            <w:rStyle w:val="Hyperlink"/>
            <w:noProof/>
          </w:rPr>
          <w:t>Table 9: Key climate results in alternative scenario 2.</w:t>
        </w:r>
        <w:r w:rsidR="003D1925">
          <w:rPr>
            <w:noProof/>
            <w:webHidden/>
          </w:rPr>
          <w:tab/>
        </w:r>
        <w:r w:rsidR="003D1925">
          <w:rPr>
            <w:noProof/>
            <w:webHidden/>
          </w:rPr>
          <w:fldChar w:fldCharType="begin"/>
        </w:r>
        <w:r w:rsidR="003D1925">
          <w:rPr>
            <w:noProof/>
            <w:webHidden/>
          </w:rPr>
          <w:instrText xml:space="preserve"> PAGEREF _Toc75940761 \h </w:instrText>
        </w:r>
        <w:r w:rsidR="003D1925">
          <w:rPr>
            <w:noProof/>
            <w:webHidden/>
          </w:rPr>
        </w:r>
        <w:r w:rsidR="003D1925">
          <w:rPr>
            <w:noProof/>
            <w:webHidden/>
          </w:rPr>
          <w:fldChar w:fldCharType="separate"/>
        </w:r>
        <w:r w:rsidR="003D1925">
          <w:rPr>
            <w:noProof/>
            <w:webHidden/>
          </w:rPr>
          <w:t>43</w:t>
        </w:r>
        <w:r w:rsidR="003D1925">
          <w:rPr>
            <w:noProof/>
            <w:webHidden/>
          </w:rPr>
          <w:fldChar w:fldCharType="end"/>
        </w:r>
      </w:hyperlink>
    </w:p>
    <w:p w14:paraId="01D5E0DC" w14:textId="77777777" w:rsidR="003D1925" w:rsidRDefault="00351600">
      <w:pPr>
        <w:pStyle w:val="TableofFigures"/>
        <w:tabs>
          <w:tab w:val="right" w:leader="dot" w:pos="9350"/>
        </w:tabs>
        <w:rPr>
          <w:rFonts w:asciiTheme="minorHAnsi" w:hAnsiTheme="minorHAnsi"/>
          <w:noProof/>
          <w:lang w:eastAsia="en-US"/>
        </w:rPr>
      </w:pPr>
      <w:hyperlink w:anchor="_Toc75940762" w:history="1">
        <w:r w:rsidR="003D1925" w:rsidRPr="00554469">
          <w:rPr>
            <w:rStyle w:val="Hyperlink"/>
            <w:noProof/>
          </w:rPr>
          <w:t>Table 10: Key financial results in alternative scenario 2.</w:t>
        </w:r>
        <w:r w:rsidR="003D1925">
          <w:rPr>
            <w:noProof/>
            <w:webHidden/>
          </w:rPr>
          <w:tab/>
        </w:r>
        <w:r w:rsidR="003D1925">
          <w:rPr>
            <w:noProof/>
            <w:webHidden/>
          </w:rPr>
          <w:fldChar w:fldCharType="begin"/>
        </w:r>
        <w:r w:rsidR="003D1925">
          <w:rPr>
            <w:noProof/>
            <w:webHidden/>
          </w:rPr>
          <w:instrText xml:space="preserve"> PAGEREF _Toc75940762 \h </w:instrText>
        </w:r>
        <w:r w:rsidR="003D1925">
          <w:rPr>
            <w:noProof/>
            <w:webHidden/>
          </w:rPr>
        </w:r>
        <w:r w:rsidR="003D1925">
          <w:rPr>
            <w:noProof/>
            <w:webHidden/>
          </w:rPr>
          <w:fldChar w:fldCharType="separate"/>
        </w:r>
        <w:r w:rsidR="003D1925">
          <w:rPr>
            <w:noProof/>
            <w:webHidden/>
          </w:rPr>
          <w:t>44</w:t>
        </w:r>
        <w:r w:rsidR="003D1925">
          <w:rPr>
            <w:noProof/>
            <w:webHidden/>
          </w:rPr>
          <w:fldChar w:fldCharType="end"/>
        </w:r>
      </w:hyperlink>
    </w:p>
    <w:p w14:paraId="59531BD3" w14:textId="109D6785" w:rsidR="006A4A08" w:rsidRPr="00AF41A6" w:rsidRDefault="006A4A08" w:rsidP="003A0234">
      <w:r w:rsidRPr="00AF41A6">
        <w:fldChar w:fldCharType="end"/>
      </w:r>
    </w:p>
    <w:p w14:paraId="4825AD3F" w14:textId="40954F23" w:rsidR="00640665" w:rsidRPr="00AF41A6" w:rsidRDefault="00640665" w:rsidP="00EB247F">
      <w:pPr>
        <w:rPr>
          <w:rFonts w:asciiTheme="majorHAnsi" w:eastAsiaTheme="majorEastAsia" w:hAnsiTheme="majorHAnsi" w:cstheme="majorBidi"/>
          <w:b/>
          <w:bCs/>
          <w:smallCaps/>
          <w:color w:val="000000" w:themeColor="text1"/>
          <w:sz w:val="36"/>
          <w:szCs w:val="36"/>
        </w:rPr>
      </w:pPr>
      <w:r w:rsidRPr="00AF41A6">
        <w:br w:type="page"/>
      </w:r>
    </w:p>
    <w:p w14:paraId="314CD877" w14:textId="0A90708E" w:rsidR="00FA6897" w:rsidRPr="00AF41A6" w:rsidRDefault="2D56E7D4" w:rsidP="00EB247F">
      <w:pPr>
        <w:pStyle w:val="Heading1"/>
        <w:numPr>
          <w:ilvl w:val="0"/>
          <w:numId w:val="0"/>
        </w:numPr>
        <w:ind w:left="720" w:hanging="360"/>
      </w:pPr>
      <w:bookmarkStart w:id="2" w:name="_Toc75953786"/>
      <w:r w:rsidRPr="00AF41A6">
        <w:lastRenderedPageBreak/>
        <w:t>Acronyms and Symbols Used</w:t>
      </w:r>
      <w:bookmarkEnd w:id="2"/>
    </w:p>
    <w:p w14:paraId="03A00DC8" w14:textId="7E46CA35" w:rsidR="00236D0A" w:rsidRDefault="00236D0A" w:rsidP="00CE0691">
      <w:r>
        <w:t>CCS = carbon capture and storage</w:t>
      </w:r>
    </w:p>
    <w:p w14:paraId="08292957" w14:textId="2BF46427" w:rsidR="0048525C" w:rsidRPr="00236D0A" w:rsidRDefault="0048525C" w:rsidP="00CE0691">
      <w:r>
        <w:t>CH</w:t>
      </w:r>
      <w:r>
        <w:rPr>
          <w:vertAlign w:val="subscript"/>
        </w:rPr>
        <w:t>4</w:t>
      </w:r>
      <w:r w:rsidR="00236D0A">
        <w:rPr>
          <w:vertAlign w:val="subscript"/>
        </w:rPr>
        <w:t xml:space="preserve"> </w:t>
      </w:r>
      <w:r w:rsidR="00236D0A">
        <w:t xml:space="preserve">= methane </w:t>
      </w:r>
    </w:p>
    <w:p w14:paraId="660CDF6C" w14:textId="70BD71AC" w:rsidR="00E07FCB" w:rsidRPr="00236D0A" w:rsidRDefault="00E07FCB" w:rsidP="00CE0691">
      <w:r w:rsidRPr="00AF41A6">
        <w:t>CO</w:t>
      </w:r>
      <w:r w:rsidRPr="00AF41A6">
        <w:rPr>
          <w:vertAlign w:val="subscript"/>
        </w:rPr>
        <w:t>2e</w:t>
      </w:r>
      <w:r w:rsidR="00236D0A">
        <w:rPr>
          <w:vertAlign w:val="subscript"/>
        </w:rPr>
        <w:t xml:space="preserve"> </w:t>
      </w:r>
      <w:r w:rsidR="00236D0A">
        <w:t xml:space="preserve">= carbon dioxide equivalent </w:t>
      </w:r>
    </w:p>
    <w:p w14:paraId="6B865649" w14:textId="7B5880A7" w:rsidR="00236D0A" w:rsidRDefault="00236D0A" w:rsidP="00236D0A">
      <w:r>
        <w:t xml:space="preserve">EPA = United States Environmental Protection Agency </w:t>
      </w:r>
    </w:p>
    <w:p w14:paraId="68248F5B" w14:textId="77777777" w:rsidR="00236D0A" w:rsidRPr="00236D0A" w:rsidRDefault="00236D0A" w:rsidP="00236D0A">
      <w:pPr>
        <w:rPr>
          <w:lang w:val="fr-FR"/>
        </w:rPr>
      </w:pPr>
      <w:r w:rsidRPr="00236D0A">
        <w:rPr>
          <w:lang w:val="fr-FR"/>
        </w:rPr>
        <w:t xml:space="preserve">Gt = gigatonne, billion metric tons </w:t>
      </w:r>
    </w:p>
    <w:p w14:paraId="2BE6751F" w14:textId="3ECA8B8D" w:rsidR="00236D0A" w:rsidRDefault="00236D0A" w:rsidP="00236D0A">
      <w:r>
        <w:t>IEA = International Energy Agency</w:t>
      </w:r>
    </w:p>
    <w:p w14:paraId="071B0017" w14:textId="2EBED27D" w:rsidR="00236D0A" w:rsidRPr="00AF41A6" w:rsidRDefault="00236D0A" w:rsidP="00236D0A">
      <w:r w:rsidRPr="00AF41A6">
        <w:t>LDAR</w:t>
      </w:r>
      <w:r>
        <w:t xml:space="preserve"> = leak detection and repair</w:t>
      </w:r>
    </w:p>
    <w:p w14:paraId="5B8AFE33" w14:textId="699DDAC0" w:rsidR="00236D0A" w:rsidRDefault="00236D0A" w:rsidP="00236D0A">
      <w:r w:rsidRPr="00AF41A6">
        <w:t>MBTU</w:t>
      </w:r>
      <w:r>
        <w:t xml:space="preserve"> = million British thermal units</w:t>
      </w:r>
    </w:p>
    <w:p w14:paraId="63FFD4F6" w14:textId="4A8E99F7" w:rsidR="0048525C" w:rsidRDefault="00236D0A" w:rsidP="00CE0691">
      <w:r>
        <w:t xml:space="preserve">mcf = </w:t>
      </w:r>
      <w:r w:rsidR="007B7E09" w:rsidRPr="00AF41A6">
        <w:t>thousand cubic feet</w:t>
      </w:r>
      <w:r>
        <w:t xml:space="preserve"> (of natural gas)</w:t>
      </w:r>
    </w:p>
    <w:p w14:paraId="5BB56F7F" w14:textId="788855FC" w:rsidR="00236D0A" w:rsidRPr="00236D0A" w:rsidRDefault="00236D0A" w:rsidP="00CE0691">
      <w:pPr>
        <w:rPr>
          <w:lang w:val="fr-FR"/>
        </w:rPr>
      </w:pPr>
      <w:r w:rsidRPr="00236D0A">
        <w:rPr>
          <w:lang w:val="fr-FR"/>
        </w:rPr>
        <w:t>Mt = megatonne, million metric tons</w:t>
      </w:r>
    </w:p>
    <w:p w14:paraId="6899D966" w14:textId="77777777" w:rsidR="0048525C" w:rsidRPr="00236D0A" w:rsidRDefault="0048525C" w:rsidP="00CE0691">
      <w:pPr>
        <w:rPr>
          <w:lang w:val="fr-FR"/>
        </w:rPr>
      </w:pPr>
    </w:p>
    <w:p w14:paraId="72DDB736" w14:textId="77777777" w:rsidR="00236D0A" w:rsidRPr="00236D0A" w:rsidRDefault="00236D0A">
      <w:pPr>
        <w:spacing w:after="160" w:line="259" w:lineRule="auto"/>
        <w:jc w:val="left"/>
        <w:rPr>
          <w:rFonts w:asciiTheme="majorHAnsi" w:eastAsiaTheme="majorEastAsia" w:hAnsiTheme="majorHAnsi" w:cs="Times New Roman (Headings CS)"/>
          <w:b/>
          <w:bCs/>
          <w:smallCaps/>
          <w:color w:val="4F81BD" w:themeColor="accent1"/>
          <w:sz w:val="36"/>
          <w:szCs w:val="36"/>
          <w:lang w:val="fr-FR"/>
        </w:rPr>
      </w:pPr>
      <w:bookmarkStart w:id="3" w:name="_Toc75953787"/>
      <w:r w:rsidRPr="00236D0A">
        <w:rPr>
          <w:lang w:val="fr-FR"/>
        </w:rPr>
        <w:br w:type="page"/>
      </w:r>
    </w:p>
    <w:p w14:paraId="201B83DD" w14:textId="31570814" w:rsidR="00B1596A" w:rsidRDefault="551A77D0" w:rsidP="00B1596A">
      <w:pPr>
        <w:pStyle w:val="Heading1"/>
        <w:numPr>
          <w:ilvl w:val="0"/>
          <w:numId w:val="0"/>
        </w:numPr>
      </w:pPr>
      <w:r w:rsidRPr="00AF41A6">
        <w:lastRenderedPageBreak/>
        <w:t>Executive Summary</w:t>
      </w:r>
      <w:bookmarkEnd w:id="3"/>
    </w:p>
    <w:p w14:paraId="1FBA16D0" w14:textId="216D217F" w:rsidR="00B81036" w:rsidRDefault="00B81036" w:rsidP="00B81036">
      <w:r>
        <w:t>In addition to the carbon dioxide emissions associated with the use of fossil fuels, the oil and gas suppl</w:t>
      </w:r>
      <w:r w:rsidR="00236D0A">
        <w:t xml:space="preserve">y chains pose a significant </w:t>
      </w:r>
      <w:r>
        <w:t xml:space="preserve">climate problem: methane. This potent greenhouse gas is emitted throughout, from upstream oil and gas production to downstream distribution. Some of these emissions </w:t>
      </w:r>
      <w:bookmarkStart w:id="4" w:name="_Toc75953788"/>
      <w:r>
        <w:t>are unintentional –</w:t>
      </w:r>
      <w:r w:rsidR="00AC4E95">
        <w:t xml:space="preserve"> leaks that must be found before they can be fixed</w:t>
      </w:r>
      <w:r>
        <w:t xml:space="preserve">. Others are intentional – devices and practices that bleed natural gas (which is typically over 90% methane) as a part of their normal functioning. </w:t>
      </w:r>
      <w:r w:rsidR="008C45A8">
        <w:t xml:space="preserve">Altogether, methane emissions from oil and gas production and distribution constitute about 15% of global non-carbon dioxide greenhouse gas emissions. </w:t>
      </w:r>
    </w:p>
    <w:p w14:paraId="313EFCF1" w14:textId="3A5BDE55" w:rsidR="008C45A8" w:rsidRDefault="008C45A8" w:rsidP="00B81036">
      <w:r>
        <w:t>Existing technologies and practices can abate a significant porti</w:t>
      </w:r>
      <w:r w:rsidR="00236D0A">
        <w:t>on of this methane. A</w:t>
      </w:r>
      <w:r>
        <w:t xml:space="preserve"> significant portion of this can </w:t>
      </w:r>
      <w:r w:rsidR="00236D0A">
        <w:t xml:space="preserve">in turn </w:t>
      </w:r>
      <w:r>
        <w:t xml:space="preserve">be achieved at no net lifetime cost, given that from a gas producer’s perspective reduced methane emissions translate into reduced product losses. But emissions from this sector have continued to rise in recent years, indicating that there are significant barriers to the adoption of abatement solutions. These include capital constraints and misalignment of incentives. </w:t>
      </w:r>
    </w:p>
    <w:p w14:paraId="0FA667FD" w14:textId="77777777" w:rsidR="008C45A8" w:rsidRDefault="008C45A8" w:rsidP="00B81036">
      <w:r>
        <w:t xml:space="preserve">This abatement opportunity has several unique aspects. It is a transition measure. In contrast to many other Drawdown solutions, the abatement opportunity is expected to decrease towards mid-century as the world increases climate ambition and reduces the use of fossil fuels. It is focused exclusively on methane, a greenhouse gas with different warming effects to carbon dioxide. These features, combined with the relative availability and cheapness of solutions, make this sector a strong candidate for quick climate action. </w:t>
      </w:r>
    </w:p>
    <w:p w14:paraId="774209F0" w14:textId="5D6BB92F" w:rsidR="008C45A8" w:rsidRDefault="008C45A8" w:rsidP="00B81036">
      <w:r>
        <w:t xml:space="preserve">Modeling this sector also poses formidable challenges. There is no single device that will fix all the methane emissions from the oil and gas supply chains. Rather, dozens of devices and practices with varying costs and performance must be modeled together. Similarly, there is no detailed, global trajectory for oil and gas methane emissions in the future. Though the general trend is expected to decrease globally, certain regions or time periods may experience growth in the use of these fuels, and, concomitantly, methane emissions. </w:t>
      </w:r>
    </w:p>
    <w:p w14:paraId="3EDFFAFB" w14:textId="085FFDC4" w:rsidR="00B81036" w:rsidRPr="00AC4E95" w:rsidRDefault="00236D0A" w:rsidP="00AC4E95">
      <w:r>
        <w:t>In light of these challenges</w:t>
      </w:r>
      <w:r w:rsidR="00AC4E95">
        <w:t xml:space="preserve"> the current analysis, which is the first version of this solution for Project Drawdown, presents global results that we intend to be generally indicative and comparable to Drawdown’s other 80-plus solution models. The solutions </w:t>
      </w:r>
      <w:r w:rsidR="003C0A36">
        <w:t xml:space="preserve">analyzed </w:t>
      </w:r>
      <w:r w:rsidR="00AC4E95">
        <w:t>include around a dozen categories of the abatement measures with the highest estimated global potentials in datasets from the literature. A total addressable market was defined by the current technically-abatable sector emissions and projected to mid-century along a trajectory that is aligned with Project Drawdown’s modeling framework. Adoption scenarios are modeled with thr</w:t>
      </w:r>
      <w:r w:rsidR="003C0A36">
        <w:t>ee levels of abatement ambition</w:t>
      </w:r>
      <w:r w:rsidR="00AC4E95">
        <w:t xml:space="preserve">. </w:t>
      </w:r>
      <w:r w:rsidR="003C0A36">
        <w:t>Cumulatively</w:t>
      </w:r>
      <w:r w:rsidR="00AC4E95">
        <w:t xml:space="preserve">, emissions reductions from this solution from 2020-2050 range from 5-21 gigatonnes of carbon dioxide equivalent. </w:t>
      </w:r>
    </w:p>
    <w:p w14:paraId="34916870" w14:textId="2839723B" w:rsidR="00E815C8" w:rsidRPr="00AF41A6" w:rsidRDefault="551A77D0" w:rsidP="00B81036">
      <w:pPr>
        <w:pStyle w:val="Heading1"/>
      </w:pPr>
      <w:r w:rsidRPr="00AF41A6">
        <w:lastRenderedPageBreak/>
        <w:t>Literature Review</w:t>
      </w:r>
      <w:bookmarkEnd w:id="4"/>
    </w:p>
    <w:p w14:paraId="3339876A" w14:textId="27182094" w:rsidR="00D06D0F" w:rsidRPr="00AF41A6" w:rsidRDefault="551A77D0" w:rsidP="00D06D0F">
      <w:pPr>
        <w:pStyle w:val="Heading2"/>
      </w:pPr>
      <w:bookmarkStart w:id="5" w:name="_Toc75953789"/>
      <w:r w:rsidRPr="00AF41A6">
        <w:t xml:space="preserve">State of </w:t>
      </w:r>
      <w:r w:rsidR="0035019B" w:rsidRPr="00AF41A6">
        <w:t>oil and gas methane management</w:t>
      </w:r>
      <w:bookmarkEnd w:id="5"/>
    </w:p>
    <w:p w14:paraId="681E9F44" w14:textId="0161251F" w:rsidR="009441AE" w:rsidRDefault="009441AE" w:rsidP="000F31CA">
      <w:r w:rsidRPr="009441AE">
        <w:t>Project Drawdown defines oil and gas methane management as practices and methodologies for reducing methane emissions in the oil and natural gas supply chains. Methane emissions occur throughout these supply chains from a combination of fugitive leaks from imperfections in equipment and intentional emissions from operations and maintenance procedures and from equipment designed to bleed methane. The term methane management refers to the fact that in many cases mitigation of methane emissions results in natural gas savings that can be used as an energy product. This solution comprises many practices and technologies with varying attributes. They are all currently in use to some extent.</w:t>
      </w:r>
    </w:p>
    <w:p w14:paraId="2B4A27A1" w14:textId="6B1D8FB2" w:rsidR="000F31CA" w:rsidRPr="00AF41A6" w:rsidRDefault="00737DBD" w:rsidP="000F31CA">
      <w:r w:rsidRPr="00AF41A6">
        <w:t xml:space="preserve">Oil and natural gas have a </w:t>
      </w:r>
      <w:r w:rsidR="00F8742B" w:rsidRPr="00AF41A6">
        <w:t xml:space="preserve">global </w:t>
      </w:r>
      <w:r w:rsidRPr="00AF41A6">
        <w:t xml:space="preserve">legacy as </w:t>
      </w:r>
      <w:r w:rsidR="00F8742B" w:rsidRPr="00AF41A6">
        <w:t>fundamental sources of</w:t>
      </w:r>
      <w:r w:rsidR="000F31CA" w:rsidRPr="00AF41A6">
        <w:t xml:space="preserve"> energy. The supply chain supporting these energy systems has existed for over a century and fueled generations of growth. In recent decades natural gas has provided a means of reducing the carbon intensity of electricity generation by displacing generation – in some parts of the w</w:t>
      </w:r>
      <w:r w:rsidR="00227F5E" w:rsidRPr="00AF41A6">
        <w:t>orld – by coal</w:t>
      </w:r>
      <w:r w:rsidRPr="00AF41A6">
        <w:t>.</w:t>
      </w:r>
      <w:r w:rsidR="00227F5E" w:rsidRPr="00AF41A6">
        <w:t xml:space="preserve"> And though the world must phase out the use of fossil fuels altogether in order to avoid the worst effects of climate change, natural gas and oil are expected to be around, in some capacity, for decades to come during this transition. In addition to the issue of carbon dioxide emissions from the use of oil and gas, the supply chains for these fuels pose another climate issue: emissions of methane, a potent greenhouse gas, from leaks and intentional emissions also contribute significantly to global warming. </w:t>
      </w:r>
      <w:r w:rsidR="00A508A7" w:rsidRPr="00AF41A6">
        <w:t xml:space="preserve">A spectrum of existing technologies and methods can be used to find and abate the majority of these emissions.  </w:t>
      </w:r>
    </w:p>
    <w:p w14:paraId="38C699DC" w14:textId="63A6A25C" w:rsidR="00F8742B" w:rsidRPr="00AF41A6" w:rsidRDefault="00F8742B" w:rsidP="000F31CA">
      <w:r w:rsidRPr="00AF41A6">
        <w:t xml:space="preserve">The supply chains for oil and </w:t>
      </w:r>
      <w:r w:rsidR="0035019B" w:rsidRPr="00AF41A6">
        <w:t xml:space="preserve">natural </w:t>
      </w:r>
      <w:r w:rsidRPr="00AF41A6">
        <w:t>gas are often intertwined (</w:t>
      </w:r>
      <w:r w:rsidRPr="00AF41A6">
        <w:fldChar w:fldCharType="begin"/>
      </w:r>
      <w:r w:rsidRPr="00AF41A6">
        <w:instrText xml:space="preserve"> REF _Ref72222980 \h </w:instrText>
      </w:r>
      <w:r w:rsidRPr="00AF41A6">
        <w:fldChar w:fldCharType="separate"/>
      </w:r>
      <w:r w:rsidR="003D1925" w:rsidRPr="00AF41A6">
        <w:t xml:space="preserve">Figure </w:t>
      </w:r>
      <w:r w:rsidR="003D1925">
        <w:rPr>
          <w:noProof/>
        </w:rPr>
        <w:t>1</w:t>
      </w:r>
      <w:r w:rsidRPr="00AF41A6">
        <w:fldChar w:fldCharType="end"/>
      </w:r>
      <w:r w:rsidRPr="00AF41A6">
        <w:t xml:space="preserve">). Methane is released both intentionally and unintentionally throughout these systems. In the production phase, the farthest upstream, oil and natural gas </w:t>
      </w:r>
      <w:r w:rsidR="00D579E6" w:rsidRPr="00AF41A6">
        <w:t>are often produced together from the same geologic formation</w:t>
      </w:r>
      <w:r w:rsidRPr="00AF41A6">
        <w:t xml:space="preserve">. Significant emissions occur in oil production when gas is vented due to lack of collection infrastructure – methane typically makes up over 90% of the product we know as natural gas. </w:t>
      </w:r>
    </w:p>
    <w:p w14:paraId="40A67E73" w14:textId="1C0AEB50" w:rsidR="00EB46C1" w:rsidRPr="00AF41A6" w:rsidRDefault="00EB46C1" w:rsidP="000F31CA">
      <w:r w:rsidRPr="00AF41A6">
        <w:rPr>
          <w:noProof/>
          <w:lang w:eastAsia="en-US"/>
        </w:rPr>
        <w:lastRenderedPageBreak/>
        <w:drawing>
          <wp:inline distT="0" distB="0" distL="0" distR="0" wp14:anchorId="69F20B7D" wp14:editId="4A658961">
            <wp:extent cx="5943600" cy="300355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246"/>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14:paraId="60DA5A56" w14:textId="6E763512" w:rsidR="00FA5641" w:rsidRPr="00AF41A6" w:rsidRDefault="00FA5641" w:rsidP="00FA5641">
      <w:pPr>
        <w:pStyle w:val="Caption"/>
      </w:pPr>
      <w:bookmarkStart w:id="6" w:name="_Ref72222980"/>
      <w:bookmarkStart w:id="7" w:name="_Toc75940735"/>
      <w:r w:rsidRPr="00AF41A6">
        <w:t xml:space="preserve">Figure </w:t>
      </w:r>
      <w:fldSimple w:instr=" SEQ Figure \* ARABIC ">
        <w:r w:rsidR="003D1925">
          <w:rPr>
            <w:noProof/>
          </w:rPr>
          <w:t>1</w:t>
        </w:r>
      </w:fldSimple>
      <w:bookmarkEnd w:id="6"/>
      <w:r w:rsidRPr="00AF41A6">
        <w:t xml:space="preserve">: </w:t>
      </w:r>
      <w:r w:rsidR="00B453BB" w:rsidRPr="00AF41A6">
        <w:t>The oil and gas supply chains (EIA).</w:t>
      </w:r>
      <w:bookmarkEnd w:id="7"/>
      <w:r w:rsidR="00B453BB" w:rsidRPr="00AF41A6">
        <w:t xml:space="preserve"> </w:t>
      </w:r>
    </w:p>
    <w:p w14:paraId="1DA7B9FE" w14:textId="77777777" w:rsidR="00981D02" w:rsidRPr="00AF41A6" w:rsidRDefault="00D579E6" w:rsidP="000F31CA">
      <w:r w:rsidRPr="00AF41A6">
        <w:t>Farther downstream in the supply chains most methane emissions come from the infrastructure that transports and distributes natural gas</w:t>
      </w:r>
      <w:r w:rsidR="00981D02" w:rsidRPr="00AF41A6">
        <w:t xml:space="preserve"> (</w:t>
      </w:r>
      <w:r w:rsidR="00981D02" w:rsidRPr="00AF41A6">
        <w:fldChar w:fldCharType="begin"/>
      </w:r>
      <w:r w:rsidR="00981D02" w:rsidRPr="00AF41A6">
        <w:instrText xml:space="preserve"> REF _Ref72227207 \h </w:instrText>
      </w:r>
      <w:r w:rsidR="00981D02" w:rsidRPr="00AF41A6">
        <w:fldChar w:fldCharType="separate"/>
      </w:r>
      <w:r w:rsidR="003D1925" w:rsidRPr="00AF41A6">
        <w:t xml:space="preserve">Figure </w:t>
      </w:r>
      <w:r w:rsidR="003D1925">
        <w:rPr>
          <w:noProof/>
        </w:rPr>
        <w:t>2</w:t>
      </w:r>
      <w:r w:rsidR="00981D02" w:rsidRPr="00AF41A6">
        <w:fldChar w:fldCharType="end"/>
      </w:r>
      <w:r w:rsidR="00981D02" w:rsidRPr="00AF41A6">
        <w:t>)</w:t>
      </w:r>
      <w:r w:rsidRPr="00AF41A6">
        <w:t xml:space="preserve">. </w:t>
      </w:r>
      <w:r w:rsidR="00750721" w:rsidRPr="00AF41A6">
        <w:t xml:space="preserve">Here the gas travels under pressure and </w:t>
      </w:r>
      <w:r w:rsidR="00981D02" w:rsidRPr="00AF41A6">
        <w:t xml:space="preserve">methane emissions </w:t>
      </w:r>
      <w:r w:rsidR="00750721" w:rsidRPr="00AF41A6">
        <w:t xml:space="preserve">occur from </w:t>
      </w:r>
      <w:r w:rsidR="00981D02" w:rsidRPr="00AF41A6">
        <w:t>several categories of sources:</w:t>
      </w:r>
    </w:p>
    <w:p w14:paraId="77E11C53" w14:textId="122B72A3" w:rsidR="00981D02" w:rsidRPr="00AF41A6" w:rsidRDefault="00CC1088" w:rsidP="00D910B7">
      <w:pPr>
        <w:pStyle w:val="ListParagraph"/>
        <w:numPr>
          <w:ilvl w:val="0"/>
          <w:numId w:val="18"/>
        </w:numPr>
      </w:pPr>
      <w:r w:rsidRPr="00AF41A6">
        <w:t xml:space="preserve">Fugitive emissions or leaks </w:t>
      </w:r>
      <w:r w:rsidR="00981D02" w:rsidRPr="00AF41A6">
        <w:t xml:space="preserve">occur from </w:t>
      </w:r>
      <w:r w:rsidR="00750721" w:rsidRPr="00AF41A6">
        <w:t xml:space="preserve">imperfections in pipes, </w:t>
      </w:r>
      <w:r w:rsidR="00981D02" w:rsidRPr="00AF41A6">
        <w:t xml:space="preserve">connectors, </w:t>
      </w:r>
      <w:r w:rsidR="00750721" w:rsidRPr="00AF41A6">
        <w:t xml:space="preserve">compressors, valves, and other components. </w:t>
      </w:r>
    </w:p>
    <w:p w14:paraId="6EB9885C" w14:textId="77777777" w:rsidR="00981D02" w:rsidRPr="00AF41A6" w:rsidRDefault="00750721" w:rsidP="00D910B7">
      <w:pPr>
        <w:pStyle w:val="ListParagraph"/>
        <w:numPr>
          <w:ilvl w:val="0"/>
          <w:numId w:val="18"/>
        </w:numPr>
      </w:pPr>
      <w:r w:rsidRPr="00AF41A6">
        <w:t>Natural gas is occasio</w:t>
      </w:r>
      <w:r w:rsidR="00EB46C1" w:rsidRPr="00AF41A6">
        <w:t>nally released</w:t>
      </w:r>
      <w:r w:rsidRPr="00AF41A6">
        <w:t xml:space="preserve"> intentionally during </w:t>
      </w:r>
      <w:r w:rsidR="00981D02" w:rsidRPr="00AF41A6">
        <w:t xml:space="preserve">operation and </w:t>
      </w:r>
      <w:r w:rsidRPr="00AF41A6">
        <w:t xml:space="preserve">maintenance procedures that require certain sections of the supply chain </w:t>
      </w:r>
      <w:r w:rsidR="00EB46C1" w:rsidRPr="00AF41A6">
        <w:t xml:space="preserve">to be depressurized or blown-down; the natural gas is freely vented to the atmosphere. </w:t>
      </w:r>
    </w:p>
    <w:p w14:paraId="4AE9E590" w14:textId="267160BF" w:rsidR="00981D02" w:rsidRPr="00AF41A6" w:rsidRDefault="00D579E6" w:rsidP="00D910B7">
      <w:pPr>
        <w:pStyle w:val="ListParagraph"/>
        <w:numPr>
          <w:ilvl w:val="0"/>
          <w:numId w:val="18"/>
        </w:numPr>
      </w:pPr>
      <w:r w:rsidRPr="00AF41A6">
        <w:t>Control devices in the supply chain often rely on pressurized natural gas to pneumatically drive t</w:t>
      </w:r>
      <w:r w:rsidR="00CC1088" w:rsidRPr="00AF41A6">
        <w:t>heir functions;</w:t>
      </w:r>
      <w:r w:rsidRPr="00AF41A6">
        <w:t xml:space="preserve"> </w:t>
      </w:r>
      <w:r w:rsidR="00CC1088" w:rsidRPr="00AF41A6">
        <w:t>the gas is subsequently bled to atmosphere</w:t>
      </w:r>
      <w:r w:rsidRPr="00AF41A6">
        <w:t xml:space="preserve">. </w:t>
      </w:r>
    </w:p>
    <w:p w14:paraId="6FFCF18D" w14:textId="0BCC693C" w:rsidR="00981D02" w:rsidRPr="00AF41A6" w:rsidRDefault="00D579E6" w:rsidP="00D910B7">
      <w:pPr>
        <w:pStyle w:val="ListParagraph"/>
        <w:numPr>
          <w:ilvl w:val="0"/>
          <w:numId w:val="18"/>
        </w:numPr>
      </w:pPr>
      <w:r w:rsidRPr="00AF41A6">
        <w:t>Other devices in the supply chain use the natural gas as a fuel and incur a certain amount of combustion slip, that is, exhausted</w:t>
      </w:r>
      <w:r w:rsidR="00981D02" w:rsidRPr="00AF41A6">
        <w:t>,</w:t>
      </w:r>
      <w:r w:rsidRPr="00AF41A6">
        <w:t xml:space="preserve"> un</w:t>
      </w:r>
      <w:r w:rsidR="00981D02" w:rsidRPr="00AF41A6">
        <w:t>-</w:t>
      </w:r>
      <w:r w:rsidRPr="00AF41A6">
        <w:t xml:space="preserve">combusted methane. </w:t>
      </w:r>
      <w:r w:rsidR="00CC1088" w:rsidRPr="00AF41A6">
        <w:t xml:space="preserve">Incomplete combustion can also occur when flares are used to combust methane for destructive conversion to carbon dioxide. </w:t>
      </w:r>
    </w:p>
    <w:p w14:paraId="406BA430" w14:textId="55CB946D" w:rsidR="00EB46C1" w:rsidRPr="00AF41A6" w:rsidRDefault="00EB46C1" w:rsidP="00D910B7">
      <w:pPr>
        <w:pStyle w:val="ListParagraph"/>
        <w:numPr>
          <w:ilvl w:val="0"/>
          <w:numId w:val="18"/>
        </w:numPr>
      </w:pPr>
      <w:r w:rsidRPr="00AF41A6">
        <w:t xml:space="preserve">At the farthest downstream section in the natural gas supply chain methane releases occur from the distribution pipes that relay the gas to end users, and </w:t>
      </w:r>
      <w:r w:rsidR="00C17FB9" w:rsidRPr="00AF41A6">
        <w:t xml:space="preserve">to a small extent </w:t>
      </w:r>
      <w:r w:rsidRPr="00AF41A6">
        <w:t>from the devices that use this gas: furnaces, boilers, c</w:t>
      </w:r>
      <w:r w:rsidR="00C17FB9" w:rsidRPr="00AF41A6">
        <w:t>ookers, and industrial process equipment</w:t>
      </w:r>
      <w:r w:rsidRPr="00AF41A6">
        <w:t xml:space="preserve">. </w:t>
      </w:r>
    </w:p>
    <w:p w14:paraId="17315B6C" w14:textId="5B8BC28E" w:rsidR="001D6EAB" w:rsidRPr="00AF41A6" w:rsidRDefault="001D6EAB" w:rsidP="001D6EAB">
      <w:r w:rsidRPr="00AF41A6">
        <w:t xml:space="preserve">In a study of methane emissions from the United </w:t>
      </w:r>
      <w:r w:rsidR="00752BEE" w:rsidRPr="00AF41A6">
        <w:t>States natural gas supply chain</w:t>
      </w:r>
      <w:r w:rsidRPr="00AF41A6">
        <w:t xml:space="preserve">, the top five individual sources of emissions </w:t>
      </w:r>
      <w:r w:rsidR="0035019B" w:rsidRPr="00AF41A6">
        <w:t>(</w:t>
      </w:r>
      <w:r w:rsidR="0035019B" w:rsidRPr="00AF41A6">
        <w:fldChar w:fldCharType="begin"/>
      </w:r>
      <w:r w:rsidR="0035019B" w:rsidRPr="00AF41A6">
        <w:instrText xml:space="preserve"> REF _Ref73431007 \h </w:instrText>
      </w:r>
      <w:r w:rsidR="0035019B" w:rsidRPr="00AF41A6">
        <w:fldChar w:fldCharType="separate"/>
      </w:r>
      <w:r w:rsidR="003D1925" w:rsidRPr="00AF41A6">
        <w:t xml:space="preserve">Figure </w:t>
      </w:r>
      <w:r w:rsidR="003D1925">
        <w:rPr>
          <w:noProof/>
        </w:rPr>
        <w:t>3</w:t>
      </w:r>
      <w:r w:rsidR="0035019B" w:rsidRPr="00AF41A6">
        <w:fldChar w:fldCharType="end"/>
      </w:r>
      <w:r w:rsidR="0035019B" w:rsidRPr="00AF41A6">
        <w:t xml:space="preserve">) </w:t>
      </w:r>
      <w:r w:rsidRPr="00AF41A6">
        <w:t xml:space="preserve">included emissions from the above categories of fugitive emissions, </w:t>
      </w:r>
      <w:r w:rsidRPr="00AF41A6">
        <w:lastRenderedPageBreak/>
        <w:t xml:space="preserve">intentional venting, and combustion slip, reinforcing that all the above categories must be addressed for effective mitigation. </w:t>
      </w:r>
    </w:p>
    <w:p w14:paraId="73156946" w14:textId="772EFAD6" w:rsidR="00737DBD" w:rsidRPr="00AF41A6" w:rsidRDefault="00752BEE" w:rsidP="00752BEE">
      <w:pPr>
        <w:tabs>
          <w:tab w:val="left" w:pos="7920"/>
        </w:tabs>
      </w:pPr>
      <w:r w:rsidRPr="00AF41A6">
        <w:tab/>
      </w:r>
    </w:p>
    <w:p w14:paraId="3A99A482" w14:textId="7D8D22B3" w:rsidR="00EB46C1" w:rsidRPr="00AF41A6" w:rsidRDefault="00EB46C1" w:rsidP="000F31CA">
      <w:r w:rsidRPr="00AF41A6">
        <w:rPr>
          <w:noProof/>
          <w:lang w:eastAsia="en-US"/>
        </w:rPr>
        <w:drawing>
          <wp:inline distT="0" distB="0" distL="0" distR="0" wp14:anchorId="2A79389F" wp14:editId="4E212928">
            <wp:extent cx="5943600" cy="313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2455"/>
                    </a:xfrm>
                    <a:prstGeom prst="rect">
                      <a:avLst/>
                    </a:prstGeom>
                  </pic:spPr>
                </pic:pic>
              </a:graphicData>
            </a:graphic>
          </wp:inline>
        </w:drawing>
      </w:r>
    </w:p>
    <w:p w14:paraId="46C2D94E" w14:textId="359769CC" w:rsidR="00F06C38" w:rsidRPr="00AF41A6" w:rsidRDefault="00D579E6" w:rsidP="00D579E6">
      <w:pPr>
        <w:pStyle w:val="Caption"/>
      </w:pPr>
      <w:bookmarkStart w:id="8" w:name="_Ref72227207"/>
      <w:bookmarkStart w:id="9" w:name="_Toc75940736"/>
      <w:r w:rsidRPr="00AF41A6">
        <w:t xml:space="preserve">Figure </w:t>
      </w:r>
      <w:fldSimple w:instr=" SEQ Figure \* ARABIC ">
        <w:r w:rsidR="003D1925">
          <w:rPr>
            <w:noProof/>
          </w:rPr>
          <w:t>2</w:t>
        </w:r>
      </w:fldSimple>
      <w:bookmarkEnd w:id="8"/>
      <w:r w:rsidRPr="00AF41A6">
        <w:t>: Methane emission categories in the natural gas supply chains.</w:t>
      </w:r>
      <w:bookmarkEnd w:id="9"/>
      <w:r w:rsidRPr="00AF41A6">
        <w:t xml:space="preserve"> </w:t>
      </w:r>
    </w:p>
    <w:p w14:paraId="36582E65" w14:textId="6FF8AF02" w:rsidR="001D6EAB" w:rsidRPr="00AF41A6" w:rsidRDefault="001D6EAB" w:rsidP="001D6EAB">
      <w:r w:rsidRPr="00AF41A6">
        <w:rPr>
          <w:noProof/>
          <w:lang w:eastAsia="en-US"/>
        </w:rPr>
        <w:drawing>
          <wp:inline distT="0" distB="0" distL="0" distR="0" wp14:anchorId="325EC328" wp14:editId="42B0E441">
            <wp:extent cx="5943600" cy="3232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2150"/>
                    </a:xfrm>
                    <a:prstGeom prst="rect">
                      <a:avLst/>
                    </a:prstGeom>
                  </pic:spPr>
                </pic:pic>
              </a:graphicData>
            </a:graphic>
          </wp:inline>
        </w:drawing>
      </w:r>
    </w:p>
    <w:p w14:paraId="6D3D3817" w14:textId="22E555D8" w:rsidR="001D6EAB" w:rsidRPr="00AF41A6" w:rsidRDefault="001D6EAB" w:rsidP="001D6EAB">
      <w:pPr>
        <w:pStyle w:val="Caption"/>
      </w:pPr>
      <w:bookmarkStart w:id="10" w:name="_Ref73431007"/>
      <w:bookmarkStart w:id="11" w:name="_Toc75940737"/>
      <w:r w:rsidRPr="00AF41A6">
        <w:t xml:space="preserve">Figure </w:t>
      </w:r>
      <w:fldSimple w:instr=" SEQ Figure \* ARABIC ">
        <w:r w:rsidR="003D1925">
          <w:rPr>
            <w:noProof/>
          </w:rPr>
          <w:t>3</w:t>
        </w:r>
      </w:fldSimple>
      <w:bookmarkEnd w:id="10"/>
      <w:r w:rsidRPr="00AF41A6">
        <w:t xml:space="preserve">: </w:t>
      </w:r>
      <w:r w:rsidR="003F49F4" w:rsidRPr="00AF41A6">
        <w:t xml:space="preserve">Emissions source categories from United State natural gas supply chain </w:t>
      </w:r>
      <w:r w:rsidR="003F49F4" w:rsidRPr="00AF41A6">
        <w:fldChar w:fldCharType="begin"/>
      </w:r>
      <w:r w:rsidR="003F49F4" w:rsidRPr="00AF41A6">
        <w:instrText xml:space="preserve"> ADDIN ZOTERO_ITEM CSL_CITATION {"citationID":"yrZJA1D2","properties":{"formattedCitation":"(ICF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003F49F4" w:rsidRPr="00AF41A6">
        <w:fldChar w:fldCharType="separate"/>
      </w:r>
      <w:r w:rsidR="003F49F4" w:rsidRPr="00AF41A6">
        <w:rPr>
          <w:rFonts w:cs="Times New Roman"/>
        </w:rPr>
        <w:t>(ICF International, 2014)</w:t>
      </w:r>
      <w:r w:rsidR="003F49F4" w:rsidRPr="00AF41A6">
        <w:fldChar w:fldCharType="end"/>
      </w:r>
      <w:r w:rsidR="003F49F4" w:rsidRPr="00AF41A6">
        <w:t>.</w:t>
      </w:r>
      <w:bookmarkEnd w:id="11"/>
    </w:p>
    <w:p w14:paraId="58DD092A" w14:textId="58AAC887" w:rsidR="00EB46C1" w:rsidRPr="00AF41A6" w:rsidRDefault="00EB46C1" w:rsidP="00E07FCB">
      <w:pPr>
        <w:pStyle w:val="Heading2"/>
      </w:pPr>
      <w:bookmarkStart w:id="12" w:name="_Toc75953790"/>
      <w:r w:rsidRPr="00AF41A6">
        <w:lastRenderedPageBreak/>
        <w:t>Th</w:t>
      </w:r>
      <w:r w:rsidR="00E07FCB" w:rsidRPr="00AF41A6">
        <w:t>e scale of the global challenge</w:t>
      </w:r>
      <w:bookmarkEnd w:id="12"/>
    </w:p>
    <w:p w14:paraId="2ADBB6E4" w14:textId="11223DBF" w:rsidR="00E07FCB" w:rsidRPr="00AF41A6" w:rsidRDefault="00866459" w:rsidP="00E07FCB">
      <w:r w:rsidRPr="00AF41A6">
        <w:t xml:space="preserve">Global methane emissions over the course of the last decade have continued to increase </w:t>
      </w:r>
      <w:r w:rsidRPr="00AF41A6">
        <w:fldChar w:fldCharType="begin"/>
      </w:r>
      <w:r w:rsidRPr="00AF41A6">
        <w:instrText xml:space="preserve"> ADDIN ZOTERO_ITEM CSL_CITATION {"citationID":"pjk8FavZ","properties":{"formattedCitation":"(Saunois et al., 2020)","plainCitation":"(Saunois et al., 2020)","noteIndex":0},"citationItems":[{"id":1525,"uris":["http://zotero.org/users/7422708/items/BVIU5E6T"],"uri":["http://zotero.org/users/7422708/items/BVIU5E6T"],"itemData":{"id":1525,"type":"article-journal","abstract":"Understanding and quantifying the global methane (CH4) budget is important for assessing realistic pathways to mitigate climate change. Atmospheric emissions and concentrations of CH4 continue to increase, making CH4 the second most important human-inﬂuenced greenhouse gas in terms of climate forcing, after carbon dioxide (CO2). The relative importance of CH4 compared to CO2 depends on its shorter atmospheric lifetime, stronger warming potential, and variations in atmospheric growth rate over the past decade, the causes of which are still debated. Two major challenges in reducing uncertainties in the atmospheric growth rate arise from the variety of geographically overlapping CH4 sources and from the destruction of CH4 by short-lived hydroxyl radicals (OH). To address these challenges, we have established a consortium of multidisciplinary scientists under the umbrella of the Global Carbon Project to synthesize and stimulate new research aimed at improving and regularly updating the global methane budget. Following Saunois et al. (2016), we present here the second version of the living review paper dedicated to the decadal methane budget, integrating results of top-down studies (atmospheric observations within an atmospheric inverse-modelling framework) and bottomup estimates (including process-based models for estimating land surface emissions and atmospheric chemistry, inventories of anthropogenic emissions, and data-driven extrapolations).","container-title":"Earth System Science Data","DOI":"10.5194/essd-12-1561-2020","ISSN":"1866-3516","issue":"3","journalAbbreviation":"Earth Syst. Sci. Data","language":"en","page":"1561-1623","source":"DOI.org (Crossref)","title":"The Global Methane Budget 2000–2017","volume":"12","author":[{"family":"Saunois","given":"Marielle"},{"family":"Stavert","given":"Ann R."},{"family":"Poulter","given":"Ben"},{"family":"Bousquet","given":"Philippe"},{"family":"Canadell","given":"Josep G."},{"family":"Jackson","given":"Robert B."},{"family":"Raymond","given":"Peter A."},{"family":"Dlugokencky","given":"Edward J."},{"family":"Houweling","given":"Sander"},{"family":"Patra","given":"Prabir K."},{"family":"Ciais","given":"Philippe"},{"family":"Arora","given":"Vivek K."},{"family":"Bastviken","given":"David"},{"family":"Bergamaschi","given":"Peter"},{"family":"Blake","given":"Donald R."},{"family":"Brailsford","given":"Gordon"},{"family":"Bruhwiler","given":"Lori"},{"family":"Carlson","given":"Kimberly M."},{"family":"Carrol","given":"Mark"},{"family":"Castaldi","given":"Simona"},{"family":"Chandra","given":"Naveen"},{"family":"Crevoisier","given":"Cyril"},{"family":"Crill","given":"Patrick M."},{"family":"Covey","given":"Kristofer"},{"family":"Curry","given":"Charles L."},{"family":"Etiope","given":"Giuseppe"},{"family":"Frankenberg","given":"Christian"},{"family":"Gedney","given":"Nicola"},{"family":"Hegglin","given":"Michaela I."},{"family":"Höglund-Isaksson","given":"Lena"},{"family":"Hugelius","given":"Gustaf"},{"family":"Ishizawa","given":"Misa"},{"family":"Ito","given":"Akihiko"},{"family":"Janssens-Maenhout","given":"Greet"},{"family":"Jensen","given":"Katherine M."},{"family":"Joos","given":"Fortunat"},{"family":"Kleinen","given":"Thomas"},{"family":"Krummel","given":"Paul B."},{"family":"Langenfelds","given":"Ray L."},{"family":"Laruelle","given":"Goulven G."},{"family":"Liu","given":"Licheng"},{"family":"Machida","given":"Toshinobu"},{"family":"Maksyutov","given":"Shamil"},{"family":"McDonald","given":"Kyle C."},{"family":"McNorton","given":"Joe"},{"family":"Miller","given":"Paul A."},{"family":"Melton","given":"Joe R."},{"family":"Morino","given":"Isamu"},{"family":"Müller","given":"Jurek"},{"family":"Murguia-Flores","given":"Fabiola"},{"family":"Naik","given":"Vaishali"},{"family":"Niwa","given":"Yosuke"},{"family":"Noce","given":"Sergio"},{"family":"O'Doherty","given":"Simon"},{"family":"Parker","given":"Robert J."},{"family":"Peng","given":"Changhui"},{"family":"Peng","given":"Shushi"},{"family":"Peters","given":"Glen P."},{"family":"Prigent","given":"Catherine"},{"family":"Prinn","given":"Ronald"},{"family":"Ramonet","given":"Michel"},{"family":"Regnier","given":"Pierre"},{"family":"Riley","given":"William J."},{"family":"Rosentreter","given":"Judith A."},{"family":"Segers","given":"Arjo"},{"family":"Simpson","given":"Isobel J."},{"family":"Shi","given":"Hao"},{"family":"Smith","given":"Steven J."},{"family":"Steele","given":"L. Paul"},{"family":"Thornton","given":"Brett F."},{"family":"Tian","given":"Hanqin"},{"family":"Tohjima","given":"Yasunori"},{"family":"Tubiello","given":"Francesco N."},{"family":"Tsuruta","given":"Aki"},{"family":"Viovy","given":"Nicolas"},{"family":"Voulgarakis","given":"Apostolos"},{"family":"Weber","given":"Thomas S."},{"family":"Weele","given":"Michiel","non-dropping-particle":"van"},{"family":"Werf","given":"Guido R.","non-dropping-particle":"van der"},{"family":"Weiss","given":"Ray F."},{"family":"Worthy","given":"Doug"},{"family":"Wunch","given":"Debra"},{"family":"Yin","given":"Yi"},{"family":"Yoshida","given":"Yukio"},{"family":"Zhang","given":"Wenxin"},{"family":"Zhang","given":"Zhen"},{"family":"Zhao","given":"Yuanhong"},{"family":"Zheng","given":"Bo"},{"family":"Zhu","given":"Qing"},{"family":"Zhu","given":"Qiuan"},{"family":"Zhuang","given":"Qianlai"}],"issued":{"date-parts":[["2020",7,15]]}}}],"schema":"https://github.com/citation-style-language/schema/raw/master/csl-citation.json"} </w:instrText>
      </w:r>
      <w:r w:rsidRPr="00AF41A6">
        <w:fldChar w:fldCharType="separate"/>
      </w:r>
      <w:r w:rsidRPr="00AF41A6">
        <w:rPr>
          <w:rFonts w:cs="Times New Roman"/>
        </w:rPr>
        <w:t>(Saunois et al., 2020)</w:t>
      </w:r>
      <w:r w:rsidRPr="00AF41A6">
        <w:fldChar w:fldCharType="end"/>
      </w:r>
      <w:r w:rsidRPr="00AF41A6">
        <w:t>.</w:t>
      </w:r>
      <w:r w:rsidR="003A6675" w:rsidRPr="00AF41A6">
        <w:t xml:space="preserve"> This increase in the last decade has been faster than any in the last three decades </w:t>
      </w:r>
      <w:r w:rsidR="003A6675" w:rsidRPr="00AF41A6">
        <w:fldChar w:fldCharType="begin"/>
      </w:r>
      <w:r w:rsidR="003A6675" w:rsidRPr="00AF41A6">
        <w:instrText xml:space="preserve"> ADDIN ZOTERO_ITEM CSL_CITATION {"citationID":"NQ9i8PEj","properties":{"formattedCitation":"(CCAC and UNEP, 2021)","plainCitation":"(CCAC and UNEP, 2021)","noteIndex":0},"citationItems":[{"id":1613,"uris":["http://zotero.org/users/7422708/items/YG8WTN8U"],"uri":["http://zotero.org/users/7422708/items/YG8WTN8U"],"itemData":{"id":1613,"type":"article","publisher":"Climate and Clean Air Coalition and United Nations Environment Programme","title":"Global Methane Assessment","URL":"https://www.ccacoalition.org/en/resources/global-methane-assessment-full-report","author":[{"family":"CCAC and UNEP","given":""}],"issued":{"date-parts":[["2021"]]}}}],"schema":"https://github.com/citation-style-language/schema/raw/master/csl-citation.json"} </w:instrText>
      </w:r>
      <w:r w:rsidR="003A6675" w:rsidRPr="00AF41A6">
        <w:fldChar w:fldCharType="separate"/>
      </w:r>
      <w:r w:rsidR="003A6675" w:rsidRPr="00AF41A6">
        <w:rPr>
          <w:rFonts w:cs="Times New Roman"/>
        </w:rPr>
        <w:t>(CCAC and UNEP, 2021)</w:t>
      </w:r>
      <w:r w:rsidR="003A6675" w:rsidRPr="00AF41A6">
        <w:fldChar w:fldCharType="end"/>
      </w:r>
      <w:r w:rsidR="003A6675" w:rsidRPr="00AF41A6">
        <w:t>.</w:t>
      </w:r>
      <w:r w:rsidRPr="00AF41A6">
        <w:t xml:space="preserve"> According to a 2015 inventory </w:t>
      </w:r>
      <w:r w:rsidRPr="00AF41A6">
        <w:fldChar w:fldCharType="begin"/>
      </w:r>
      <w:r w:rsidR="00764282" w:rsidRPr="00AF41A6">
        <w:instrText xml:space="preserve"> ADDIN ZOTERO_ITEM CSL_CITATION {"citationID":"wNNHLGMn","properties":{"formattedCitation":"(US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Pr="00AF41A6">
        <w:fldChar w:fldCharType="separate"/>
      </w:r>
      <w:r w:rsidR="00764282" w:rsidRPr="00AF41A6">
        <w:rPr>
          <w:rFonts w:cs="Times New Roman"/>
        </w:rPr>
        <w:t>(US EPA, 2019b)</w:t>
      </w:r>
      <w:r w:rsidRPr="00AF41A6">
        <w:fldChar w:fldCharType="end"/>
      </w:r>
      <w:r w:rsidRPr="00AF41A6">
        <w:t>, methane releases from the oil and gas sector make up 14% of global non-CO</w:t>
      </w:r>
      <w:r w:rsidRPr="00AF41A6">
        <w:rPr>
          <w:vertAlign w:val="subscript"/>
        </w:rPr>
        <w:t>2</w:t>
      </w:r>
      <w:r w:rsidRPr="00AF41A6">
        <w:t xml:space="preserve"> greenhouse gas emissions, expressed in CO</w:t>
      </w:r>
      <w:r w:rsidRPr="00AF41A6">
        <w:rPr>
          <w:vertAlign w:val="subscript"/>
        </w:rPr>
        <w:t>2</w:t>
      </w:r>
      <w:r w:rsidRPr="00AF41A6">
        <w:t>-equivalent (CO</w:t>
      </w:r>
      <w:r w:rsidRPr="00AF41A6">
        <w:rPr>
          <w:vertAlign w:val="subscript"/>
        </w:rPr>
        <w:t>2e</w:t>
      </w:r>
      <w:r w:rsidRPr="00AF41A6">
        <w:t>) terms</w:t>
      </w:r>
      <w:r w:rsidR="00CC1088" w:rsidRPr="00AF41A6">
        <w:t xml:space="preserve"> on a 100-year equivalency basis</w:t>
      </w:r>
      <w:r w:rsidR="0035019B" w:rsidRPr="00AF41A6">
        <w:rPr>
          <w:rStyle w:val="FootnoteReference"/>
        </w:rPr>
        <w:footnoteReference w:id="1"/>
      </w:r>
      <w:r w:rsidRPr="00AF41A6">
        <w:t>. Reducing these methane emissions represents an opportu</w:t>
      </w:r>
      <w:r w:rsidR="00981D02" w:rsidRPr="00AF41A6">
        <w:t>nity for rapid potential results</w:t>
      </w:r>
      <w:r w:rsidRPr="00AF41A6">
        <w:t xml:space="preserve"> in avoided global temperature increases, as methane is a greenhouse gas many times more potent than carbon dioxide, but with a shorter atmospheric lifetime</w:t>
      </w:r>
      <w:r w:rsidR="007E7D58" w:rsidRPr="00AF41A6">
        <w:t xml:space="preserve"> </w:t>
      </w:r>
      <w:r w:rsidR="007E7D58" w:rsidRPr="00AF41A6">
        <w:fldChar w:fldCharType="begin"/>
      </w:r>
      <w:r w:rsidR="007E7D58" w:rsidRPr="00AF41A6">
        <w:instrText xml:space="preserve"> ADDIN ZOTERO_ITEM CSL_CITATION {"citationID":"x5s4grul","properties":{"formattedCitation":"(Ocko et al., 2021)","plainCitation":"(Ocko et al., 2021)","noteIndex":0},"citationItems":[{"id":1587,"uris":["http://zotero.org/users/7422708/items/CKUYA2J7"],"uri":["http://zotero.org/users/7422708/items/CKUYA2J7"],"itemData":{"id":1587,"type":"article-journal","abstract":"Methane mitigation is essential for addressing climate change, but the value of rapidly implementing available mitigation measures is not well understood. In this paper, we analyze the climate benefits of fast action to reduce methane emissions as compared to slower and delayed mitigation timelines. We find that the scale up and deployment of greatly underutilized but available mitigation measures will have significant near-term temperature benefits beyond that from slow or delayed action. Overall, strategies exist to cut global methane emissions from human activities in half within the next ten years and half of these strategies currently incur no net cost. Pursuing all mitigation measures now could slow the global-mean rate of near-term decadal warming by around 30%, avoid a quarter of a degree centigrade of additional global-mean warming by midcentury, and set ourselves on a path to avoid more than half a degree centigrade by end of century. On the other hand, slow implementation of these measures may result in an additional tenth of a degree of global-mean warming by midcentury and 5% faster warming rate (relative to fast action), and waiting to pursue these measures until midcentury may result in an additional two tenths of a degree centigrade by midcentury and 15% faster warming rate (relative to fast action). Slow or delayed methane action is viewed by many as reasonable given that current and on-the-horizon climate policies heavily emphasize actions that benefit the climate in the long-term, such as decarbonization and reaching net-zero emissions, whereas methane emitted over the next couple of decades will play a limited role in long-term warming. However, given that fast methane action can considerably limit climate damages in the near-term, it is urgent to scale up efforts and take advantage of this achievable and affordable opportunity as we simultaneously reduce carbon dioxide emissions.","container-title":"Environ. Res. Lett.","language":"en","page":"12","source":"Zotero","title":"Acting rapidly to deploy readily available methane mitigation measures by sector can immediately slow global warming","author":[{"family":"Ocko","given":"Ilissa B"},{"family":"Sun","given":"Tianyi"},{"family":"Shindell","given":"Drew"},{"family":"Oppenheimer","given":"Michael"},{"family":"Hristov","given":"Alexander N"},{"family":"Pacala","given":"Stephen W"},{"family":"Mauzerall","given":"Denise L"},{"family":"Xu","given":"Yangyang"},{"family":"Hamburg","given":"Steven P"}],"issued":{"date-parts":[["2021"]]}}}],"schema":"https://github.com/citation-style-language/schema/raw/master/csl-citation.json"} </w:instrText>
      </w:r>
      <w:r w:rsidR="007E7D58" w:rsidRPr="00AF41A6">
        <w:fldChar w:fldCharType="separate"/>
      </w:r>
      <w:r w:rsidR="007E7D58" w:rsidRPr="00AF41A6">
        <w:rPr>
          <w:rFonts w:cs="Times New Roman"/>
        </w:rPr>
        <w:t>(Ocko et al., 2021)</w:t>
      </w:r>
      <w:r w:rsidR="007E7D58" w:rsidRPr="00AF41A6">
        <w:fldChar w:fldCharType="end"/>
      </w:r>
      <w:r w:rsidRPr="00AF41A6">
        <w:t xml:space="preserve">.  </w:t>
      </w:r>
    </w:p>
    <w:p w14:paraId="16756BCC" w14:textId="7932790A" w:rsidR="00E07FCB" w:rsidRPr="00AF41A6" w:rsidRDefault="00E07FCB" w:rsidP="00E07FCB">
      <w:r w:rsidRPr="00AF41A6">
        <w:rPr>
          <w:noProof/>
          <w:lang w:eastAsia="en-US"/>
        </w:rPr>
        <w:drawing>
          <wp:inline distT="0" distB="0" distL="0" distR="0" wp14:anchorId="205A5CB6" wp14:editId="31ED36CC">
            <wp:extent cx="5943600" cy="29756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5610"/>
                    </a:xfrm>
                    <a:prstGeom prst="rect">
                      <a:avLst/>
                    </a:prstGeom>
                  </pic:spPr>
                </pic:pic>
              </a:graphicData>
            </a:graphic>
          </wp:inline>
        </w:drawing>
      </w:r>
    </w:p>
    <w:p w14:paraId="23A3A983" w14:textId="2EAE8597" w:rsidR="00E07FCB" w:rsidRPr="00AF41A6" w:rsidRDefault="00981D02" w:rsidP="00981D02">
      <w:pPr>
        <w:pStyle w:val="Caption"/>
      </w:pPr>
      <w:bookmarkStart w:id="13" w:name="_Ref72939460"/>
      <w:bookmarkStart w:id="14" w:name="_Toc75940738"/>
      <w:r w:rsidRPr="00AF41A6">
        <w:t xml:space="preserve">Figure </w:t>
      </w:r>
      <w:fldSimple w:instr=" SEQ Figure \* ARABIC ">
        <w:r w:rsidR="003D1925">
          <w:rPr>
            <w:noProof/>
          </w:rPr>
          <w:t>4</w:t>
        </w:r>
      </w:fldSimple>
      <w:bookmarkEnd w:id="13"/>
      <w:r w:rsidRPr="00AF41A6">
        <w:t>: Global non-CO</w:t>
      </w:r>
      <w:r w:rsidRPr="00AF41A6">
        <w:rPr>
          <w:vertAlign w:val="subscript"/>
        </w:rPr>
        <w:t>2</w:t>
      </w:r>
      <w:r w:rsidRPr="00AF41A6">
        <w:t xml:space="preserve"> greenhouse gas emissions expressed on CO</w:t>
      </w:r>
      <w:r w:rsidRPr="00AF41A6">
        <w:rPr>
          <w:vertAlign w:val="subscript"/>
        </w:rPr>
        <w:t>2</w:t>
      </w:r>
      <w:r w:rsidRPr="00AF41A6">
        <w:t xml:space="preserve">-equivalent basis </w:t>
      </w:r>
      <w:r w:rsidRPr="00AF41A6">
        <w:fldChar w:fldCharType="begin"/>
      </w:r>
      <w:r w:rsidR="00764282" w:rsidRPr="00AF41A6">
        <w:instrText xml:space="preserve"> ADDIN ZOTERO_ITEM CSL_CITATION {"citationID":"Y3UbbTEt","properties":{"formattedCitation":"(US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Pr="00AF41A6">
        <w:fldChar w:fldCharType="separate"/>
      </w:r>
      <w:r w:rsidR="00764282" w:rsidRPr="00AF41A6">
        <w:rPr>
          <w:rFonts w:cs="Times New Roman"/>
        </w:rPr>
        <w:t>(US EPA, 2019b)</w:t>
      </w:r>
      <w:r w:rsidRPr="00AF41A6">
        <w:fldChar w:fldCharType="end"/>
      </w:r>
      <w:r w:rsidRPr="00AF41A6">
        <w:t>.</w:t>
      </w:r>
      <w:bookmarkEnd w:id="14"/>
    </w:p>
    <w:p w14:paraId="60287384" w14:textId="1C332760" w:rsidR="00EB46C1" w:rsidRPr="00AF41A6" w:rsidRDefault="007E7D58" w:rsidP="00EB46C1">
      <w:r w:rsidRPr="00AF41A6">
        <w:t>Methane emissions from oil and gas supply chains are concentrated in a relatively small</w:t>
      </w:r>
      <w:r w:rsidR="00CC1088" w:rsidRPr="00AF41A6">
        <w:t xml:space="preserve"> number of countries. </w:t>
      </w:r>
      <w:r w:rsidR="00B932B4" w:rsidRPr="00AF41A6">
        <w:t>The top five countries represent over 60% of the projected emissions from this sector in 2030 (</w:t>
      </w:r>
      <w:r w:rsidR="00B932B4" w:rsidRPr="00AF41A6">
        <w:fldChar w:fldCharType="begin"/>
      </w:r>
      <w:r w:rsidR="00B932B4" w:rsidRPr="00AF41A6">
        <w:instrText xml:space="preserve"> REF _Ref71723514 \h </w:instrText>
      </w:r>
      <w:r w:rsidR="00B932B4" w:rsidRPr="00AF41A6">
        <w:fldChar w:fldCharType="separate"/>
      </w:r>
      <w:r w:rsidR="003D1925" w:rsidRPr="00AF41A6">
        <w:t xml:space="preserve">Figure </w:t>
      </w:r>
      <w:r w:rsidR="003D1925">
        <w:rPr>
          <w:noProof/>
        </w:rPr>
        <w:t>5</w:t>
      </w:r>
      <w:r w:rsidR="00B932B4" w:rsidRPr="00AF41A6">
        <w:fldChar w:fldCharType="end"/>
      </w:r>
      <w:r w:rsidR="00B932B4" w:rsidRPr="00AF41A6">
        <w:t xml:space="preserve">) and the top </w:t>
      </w:r>
      <w:r w:rsidR="00CC1088" w:rsidRPr="00AF41A6">
        <w:t>ten</w:t>
      </w:r>
      <w:r w:rsidR="00B932B4" w:rsidRPr="00AF41A6">
        <w:t xml:space="preserve"> countries represent over 70% of projected emissions on the same projection </w:t>
      </w:r>
      <w:r w:rsidR="00B932B4" w:rsidRPr="00AF41A6">
        <w:fldChar w:fldCharType="begin"/>
      </w:r>
      <w:r w:rsidR="00764282" w:rsidRPr="00AF41A6">
        <w:instrText xml:space="preserve"> ADDIN ZOTERO_ITEM CSL_CITATION {"citationID":"KH9mCc50","properties":{"formattedCitation":"(US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B932B4" w:rsidRPr="00AF41A6">
        <w:fldChar w:fldCharType="separate"/>
      </w:r>
      <w:r w:rsidR="00764282" w:rsidRPr="00AF41A6">
        <w:rPr>
          <w:rFonts w:cs="Times New Roman"/>
        </w:rPr>
        <w:t>(US EPA, 2019b)</w:t>
      </w:r>
      <w:r w:rsidR="00B932B4" w:rsidRPr="00AF41A6">
        <w:fldChar w:fldCharType="end"/>
      </w:r>
      <w:r w:rsidR="00B932B4" w:rsidRPr="00AF41A6">
        <w:t>.</w:t>
      </w:r>
    </w:p>
    <w:p w14:paraId="4B6B8EAB" w14:textId="77777777" w:rsidR="00EB46C1" w:rsidRPr="00AF41A6" w:rsidRDefault="00EB46C1" w:rsidP="00EB46C1">
      <w:r w:rsidRPr="00AF41A6">
        <w:rPr>
          <w:noProof/>
          <w:lang w:eastAsia="en-US"/>
        </w:rPr>
        <w:lastRenderedPageBreak/>
        <w:drawing>
          <wp:inline distT="0" distB="0" distL="0" distR="0" wp14:anchorId="42CE3AFC" wp14:editId="7CB99E00">
            <wp:extent cx="5915025" cy="3590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3590925"/>
                    </a:xfrm>
                    <a:prstGeom prst="rect">
                      <a:avLst/>
                    </a:prstGeom>
                  </pic:spPr>
                </pic:pic>
              </a:graphicData>
            </a:graphic>
          </wp:inline>
        </w:drawing>
      </w:r>
    </w:p>
    <w:p w14:paraId="784D2696" w14:textId="183F52F2" w:rsidR="00EB46C1" w:rsidRPr="00AF41A6" w:rsidRDefault="007E7D58" w:rsidP="007E7D58">
      <w:pPr>
        <w:pStyle w:val="Caption"/>
      </w:pPr>
      <w:bookmarkStart w:id="15" w:name="_Ref71723514"/>
      <w:bookmarkStart w:id="16" w:name="_Toc75940739"/>
      <w:r w:rsidRPr="00AF41A6">
        <w:t xml:space="preserve">Figure </w:t>
      </w:r>
      <w:fldSimple w:instr=" SEQ Figure \* ARABIC ">
        <w:r w:rsidR="003D1925">
          <w:rPr>
            <w:noProof/>
          </w:rPr>
          <w:t>5</w:t>
        </w:r>
      </w:fldSimple>
      <w:bookmarkEnd w:id="15"/>
      <w:r w:rsidRPr="00AF41A6">
        <w:t>:</w:t>
      </w:r>
      <w:r w:rsidR="003C7B93">
        <w:t xml:space="preserve"> </w:t>
      </w:r>
      <w:r w:rsidR="00B932B4" w:rsidRPr="00AF41A6">
        <w:t>Methane emissions from oil and gas sector expressed in Mt CO</w:t>
      </w:r>
      <w:r w:rsidR="00B932B4" w:rsidRPr="00AF41A6">
        <w:rPr>
          <w:vertAlign w:val="subscript"/>
        </w:rPr>
        <w:t>2</w:t>
      </w:r>
      <w:r w:rsidR="00B932B4" w:rsidRPr="00AF41A6">
        <w:t>e, projected for 2030 based on 2015 inventory data</w:t>
      </w:r>
      <w:r w:rsidRPr="00AF41A6">
        <w:t xml:space="preserve"> </w:t>
      </w:r>
      <w:r w:rsidR="00EB46C1" w:rsidRPr="00AF41A6">
        <w:fldChar w:fldCharType="begin"/>
      </w:r>
      <w:r w:rsidR="00764282" w:rsidRPr="00AF41A6">
        <w:instrText xml:space="preserve"> ADDIN ZOTERO_ITEM CSL_CITATION {"citationID":"LUYEMm4h","properties":{"formattedCitation":"(US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EB46C1" w:rsidRPr="00AF41A6">
        <w:fldChar w:fldCharType="separate"/>
      </w:r>
      <w:r w:rsidR="00764282" w:rsidRPr="00AF41A6">
        <w:rPr>
          <w:rFonts w:cs="Times New Roman"/>
        </w:rPr>
        <w:t>(US EPA, 2019b)</w:t>
      </w:r>
      <w:r w:rsidR="00EB46C1" w:rsidRPr="00AF41A6">
        <w:fldChar w:fldCharType="end"/>
      </w:r>
      <w:r w:rsidR="00B932B4" w:rsidRPr="00AF41A6">
        <w:t>.</w:t>
      </w:r>
      <w:bookmarkEnd w:id="16"/>
    </w:p>
    <w:p w14:paraId="7FD9B7AB" w14:textId="76AF3571" w:rsidR="00B06304" w:rsidRPr="00AF41A6" w:rsidRDefault="00764282" w:rsidP="00B06304">
      <w:r w:rsidRPr="00AF41A6">
        <w:t>Methane emissions have increased alongside p</w:t>
      </w:r>
      <w:r w:rsidR="00373485" w:rsidRPr="00AF41A6">
        <w:t>ro</w:t>
      </w:r>
      <w:r w:rsidRPr="00AF41A6">
        <w:t xml:space="preserve">duction volumes of oil and gas </w:t>
      </w:r>
      <w:r w:rsidR="00373485" w:rsidRPr="00AF41A6">
        <w:t>in recent decades. The growth of shale gas in the U</w:t>
      </w:r>
      <w:r w:rsidR="00FE4B74" w:rsidRPr="00AF41A6">
        <w:t>nited States is a notable</w:t>
      </w:r>
      <w:r w:rsidR="00373485" w:rsidRPr="00AF41A6">
        <w:t xml:space="preserve"> example, with concomitant methane impacts through the entire supply chain </w:t>
      </w:r>
      <w:r w:rsidR="00373485" w:rsidRPr="00AF41A6">
        <w:fldChar w:fldCharType="begin"/>
      </w:r>
      <w:r w:rsidR="002B4471" w:rsidRPr="00AF41A6">
        <w:instrText xml:space="preserve"> ADDIN ZOTERO_ITEM CSL_CITATION {"citationID":"EsLy1V4e","properties":{"formattedCitation":"(H\\uc0\\u246{}glund-Isaksson et al., 2020; Waxman et al., 2020)","plainCitation":"(Höglund-Isaksson et al., 2020; Waxman et al., 2020)","noteIndex":0},"citationItems":[{"id":1592,"uris":["http://zotero.org/users/7422708/items/NBGHXRSV"],"uri":["http://zotero.org/users/7422708/items/NBGHXRSV"],"itemData":{"id":1592,"type":"article-journal","container-title":"Environmental Research Communications","DOI":"10.1088/2515-7620/ab7457","ISSN":"2515-7620","issue":"2","journalAbbreviation":"Environ. Res. Commun.","language":"en","page":"025004","source":"DOI.org (Crossref)","title":"Technical potentials and costs for reducing global anthropogenic methane emissions in the 2050 timeframe –results from the GAINS model","volume":"2","author":[{"family":"Höglund-Isaksson","given":"Lena"},{"family":"Gómez-Sanabria","given":"Adriana"},{"family":"Klimont","given":"Zbigniew"},{"family":"Rafaj","given":"Peter"},{"family":"Schöpp","given":"Wolfgang"}],"issued":{"date-parts":[["2020",2,27]]}}},{"id":1575,"uris":["http://zotero.org/users/7422708/items/6SKKR8NW"],"uri":["http://zotero.org/users/7422708/items/6SKKR8NW"],"itemData":{"id":1575,"type":"article-journal","container-title":"Environmental Research Letters","DOI":"10.1088/1748-9326/ab5e6f","ISSN":"1748-9326","issue":"1","journalAbbreviation":"Environ. Res. Lett.","language":"en","page":"014004","source":"DOI.org (Crossref)","title":"Emissions in the stream: estimating the greenhouse gas impacts of an oil and gas boom","title-short":"Emissions in the stream","volume":"15","author":[{"family":"Waxman","given":"Andrew R"},{"family":"Khomaini","given":"Achmad"},{"family":"Leibowicz","given":"Benjamin D"},{"family":"Olmstead","given":"Sheila M"}],"issued":{"date-parts":[["2020",1,13]]}}}],"schema":"https://github.com/citation-style-language/schema/raw/master/csl-citation.json"} </w:instrText>
      </w:r>
      <w:r w:rsidR="00373485" w:rsidRPr="00AF41A6">
        <w:fldChar w:fldCharType="separate"/>
      </w:r>
      <w:r w:rsidR="002B4471" w:rsidRPr="00AF41A6">
        <w:rPr>
          <w:rFonts w:cs="Times New Roman"/>
          <w:szCs w:val="24"/>
        </w:rPr>
        <w:t>(Höglund-Isaksson et al., 2020; Waxman et al., 2020)</w:t>
      </w:r>
      <w:r w:rsidR="00373485" w:rsidRPr="00AF41A6">
        <w:fldChar w:fldCharType="end"/>
      </w:r>
      <w:r w:rsidR="00373485" w:rsidRPr="00AF41A6">
        <w:t>. Though methane emissions from the sector have increased</w:t>
      </w:r>
      <w:r w:rsidR="0017085D" w:rsidRPr="00AF41A6">
        <w:t xml:space="preserve"> over the past few decades</w:t>
      </w:r>
      <w:r w:rsidR="00373485" w:rsidRPr="00AF41A6">
        <w:t xml:space="preserve">, on an </w:t>
      </w:r>
      <w:r w:rsidR="00373485" w:rsidRPr="00AF41A6">
        <w:rPr>
          <w:i/>
        </w:rPr>
        <w:t>intensity</w:t>
      </w:r>
      <w:r w:rsidR="00373485" w:rsidRPr="00AF41A6">
        <w:t xml:space="preserve"> basis </w:t>
      </w:r>
      <w:r w:rsidR="00981D02" w:rsidRPr="00AF41A6">
        <w:t xml:space="preserve">– </w:t>
      </w:r>
      <w:r w:rsidR="00373485" w:rsidRPr="00AF41A6">
        <w:t>per unit of production</w:t>
      </w:r>
      <w:r w:rsidR="00981D02" w:rsidRPr="00AF41A6">
        <w:t xml:space="preserve"> –</w:t>
      </w:r>
      <w:r w:rsidR="00373485" w:rsidRPr="00AF41A6">
        <w:t xml:space="preserve"> they have fallen throughout this same timeframe, indicating that some level of </w:t>
      </w:r>
      <w:r w:rsidR="00BB4155" w:rsidRPr="00AF41A6">
        <w:t xml:space="preserve">relative </w:t>
      </w:r>
      <w:r w:rsidR="00CC1088" w:rsidRPr="00AF41A6">
        <w:t xml:space="preserve">supply-chain </w:t>
      </w:r>
      <w:r w:rsidR="00373485" w:rsidRPr="00AF41A6">
        <w:t xml:space="preserve">abatement is taking place </w:t>
      </w:r>
      <w:r w:rsidR="0017085D" w:rsidRPr="00AF41A6">
        <w:fldChar w:fldCharType="begin"/>
      </w:r>
      <w:r w:rsidRPr="00AF41A6">
        <w:instrText xml:space="preserve"> ADDIN ZOTERO_ITEM CSL_CITATION {"citationID":"OzX34u0X","properties":{"formattedCitation":"(US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17085D" w:rsidRPr="00AF41A6">
        <w:fldChar w:fldCharType="separate"/>
      </w:r>
      <w:r w:rsidRPr="00AF41A6">
        <w:rPr>
          <w:rFonts w:cs="Times New Roman"/>
        </w:rPr>
        <w:t>(US EPA, 2019b)</w:t>
      </w:r>
      <w:r w:rsidR="0017085D" w:rsidRPr="00AF41A6">
        <w:fldChar w:fldCharType="end"/>
      </w:r>
      <w:r w:rsidR="00BB4155" w:rsidRPr="00AF41A6">
        <w:t>, likely through a combination of improved practices and newer infrastructure, which generally emits less.</w:t>
      </w:r>
      <w:r w:rsidR="0017085D" w:rsidRPr="00AF41A6">
        <w:t xml:space="preserve"> In the United States natural gas supply chain this rate has often been expressed as a percentage of natural gas </w:t>
      </w:r>
      <w:r w:rsidR="00981D02" w:rsidRPr="00AF41A6">
        <w:t xml:space="preserve">leaked </w:t>
      </w:r>
      <w:r w:rsidR="0017085D" w:rsidRPr="00AF41A6">
        <w:t>compared to the produced volume. This has fallen from over 3% in 1990 to less than 2% as estimated in 2014</w:t>
      </w:r>
      <w:r w:rsidR="00115FDB" w:rsidRPr="00AF41A6">
        <w:t>, a period of increasing oil and gas production</w:t>
      </w:r>
      <w:r w:rsidR="0017085D" w:rsidRPr="00AF41A6">
        <w:t xml:space="preserve"> (</w:t>
      </w:r>
      <w:r w:rsidR="0017085D" w:rsidRPr="00AF41A6">
        <w:fldChar w:fldCharType="begin"/>
      </w:r>
      <w:r w:rsidR="0017085D" w:rsidRPr="00AF41A6">
        <w:instrText xml:space="preserve"> REF _Ref71725122 \h </w:instrText>
      </w:r>
      <w:r w:rsidR="0017085D" w:rsidRPr="00AF41A6">
        <w:fldChar w:fldCharType="separate"/>
      </w:r>
      <w:r w:rsidR="003D1925" w:rsidRPr="00AF41A6">
        <w:t xml:space="preserve">Figure </w:t>
      </w:r>
      <w:r w:rsidR="003D1925">
        <w:rPr>
          <w:noProof/>
        </w:rPr>
        <w:t>6</w:t>
      </w:r>
      <w:r w:rsidR="0017085D" w:rsidRPr="00AF41A6">
        <w:fldChar w:fldCharType="end"/>
      </w:r>
      <w:r w:rsidR="0017085D" w:rsidRPr="00AF41A6">
        <w:t xml:space="preserve">). </w:t>
      </w:r>
    </w:p>
    <w:p w14:paraId="50D7F620" w14:textId="1DC8898D" w:rsidR="00AA55A5" w:rsidRPr="00AF41A6" w:rsidRDefault="00AA55A5" w:rsidP="00B06304">
      <w:r w:rsidRPr="00AF41A6">
        <w:t xml:space="preserve">A characteristic that </w:t>
      </w:r>
      <w:r w:rsidR="002968C2" w:rsidRPr="00AF41A6">
        <w:t>is</w:t>
      </w:r>
      <w:r w:rsidRPr="00AF41A6">
        <w:t xml:space="preserve"> conserved throughout these </w:t>
      </w:r>
      <w:r w:rsidR="002968C2" w:rsidRPr="00AF41A6">
        <w:t>supply chains</w:t>
      </w:r>
      <w:r w:rsidRPr="00AF41A6">
        <w:t xml:space="preserve"> is that a small number of </w:t>
      </w:r>
      <w:r w:rsidR="00A508A7" w:rsidRPr="00AF41A6">
        <w:t>sources represent</w:t>
      </w:r>
      <w:r w:rsidRPr="00AF41A6">
        <w:t xml:space="preserve"> a disproportionately large volume of total emissions</w:t>
      </w:r>
      <w:r w:rsidR="002968C2" w:rsidRPr="00AF41A6">
        <w:t>:</w:t>
      </w:r>
    </w:p>
    <w:p w14:paraId="5DCCFE44" w14:textId="1CDED662" w:rsidR="002968C2" w:rsidRPr="00AF41A6" w:rsidRDefault="00FE4B74" w:rsidP="00D910B7">
      <w:pPr>
        <w:pStyle w:val="ListParagraph"/>
        <w:numPr>
          <w:ilvl w:val="0"/>
          <w:numId w:val="23"/>
        </w:numPr>
      </w:pPr>
      <w:r w:rsidRPr="00AF41A6">
        <w:t>5% of sources</w:t>
      </w:r>
      <w:r w:rsidR="002968C2" w:rsidRPr="00AF41A6">
        <w:t xml:space="preserve"> account for 60% of emitted volume in the Barnett Shale </w:t>
      </w:r>
      <w:r w:rsidR="002968C2" w:rsidRPr="00AF41A6">
        <w:fldChar w:fldCharType="begin"/>
      </w:r>
      <w:r w:rsidR="002968C2" w:rsidRPr="00AF41A6">
        <w:instrText xml:space="preserve"> ADDIN ZOTERO_ITEM CSL_CITATION {"citationID":"FL7qgVw3","properties":{"formattedCitation":"(Zavala-Araiza et al., 2015)","plainCitation":"(Zavala-Araiza et al., 2015)","noteIndex":0},"citationItems":[{"id":1512,"uris":["http://zotero.org/users/7422708/items/J7KQSWUD"],"uri":["http://zotero.org/users/7422708/items/J7KQSWUD"],"itemData":{"id":1512,"type":"article-journal","abstract":"Emissions from natural gas production sites are characterized by skewed distributions, where a small percentage of sitescommonly labeled super-emitters account for a majority of emissions. A better characterization of super-emitters is needed to operationalize ways to identify them and reduce emissions. We designed a conceptual framework that f unctionally deﬁnes superemitting sites as those with the highest proportional loss rates (methane emitted relative to methane produced). Using this concept, we estimated total methane emissions from natural gas production sites in the Barnett Shale; functionally superemitting sites accounted for roughly threefourths of total emissions. We discuss the potential to reduce emissions from these sites, under the assumption that sites with high proportional loss rates have excess emissions resulting from abnormal or otherwise avoidable operating conditions, such as malfunctioning equipment. Because the population of functionally superemitting sites is not expected to be static over time, continuous monitoring will likely be necessary to identify them and improve their operation. This work suggests that achieving and maintaining uniformly low emissions across the entire population of production sites will require mitigation steps at a large fraction of sites.","container-title":"Environmental Science &amp; Technology","DOI":"10.1021/acs.est.5b00133","ISSN":"0013-936X, 1520-5851","issue":"13","journalAbbreviation":"Environ. Sci. Technol.","language":"en","page":"8167-8174","source":"DOI.org (Crossref)","title":"Toward a Functional Definition of Methane Super-Emitters: Application to Natural Gas Production Sites","title-short":"Toward a Functional Definition of Methane Super-Emitters","volume":"49","author":[{"family":"Zavala-Araiza","given":"Daniel"},{"family":"Lyon","given":"David"},{"family":"Alvarez","given":"Ramón A."},{"family":"Palacios","given":"Virginia"},{"family":"Harriss","given":"Robert"},{"family":"Lan","given":"Xin"},{"family":"Talbot","given":"Robert"},{"family":"Hamburg","given":"Steven P."}],"issued":{"date-parts":[["2015",7,7]]}}}],"schema":"https://github.com/citation-style-language/schema/raw/master/csl-citation.json"} </w:instrText>
      </w:r>
      <w:r w:rsidR="002968C2" w:rsidRPr="00AF41A6">
        <w:fldChar w:fldCharType="separate"/>
      </w:r>
      <w:r w:rsidR="002968C2" w:rsidRPr="00AF41A6">
        <w:rPr>
          <w:rFonts w:cs="Times New Roman"/>
        </w:rPr>
        <w:t>(Zavala-Araiza et al., 2015)</w:t>
      </w:r>
      <w:r w:rsidR="002968C2" w:rsidRPr="00AF41A6">
        <w:fldChar w:fldCharType="end"/>
      </w:r>
    </w:p>
    <w:p w14:paraId="1C43635A" w14:textId="3151A71D" w:rsidR="002968C2" w:rsidRPr="00AF41A6" w:rsidRDefault="002968C2" w:rsidP="00D910B7">
      <w:pPr>
        <w:pStyle w:val="ListParagraph"/>
        <w:numPr>
          <w:ilvl w:val="0"/>
          <w:numId w:val="23"/>
        </w:numPr>
      </w:pPr>
      <w:r w:rsidRPr="00AF41A6">
        <w:t xml:space="preserve">5% of leaks account for 50% of emitted volume </w:t>
      </w:r>
      <w:r w:rsidR="00A508A7" w:rsidRPr="00AF41A6">
        <w:t xml:space="preserve">in </w:t>
      </w:r>
      <w:r w:rsidRPr="00AF41A6">
        <w:t xml:space="preserve">natural gas systems in general </w:t>
      </w:r>
      <w:r w:rsidRPr="00AF41A6">
        <w:fldChar w:fldCharType="begin"/>
      </w:r>
      <w:r w:rsidRPr="00AF41A6">
        <w:instrText xml:space="preserve"> ADDIN ZOTERO_ITEM CSL_CITATION {"citationID":"JQhnyggg","properties":{"formattedCitation":"(Brandt et al., 2016)","plainCitation":"(Brandt et al., 2016)","noteIndex":0},"citationItems":[{"id":1514,"uris":["http://zotero.org/users/7422708/items/AAQ3QNYR"],"uri":["http://zotero.org/users/7422708/items/AAQ3QNYR"],"itemData":{"id":1514,"type":"article-journal","container-title":"Environmental Science &amp; Technology","DOI":"10.1021/acs.est.6b04303","ISSN":"0013-936X, 1520-5851","issue":"22","journalAbbreviation":"Environ. Sci. Technol.","language":"en","page":"12512-12520","source":"DOI.org (Crossref)","title":"Methane Leaks from Natural Gas Systems Follow Extreme Distributions","volume":"50","author":[{"family":"Brandt","given":"Adam R."},{"family":"Heath","given":"Garvin A."},{"family":"Cooley","given":"Daniel"}],"issued":{"date-parts":[["2016",11,15]]}}}],"schema":"https://github.com/citation-style-language/schema/raw/master/csl-citation.json"} </w:instrText>
      </w:r>
      <w:r w:rsidRPr="00AF41A6">
        <w:fldChar w:fldCharType="separate"/>
      </w:r>
      <w:r w:rsidRPr="00AF41A6">
        <w:rPr>
          <w:rFonts w:cs="Times New Roman"/>
        </w:rPr>
        <w:t>(Brandt et al., 2016)</w:t>
      </w:r>
      <w:r w:rsidRPr="00AF41A6">
        <w:fldChar w:fldCharType="end"/>
      </w:r>
      <w:r w:rsidRPr="00AF41A6">
        <w:t xml:space="preserve"> </w:t>
      </w:r>
    </w:p>
    <w:p w14:paraId="604735B5" w14:textId="3AE484E6" w:rsidR="002968C2" w:rsidRPr="00AF41A6" w:rsidRDefault="002968C2" w:rsidP="00D910B7">
      <w:pPr>
        <w:pStyle w:val="ListParagraph"/>
        <w:numPr>
          <w:ilvl w:val="0"/>
          <w:numId w:val="23"/>
        </w:numPr>
      </w:pPr>
      <w:r w:rsidRPr="00AF41A6">
        <w:t xml:space="preserve">Similar trend of super-emitters observed </w:t>
      </w:r>
      <w:r w:rsidR="00FE4B74" w:rsidRPr="00AF41A6">
        <w:t>in abandoned</w:t>
      </w:r>
      <w:r w:rsidRPr="00AF41A6">
        <w:t xml:space="preserve"> oil and gas wells in the United States </w:t>
      </w:r>
      <w:r w:rsidRPr="00AF41A6">
        <w:fldChar w:fldCharType="begin"/>
      </w:r>
      <w:r w:rsidRPr="00AF41A6">
        <w:instrText xml:space="preserve"> ADDIN ZOTERO_ITEM CSL_CITATION {"citationID":"WVdUVkj8","properties":{"formattedCitation":"(Kang et al., 2016)","plainCitation":"(Kang et al., 2016)","noteIndex":0},"citationItems":[{"id":995,"uris":["http://zotero.org/users/7422708/items/GTZGJZ69"],"uri":["http://zotero.org/users/7422708/items/GTZGJZ69"],"itemData":{"id":995,"type":"article-journal","container-title":"Proceedings of the National Academy of Sciences","DOI":"10.1073/pnas.1605913113","ISSN":"0027-8424, 1091-6490","issue":"48","language":"en","page":"13636-13641","source":"Crossref","title":"Identification and characterization of high methane-emitting abandoned oil and gas wells","volume":"113","author":[{"family":"Kang","given":"Mary"},{"family":"Christian","given":"Shanna"},{"family":"Celia","given":"Michael A."},{"family":"Mauzerall","given":"Denise L."},{"family":"Bill","given":"Markus"},{"family":"Miller","given":"Alana R."},{"family":"Chen","given":"Yuheng"},{"family":"Conrad","given":"Mark E."},{"family":"Darrah","given":"Thomas H."},{"family":"Jackson","given":"Robert B."}],"issued":{"date-parts":[["2016",11,29]]}}}],"schema":"https://github.com/citation-style-language/schema/raw/master/csl-citation.json"} </w:instrText>
      </w:r>
      <w:r w:rsidRPr="00AF41A6">
        <w:fldChar w:fldCharType="separate"/>
      </w:r>
      <w:r w:rsidRPr="00AF41A6">
        <w:rPr>
          <w:rFonts w:cs="Times New Roman"/>
        </w:rPr>
        <w:t>(Kang et al., 2016)</w:t>
      </w:r>
      <w:r w:rsidRPr="00AF41A6">
        <w:fldChar w:fldCharType="end"/>
      </w:r>
      <w:r w:rsidR="003D1925">
        <w:t>.</w:t>
      </w:r>
    </w:p>
    <w:p w14:paraId="2B67E291" w14:textId="467678F6" w:rsidR="00EB46C1" w:rsidRPr="00AF41A6" w:rsidRDefault="002968C2" w:rsidP="00A508A7">
      <w:pPr>
        <w:ind w:left="360"/>
      </w:pPr>
      <w:r w:rsidRPr="00AF41A6">
        <w:t>These super-emitter cases pose at the same time an abatement opportunity and challenge. Concentrating on finding and fixing a small amount of sources can lead to a significant abatement of overall emissions; however, the remaining fixes, which represent the vast majority of leak cases by number, will therefore in general come at increasing cost and diminishing return. A challenge is also posed to th</w:t>
      </w:r>
      <w:r w:rsidR="001300D0" w:rsidRPr="00AF41A6">
        <w:t xml:space="preserve">e design of abatement policies </w:t>
      </w:r>
      <w:r w:rsidR="00E2235A">
        <w:t>to</w:t>
      </w:r>
      <w:r w:rsidR="001300D0" w:rsidRPr="00AF41A6">
        <w:t xml:space="preserve"> allow operators to prioritize addressing the</w:t>
      </w:r>
      <w:r w:rsidR="00FE4B74" w:rsidRPr="00AF41A6">
        <w:t>se</w:t>
      </w:r>
      <w:r w:rsidR="001300D0" w:rsidRPr="00AF41A6">
        <w:t xml:space="preserve"> super-emitters. </w:t>
      </w:r>
    </w:p>
    <w:p w14:paraId="4A20E207" w14:textId="77777777" w:rsidR="0017085D" w:rsidRPr="00AF41A6" w:rsidRDefault="0017085D" w:rsidP="0017085D">
      <w:r w:rsidRPr="00AF41A6">
        <w:rPr>
          <w:noProof/>
          <w:lang w:eastAsia="en-US"/>
        </w:rPr>
        <w:drawing>
          <wp:inline distT="0" distB="0" distL="0" distR="0" wp14:anchorId="15961CB2" wp14:editId="604D9E18">
            <wp:extent cx="519112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3895725"/>
                    </a:xfrm>
                    <a:prstGeom prst="rect">
                      <a:avLst/>
                    </a:prstGeom>
                  </pic:spPr>
                </pic:pic>
              </a:graphicData>
            </a:graphic>
          </wp:inline>
        </w:drawing>
      </w:r>
    </w:p>
    <w:p w14:paraId="012CDFA5" w14:textId="6BDD0F1B" w:rsidR="0017085D" w:rsidRPr="00AF41A6" w:rsidRDefault="0017085D" w:rsidP="0017085D">
      <w:pPr>
        <w:pStyle w:val="Caption"/>
      </w:pPr>
      <w:bookmarkStart w:id="17" w:name="_Ref71725122"/>
      <w:bookmarkStart w:id="18" w:name="_Toc75940740"/>
      <w:r w:rsidRPr="00AF41A6">
        <w:t xml:space="preserve">Figure </w:t>
      </w:r>
      <w:fldSimple w:instr=" SEQ Figure \* ARABIC ">
        <w:r w:rsidR="003D1925">
          <w:rPr>
            <w:noProof/>
          </w:rPr>
          <w:t>6</w:t>
        </w:r>
      </w:fldSimple>
      <w:bookmarkEnd w:id="17"/>
      <w:r w:rsidRPr="00AF41A6">
        <w:t xml:space="preserve">: Intensity of natural gas losses as percentage of volume produced in the United States </w:t>
      </w:r>
      <w:r w:rsidRPr="00E2235A">
        <w:rPr>
          <w:sz w:val="14"/>
        </w:rPr>
        <w:fldChar w:fldCharType="begin"/>
      </w:r>
      <w:r w:rsidRPr="00E2235A">
        <w:rPr>
          <w:sz w:val="14"/>
        </w:rPr>
        <w:instrText xml:space="preserve"> ADDIN ZOTERO_ITEM CSL_CITATION {"citationID":"oUDg8myz","properties":{"formattedCitation":"(Munnings &amp; Krupnick, 2017)","plainCitation":"(Munnings &amp; Krupnick, 2017)","noteIndex":0},"citationItems":[{"id":1543,"uris":["http://zotero.org/users/7422708/items/RCY6UFZR"],"uri":["http://zotero.org/users/7422708/items/RCY6UFZR"],"itemData":{"id":1543,"type":"article","abstract":"Methane emissions from the natural gas sector threaten to erode the climatic benefit that gas holds over coal. Yet the majority of existing sources of methane emissions in the natural gas sector remain unregulated. This is due in part to concerns that policies to mitigate these emissions would entail overseeing a large number of sources and impose significant administrative and compliance costs. Unfortunately, the typical market-based approaches that might ameloriate these concerns, such as a pollution tax, are not practical at the moment because there are no accurate and publicly available firmlevel inventories of methane emissions; however, monitoring technologies are improving quickly, meaning that such inventories may be available in the foreseeable future. Focusing on the United States, we describe a suite of prototypical policies to reduce methane emissions from the natural gas sector, including technology standards, performance standards on firms, performance standards with averaging, tradable performance standards, several types of leak detection and repair programs, and a pollution tax with default and updatable leakage rates. We then analyze the extent to which each of these policies provides appropriate incentives for abatement, given the unique attributes of methane emissions from the natural gas sector. Finally, we compare these policies in terms of administrative costs, economic efficiency, and environmental effectiveness. We find, among other things, that a pollution tax with assumed and updatable default leakage rates performs particularly well in terms of economic efficiency and environmental effectiveness.","language":"en","publisher":"Resources for the Future","source":"Zotero","title":"Comparing Policies to Reduce Methane Emissions in the Natural Gas Sector","author":[{"family":"Munnings","given":"Clayton"},{"family":"Krupnick","given":"Alan"}],"issued":{"date-parts":[["2017"]]}}}],"schema":"https://github.com/citation-style-language/schema/raw/master/csl-citation.json"} </w:instrText>
      </w:r>
      <w:r w:rsidRPr="00E2235A">
        <w:rPr>
          <w:sz w:val="14"/>
        </w:rPr>
        <w:fldChar w:fldCharType="separate"/>
      </w:r>
      <w:r w:rsidRPr="00E2235A">
        <w:rPr>
          <w:rFonts w:cs="Times New Roman"/>
        </w:rPr>
        <w:t>(Munnings &amp; Krupnick, 2017)</w:t>
      </w:r>
      <w:r w:rsidRPr="00E2235A">
        <w:rPr>
          <w:sz w:val="14"/>
        </w:rPr>
        <w:fldChar w:fldCharType="end"/>
      </w:r>
      <w:r w:rsidRPr="00AF41A6">
        <w:t>.</w:t>
      </w:r>
      <w:bookmarkEnd w:id="18"/>
      <w:r w:rsidRPr="00AF41A6">
        <w:t xml:space="preserve"> </w:t>
      </w:r>
    </w:p>
    <w:p w14:paraId="4F5C8505" w14:textId="3B3512CD" w:rsidR="00EB46C1" w:rsidRPr="00AF41A6" w:rsidRDefault="009B5924" w:rsidP="009B5924">
      <w:pPr>
        <w:pStyle w:val="Heading2"/>
      </w:pPr>
      <w:bookmarkStart w:id="19" w:name="_Toc75953791"/>
      <w:r w:rsidRPr="00AF41A6">
        <w:t>Abatement techniques</w:t>
      </w:r>
      <w:bookmarkEnd w:id="19"/>
    </w:p>
    <w:p w14:paraId="4188510B" w14:textId="65554D9D" w:rsidR="003D1925" w:rsidRDefault="00025558" w:rsidP="003A4C51">
      <w:r w:rsidRPr="00AF41A6">
        <w:t xml:space="preserve">Existing technologies and practices can abate </w:t>
      </w:r>
      <w:r w:rsidR="003D1925">
        <w:t xml:space="preserve">up to </w:t>
      </w:r>
      <w:r w:rsidRPr="00AF41A6">
        <w:t xml:space="preserve">an estimated 70% of the annual methane emissions from the oil and gas supply chains </w:t>
      </w:r>
      <w:r w:rsidRPr="00AF41A6">
        <w:fldChar w:fldCharType="begin"/>
      </w:r>
      <w:r w:rsidRPr="00AF41A6">
        <w:instrText xml:space="preserve"> ADDIN ZOTERO_ITEM CSL_CITATION {"citationID":"JqucCbUC","properties":{"formattedCitation":"(IEA, 2021b)","plainCitation":"(IEA, 2021b)","noteIndex":0},"citationItems":[{"id":1532,"uris":["http://zotero.org/users/7422708/items/W2Z5J56I"],"uri":["http://zotero.org/users/7422708/items/W2Z5J56I"],"itemData":{"id":1532,"type":"article","publisher":"International Energy Agency","title":"Methane Tracker Database","URL":"https://www.iea.org/articles/methane-tracker-database","author":[{"family":"IEA","given":""}],"issued":{"date-parts":[["2021"]]}}}],"schema":"https://github.com/citation-style-language/schema/raw/master/csl-citation.json"} </w:instrText>
      </w:r>
      <w:r w:rsidRPr="00AF41A6">
        <w:fldChar w:fldCharType="separate"/>
      </w:r>
      <w:r w:rsidRPr="00AF41A6">
        <w:rPr>
          <w:rFonts w:cs="Times New Roman"/>
        </w:rPr>
        <w:t>(IEA, 2021b)</w:t>
      </w:r>
      <w:r w:rsidRPr="00AF41A6">
        <w:fldChar w:fldCharType="end"/>
      </w:r>
      <w:r w:rsidRPr="00AF41A6">
        <w:t>.</w:t>
      </w:r>
      <w:r w:rsidR="00A60EB9" w:rsidRPr="00AF41A6">
        <w:t xml:space="preserve"> </w:t>
      </w:r>
      <w:r w:rsidRPr="00AF41A6">
        <w:t>This can be achieved by a suite of technologies and methods with varying costs, effectiveness, and suitability – t</w:t>
      </w:r>
      <w:r w:rsidR="00FE4B74" w:rsidRPr="00AF41A6">
        <w:t>here is no single solution</w:t>
      </w:r>
      <w:r w:rsidRPr="00AF41A6">
        <w:t xml:space="preserve"> that addresses the </w:t>
      </w:r>
      <w:r w:rsidR="001300D0" w:rsidRPr="00AF41A6">
        <w:t xml:space="preserve">whole </w:t>
      </w:r>
      <w:r w:rsidRPr="00AF41A6">
        <w:t xml:space="preserve">issue. There is a wealth of technical literature on the methods and devices already in implementation </w:t>
      </w:r>
      <w:r w:rsidR="00F6202B" w:rsidRPr="00AF41A6">
        <w:fldChar w:fldCharType="begin"/>
      </w:r>
      <w:r w:rsidR="00764282" w:rsidRPr="00AF41A6">
        <w:instrText xml:space="preserve"> ADDIN ZOTERO_ITEM CSL_CITATION {"citationID":"eE91aoKl","properties":{"formattedCitation":"(American Gas Association, 2014; ICF International, 2014; IEA, 2021a; US EPA, 2019a, 2019b; Zimmerle et al., 2015)","plainCitation":"(American Gas Association, 2014; ICF International, 2014; IEA, 2021a; US EPA, 2019a, 2019b; Zimmerle et al., 2015)","noteIndex":0},"citationItems":[{"id":1569,"uris":["http://zotero.org/users/7422708/items/IRPI9FBH"],"uri":["http://zotero.org/users/7422708/items/IRPI9FBH"],"itemData":{"id":1569,"type":"article","publisher":"American Gas Association","title":"AGA Guidelines for Reducing Natural Gas Emissions From Distribution Systems","URL":"https://www.aga.org/sites/default/files/aga_guidelines_for_natural_gas_emission_reduction_bd_approved_may_17_2014.pdf","author":[{"family":"American Gas Association","given":""}],"issued":{"date-parts":[["2014"]]}}},{"id":1519,"uris":["http://zotero.org/users/7422708/items/6YJ7L5CP"],"uri":["http://zotero.org/users/7422708/items/6YJ7L5CP"],"itemData":{"id":1519,"type":"article","publisher":"Prepared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International","given":""}],"issued":{"date-parts":[["2014"]]}}},{"id":1527,"uris":["http://zotero.org/users/7422708/items/RT9ADG7J"],"uri":["http://zotero.org/users/7422708/items/RT9ADG7J"],"itemData":{"id":1527,"type":"article","publisher":"International Energy Agency","title":"Methane Tracker 2021","URL":"https://www.iea.org/reports/methane-tracker-2021","author":[{"family":"IEA","given":""}],"issued":{"date-parts":[["2021"]]}}},{"id":1621,"uris":["http://zotero.org/users/7422708/items/LALFKW5R"],"uri":["http://zotero.org/users/7422708/items/LALFKW5R"],"itemData":{"id":1621,"type":"article","publisher":"US Environmental Protection Agency Office of Atmospheric Programs","title":"Non-CO2 Methodology Report","URL":"https://www.epa.gov/global-mitigation-non-co2-greenhouse-gases/global-non-co2-greenhouse-gas-emission-projections","author":[{"family":"US EPA","given":""}],"issued":{"date-parts":[["2019"]]}}},{"id":1534,"uris":["http://zotero.org/users/7422708/items/53M6XKDZ"],"uri":["http://zotero.org/users/7422708/items/53M6XKDZ"],"itemData":{"id":1534,"type":"article","publisher":"US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EPA","given":""}],"issued":{"date-parts":[["2019",10]]}}},{"id":1541,"uris":["http://zotero.org/users/7422708/items/PVNIW73Z"],"uri":["http://zotero.org/users/7422708/items/PVNIW73Z"],"itemData":{"id":1541,"type":"article-journal","abstract":"The recent growth in production and utilization of natural gas oﬀers potential climate beneﬁts, but those beneﬁts depend on lifecycle emissions of methane, the primary component of natural gas and a potent greenhouse gas. This study estimates methane emissions from the transmission and storage (T&amp;S) sector of the United States natural gas industry using new data collected during 2012, including 2,292 onsite measurements, additional emissions data from 677 facilities and activity data from 922 facilities. The largest emission sources were fugitive emissions from certain compressor-related equipment and “super-emitter” facilities. We estimate total methane emissions from the T&amp;S sector at 1,503 [1,220 to 1,950] Gg/yr (95% conﬁdence interval) compared to the 2012 Environmental Protection Agency’s Greenhouse Gas Inventory (GHGI) estimate of 2,071 [1,680 to 2,690] Gg/yr. While the overlap in conﬁdence intervals indicates that the diﬀerence is not statistically signiﬁcant, this is the result of several signiﬁcant, but oﬀsetting, factors. Factors which reduce the study estimate include a lower estimated facility count, a shift away from engines toward lower-emitting turbine and electric compressor drivers, and reductions in the usage of gas-driven pneumatic devices. Factors that increase the study estimate relative to the GHGI include updated emission rates in certain emission categories and explicit treatment of skewed emissions at both component and facility levels. For T&amp;S stations that are required to report to the EPA’s Greenhouse Gas Reporting Program (GHGRP), this study estimates total emissions to be 260% [215% to 330%] of the reportable emissions for these stations, primarily due to the inclusion of emission sources that are not reported under the GHGRP rules, updated emission factors, and super-emitter emissions.","container-title":"Environmental Science &amp; Technology","DOI":"10.1021/acs.est.5b01669","ISSN":"0013-936X, 1520-5851","issue":"15","journalAbbreviation":"Environ. Sci. Technol.","language":"en","page":"9374-9383","source":"DOI.org (Crossref)","title":"Methane Emissions from the Natural Gas Transmission and Storage System in the United States","volume":"49","author":[{"family":"Zimmerle","given":"Daniel J."},{"family":"Williams","given":"Laurie L."},{"family":"Vaughn","given":"Timothy L."},{"family":"Quinn","given":"Casey"},{"family":"Subramanian","given":"R."},{"family":"Duggan","given":"Gerald P."},{"family":"Willson","given":"Bryan"},{"family":"Opsomer","given":"Jean D."},{"family":"Marchese","given":"Anthony J."},{"family":"Martinez","given":"David M."},{"family":"Robinson","given":"Allen L."}],"issued":{"date-parts":[["2015",8,4]]}}}],"schema":"https://github.com/citation-style-language/schema/raw/master/csl-citation.json"} </w:instrText>
      </w:r>
      <w:r w:rsidR="00F6202B" w:rsidRPr="00AF41A6">
        <w:fldChar w:fldCharType="separate"/>
      </w:r>
      <w:r w:rsidR="00764282" w:rsidRPr="00AF41A6">
        <w:rPr>
          <w:rFonts w:cs="Times New Roman"/>
        </w:rPr>
        <w:t>(American Gas Association, 2014; ICF International, 2014; IEA, 2021a; US EPA, 2019a, 2019b; Zimmerle et al., 2015)</w:t>
      </w:r>
      <w:r w:rsidR="00F6202B" w:rsidRPr="00AF41A6">
        <w:fldChar w:fldCharType="end"/>
      </w:r>
      <w:r w:rsidR="00F6202B" w:rsidRPr="00AF41A6">
        <w:t xml:space="preserve">. The US Environmental Protection Agency’s </w:t>
      </w:r>
      <w:r w:rsidR="008A6BBE" w:rsidRPr="00AF41A6">
        <w:t xml:space="preserve">(EPA) </w:t>
      </w:r>
      <w:r w:rsidR="00F6202B" w:rsidRPr="00AF41A6">
        <w:t>Gas STAR program additionally has a</w:t>
      </w:r>
      <w:r w:rsidR="00A60EB9" w:rsidRPr="00AF41A6">
        <w:t>n information</w:t>
      </w:r>
      <w:r w:rsidR="00F6202B" w:rsidRPr="00AF41A6">
        <w:t xml:space="preserve"> repository of over 70 practices and technologies that have been voluntarily implemented by US operators.</w:t>
      </w:r>
      <w:r w:rsidR="00F6202B" w:rsidRPr="00AF41A6">
        <w:rPr>
          <w:rStyle w:val="FootnoteReference"/>
        </w:rPr>
        <w:footnoteReference w:id="2"/>
      </w:r>
      <w:r w:rsidR="00F6202B" w:rsidRPr="00AF41A6">
        <w:t xml:space="preserve"> The t</w:t>
      </w:r>
      <w:r w:rsidR="003A4C51" w:rsidRPr="00AF41A6">
        <w:t xml:space="preserve">op </w:t>
      </w:r>
      <w:r w:rsidR="00F6202B" w:rsidRPr="00AF41A6">
        <w:t xml:space="preserve">ten </w:t>
      </w:r>
      <w:r w:rsidR="003A4C51" w:rsidRPr="00AF41A6">
        <w:t xml:space="preserve">measures </w:t>
      </w:r>
      <w:r w:rsidR="00F6202B" w:rsidRPr="00AF41A6">
        <w:t xml:space="preserve">by mass of methane abated under this program are presented in </w:t>
      </w:r>
      <w:r w:rsidR="009C4880" w:rsidRPr="00AF41A6">
        <w:fldChar w:fldCharType="begin"/>
      </w:r>
      <w:r w:rsidR="009C4880" w:rsidRPr="00AF41A6">
        <w:instrText xml:space="preserve"> REF _Ref72242394 \h </w:instrText>
      </w:r>
      <w:r w:rsidR="009C4880" w:rsidRPr="00AF41A6">
        <w:fldChar w:fldCharType="separate"/>
      </w:r>
      <w:r w:rsidR="003D1925" w:rsidRPr="00AF41A6">
        <w:t xml:space="preserve">Figure </w:t>
      </w:r>
      <w:r w:rsidR="003D1925">
        <w:rPr>
          <w:noProof/>
        </w:rPr>
        <w:t>7</w:t>
      </w:r>
      <w:r w:rsidR="009C4880" w:rsidRPr="00AF41A6">
        <w:fldChar w:fldCharType="end"/>
      </w:r>
      <w:r w:rsidR="009C4880" w:rsidRPr="00AF41A6">
        <w:t xml:space="preserve">. An alternative global perspective is provided in </w:t>
      </w:r>
      <w:r w:rsidR="009C4880" w:rsidRPr="00AF41A6">
        <w:fldChar w:fldCharType="begin"/>
      </w:r>
      <w:r w:rsidR="009C4880" w:rsidRPr="00AF41A6">
        <w:instrText xml:space="preserve"> REF _Ref72242789 \h </w:instrText>
      </w:r>
      <w:r w:rsidR="009C4880" w:rsidRPr="00AF41A6">
        <w:fldChar w:fldCharType="separate"/>
      </w:r>
      <w:r w:rsidR="003D1925" w:rsidRPr="00AF41A6">
        <w:t xml:space="preserve">Figure </w:t>
      </w:r>
      <w:r w:rsidR="003D1925">
        <w:rPr>
          <w:noProof/>
        </w:rPr>
        <w:t>8</w:t>
      </w:r>
      <w:r w:rsidR="009C4880" w:rsidRPr="00AF41A6">
        <w:fldChar w:fldCharType="end"/>
      </w:r>
      <w:r w:rsidR="009C4880" w:rsidRPr="00AF41A6">
        <w:t xml:space="preserve">, which additionally demonstrates that a significant portion of these fixes is achievable at no </w:t>
      </w:r>
      <w:r w:rsidR="00A60EB9" w:rsidRPr="00AF41A6">
        <w:t xml:space="preserve">net </w:t>
      </w:r>
      <w:r w:rsidR="00E2235A">
        <w:t xml:space="preserve">lifetime </w:t>
      </w:r>
      <w:r w:rsidR="00A60EB9" w:rsidRPr="00AF41A6">
        <w:t>cost</w:t>
      </w:r>
      <w:r w:rsidR="009C4880" w:rsidRPr="00AF41A6">
        <w:t xml:space="preserve"> based on the value of the saved product – from a producer’s perspective, methane emissions are simply lost </w:t>
      </w:r>
      <w:r w:rsidR="003D1925">
        <w:t xml:space="preserve">natural gas </w:t>
      </w:r>
      <w:r w:rsidR="009C4880" w:rsidRPr="00AF41A6">
        <w:t xml:space="preserve">product. Both of these figures represent the diversity of options available and the diversity of emissions sources that they address. </w:t>
      </w:r>
    </w:p>
    <w:p w14:paraId="5A74B8D4" w14:textId="2599E9B1" w:rsidR="003A4C51" w:rsidRPr="00AF41A6" w:rsidRDefault="003D1925" w:rsidP="003A4C51">
      <w:r>
        <w:t>The</w:t>
      </w:r>
      <w:r w:rsidR="00954C15" w:rsidRPr="00AF41A6">
        <w:t xml:space="preserve"> abatement options can be broadly classified as:</w:t>
      </w:r>
    </w:p>
    <w:p w14:paraId="0E0BAF32" w14:textId="52D153AB" w:rsidR="00954C15" w:rsidRPr="00AF41A6" w:rsidRDefault="00954C15" w:rsidP="00D910B7">
      <w:pPr>
        <w:pStyle w:val="ListParagraph"/>
        <w:numPr>
          <w:ilvl w:val="0"/>
          <w:numId w:val="20"/>
        </w:numPr>
      </w:pPr>
      <w:r w:rsidRPr="00AF41A6">
        <w:t>Device conversion, replacement, and installation</w:t>
      </w:r>
    </w:p>
    <w:p w14:paraId="298AF477" w14:textId="4383AA2D" w:rsidR="00954C15" w:rsidRPr="00AF41A6" w:rsidRDefault="00954C15" w:rsidP="00D910B7">
      <w:pPr>
        <w:pStyle w:val="ListParagraph"/>
        <w:numPr>
          <w:ilvl w:val="0"/>
          <w:numId w:val="20"/>
        </w:numPr>
      </w:pPr>
      <w:r w:rsidRPr="00AF41A6">
        <w:t>Changes to operations and maintenance practices</w:t>
      </w:r>
    </w:p>
    <w:p w14:paraId="2D245F22" w14:textId="013BF345" w:rsidR="00954C15" w:rsidRPr="00AF41A6" w:rsidRDefault="00954C15" w:rsidP="00D910B7">
      <w:pPr>
        <w:pStyle w:val="ListParagraph"/>
        <w:numPr>
          <w:ilvl w:val="0"/>
          <w:numId w:val="20"/>
        </w:numPr>
      </w:pPr>
      <w:r w:rsidRPr="00AF41A6">
        <w:t>Leak detection and repair</w:t>
      </w:r>
    </w:p>
    <w:p w14:paraId="3B5F84C1" w14:textId="5DF7C200" w:rsidR="003A4C51" w:rsidRPr="00AF41A6" w:rsidRDefault="00954C15" w:rsidP="00D910B7">
      <w:pPr>
        <w:pStyle w:val="ListParagraph"/>
        <w:numPr>
          <w:ilvl w:val="0"/>
          <w:numId w:val="20"/>
        </w:numPr>
      </w:pPr>
      <w:r w:rsidRPr="00AF41A6">
        <w:t>Infrastructure overhaul.</w:t>
      </w:r>
    </w:p>
    <w:p w14:paraId="2AF6FB64" w14:textId="6016FD4C" w:rsidR="003A4C51" w:rsidRPr="00AF41A6" w:rsidRDefault="003A4C51" w:rsidP="003A4C51">
      <w:r w:rsidRPr="00AF41A6">
        <w:rPr>
          <w:noProof/>
          <w:lang w:eastAsia="en-US"/>
        </w:rPr>
        <w:drawing>
          <wp:inline distT="0" distB="0" distL="0" distR="0" wp14:anchorId="6D0041DF" wp14:editId="76BFE0A2">
            <wp:extent cx="5943600" cy="16484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8460"/>
                    </a:xfrm>
                    <a:prstGeom prst="rect">
                      <a:avLst/>
                    </a:prstGeom>
                  </pic:spPr>
                </pic:pic>
              </a:graphicData>
            </a:graphic>
          </wp:inline>
        </w:drawing>
      </w:r>
    </w:p>
    <w:p w14:paraId="6DD5604C" w14:textId="57E45D41" w:rsidR="003A4C51" w:rsidRPr="00AF41A6" w:rsidRDefault="00F6202B" w:rsidP="009C4880">
      <w:pPr>
        <w:pStyle w:val="Caption"/>
      </w:pPr>
      <w:bookmarkStart w:id="20" w:name="_Ref72242394"/>
      <w:bookmarkStart w:id="21" w:name="_Toc75940741"/>
      <w:r w:rsidRPr="00AF41A6">
        <w:t xml:space="preserve">Figure </w:t>
      </w:r>
      <w:fldSimple w:instr=" SEQ Figure \* ARABIC ">
        <w:r w:rsidR="003D1925">
          <w:rPr>
            <w:noProof/>
          </w:rPr>
          <w:t>7</w:t>
        </w:r>
      </w:fldSimple>
      <w:bookmarkEnd w:id="20"/>
      <w:r w:rsidRPr="00AF41A6">
        <w:t>: Top categories of methane abatement measures implemented in 2019</w:t>
      </w:r>
      <w:r w:rsidR="009C4880" w:rsidRPr="00AF41A6">
        <w:t xml:space="preserve"> in the United States (US EPA Gas STAR).</w:t>
      </w:r>
      <w:bookmarkEnd w:id="21"/>
    </w:p>
    <w:p w14:paraId="528254F8" w14:textId="77777777" w:rsidR="003A4C51" w:rsidRPr="00AF41A6" w:rsidRDefault="003A4C51" w:rsidP="003A4C51">
      <w:r w:rsidRPr="00AF41A6">
        <w:rPr>
          <w:noProof/>
          <w:lang w:eastAsia="en-US"/>
        </w:rPr>
        <w:drawing>
          <wp:inline distT="0" distB="0" distL="0" distR="0" wp14:anchorId="161CE260" wp14:editId="5674F2E9">
            <wp:extent cx="4933950" cy="3857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3857625"/>
                    </a:xfrm>
                    <a:prstGeom prst="rect">
                      <a:avLst/>
                    </a:prstGeom>
                  </pic:spPr>
                </pic:pic>
              </a:graphicData>
            </a:graphic>
          </wp:inline>
        </w:drawing>
      </w:r>
    </w:p>
    <w:p w14:paraId="5675D3CA" w14:textId="6DC0FAF7" w:rsidR="009C4880" w:rsidRPr="00AF41A6" w:rsidRDefault="009C4880" w:rsidP="009C4880">
      <w:pPr>
        <w:pStyle w:val="Caption"/>
      </w:pPr>
      <w:bookmarkStart w:id="22" w:name="_Ref72242789"/>
      <w:bookmarkStart w:id="23" w:name="_Toc75940742"/>
      <w:r w:rsidRPr="00AF41A6">
        <w:t xml:space="preserve">Figure </w:t>
      </w:r>
      <w:fldSimple w:instr=" SEQ Figure \* ARABIC ">
        <w:r w:rsidR="003D1925">
          <w:rPr>
            <w:noProof/>
          </w:rPr>
          <w:t>8</w:t>
        </w:r>
      </w:fldSimple>
      <w:bookmarkEnd w:id="22"/>
      <w:r w:rsidRPr="00AF41A6">
        <w:t xml:space="preserve">: Methane abatement opportunities in global assessment of oil and gas supply chains – 2030 estimate </w:t>
      </w:r>
      <w:r w:rsidRPr="00AF41A6">
        <w:fldChar w:fldCharType="begin"/>
      </w:r>
      <w:r w:rsidR="00764282" w:rsidRPr="00AF41A6">
        <w:instrText xml:space="preserve"> ADDIN ZOTERO_ITEM CSL_CITATION {"citationID":"58lZivt9","properties":{"formattedCitation":"(US EPA, 2019a)","plainCitation":"(US EPA, 2019a)","noteIndex":0},"citationItems":[{"id":1621,"uris":["http://zotero.org/users/7422708/items/LALFKW5R"],"uri":["http://zotero.org/users/7422708/items/LALFKW5R"],"itemData":{"id":1621,"type":"article","publisher":"US Environmental Protection Agency Office of Atmospheric Programs","title":"Non-CO2 Methodology Report","URL":"https://www.epa.gov/global-mitigation-non-co2-greenhouse-gases/global-non-co2-greenhouse-gas-emission-projections","author":[{"family":"US EPA","given":""}],"issued":{"date-parts":[["2019"]]}}}],"schema":"https://github.com/citation-style-language/schema/raw/master/csl-citation.json"} </w:instrText>
      </w:r>
      <w:r w:rsidRPr="00AF41A6">
        <w:fldChar w:fldCharType="separate"/>
      </w:r>
      <w:r w:rsidR="00764282" w:rsidRPr="00AF41A6">
        <w:rPr>
          <w:rFonts w:cs="Times New Roman"/>
        </w:rPr>
        <w:t>(US EPA, 2019a)</w:t>
      </w:r>
      <w:r w:rsidRPr="00AF41A6">
        <w:fldChar w:fldCharType="end"/>
      </w:r>
      <w:r w:rsidRPr="00AF41A6">
        <w:t>.</w:t>
      </w:r>
      <w:bookmarkEnd w:id="23"/>
    </w:p>
    <w:p w14:paraId="32ADD99E" w14:textId="77777777" w:rsidR="003A4C51" w:rsidRPr="00AF41A6" w:rsidRDefault="003A4C51" w:rsidP="003A4C51"/>
    <w:p w14:paraId="04DA5BEF" w14:textId="1B43C7E0" w:rsidR="00954C15" w:rsidRPr="00AF41A6" w:rsidRDefault="008E4E25" w:rsidP="00954C15">
      <w:pPr>
        <w:pStyle w:val="Heading4"/>
      </w:pPr>
      <w:r w:rsidRPr="00AF41A6">
        <w:t>Device conversion</w:t>
      </w:r>
      <w:r w:rsidR="003A4C51" w:rsidRPr="00AF41A6">
        <w:t>, replacement, and installation</w:t>
      </w:r>
    </w:p>
    <w:p w14:paraId="38A9D866" w14:textId="40A56DE9" w:rsidR="008E4E25" w:rsidRPr="00AF41A6" w:rsidRDefault="00EC0B0C" w:rsidP="008E4E25">
      <w:r w:rsidRPr="00AF41A6">
        <w:t>This category typically addresses the known meth</w:t>
      </w:r>
      <w:r w:rsidR="00A649A5">
        <w:t>ane emissions sources from stationary</w:t>
      </w:r>
      <w:r w:rsidRPr="00AF41A6">
        <w:t xml:space="preserve"> devices. Examples include</w:t>
      </w:r>
      <w:r w:rsidR="008E4E25" w:rsidRPr="00AF41A6">
        <w:t xml:space="preserve"> converting gas-pneumatic controls to air-pneumatic controls,</w:t>
      </w:r>
      <w:r w:rsidR="00A60EB9" w:rsidRPr="00AF41A6">
        <w:rPr>
          <w:rStyle w:val="FootnoteReference"/>
        </w:rPr>
        <w:footnoteReference w:id="3"/>
      </w:r>
      <w:r w:rsidR="008E4E25" w:rsidRPr="00AF41A6">
        <w:t xml:space="preserve"> and installation of new venting control devices </w:t>
      </w:r>
      <w:r w:rsidR="001300D0" w:rsidRPr="00AF41A6">
        <w:t xml:space="preserve">to </w:t>
      </w:r>
      <w:r w:rsidR="008E4E25" w:rsidRPr="00AF41A6">
        <w:t xml:space="preserve">equipment such as storage tanks and well heads. </w:t>
      </w:r>
      <w:r w:rsidR="00A60EB9" w:rsidRPr="00AF41A6">
        <w:t>These methods c</w:t>
      </w:r>
      <w:r w:rsidR="008E4E25" w:rsidRPr="00AF41A6">
        <w:t xml:space="preserve">an address fugitive leaks, intentional venting, and combustion slip categories of methane emissions. </w:t>
      </w:r>
    </w:p>
    <w:p w14:paraId="64FBC4B0" w14:textId="388297C0" w:rsidR="00954C15" w:rsidRPr="00AF41A6" w:rsidRDefault="008E4E25" w:rsidP="00954C15">
      <w:pPr>
        <w:pStyle w:val="Heading4"/>
      </w:pPr>
      <w:r w:rsidRPr="00AF41A6">
        <w:t>Changes to opera</w:t>
      </w:r>
      <w:r w:rsidR="00954C15" w:rsidRPr="00AF41A6">
        <w:t>tions and maintenance practices</w:t>
      </w:r>
    </w:p>
    <w:p w14:paraId="02E405BC" w14:textId="2576650E" w:rsidR="008E4E25" w:rsidRPr="00AF41A6" w:rsidRDefault="008E4E25" w:rsidP="008E4E25">
      <w:r w:rsidRPr="00AF41A6">
        <w:t>Alter</w:t>
      </w:r>
      <w:r w:rsidR="001D6EAB" w:rsidRPr="00AF41A6">
        <w:t>native practices can reduce</w:t>
      </w:r>
      <w:r w:rsidRPr="00AF41A6">
        <w:t xml:space="preserve"> </w:t>
      </w:r>
      <w:r w:rsidR="001300D0" w:rsidRPr="00AF41A6">
        <w:t>intentional venting and fugitive emissions</w:t>
      </w:r>
      <w:r w:rsidRPr="00AF41A6">
        <w:t xml:space="preserve">. </w:t>
      </w:r>
      <w:r w:rsidR="001D6EAB" w:rsidRPr="00AF41A6">
        <w:t>Examples include maintenance procedures that do not require blow-down or venting of the section of pipe being worked on</w:t>
      </w:r>
      <w:r w:rsidR="00EC0B0C" w:rsidRPr="00AF41A6">
        <w:t xml:space="preserve"> </w:t>
      </w:r>
      <w:r w:rsidR="00EC0B0C" w:rsidRPr="00AF41A6">
        <w:fldChar w:fldCharType="begin"/>
      </w:r>
      <w:r w:rsidR="00EC0B0C" w:rsidRPr="00AF41A6">
        <w:instrText xml:space="preserve"> ADDIN ZOTERO_ITEM CSL_CITATION {"citationID":"mTi65qbU","properties":{"formattedCitation":"(American Gas Association, 2014)","plainCitation":"(American Gas Association, 2014)","noteIndex":0},"citationItems":[{"id":1569,"uris":["http://zotero.org/users/7422708/items/IRPI9FBH"],"uri":["http://zotero.org/users/7422708/items/IRPI9FBH"],"itemData":{"id":1569,"type":"article","publisher":"American Gas Association","title":"AGA Guidelines for Reducing Natural Gas Emissions From Distribution Systems","URL":"https://www.aga.org/sites/default/files/aga_guidelines_for_natural_gas_emission_reduction_bd_approved_may_17_2014.pdf","author":[{"family":"American Gas Association","given":""}],"issued":{"date-parts":[["2014"]]}}}],"schema":"https://github.com/citation-style-language/schema/raw/master/csl-citation.json"} </w:instrText>
      </w:r>
      <w:r w:rsidR="00EC0B0C" w:rsidRPr="00AF41A6">
        <w:fldChar w:fldCharType="separate"/>
      </w:r>
      <w:r w:rsidR="00EC0B0C" w:rsidRPr="00AF41A6">
        <w:rPr>
          <w:rFonts w:cs="Times New Roman"/>
        </w:rPr>
        <w:t>(American Gas Association, 2014)</w:t>
      </w:r>
      <w:r w:rsidR="00EC0B0C" w:rsidRPr="00AF41A6">
        <w:fldChar w:fldCharType="end"/>
      </w:r>
      <w:r w:rsidR="001D6EAB" w:rsidRPr="00AF41A6">
        <w:t xml:space="preserve">. Improved monitoring of product flows also alerts operators to system faults such as leaks. </w:t>
      </w:r>
    </w:p>
    <w:p w14:paraId="4569A0DF" w14:textId="54914B2C" w:rsidR="00954C15" w:rsidRPr="00AF41A6" w:rsidRDefault="008E4E25" w:rsidP="00954C15">
      <w:pPr>
        <w:pStyle w:val="Heading4"/>
      </w:pPr>
      <w:r w:rsidRPr="00AF41A6">
        <w:t>Leak detection and repair</w:t>
      </w:r>
    </w:p>
    <w:p w14:paraId="03429C9C" w14:textId="148F6E55" w:rsidR="00A60EB9" w:rsidRPr="00AF41A6" w:rsidRDefault="001D6EAB" w:rsidP="001D6EAB">
      <w:r w:rsidRPr="00AF41A6">
        <w:t xml:space="preserve">Fugitive emissions must first be found before they can be fixed. Leak detection and repair (LDAR) is the term describing the </w:t>
      </w:r>
      <w:r w:rsidR="00FC6479" w:rsidRPr="00AF41A6">
        <w:t xml:space="preserve">systematic </w:t>
      </w:r>
      <w:r w:rsidRPr="00AF41A6">
        <w:t>screen</w:t>
      </w:r>
      <w:r w:rsidR="00DC3E28" w:rsidRPr="00AF41A6">
        <w:t>ing, inspection, maintenance,</w:t>
      </w:r>
      <w:r w:rsidRPr="00AF41A6">
        <w:t xml:space="preserve"> repair</w:t>
      </w:r>
      <w:r w:rsidR="00DC3E28" w:rsidRPr="00AF41A6">
        <w:t>, and recording</w:t>
      </w:r>
      <w:r w:rsidRPr="00AF41A6">
        <w:t xml:space="preserve"> of emissions</w:t>
      </w:r>
      <w:r w:rsidR="00FC6479" w:rsidRPr="00AF41A6">
        <w:t xml:space="preserve"> sources</w:t>
      </w:r>
      <w:r w:rsidRPr="00AF41A6">
        <w:t xml:space="preserve"> in this category. </w:t>
      </w:r>
      <w:r w:rsidR="00A60EB9" w:rsidRPr="00AF41A6">
        <w:t>LDAR or direct</w:t>
      </w:r>
      <w:r w:rsidR="00FE4B74" w:rsidRPr="00AF41A6">
        <w:t>ed</w:t>
      </w:r>
      <w:r w:rsidR="00A60EB9" w:rsidRPr="00AF41A6">
        <w:t xml:space="preserve"> inspection and maintenance can be classified in the above category of changes to operational practices </w:t>
      </w:r>
      <w:r w:rsidR="00A60EB9" w:rsidRPr="00AF41A6">
        <w:fldChar w:fldCharType="begin"/>
      </w:r>
      <w:r w:rsidR="00764282" w:rsidRPr="00AF41A6">
        <w:instrText xml:space="preserve"> ADDIN ZOTERO_ITEM CSL_CITATION {"citationID":"sGXWtNQI","properties":{"formattedCitation":"(US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A60EB9" w:rsidRPr="00AF41A6">
        <w:fldChar w:fldCharType="separate"/>
      </w:r>
      <w:r w:rsidR="00764282" w:rsidRPr="00AF41A6">
        <w:rPr>
          <w:rFonts w:cs="Times New Roman"/>
        </w:rPr>
        <w:t>(US EPA, 2019b)</w:t>
      </w:r>
      <w:r w:rsidR="00A60EB9" w:rsidRPr="00AF41A6">
        <w:fldChar w:fldCharType="end"/>
      </w:r>
      <w:r w:rsidR="00A60EB9" w:rsidRPr="00AF41A6">
        <w:t>, but the growing number of techniques for conducting LDAR warrant</w:t>
      </w:r>
      <w:r w:rsidR="00A649A5">
        <w:t>s</w:t>
      </w:r>
      <w:r w:rsidR="00A60EB9" w:rsidRPr="00AF41A6">
        <w:t xml:space="preserve"> an expanded discussion. </w:t>
      </w:r>
      <w:r w:rsidRPr="00AF41A6">
        <w:t>The detection portion of LDAR can be carried out by an increasing number of methods</w:t>
      </w:r>
      <w:r w:rsidR="00DC3E28" w:rsidRPr="00AF41A6">
        <w:t xml:space="preserve"> </w:t>
      </w:r>
      <w:r w:rsidR="00DC3E28" w:rsidRPr="00AF41A6">
        <w:fldChar w:fldCharType="begin"/>
      </w:r>
      <w:r w:rsidR="001300D0" w:rsidRPr="00AF41A6">
        <w:instrText xml:space="preserve"> ADDIN ZOTERO_ITEM CSL_CITATION {"citationID":"OaFMkgFb","properties":{"formattedCitation":"(Datu Research, 2017; Fox et al., 2019; Kemp et al., 2016)","plainCitation":"(Datu Research, 2017; Fox et al., 2019; Kemp et al., 2016)","noteIndex":0},"citationItems":[{"id":1624,"uris":["http://zotero.org/users/7422708/items/TPUSQAEB"],"uri":["http://zotero.org/users/7422708/items/TPUSQAEB"],"itemData":{"id":1624,"type":"article","publisher":"Environmental Defense Fund","title":"Find and Fix: Job Creation in the Emerging Methane Leak Detection and Repair Industry","URL":"https://storage.googleapis.com/edfbiz_website/Oil%20Gas%20Methane/find-and-fix-datu-research.pdf","author":[{"family":"Datu Research","given":""}],"issued":{"date-parts":[["2017"]]}}},{"id":1619,"uris":["http://zotero.org/users/7422708/items/PYJVM9AY"],"uri":["http://zotero.org/users/7422708/items/PYJVM9AY"],"itemData":{"id":1619,"type":"article-journal","abstract":"Fugitive methane emissions from the oil and gas sector are typically addressed through periodic leak detection and repair surveys. These surveys, conducted manually using handheld leak detection technologies, are time-consuming. To improve the speed and cost-effectiveness of leak detection, technology developers are introducing innovative solutions using mobile platforms, close-range portable systems, and permanent installations. Many of these new approaches promise faster, cheaper, or more effective leak detection than conventional methods. However, ensuring mitigation targets are achieved requires demonstrating that alternative approaches are at least as effective in reducing emissions as current approaches – a concept known as emissions reduction equivalence. Here, we propose a five-stage framework for demonstrating equivalence that combines controlled testing, simulation modeling, and field trials. The framework was developed in consultation with operators, regulators, academics, solution providers, consultants, and non-profit groups from Canada and the U.S. We present the equivalence framework and discuss challenges to implementation.","container-title":"Elementa: Science of the Anthropocene","DOI":"10.1525/elementa.369","ISSN":"2325-1026","language":"en","page":"30","source":"DOI.org (Crossref)","title":"A methane emissions reduction equivalence framework for alternative leak detection and repair programs","volume":"7","author":[{"family":"Fox","given":"Thomas A."},{"family":"Ravikumar","given":"Arvind P."},{"family":"Hugenholtz","given":"Chris H."},{"family":"Zimmerle","given":"Daniel"},{"family":"Barchyn","given":"Thomas E."},{"family":"Johnson","given":"Matthew R."},{"family":"Lyon","given":"David"},{"family":"Taylor","given":"Tim"}],"editor":[{"family":"Helmig","given":"Detlev"},{"family":"Schwietzke","given":"Stefan"}],"issued":{"date-parts":[["2019",1,1]]}}},{"id":1547,"uris":["http://zotero.org/users/7422708/items/XJDCG72Q"],"uri":["http://zotero.org/users/7422708/items/XJDCG72Q"],"itemData":{"id":1547,"type":"article-journal","abstract":"We present a tool for modeling the performance of methane leak detection and repair programs that can be used to evaluate the eﬀectiveness of detection technologies and proposed mitigation policies. The tool uses a two-state Markov model to simulate the evolution of methane leakage from an artiﬁcial natural gas ﬁeld. Leaks are created stochastically, drawing from the current understanding of the frequency and size distributions at production facilities. Various leak detection and repair programs can be simulated to determine the rate at which each would identify and repair leaks. Integrating the methane leakage over time enables a meaningful comparison between technologies, using both economic and environmental metrics. We simulate four existing or proposed detection technologies: ﬂame ionization detection, manual infrared camera, automated infrared drone, and distributed detectors. Comparing these four technologies, we found that over 80% of simulated leakage could be mitigated with a positive net present value, although the maximum beneﬁt is realized by selectively targeting larger leaks. Our results show that low-cost leak detection programs can rely on high-cost technology, as long as it is applied in a way that allows for rapid detection of large leaks. Any strategy to reduce leakage should require a careful consideration of the diﬀerences between low-cost technologies and low-cost programs.","container-title":"Environmental Science &amp; Technology","DOI":"10.1021/acs.est.5b06068","ISSN":"0013-936X, 1520-5851","issue":"8","journalAbbreviation":"Environ. Sci. Technol.","language":"en","page":"4546-4553","source":"DOI.org (Crossref)","title":"Comparing Natural Gas Leakage Detection Technologies Using an Open-Source “Virtual Gas Field” Simulator","volume":"50","author":[{"family":"Kemp","given":"Chandler E."},{"family":"Ravikumar","given":"Arvind P."},{"family":"Brandt","given":"Adam R."}],"issued":{"date-parts":[["2016",4,19]]}}}],"schema":"https://github.com/citation-style-language/schema/raw/master/csl-citation.json"} </w:instrText>
      </w:r>
      <w:r w:rsidR="00DC3E28" w:rsidRPr="00AF41A6">
        <w:fldChar w:fldCharType="separate"/>
      </w:r>
      <w:r w:rsidR="001300D0" w:rsidRPr="00AF41A6">
        <w:rPr>
          <w:rFonts w:cs="Times New Roman"/>
        </w:rPr>
        <w:t>(Datu Research, 2017; Fox et al., 2019; Kemp et al., 2016)</w:t>
      </w:r>
      <w:r w:rsidR="00DC3E28" w:rsidRPr="00AF41A6">
        <w:fldChar w:fldCharType="end"/>
      </w:r>
      <w:r w:rsidR="00AA55A5" w:rsidRPr="00AF41A6">
        <w:t>:</w:t>
      </w:r>
    </w:p>
    <w:p w14:paraId="50998F1C" w14:textId="5333907D" w:rsidR="00A60EB9" w:rsidRPr="00AF41A6" w:rsidRDefault="00A60EB9" w:rsidP="00D910B7">
      <w:pPr>
        <w:pStyle w:val="ListParagraph"/>
        <w:numPr>
          <w:ilvl w:val="0"/>
          <w:numId w:val="21"/>
        </w:numPr>
      </w:pPr>
      <w:r w:rsidRPr="00AF41A6">
        <w:t>Optical gas imaging</w:t>
      </w:r>
    </w:p>
    <w:p w14:paraId="3430A2DA" w14:textId="77777777" w:rsidR="00DC3E28" w:rsidRPr="00AF41A6" w:rsidRDefault="00DC3E28" w:rsidP="00D910B7">
      <w:pPr>
        <w:pStyle w:val="ListParagraph"/>
        <w:numPr>
          <w:ilvl w:val="0"/>
          <w:numId w:val="21"/>
        </w:numPr>
      </w:pPr>
      <w:r w:rsidRPr="00AF41A6">
        <w:t xml:space="preserve">Audio-visual-olfactory </w:t>
      </w:r>
    </w:p>
    <w:p w14:paraId="71718252" w14:textId="2AA169B1" w:rsidR="00DC3E28" w:rsidRPr="00AF41A6" w:rsidRDefault="00DC3E28" w:rsidP="00D910B7">
      <w:pPr>
        <w:pStyle w:val="ListParagraph"/>
        <w:numPr>
          <w:ilvl w:val="0"/>
          <w:numId w:val="21"/>
        </w:numPr>
      </w:pPr>
      <w:r w:rsidRPr="00AF41A6">
        <w:t>Volumetric bag</w:t>
      </w:r>
    </w:p>
    <w:p w14:paraId="68DBCC25" w14:textId="46C96FE8" w:rsidR="00A60EB9" w:rsidRPr="00AF41A6" w:rsidRDefault="00A60EB9" w:rsidP="00D910B7">
      <w:pPr>
        <w:pStyle w:val="ListParagraph"/>
        <w:numPr>
          <w:ilvl w:val="0"/>
          <w:numId w:val="21"/>
        </w:numPr>
      </w:pPr>
      <w:r w:rsidRPr="00AF41A6">
        <w:t>Portable analyzing</w:t>
      </w:r>
    </w:p>
    <w:p w14:paraId="7C3AFE92" w14:textId="26D09C40" w:rsidR="00A60EB9" w:rsidRPr="00AF41A6" w:rsidRDefault="00A60EB9" w:rsidP="00D910B7">
      <w:pPr>
        <w:pStyle w:val="ListParagraph"/>
        <w:numPr>
          <w:ilvl w:val="0"/>
          <w:numId w:val="21"/>
        </w:numPr>
      </w:pPr>
      <w:r w:rsidRPr="00AF41A6">
        <w:t>Hi-flow sampling</w:t>
      </w:r>
    </w:p>
    <w:p w14:paraId="23424316" w14:textId="1589D9AC" w:rsidR="00A60EB9" w:rsidRPr="00AF41A6" w:rsidRDefault="00A60EB9" w:rsidP="006F0AB8">
      <w:pPr>
        <w:pStyle w:val="ListParagraph"/>
        <w:numPr>
          <w:ilvl w:val="0"/>
          <w:numId w:val="21"/>
        </w:numPr>
      </w:pPr>
      <w:r w:rsidRPr="00AF41A6">
        <w:t>Laser spectroscopy</w:t>
      </w:r>
    </w:p>
    <w:p w14:paraId="48E4525F" w14:textId="4501F47C" w:rsidR="00DC3E28" w:rsidRPr="00AF41A6" w:rsidRDefault="00A60EB9" w:rsidP="00D910B7">
      <w:pPr>
        <w:pStyle w:val="ListParagraph"/>
        <w:numPr>
          <w:ilvl w:val="0"/>
          <w:numId w:val="21"/>
        </w:numPr>
      </w:pPr>
      <w:r w:rsidRPr="00AF41A6">
        <w:t>A</w:t>
      </w:r>
      <w:r w:rsidR="006F0AB8" w:rsidRPr="00AF41A6">
        <w:t xml:space="preserve">coustic detection </w:t>
      </w:r>
    </w:p>
    <w:p w14:paraId="721442FD" w14:textId="770D1C06" w:rsidR="006F0AB8" w:rsidRPr="00AF41A6" w:rsidRDefault="006F0AB8" w:rsidP="00D910B7">
      <w:pPr>
        <w:pStyle w:val="ListParagraph"/>
        <w:numPr>
          <w:ilvl w:val="0"/>
          <w:numId w:val="21"/>
        </w:numPr>
      </w:pPr>
      <w:r w:rsidRPr="00AF41A6">
        <w:t>Canine detection</w:t>
      </w:r>
      <w:r w:rsidRPr="00AF41A6">
        <w:rPr>
          <w:rStyle w:val="FootnoteReference"/>
        </w:rPr>
        <w:footnoteReference w:id="4"/>
      </w:r>
      <w:r w:rsidRPr="00AF41A6">
        <w:t xml:space="preserve"> </w:t>
      </w:r>
    </w:p>
    <w:p w14:paraId="771550BF" w14:textId="699DC2F6" w:rsidR="00DC3E28" w:rsidRPr="00AF41A6" w:rsidRDefault="00DC3E28" w:rsidP="00DC3E28">
      <w:r w:rsidRPr="00AF41A6">
        <w:t>And instrumentation can be mounted on a variety of platforms</w:t>
      </w:r>
      <w:r w:rsidR="001300D0" w:rsidRPr="00AF41A6">
        <w:t xml:space="preserve"> (</w:t>
      </w:r>
      <w:r w:rsidR="001300D0" w:rsidRPr="00AF41A6">
        <w:fldChar w:fldCharType="begin"/>
      </w:r>
      <w:r w:rsidR="001300D0" w:rsidRPr="00AF41A6">
        <w:instrText xml:space="preserve"> REF _Ref72398183 \h </w:instrText>
      </w:r>
      <w:r w:rsidR="001300D0" w:rsidRPr="00AF41A6">
        <w:fldChar w:fldCharType="separate"/>
      </w:r>
      <w:r w:rsidR="003D1925" w:rsidRPr="00AF41A6">
        <w:t xml:space="preserve">Figure </w:t>
      </w:r>
      <w:r w:rsidR="003D1925">
        <w:rPr>
          <w:noProof/>
        </w:rPr>
        <w:t>9</w:t>
      </w:r>
      <w:r w:rsidR="001300D0" w:rsidRPr="00AF41A6">
        <w:fldChar w:fldCharType="end"/>
      </w:r>
      <w:r w:rsidR="001300D0" w:rsidRPr="00AF41A6">
        <w:t>)</w:t>
      </w:r>
      <w:r w:rsidRPr="00AF41A6">
        <w:t>:</w:t>
      </w:r>
    </w:p>
    <w:p w14:paraId="0DD0D366" w14:textId="6F3E7689" w:rsidR="00DC3E28" w:rsidRPr="00AF41A6" w:rsidRDefault="00DC3E28" w:rsidP="00D910B7">
      <w:pPr>
        <w:pStyle w:val="ListParagraph"/>
        <w:numPr>
          <w:ilvl w:val="0"/>
          <w:numId w:val="22"/>
        </w:numPr>
      </w:pPr>
      <w:r w:rsidRPr="00AF41A6">
        <w:t>Handheld</w:t>
      </w:r>
    </w:p>
    <w:p w14:paraId="0F815249" w14:textId="72D09927" w:rsidR="00DC3E28" w:rsidRPr="00AF41A6" w:rsidRDefault="00DC3E28" w:rsidP="00D910B7">
      <w:pPr>
        <w:pStyle w:val="ListParagraph"/>
        <w:numPr>
          <w:ilvl w:val="0"/>
          <w:numId w:val="22"/>
        </w:numPr>
      </w:pPr>
      <w:r w:rsidRPr="00AF41A6">
        <w:t>Truck mounted</w:t>
      </w:r>
    </w:p>
    <w:p w14:paraId="2B8D9D19" w14:textId="0814860B" w:rsidR="00DC3E28" w:rsidRPr="00AF41A6" w:rsidRDefault="00DC3E28" w:rsidP="00D910B7">
      <w:pPr>
        <w:pStyle w:val="ListParagraph"/>
        <w:numPr>
          <w:ilvl w:val="0"/>
          <w:numId w:val="22"/>
        </w:numPr>
      </w:pPr>
      <w:r w:rsidRPr="00AF41A6">
        <w:t>Stationary ground application</w:t>
      </w:r>
    </w:p>
    <w:p w14:paraId="47905B8A" w14:textId="08127017" w:rsidR="00DC3E28" w:rsidRPr="00AF41A6" w:rsidRDefault="00DC3E28" w:rsidP="00D910B7">
      <w:pPr>
        <w:pStyle w:val="ListParagraph"/>
        <w:numPr>
          <w:ilvl w:val="0"/>
          <w:numId w:val="22"/>
        </w:numPr>
      </w:pPr>
      <w:r w:rsidRPr="00AF41A6">
        <w:t>Helicopter or fixed-wing aircraft</w:t>
      </w:r>
    </w:p>
    <w:p w14:paraId="5B839D97" w14:textId="634184AB" w:rsidR="00DC3E28" w:rsidRPr="00AF41A6" w:rsidRDefault="00DC3E28" w:rsidP="00D910B7">
      <w:pPr>
        <w:pStyle w:val="ListParagraph"/>
        <w:numPr>
          <w:ilvl w:val="0"/>
          <w:numId w:val="22"/>
        </w:numPr>
      </w:pPr>
      <w:r w:rsidRPr="00AF41A6">
        <w:t>Unmanned aerial vehicle</w:t>
      </w:r>
    </w:p>
    <w:p w14:paraId="72BDE20E" w14:textId="25E1E0ED" w:rsidR="00A60EB9" w:rsidRPr="00AF41A6" w:rsidRDefault="00DC3E28" w:rsidP="00D910B7">
      <w:pPr>
        <w:pStyle w:val="ListParagraph"/>
        <w:numPr>
          <w:ilvl w:val="0"/>
          <w:numId w:val="22"/>
        </w:numPr>
      </w:pPr>
      <w:r w:rsidRPr="00AF41A6">
        <w:t xml:space="preserve">Satellite </w:t>
      </w:r>
    </w:p>
    <w:p w14:paraId="397E70D6" w14:textId="1DC841AD" w:rsidR="001D6EAB" w:rsidRPr="00AF41A6" w:rsidRDefault="001D6EAB" w:rsidP="001D6EAB">
      <w:r w:rsidRPr="00AF41A6">
        <w:t xml:space="preserve">The cost of high-technology methods can be justified by the volume of leaks detected </w:t>
      </w:r>
      <w:r w:rsidRPr="00AF41A6">
        <w:fldChar w:fldCharType="begin"/>
      </w:r>
      <w:r w:rsidRPr="00AF41A6">
        <w:instrText xml:space="preserve"> ADDIN ZOTERO_ITEM CSL_CITATION {"citationID":"x6800Pw9","properties":{"formattedCitation":"(Kemp et al., 2016)","plainCitation":"(Kemp et al., 2016)","noteIndex":0},"citationItems":[{"id":1547,"uris":["http://zotero.org/users/7422708/items/XJDCG72Q"],"uri":["http://zotero.org/users/7422708/items/XJDCG72Q"],"itemData":{"id":1547,"type":"article-journal","abstract":"We present a tool for modeling the performance of methane leak detection and repair programs that can be used to evaluate the eﬀectiveness of detection technologies and proposed mitigation policies. The tool uses a two-state Markov model to simulate the evolution of methane leakage from an artiﬁcial natural gas ﬁeld. Leaks are created stochastically, drawing from the current understanding of the frequency and size distributions at production facilities. Various leak detection and repair programs can be simulated to determine the rate at which each would identify and repair leaks. Integrating the methane leakage over time enables a meaningful comparison between technologies, using both economic and environmental metrics. We simulate four existing or proposed detection technologies: ﬂame ionization detection, manual infrared camera, automated infrared drone, and distributed detectors. Comparing these four technologies, we found that over 80% of simulated leakage could be mitigated with a positive net present value, although the maximum beneﬁt is realized by selectively targeting larger leaks. Our results show that low-cost leak detection programs can rely on high-cost technology, as long as it is applied in a way that allows for rapid detection of large leaks. Any strategy to reduce leakage should require a careful consideration of the diﬀerences between low-cost technologies and low-cost programs.","container-title":"Environmental Science &amp; Technology","DOI":"10.1021/acs.est.5b06068","ISSN":"0013-936X, 1520-5851","issue":"8","journalAbbreviation":"Environ. Sci. Technol.","language":"en","page":"4546-4553","source":"DOI.org (Crossref)","title":"Comparing Natural Gas Leakage Detection Technologies Using an Open-Source “Virtual Gas Field” Simulator","volume":"50","author":[{"family":"Kemp","given":"Chandler E."},{"family":"Ravikumar","given":"Arvind P."},{"family":"Brandt","given":"Adam R."}],"issued":{"date-parts":[["2016",4,19]]}}}],"schema":"https://github.com/citation-style-language/schema/raw/master/csl-citation.json"} </w:instrText>
      </w:r>
      <w:r w:rsidRPr="00AF41A6">
        <w:fldChar w:fldCharType="separate"/>
      </w:r>
      <w:r w:rsidRPr="00AF41A6">
        <w:rPr>
          <w:rFonts w:cs="Times New Roman"/>
        </w:rPr>
        <w:t>(Kemp et al., 2016)</w:t>
      </w:r>
      <w:r w:rsidRPr="00AF41A6">
        <w:fldChar w:fldCharType="end"/>
      </w:r>
      <w:r w:rsidRPr="00AF41A6">
        <w:t xml:space="preserve">, which can translate into cost savings once repaired. </w:t>
      </w:r>
      <w:r w:rsidR="00AA55A5" w:rsidRPr="00AF41A6">
        <w:t xml:space="preserve">New methods are emerging and costs are likely to decrease with </w:t>
      </w:r>
      <w:r w:rsidR="00FE4B74" w:rsidRPr="00AF41A6">
        <w:t xml:space="preserve">these </w:t>
      </w:r>
      <w:r w:rsidR="00AA55A5" w:rsidRPr="00AF41A6">
        <w:t xml:space="preserve">advances. </w:t>
      </w:r>
      <w:r w:rsidR="00FE4B74" w:rsidRPr="00AF41A6">
        <w:t>However, t</w:t>
      </w:r>
      <w:r w:rsidR="00AA55A5" w:rsidRPr="00AF41A6">
        <w:t>hese advances are likely to be more efficient at finding and fixing</w:t>
      </w:r>
      <w:r w:rsidR="001300D0" w:rsidRPr="00AF41A6">
        <w:t xml:space="preserve"> the largest emitting sources and</w:t>
      </w:r>
      <w:r w:rsidR="00AA55A5" w:rsidRPr="00AF41A6">
        <w:t xml:space="preserve"> it is likely that the smallest leaks in the system will still be difficult to </w:t>
      </w:r>
      <w:r w:rsidR="001300D0" w:rsidRPr="00AF41A6">
        <w:t xml:space="preserve">find and </w:t>
      </w:r>
      <w:r w:rsidR="00AA55A5" w:rsidRPr="00AF41A6">
        <w:t>abate</w:t>
      </w:r>
      <w:r w:rsidR="00A508A7" w:rsidRPr="00AF41A6">
        <w:t xml:space="preserve">, which provides </w:t>
      </w:r>
      <w:r w:rsidR="00CD7C68" w:rsidRPr="00AF41A6">
        <w:t xml:space="preserve">an insight </w:t>
      </w:r>
      <w:r w:rsidR="00AA55A5" w:rsidRPr="00AF41A6">
        <w:t xml:space="preserve">into the technical potential limit of abatement in this sector. </w:t>
      </w:r>
    </w:p>
    <w:p w14:paraId="01093A6E" w14:textId="71884D6E" w:rsidR="00954C15" w:rsidRPr="00AF41A6" w:rsidRDefault="00CD7C68" w:rsidP="001D6EAB">
      <w:r w:rsidRPr="00AF41A6">
        <w:t xml:space="preserve">The effectiveness of LDAR is linked to </w:t>
      </w:r>
      <w:r w:rsidR="001300D0" w:rsidRPr="00AF41A6">
        <w:t xml:space="preserve">the </w:t>
      </w:r>
      <w:r w:rsidRPr="00AF41A6">
        <w:t xml:space="preserve">frequency at which it is conducted. It has been previously reported that annual inspections can lead to 40% reduction in fugitive emissions, while monthly inspections lead to 80% reduction </w:t>
      </w:r>
      <w:r w:rsidRPr="00AF41A6">
        <w:fldChar w:fldCharType="begin"/>
      </w:r>
      <w:r w:rsidRPr="00AF41A6">
        <w:instrText xml:space="preserve"> ADDIN ZOTERO_ITEM CSL_CITATION {"citationID":"0EriJ5kw","properties":{"formattedCitation":"(ICF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Pr="00AF41A6">
        <w:fldChar w:fldCharType="separate"/>
      </w:r>
      <w:r w:rsidRPr="00AF41A6">
        <w:rPr>
          <w:rFonts w:cs="Times New Roman"/>
        </w:rPr>
        <w:t>(ICF International, 2014)</w:t>
      </w:r>
      <w:r w:rsidRPr="00AF41A6">
        <w:fldChar w:fldCharType="end"/>
      </w:r>
      <w:r w:rsidRPr="00AF41A6">
        <w:t>. When fixed leaks are checked about a year later, 90% of the repairs have been found to still be effective. In the same intervening time, however, new leaks occur on previously trea</w:t>
      </w:r>
      <w:r w:rsidR="00CC1088" w:rsidRPr="00AF41A6">
        <w:t xml:space="preserve">ted sections of infrastructure, meaning that LDAR represents a recurring operational cost and that frequent campaigns are required to maintain emissions abatement </w:t>
      </w:r>
      <w:r w:rsidR="00CC1088" w:rsidRPr="00AF41A6">
        <w:fldChar w:fldCharType="begin"/>
      </w:r>
      <w:r w:rsidR="00CC1088" w:rsidRPr="00AF41A6">
        <w:instrText xml:space="preserve"> ADDIN ZOTERO_ITEM CSL_CITATION {"citationID":"Q2EB8EfG","properties":{"formattedCitation":"(Ravikumar et al., 2020)","plainCitation":"(Ravikumar et al., 2020)","noteIndex":0},"citationItems":[{"id":1516,"uris":["http://zotero.org/users/7422708/items/UYLTCWPR"],"uri":["http://zotero.org/users/7422708/items/UYLTCWPR"],"itemData":{"id":1516,"type":"article-journal","abstract":"Reducing methane emissions from the oil and gas industry is a critical climate action policy tool in Canada and the US. Optical gas imaging-based leak detection and repair (LDAR) surveys are commonly used to address fugitive methane emissions or leaks. Despite widespread use, there is little empirical measurement of the effectiveness of LDAR programs at reducing long-term leakage, especially over the scale of months to years. In this study, we measure the effectiveness of LDAR surveys by quantifying emissions at 36 unconventional liquids-rich natural gas facilities in Alberta, Canada. A representative subset of these 36 facilities were visited twice by the same detection team: an initial survey and a post-repair re-survey occurring </w:instrText>
      </w:r>
      <w:r w:rsidR="00CC1088" w:rsidRPr="00AF41A6">
        <w:rPr>
          <w:rFonts w:ascii="Cambria Math" w:hAnsi="Cambria Math" w:cs="Cambria Math"/>
        </w:rPr>
        <w:instrText>∼</w:instrText>
      </w:r>
      <w:r w:rsidR="00CC1088" w:rsidRPr="00AF41A6">
        <w:instrText>0.5</w:instrText>
      </w:r>
      <w:r w:rsidR="00CC1088" w:rsidRPr="00AF41A6">
        <w:rPr>
          <w:rFonts w:cs="Times New Roman"/>
        </w:rPr>
        <w:instrText>–</w:instrText>
      </w:r>
      <w:r w:rsidR="00CC1088" w:rsidRPr="00AF41A6">
        <w:instrText xml:space="preserve">2 years after the initial survey. Overall, total emissions reduced by 44% after one LDAR survey, combining a reduction in fugitive emissions of 22% and vented emissions by 47%. Furthermore, &gt;90% of the leaks found in the initial survey were not emitting in the re-survey, suggesting high repair effectiveness. However, fugitive emissions reduced by only 22% because of new leaks that occurred between the surveys. This indicates a need for frequent, effective, and low-cost LDAR surveys to target new leaks. The large reduction in vent emissions is associated with potentially stochastic changes to tank-related emissions, which contributed </w:instrText>
      </w:r>
      <w:r w:rsidR="00CC1088" w:rsidRPr="00AF41A6">
        <w:rPr>
          <w:rFonts w:ascii="Cambria Math" w:hAnsi="Cambria Math" w:cs="Cambria Math"/>
        </w:rPr>
        <w:instrText>∼</w:instrText>
      </w:r>
      <w:r w:rsidR="00CC1088" w:rsidRPr="00AF41A6">
        <w:instrText>45% of all emissions. Our data suggest a key role for tank-speci</w:instrText>
      </w:r>
      <w:r w:rsidR="00CC1088" w:rsidRPr="00AF41A6">
        <w:rPr>
          <w:rFonts w:cs="Times New Roman"/>
        </w:rPr>
        <w:instrText>ﬁ</w:instrText>
      </w:r>
      <w:r w:rsidR="00CC1088" w:rsidRPr="00AF41A6">
        <w:instrText xml:space="preserve">c abatement strategies as an effective way to reduce oil and gas methane emissions. Finally, mitigation policies will also beneﬁt from more deﬁnitive classiﬁcation of leaks and vents.","container-title":"Environmental Research Letters","DOI":"10.1088/1748-9326/ab6ae1","ISSN":"1748-9326","issue":"3","journalAbbreviation":"Environ. Res. Lett.","language":"en","page":"034029","source":"DOI.org (Crossref)","title":"Repeated leak detection and repair surveys reduce methane emissions over scale of years","volume":"15","author":[{"family":"Ravikumar","given":"Arvind P"},{"family":"Roda-Stuart","given":"Daniel"},{"family":"Liu","given":"Ryan"},{"family":"Bradley","given":"Alexander"},{"family":"Bergerson","given":"Joule"},{"family":"Nie","given":"Yuhao"},{"family":"Zhang","given":"Siduo"},{"family":"Bi","given":"Xiaotao"},{"family":"Brandt","given":"Adam R"}],"issued":{"date-parts":[["2020",2,26]]}}}],"schema":"https://github.com/citation-style-language/schema/raw/master/csl-citation.json"} </w:instrText>
      </w:r>
      <w:r w:rsidR="00CC1088" w:rsidRPr="00AF41A6">
        <w:fldChar w:fldCharType="separate"/>
      </w:r>
      <w:r w:rsidR="00CC1088" w:rsidRPr="00AF41A6">
        <w:rPr>
          <w:rFonts w:cs="Times New Roman"/>
        </w:rPr>
        <w:t>(Ravikumar et al., 2020)</w:t>
      </w:r>
      <w:r w:rsidR="00CC1088" w:rsidRPr="00AF41A6">
        <w:fldChar w:fldCharType="end"/>
      </w:r>
      <w:r w:rsidR="00CC1088" w:rsidRPr="00AF41A6">
        <w:t>.</w:t>
      </w:r>
      <w:r w:rsidRPr="00AF41A6">
        <w:t xml:space="preserve">  </w:t>
      </w:r>
    </w:p>
    <w:p w14:paraId="2A5A5787" w14:textId="77777777" w:rsidR="00954C15" w:rsidRPr="00AF41A6" w:rsidRDefault="00954C15" w:rsidP="00954C15">
      <w:r w:rsidRPr="00AF41A6">
        <w:rPr>
          <w:noProof/>
          <w:lang w:eastAsia="en-US"/>
        </w:rPr>
        <w:drawing>
          <wp:inline distT="0" distB="0" distL="0" distR="0" wp14:anchorId="4EA13D12" wp14:editId="1AB0C8B6">
            <wp:extent cx="5943600" cy="34721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2180"/>
                    </a:xfrm>
                    <a:prstGeom prst="rect">
                      <a:avLst/>
                    </a:prstGeom>
                  </pic:spPr>
                </pic:pic>
              </a:graphicData>
            </a:graphic>
          </wp:inline>
        </w:drawing>
      </w:r>
    </w:p>
    <w:p w14:paraId="58715FE6" w14:textId="0251A8E9" w:rsidR="008E4E25" w:rsidRPr="00AF41A6" w:rsidRDefault="00954C15" w:rsidP="00CC1088">
      <w:pPr>
        <w:pStyle w:val="Caption"/>
        <w:rPr>
          <w:color w:val="000080"/>
          <w:u w:val="single"/>
        </w:rPr>
      </w:pPr>
      <w:bookmarkStart w:id="24" w:name="_Ref72398183"/>
      <w:bookmarkStart w:id="25" w:name="_Toc75940743"/>
      <w:r w:rsidRPr="00AF41A6">
        <w:t xml:space="preserve">Figure </w:t>
      </w:r>
      <w:fldSimple w:instr=" SEQ Figure \* ARABIC ">
        <w:r w:rsidR="003D1925">
          <w:rPr>
            <w:noProof/>
          </w:rPr>
          <w:t>9</w:t>
        </w:r>
      </w:fldSimple>
      <w:bookmarkEnd w:id="24"/>
      <w:r w:rsidRPr="00AF41A6">
        <w:t>: Aerial detection of a methane leak from a storage facility (University of Michigan)</w:t>
      </w:r>
      <w:r w:rsidRPr="00AF41A6">
        <w:rPr>
          <w:rStyle w:val="FootnoteReference"/>
        </w:rPr>
        <w:footnoteReference w:id="5"/>
      </w:r>
      <w:bookmarkEnd w:id="25"/>
    </w:p>
    <w:p w14:paraId="18261935" w14:textId="7510A2D5" w:rsidR="00954C15" w:rsidRPr="00AF41A6" w:rsidRDefault="00954C15" w:rsidP="00954C15">
      <w:pPr>
        <w:pStyle w:val="Heading4"/>
      </w:pPr>
      <w:r w:rsidRPr="00AF41A6">
        <w:t>Infrastructure overhaul</w:t>
      </w:r>
    </w:p>
    <w:p w14:paraId="68860553" w14:textId="26E3D9BF" w:rsidR="003A4C51" w:rsidRPr="00AF41A6" w:rsidRDefault="001300D0" w:rsidP="003A4C51">
      <w:r w:rsidRPr="00AF41A6">
        <w:t>In some cases, natural gas transmission and distribution infrastructure is overhauled</w:t>
      </w:r>
      <w:r w:rsidR="00EA6283" w:rsidRPr="00AF41A6">
        <w:t xml:space="preserve"> or replaced</w:t>
      </w:r>
      <w:r w:rsidRPr="00AF41A6">
        <w:t xml:space="preserve">. </w:t>
      </w:r>
      <w:r w:rsidR="00EA6283" w:rsidRPr="00AF41A6">
        <w:t xml:space="preserve">Leaking pipes can be re-lined with plastic or replaced altogether with newer materials. At a cost of  $1-5 million per mile of replacement </w:t>
      </w:r>
      <w:r w:rsidR="00EA6283" w:rsidRPr="00AF41A6">
        <w:fldChar w:fldCharType="begin"/>
      </w:r>
      <w:r w:rsidR="00EA6283" w:rsidRPr="00AF41A6">
        <w:instrText xml:space="preserve"> ADDIN ZOTERO_ITEM CSL_CITATION {"citationID":"JbAir10P","properties":{"formattedCitation":"(American Gas Association, 2014)","plainCitation":"(American Gas Association, 2014)","noteIndex":0},"citationItems":[{"id":1569,"uris":["http://zotero.org/users/7422708/items/IRPI9FBH"],"uri":["http://zotero.org/users/7422708/items/IRPI9FBH"],"itemData":{"id":1569,"type":"article","publisher":"American Gas Association","title":"AGA Guidelines for Reducing Natural Gas Emissions From Distribution Systems","URL":"https://www.aga.org/sites/default/files/aga_guidelines_for_natural_gas_emission_reduction_bd_approved_may_17_2014.pdf","author":[{"family":"American Gas Association","given":""}],"issued":{"date-parts":[["2014"]]}}}],"schema":"https://github.com/citation-style-language/schema/raw/master/csl-citation.json"} </w:instrText>
      </w:r>
      <w:r w:rsidR="00EA6283" w:rsidRPr="00AF41A6">
        <w:fldChar w:fldCharType="separate"/>
      </w:r>
      <w:r w:rsidR="00EA6283" w:rsidRPr="00AF41A6">
        <w:rPr>
          <w:rFonts w:cs="Times New Roman"/>
        </w:rPr>
        <w:t>(American Gas Association, 2014)</w:t>
      </w:r>
      <w:r w:rsidR="00EA6283" w:rsidRPr="00AF41A6">
        <w:fldChar w:fldCharType="end"/>
      </w:r>
      <w:r w:rsidR="00EA6283" w:rsidRPr="00AF41A6">
        <w:t xml:space="preserve"> pipeline overhaul is not expected to be justifiable on the basis on methane emissions reductions alone </w:t>
      </w:r>
      <w:r w:rsidR="00EA6283" w:rsidRPr="00AF41A6">
        <w:fldChar w:fldCharType="begin"/>
      </w:r>
      <w:r w:rsidR="00764282" w:rsidRPr="00AF41A6">
        <w:instrText xml:space="preserve"> ADDIN ZOTERO_ITEM CSL_CITATION {"citationID":"Xs3fsJ2R","properties":{"formattedCitation":"(US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EA6283" w:rsidRPr="00AF41A6">
        <w:fldChar w:fldCharType="separate"/>
      </w:r>
      <w:r w:rsidR="00764282" w:rsidRPr="00AF41A6">
        <w:rPr>
          <w:rFonts w:cs="Times New Roman"/>
        </w:rPr>
        <w:t>(US EPA, 2019b)</w:t>
      </w:r>
      <w:r w:rsidR="00EA6283" w:rsidRPr="00AF41A6">
        <w:fldChar w:fldCharType="end"/>
      </w:r>
      <w:r w:rsidR="00EA6283" w:rsidRPr="00AF41A6">
        <w:t xml:space="preserve">. </w:t>
      </w:r>
      <w:r w:rsidRPr="00AF41A6">
        <w:t>The primary motivation is typically safety,</w:t>
      </w:r>
      <w:r w:rsidR="00F06EF6" w:rsidRPr="00AF41A6">
        <w:t xml:space="preserve"> end-of-life replacement, </w:t>
      </w:r>
      <w:r w:rsidRPr="00AF41A6">
        <w:t xml:space="preserve">new construction, or retro-fitting for </w:t>
      </w:r>
      <w:r w:rsidR="00EA6283" w:rsidRPr="00AF41A6">
        <w:t xml:space="preserve">alternative </w:t>
      </w:r>
      <w:r w:rsidRPr="00AF41A6">
        <w:t>future uses of the natural gas grid. Methane emissions reductions often occur as a co-benefit to these upgrades, as newer pipes and novel materials generally leak less</w:t>
      </w:r>
      <w:r w:rsidR="00EA6283" w:rsidRPr="00AF41A6">
        <w:t xml:space="preserve"> (</w:t>
      </w:r>
      <w:r w:rsidR="00EA6283" w:rsidRPr="00AF41A6">
        <w:fldChar w:fldCharType="begin"/>
      </w:r>
      <w:r w:rsidR="00EA6283" w:rsidRPr="00AF41A6">
        <w:instrText xml:space="preserve"> REF _Ref72399144 \h </w:instrText>
      </w:r>
      <w:r w:rsidR="00EA6283" w:rsidRPr="00AF41A6">
        <w:fldChar w:fldCharType="separate"/>
      </w:r>
      <w:r w:rsidR="003D1925" w:rsidRPr="00AF41A6">
        <w:t xml:space="preserve">Figure </w:t>
      </w:r>
      <w:r w:rsidR="003D1925">
        <w:rPr>
          <w:noProof/>
        </w:rPr>
        <w:t>10</w:t>
      </w:r>
      <w:r w:rsidR="00EA6283" w:rsidRPr="00AF41A6">
        <w:fldChar w:fldCharType="end"/>
      </w:r>
      <w:r w:rsidR="00EA6283" w:rsidRPr="00AF41A6">
        <w:t>)</w:t>
      </w:r>
      <w:r w:rsidRPr="00AF41A6">
        <w:t xml:space="preserve">. </w:t>
      </w:r>
      <w:r w:rsidR="003A4C51" w:rsidRPr="00AF41A6">
        <w:t>Cities that have replaced gas distribution system</w:t>
      </w:r>
      <w:r w:rsidR="00EA6283" w:rsidRPr="00AF41A6">
        <w:t>s</w:t>
      </w:r>
      <w:r w:rsidR="003A4C51" w:rsidRPr="00AF41A6">
        <w:t xml:space="preserve"> with </w:t>
      </w:r>
      <w:r w:rsidR="00EA6283" w:rsidRPr="00AF41A6">
        <w:t>polyethylene</w:t>
      </w:r>
      <w:r w:rsidR="003A4C51" w:rsidRPr="00AF41A6">
        <w:t xml:space="preserve"> or treated steel have </w:t>
      </w:r>
      <w:r w:rsidR="00EA6283" w:rsidRPr="00AF41A6">
        <w:t>significant</w:t>
      </w:r>
      <w:r w:rsidR="003A4C51" w:rsidRPr="00AF41A6">
        <w:t xml:space="preserve"> reductions in methane leaks </w:t>
      </w:r>
      <w:r w:rsidR="003A4C51" w:rsidRPr="00AF41A6">
        <w:fldChar w:fldCharType="begin"/>
      </w:r>
      <w:r w:rsidR="003A4C51" w:rsidRPr="00AF41A6">
        <w:instrText xml:space="preserve"> ADDIN ZOTERO_ITEM CSL_CITATION {"citationID":"E3mVtCUF","properties":{"formattedCitation":"(Gallagher et al., 2015)","plainCitation":"(Gallagher et al., 2015)","noteIndex":0},"citationItems":[{"id":1563,"uris":["http://zotero.org/users/7422708/items/P4C3BWM9"],"uri":["http://zotero.org/users/7422708/items/P4C3BWM9"],"itemData":{"id":1563,"type":"article-journal","abstract":"From production through distribution, oil and gas infrastructure provides the largest source of anthropogenic methane in the United States and the second largest globally. Using a Picarro G2132i Cavity Ring-Down spectrometer, we mapped natural gas leaks across the streets of three United States citiesDurham, NC, Cincinnati, OH, and Manhattan, NYat diﬀerent stages of pipeline replacement of cast iron and other older materials. We identiﬁed 132, 351, and 1050 leaks in Durham, Cincinnati, and Manhattan, respectively, across 595, 750, and 247 road miles driven. Leak densities were an order of magnitude lower for Durham and Cincinnati (0.22 and 0.47 leaks/mi, respectively) than for Manhattan (4.25 leaks/mi) and two previously mapped cities, Boston (4.28 leaks/mi) and Washington, DC (3.93 leaks/mi). Cities with successful pipeline replacement programs have 90% fewer leaks per mile than cities without such programs. Similar programs around the world should provide additional environmental, economic, and consumer safety beneﬁts.","container-title":"Environmental Science &amp; Technology Letters","DOI":"10.1021/acs.estlett.5b00213","ISSN":"2328-8930, 2328-8930","issue":"10","journalAbbreviation":"Environ. Sci. Technol. Lett.","language":"en","page":"286-291","source":"DOI.org (Crossref)","title":"Natural Gas Pipeline Replacement Programs Reduce Methane Leaks and Improve Consumer Safety","volume":"2","author":[{"family":"Gallagher","given":"Morgan E."},{"family":"Down","given":"Adrian"},{"family":"Ackley","given":"Robert C."},{"family":"Zhao","given":"Kaiguang"},{"family":"Phillips","given":"Nathan"},{"family":"Jackson","given":"Robert B."}],"issued":{"date-parts":[["2015",10,13]]}}}],"schema":"https://github.com/citation-style-language/schema/raw/master/csl-citation.json"} </w:instrText>
      </w:r>
      <w:r w:rsidR="003A4C51" w:rsidRPr="00AF41A6">
        <w:fldChar w:fldCharType="separate"/>
      </w:r>
      <w:r w:rsidR="003A4C51" w:rsidRPr="00AF41A6">
        <w:rPr>
          <w:rFonts w:cs="Times New Roman"/>
        </w:rPr>
        <w:t>(Gallagher et al., 2015)</w:t>
      </w:r>
      <w:r w:rsidR="003A4C51" w:rsidRPr="00AF41A6">
        <w:fldChar w:fldCharType="end"/>
      </w:r>
      <w:r w:rsidR="00EA6283" w:rsidRPr="00AF41A6">
        <w:t xml:space="preserve">, however, these new materials still leak and to an extent greater than previously assumed by greenhouse gas inventories </w:t>
      </w:r>
      <w:r w:rsidR="00EA6283" w:rsidRPr="00AF41A6">
        <w:fldChar w:fldCharType="begin"/>
      </w:r>
      <w:r w:rsidR="00EA6283" w:rsidRPr="00AF41A6">
        <w:instrText xml:space="preserve"> ADDIN ZOTERO_ITEM CSL_CITATION {"citationID":"WR8VpmlP","properties":{"formattedCitation":"(Weller et al., 2020)","plainCitation":"(Weller et al., 2020)","noteIndex":0},"citationItems":[{"id":1565,"uris":["http://zotero.org/users/7422708/items/7FSUV5HA"],"uri":["http://zotero.org/users/7422708/items/7FSUV5HA"],"itemData":{"id":1565,"type":"article-journal","abstract":"We estimate methane emissions from U.S. local distribution natural gas (NG) pipes using data collected from an advanced mobile leak detection (AMLD) platform. We estimate that there are 630,000 leaks in U.S. distribution mains, resulting in methane emissions of 0.69 Tg/year (95% cr int: 0.25, 1.23). Total emissions are calculated as the product of activity factors and emissions factors. Our analysis leveraged data on &gt;4000 leak indications found using AMLD, combined with utility pipeline GIS information, to allow us to estimate activity factors. We derive emissions factors from AMLD emission rate estimates and correct these emissions factors based on data from inﬁeld studies assessing AMLD emissions estimates. Finally, we quantify uncertainty in both emissions factors and activity factors and propagate the uncertainty to our total emissions estimate. In modeling leak frequency, we ﬁnd a clear interaction between pipeline material and age with the leakiness of all material types increasing with age. Our national methane emissions estimate is approximately 5× greater (95% cr int: 1.7×, 8.7×) than the U.S. Environmental Protection Agency’s current greenhouse gas inventory estimate for pipeline mains in local distribution systems due to both a larger estimated number of leaks and better characterization of the upper tail of the skewed distribution of emission rates.","container-title":"Environmental Science &amp; Technology","DOI":"10.1021/acs.est.0c00437","ISSN":"0013-936X, 1520-5851","issue":"14","journalAbbreviation":"Environ. Sci. Technol.","language":"en","page":"8958-8967","source":"DOI.org (Crossref)","title":"A National Estimate of Methane Leakage from Pipeline Mains in Natural Gas Local Distribution Systems","volume":"54","author":[{"family":"Weller","given":"Zachary D."},{"family":"Hamburg","given":"Steven P."},{"family":"Fischer","given":"Joseph C.","non-dropping-particle":"von"}],"issued":{"date-parts":[["2020",7,21]]}}}],"schema":"https://github.com/citation-style-language/schema/raw/master/csl-citation.json"} </w:instrText>
      </w:r>
      <w:r w:rsidR="00EA6283" w:rsidRPr="00AF41A6">
        <w:fldChar w:fldCharType="separate"/>
      </w:r>
      <w:r w:rsidR="00EA6283" w:rsidRPr="00AF41A6">
        <w:rPr>
          <w:rFonts w:cs="Times New Roman"/>
        </w:rPr>
        <w:t>(Weller et al., 2020)</w:t>
      </w:r>
      <w:r w:rsidR="00EA6283" w:rsidRPr="00AF41A6">
        <w:fldChar w:fldCharType="end"/>
      </w:r>
      <w:r w:rsidR="00025558" w:rsidRPr="00AF41A6">
        <w:t xml:space="preserve">. </w:t>
      </w:r>
      <w:r w:rsidR="001F714A" w:rsidRPr="00AF41A6">
        <w:t>The greatest abatement potential in this category is the replacement of the oldest cast-iron gas pipelines with new polyethylene or steel pipeline, but this will always incur a net positive</w:t>
      </w:r>
      <w:r w:rsidR="005B6B71">
        <w:t xml:space="preserve"> lifetime</w:t>
      </w:r>
      <w:r w:rsidR="001F714A" w:rsidRPr="00AF41A6">
        <w:t xml:space="preserve"> cost and ranks low in terms of abatement opportunities in the sector (</w:t>
      </w:r>
      <w:r w:rsidR="001F714A" w:rsidRPr="00AF41A6">
        <w:fldChar w:fldCharType="begin"/>
      </w:r>
      <w:r w:rsidR="001F714A" w:rsidRPr="00AF41A6">
        <w:instrText xml:space="preserve"> REF _Ref72242789 \h </w:instrText>
      </w:r>
      <w:r w:rsidR="001F714A" w:rsidRPr="00AF41A6">
        <w:fldChar w:fldCharType="separate"/>
      </w:r>
      <w:r w:rsidR="003D1925" w:rsidRPr="00AF41A6">
        <w:t xml:space="preserve">Figure </w:t>
      </w:r>
      <w:r w:rsidR="003D1925">
        <w:rPr>
          <w:noProof/>
        </w:rPr>
        <w:t>8</w:t>
      </w:r>
      <w:r w:rsidR="001F714A" w:rsidRPr="00AF41A6">
        <w:fldChar w:fldCharType="end"/>
      </w:r>
      <w:r w:rsidR="001F714A" w:rsidRPr="00AF41A6">
        <w:t>).</w:t>
      </w:r>
      <w:r w:rsidR="008A7CCD" w:rsidRPr="00AF41A6">
        <w:t xml:space="preserve"> The trend of super-emitter sources is conserved in this cate</w:t>
      </w:r>
      <w:r w:rsidR="006F128D" w:rsidRPr="00AF41A6">
        <w:t>gory of the supply chain</w:t>
      </w:r>
      <w:r w:rsidR="008A7CCD" w:rsidRPr="00AF41A6">
        <w:t xml:space="preserve">: 40% of emissions came from only 8% of sources in a study of US distribution pipelines </w:t>
      </w:r>
      <w:r w:rsidR="008A7CCD" w:rsidRPr="00AF41A6">
        <w:fldChar w:fldCharType="begin"/>
      </w:r>
      <w:r w:rsidR="008A7CCD" w:rsidRPr="00AF41A6">
        <w:instrText xml:space="preserve"> ADDIN ZOTERO_ITEM CSL_CITATION {"citationID":"OwVRWSoe","properties":{"formattedCitation":"(Weller et al., 2020)","plainCitation":"(Weller et al., 2020)","noteIndex":0},"citationItems":[{"id":1565,"uris":["http://zotero.org/users/7422708/items/7FSUV5HA"],"uri":["http://zotero.org/users/7422708/items/7FSUV5HA"],"itemData":{"id":1565,"type":"article-journal","abstract":"We estimate methane emissions from U.S. local distribution natural gas (NG) pipes using data collected from an advanced mobile leak detection (AMLD) platform. We estimate that there are 630,000 leaks in U.S. distribution mains, resulting in methane emissions of 0.69 Tg/year (95% cr int: 0.25, 1.23). Total emissions are calculated as the product of activity factors and emissions factors. Our analysis leveraged data on &gt;4000 leak indications found using AMLD, combined with utility pipeline GIS information, to allow us to estimate activity factors. We derive emissions factors from AMLD emission rate estimates and correct these emissions factors based on data from inﬁeld studies assessing AMLD emissions estimates. Finally, we quantify uncertainty in both emissions factors and activity factors and propagate the uncertainty to our total emissions estimate. In modeling leak frequency, we ﬁnd a clear interaction between pipeline material and age with the leakiness of all material types increasing with age. Our national methane emissions estimate is approximately 5× greater (95% cr int: 1.7×, 8.7×) than the U.S. Environmental Protection Agency’s current greenhouse gas inventory estimate for pipeline mains in local distribution systems due to both a larger estimated number of leaks and better characterization of the upper tail of the skewed distribution of emission rates.","container-title":"Environmental Science &amp; Technology","DOI":"10.1021/acs.est.0c00437","ISSN":"0013-936X, 1520-5851","issue":"14","journalAbbreviation":"Environ. Sci. Technol.","language":"en","page":"8958-8967","source":"DOI.org (Crossref)","title":"A National Estimate of Methane Leakage from Pipeline Mains in Natural Gas Local Distribution Systems","volume":"54","author":[{"family":"Weller","given":"Zachary D."},{"family":"Hamburg","given":"Steven P."},{"family":"Fischer","given":"Joseph C.","non-dropping-particle":"von"}],"issued":{"date-parts":[["2020",7,21]]}}}],"schema":"https://github.com/citation-style-language/schema/raw/master/csl-citation.json"} </w:instrText>
      </w:r>
      <w:r w:rsidR="008A7CCD" w:rsidRPr="00AF41A6">
        <w:fldChar w:fldCharType="separate"/>
      </w:r>
      <w:r w:rsidR="008A7CCD" w:rsidRPr="00AF41A6">
        <w:rPr>
          <w:rFonts w:cs="Times New Roman"/>
        </w:rPr>
        <w:t>(Weller et al., 2020)</w:t>
      </w:r>
      <w:r w:rsidR="008A7CCD" w:rsidRPr="00AF41A6">
        <w:fldChar w:fldCharType="end"/>
      </w:r>
      <w:r w:rsidR="008A7CCD" w:rsidRPr="00AF41A6">
        <w:t xml:space="preserve">. </w:t>
      </w:r>
    </w:p>
    <w:p w14:paraId="0727A72A" w14:textId="507E5FCF" w:rsidR="00954C15" w:rsidRPr="00AF41A6" w:rsidRDefault="00954C15" w:rsidP="003A4C51">
      <w:r w:rsidRPr="00AF41A6">
        <w:rPr>
          <w:noProof/>
          <w:lang w:eastAsia="en-US"/>
        </w:rPr>
        <w:drawing>
          <wp:inline distT="0" distB="0" distL="0" distR="0" wp14:anchorId="1B2E7BAB" wp14:editId="614AFF13">
            <wp:extent cx="4886325" cy="4629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4629150"/>
                    </a:xfrm>
                    <a:prstGeom prst="rect">
                      <a:avLst/>
                    </a:prstGeom>
                  </pic:spPr>
                </pic:pic>
              </a:graphicData>
            </a:graphic>
          </wp:inline>
        </w:drawing>
      </w:r>
    </w:p>
    <w:p w14:paraId="0C4FC0BE" w14:textId="75D8ACAC" w:rsidR="0057136C" w:rsidRPr="00AF41A6" w:rsidRDefault="00EA6283" w:rsidP="008A7CCD">
      <w:pPr>
        <w:pStyle w:val="Caption"/>
      </w:pPr>
      <w:bookmarkStart w:id="26" w:name="_Ref72399144"/>
      <w:bookmarkStart w:id="27" w:name="_Toc75940744"/>
      <w:r w:rsidRPr="00AF41A6">
        <w:t xml:space="preserve">Figure </w:t>
      </w:r>
      <w:fldSimple w:instr=" SEQ Figure \* ARABIC ">
        <w:r w:rsidR="003D1925">
          <w:rPr>
            <w:noProof/>
          </w:rPr>
          <w:t>10</w:t>
        </w:r>
      </w:fldSimple>
      <w:bookmarkEnd w:id="26"/>
      <w:r w:rsidRPr="00AF41A6">
        <w:t xml:space="preserve">: Methane leaks by natural gas </w:t>
      </w:r>
      <w:r w:rsidR="006F128D" w:rsidRPr="00AF41A6">
        <w:t xml:space="preserve">distribution </w:t>
      </w:r>
      <w:r w:rsidRPr="00AF41A6">
        <w:t xml:space="preserve">pipeline material and age </w:t>
      </w:r>
      <w:r w:rsidR="00954C15" w:rsidRPr="00AF41A6">
        <w:fldChar w:fldCharType="begin"/>
      </w:r>
      <w:r w:rsidR="00954C15" w:rsidRPr="00AF41A6">
        <w:instrText xml:space="preserve"> ADDIN ZOTERO_ITEM CSL_CITATION {"citationID":"PV7HiCRk","properties":{"formattedCitation":"(Weller et al., 2020)","plainCitation":"(Weller et al., 2020)","noteIndex":0},"citationItems":[{"id":1565,"uris":["http://zotero.org/users/7422708/items/7FSUV5HA"],"uri":["http://zotero.org/users/7422708/items/7FSUV5HA"],"itemData":{"id":1565,"type":"article-journal","abstract":"We estimate methane emissions from U.S. local distribution natural gas (NG) pipes using data collected from an advanced mobile leak detection (AMLD) platform. We estimate that there are 630,000 leaks in U.S. distribution mains, resulting in methane emissions of 0.69 Tg/year (95% cr int: 0.25, 1.23). Total emissions are calculated as the product of activity factors and emissions factors. Our analysis leveraged data on &gt;4000 leak indications found using AMLD, combined with utility pipeline GIS information, to allow us to estimate activity factors. We derive emissions factors from AMLD emission rate estimates and correct these emissions factors based on data from inﬁeld studies assessing AMLD emissions estimates. Finally, we quantify uncertainty in both emissions factors and activity factors and propagate the uncertainty to our total emissions estimate. In modeling leak frequency, we ﬁnd a clear interaction between pipeline material and age with the leakiness of all material types increasing with age. Our national methane emissions estimate is approximately 5× greater (95% cr int: 1.7×, 8.7×) than the U.S. Environmental Protection Agency’s current greenhouse gas inventory estimate for pipeline mains in local distribution systems due to both a larger estimated number of leaks and better characterization of the upper tail of the skewed distribution of emission rates.","container-title":"Environmental Science &amp; Technology","DOI":"10.1021/acs.est.0c00437","ISSN":"0013-936X, 1520-5851","issue":"14","journalAbbreviation":"Environ. Sci. Technol.","language":"en","page":"8958-8967","source":"DOI.org (Crossref)","title":"A National Estimate of Methane Leakage from Pipeline Mains in Natural Gas Local Distribution Systems","volume":"54","author":[{"family":"Weller","given":"Zachary D."},{"family":"Hamburg","given":"Steven P."},{"family":"Fischer","given":"Joseph C.","non-dropping-particle":"von"}],"issued":{"date-parts":[["2020",7,21]]}}}],"schema":"https://github.com/citation-style-language/schema/raw/master/csl-citation.json"} </w:instrText>
      </w:r>
      <w:r w:rsidR="00954C15" w:rsidRPr="00AF41A6">
        <w:fldChar w:fldCharType="separate"/>
      </w:r>
      <w:r w:rsidR="00954C15" w:rsidRPr="00AF41A6">
        <w:rPr>
          <w:rFonts w:cs="Times New Roman"/>
        </w:rPr>
        <w:t>(Weller et al., 2020)</w:t>
      </w:r>
      <w:r w:rsidR="00954C15" w:rsidRPr="00AF41A6">
        <w:fldChar w:fldCharType="end"/>
      </w:r>
      <w:r w:rsidRPr="00AF41A6">
        <w:t>.</w:t>
      </w:r>
      <w:bookmarkEnd w:id="27"/>
    </w:p>
    <w:p w14:paraId="34976E0A" w14:textId="2A36722A" w:rsidR="008B5F99" w:rsidRPr="00AF41A6" w:rsidRDefault="008B5F99" w:rsidP="008B5F99">
      <w:pPr>
        <w:pStyle w:val="Heading2"/>
      </w:pPr>
      <w:bookmarkStart w:id="28" w:name="_Toc75953792"/>
      <w:r w:rsidRPr="00AF41A6">
        <w:t>The future of the oil and gas supply chains</w:t>
      </w:r>
      <w:bookmarkEnd w:id="28"/>
    </w:p>
    <w:p w14:paraId="4D8BF82D" w14:textId="77777777" w:rsidR="008A7CCD" w:rsidRPr="00AF41A6" w:rsidRDefault="00764282" w:rsidP="006E5107">
      <w:r w:rsidRPr="00AF41A6">
        <w:t>Improved methane management in the oil and gas supply chains must be examined in the context of the future direction of this infrastructure, which is connected to multiple sector activities and other Drawdown Solutions (</w:t>
      </w:r>
      <w:r w:rsidRPr="00AF41A6">
        <w:fldChar w:fldCharType="begin"/>
      </w:r>
      <w:r w:rsidRPr="00AF41A6">
        <w:instrText xml:space="preserve"> REF _Ref72236456 \h </w:instrText>
      </w:r>
      <w:r w:rsidRPr="00AF41A6">
        <w:fldChar w:fldCharType="separate"/>
      </w:r>
      <w:r w:rsidR="003D1925" w:rsidRPr="00AF41A6">
        <w:t xml:space="preserve">Figure </w:t>
      </w:r>
      <w:r w:rsidR="003D1925">
        <w:rPr>
          <w:noProof/>
        </w:rPr>
        <w:t>12</w:t>
      </w:r>
      <w:r w:rsidRPr="00AF41A6">
        <w:fldChar w:fldCharType="end"/>
      </w:r>
      <w:r w:rsidRPr="00AF41A6">
        <w:t xml:space="preserve">). </w:t>
      </w:r>
      <w:r w:rsidR="00473633" w:rsidRPr="00AF41A6">
        <w:t xml:space="preserve">Natural gas over the last decade has contributed to emissions reductions in some countries by displacing coal-fired electricity generation, leading some to suggest that gas will grow in the future as a “bridge fuel” to lower-carbon alternatives. But this </w:t>
      </w:r>
      <w:r w:rsidR="008550D1" w:rsidRPr="00AF41A6">
        <w:t xml:space="preserve">narrative is troubled by the growing acknowledgment that all fossil fuel use must be drastically reduced if we are to meet our climate goals. </w:t>
      </w:r>
    </w:p>
    <w:p w14:paraId="256E121C" w14:textId="1D2DA34C" w:rsidR="00473633" w:rsidRPr="00AF41A6" w:rsidRDefault="008550D1" w:rsidP="006E5107">
      <w:r w:rsidRPr="00AF41A6">
        <w:t xml:space="preserve">Abundant and cheap natural gas supply, as has been seen in the past decade or so in the United States, is on its own unlikely to lead to emissions reductions – policy is needed to ensure the displacement of higher-carbon energy sources and to minimize methane leakage </w:t>
      </w:r>
      <w:r w:rsidRPr="00AF41A6">
        <w:fldChar w:fldCharType="begin"/>
      </w:r>
      <w:r w:rsidRPr="00AF41A6">
        <w:instrText xml:space="preserve"> ADDIN ZOTERO_ITEM CSL_CITATION {"citationID":"u26zS4gD","properties":{"formattedCitation":"(Lazarus et al., 2015)","plainCitation":"(Lazarus et al., 2015)","noteIndex":0},"citationItems":[{"id":1604,"uris":["http://zotero.org/users/7422708/items/D34UZJDJ"],"uri":["http://zotero.org/users/7422708/items/D34UZJDJ"],"itemData":{"id":1604,"type":"article","language":"en","publisher":"The New Climate Economy; Stockholm Environment Institute","source":"Zotero","title":"Natural Gas: Guardrails for a potential climate bridge","author":[{"family":"Lazarus","given":"Michael"},{"family":"Tempest","given":"Kevin"},{"family":"Klevnäs","given":"Per"},{"family":"Korsbakken","given":"Jan Ivar"}],"issued":{"date-parts":[["2015"]]}}}],"schema":"https://github.com/citation-style-language/schema/raw/master/csl-citation.json"} </w:instrText>
      </w:r>
      <w:r w:rsidRPr="00AF41A6">
        <w:fldChar w:fldCharType="separate"/>
      </w:r>
      <w:r w:rsidRPr="00AF41A6">
        <w:rPr>
          <w:rFonts w:cs="Times New Roman"/>
        </w:rPr>
        <w:t>(Lazarus et al., 2015)</w:t>
      </w:r>
      <w:r w:rsidRPr="00AF41A6">
        <w:fldChar w:fldCharType="end"/>
      </w:r>
      <w:r w:rsidRPr="00AF41A6">
        <w:t>. A</w:t>
      </w:r>
      <w:r w:rsidR="00473633" w:rsidRPr="00AF41A6">
        <w:t xml:space="preserve"> global shift to natural gas has </w:t>
      </w:r>
      <w:r w:rsidR="008A7CCD" w:rsidRPr="00AF41A6">
        <w:t xml:space="preserve">even </w:t>
      </w:r>
      <w:r w:rsidR="00473633" w:rsidRPr="00AF41A6">
        <w:t xml:space="preserve">been modeled to cause a net increase in emissions, due </w:t>
      </w:r>
      <w:r w:rsidR="008A7CCD" w:rsidRPr="00AF41A6">
        <w:t xml:space="preserve">in part to </w:t>
      </w:r>
      <w:r w:rsidR="00473633" w:rsidRPr="00AF41A6">
        <w:t>methane releases from the supply chain infrastructure</w:t>
      </w:r>
      <w:r w:rsidRPr="00AF41A6">
        <w:t xml:space="preserve"> </w:t>
      </w:r>
      <w:r w:rsidRPr="00AF41A6">
        <w:fldChar w:fldCharType="begin"/>
      </w:r>
      <w:r w:rsidRPr="00AF41A6">
        <w:instrText xml:space="preserve"> ADDIN ZOTERO_ITEM CSL_CITATION {"citationID":"k5aNfS2B","properties":{"formattedCitation":"(Wigley, 2011)","plainCitation":"(Wigley, 2011)","noteIndex":0},"citationItems":[{"id":1583,"uris":["http://zotero.org/users/7422708/items/UXLKJZPD"],"uri":["http://zotero.org/users/7422708/items/UXLKJZPD"],"itemData":{"id":1583,"type":"article-journal","abstract":"Carbon dioxide (CO2) emissions from fossil fuel combustion may be reduced by using natural gas rather than coal to produce energy. Gas produces approximately half the amount of CO2 per unit of primary energy compared with coal. Here we consider a scenario where a fraction of coal usage is replaced by natural gas (i.e., methane, CH4) over a given time period, and where a percentage of the gas production is assumed to leak into the atmosphere. The additional CH4 from leakage adds to the radiative forcing of the climate system, offsetting the reduction in CO2 forcing that accompanies the transition from coal to gas. We also consider the effects of: methane leakage from coal mining; changes in radiative forcing due to changes in the emissions of sulfur dioxide and carbonaceous aerosols; and differences in the efficiency of electricity production between coal- and gas-fired power generation. On balance, these factors more than offset the reduction in warming due to reduced CO2 emissions. When gas replaces coal there is additional warming out to 2,050 with an assumed leakage rate of 0%, and out to 2,140 if the leakage rate is as high as 10%. The overall effects on global-mean temperature over the 21st century, however, are small.","container-title":"Climatic Change","DOI":"10.1007/s10584-011-0217-3","ISSN":"0165-0009, 1573-1480","issue":"3","journalAbbreviation":"Climatic Change","language":"en","page":"601-608","source":"DOI.org (Crossref)","title":"Coal to gas: the influence of methane leakage","title-short":"Coal to gas","volume":"108","author":[{"family":"Wigley","given":"Tom M. L."}],"issued":{"date-parts":[["2011",10]]}}}],"schema":"https://github.com/citation-style-language/schema/raw/master/csl-citation.json"} </w:instrText>
      </w:r>
      <w:r w:rsidRPr="00AF41A6">
        <w:fldChar w:fldCharType="separate"/>
      </w:r>
      <w:r w:rsidRPr="00AF41A6">
        <w:rPr>
          <w:rFonts w:cs="Times New Roman"/>
        </w:rPr>
        <w:t>(Wigley, 2011)</w:t>
      </w:r>
      <w:r w:rsidRPr="00AF41A6">
        <w:fldChar w:fldCharType="end"/>
      </w:r>
      <w:r w:rsidR="00473633" w:rsidRPr="00AF41A6">
        <w:t xml:space="preserve">. </w:t>
      </w:r>
      <w:r w:rsidRPr="00AF41A6">
        <w:t>An International Energy Agency scenario from 2011 that envisioned</w:t>
      </w:r>
      <w:r w:rsidR="00F46B0A" w:rsidRPr="00AF41A6">
        <w:t xml:space="preserve"> an outsized role for</w:t>
      </w:r>
      <w:r w:rsidRPr="00AF41A6">
        <w:t xml:space="preserve"> natural gas as a bridging fuel for several decades would lead to global warming of almost 4 </w:t>
      </w:r>
      <w:r w:rsidRPr="00AF41A6">
        <w:rPr>
          <w:rFonts w:ascii="Calibri" w:hAnsi="Calibri" w:cs="Calibri"/>
        </w:rPr>
        <w:t>°</w:t>
      </w:r>
      <w:r w:rsidRPr="00AF41A6">
        <w:t xml:space="preserve">C </w:t>
      </w:r>
      <w:r w:rsidRPr="00AF41A6">
        <w:fldChar w:fldCharType="begin"/>
      </w:r>
      <w:r w:rsidRPr="00AF41A6">
        <w:instrText xml:space="preserve"> ADDIN ZOTERO_ITEM CSL_CITATION {"citationID":"tI8EQ4Me","properties":{"formattedCitation":"(McGlade et al., 2018)","plainCitation":"(McGlade et al., 2018)","noteIndex":0},"citationItems":[{"id":1608,"uris":["http://zotero.org/users/7422708/items/ZRRZZ6G8"],"uri":["http://zotero.org/users/7422708/items/ZRRZZ6G8"],"itemData":{"id":1608,"type":"article-journal","abstract":"The UK has ambitious, statutory long-term climate targets that will require deep decarbonisation of its energy system. One key question facing policymakers is the role of natural gas during both the transition towards, and in the achievement of, a future lowcarbon energy system. Here we assess a range of possible futures for the UK, and find that gas is unlikely to act as a cost-effective ‘bridge’ to a decarbonised UK energy system. There is also limited scope for gas in power generation after 2030 if the UK is to meet its emission reduction targets, in the absence of carbon capture and storage (CCS). In such as case, gas use in 2050 is estimated at only 10% of its 2010 level. It also follows that a ‘second dash for gas’ while providing short-term gains in reducing emissions, is unlikely to be the most costeffective way to reduce emissions, and could result in stranded assets and compromise the UK’s decarbonisation ambitions. However, with significant CCS deployment by 2050, natural gas could remain at 50-60% of the 2010 level, primarily in the industrial (including hydrogen production) and power generation sectors.","container-title":"Energy Policy","DOI":"10.1016/j.enpol.2017.11.022","ISSN":"03014215","journalAbbreviation":"Energy Policy","language":"en","page":"454-465","source":"DOI.org (Crossref)","title":"The future role of natural gas in the UK: A bridge to nowhere?","title-short":"The future role of natural gas in the UK","volume":"113","author":[{"family":"McGlade","given":"Christophe"},{"family":"Pye","given":"Steve"},{"family":"Ekins","given":"Paul"},{"family":"Bradshaw","given":"Michael"},{"family":"Watson","given":"Jim"}],"issued":{"date-parts":[["2018",2]]}}}],"schema":"https://github.com/citation-style-language/schema/raw/master/csl-citation.json"} </w:instrText>
      </w:r>
      <w:r w:rsidRPr="00AF41A6">
        <w:fldChar w:fldCharType="separate"/>
      </w:r>
      <w:r w:rsidRPr="00AF41A6">
        <w:rPr>
          <w:rFonts w:cs="Times New Roman"/>
        </w:rPr>
        <w:t>(McGlade et al., 2018)</w:t>
      </w:r>
      <w:r w:rsidRPr="00AF41A6">
        <w:fldChar w:fldCharType="end"/>
      </w:r>
      <w:r w:rsidRPr="00AF41A6">
        <w:t>, which is clearly not compatibl</w:t>
      </w:r>
      <w:r w:rsidR="0004216F" w:rsidRPr="00AF41A6">
        <w:t xml:space="preserve">e with today’s </w:t>
      </w:r>
      <w:r w:rsidR="008A7CCD" w:rsidRPr="00AF41A6">
        <w:t>climate goals. That a</w:t>
      </w:r>
      <w:r w:rsidRPr="00AF41A6">
        <w:t>gency’s latest pathway modeling for net-zero</w:t>
      </w:r>
      <w:r w:rsidR="0004216F" w:rsidRPr="00AF41A6">
        <w:t xml:space="preserve"> in 2050</w:t>
      </w:r>
      <w:r w:rsidRPr="00AF41A6">
        <w:t xml:space="preserve"> </w:t>
      </w:r>
      <w:r w:rsidR="0051714A" w:rsidRPr="00AF41A6">
        <w:t xml:space="preserve">marks a turn-around in this narrative and </w:t>
      </w:r>
      <w:r w:rsidRPr="00AF41A6">
        <w:t xml:space="preserve">foresees a drastic decline in all fossil fuel use to mid-century. Though meeting these targets means that there should be no new developments in fossil fuel production </w:t>
      </w:r>
      <w:r w:rsidRPr="00AF41A6">
        <w:fldChar w:fldCharType="begin"/>
      </w:r>
      <w:r w:rsidRPr="00AF41A6">
        <w:instrText xml:space="preserve"> ADDIN ZOTERO_ITEM CSL_CITATION {"citationID":"957Tl5Oo","properties":{"formattedCitation":"(IEA, 2021c)","plainCitation":"(IEA, 2021c)","noteIndex":0},"citationItems":[{"id":1627,"uris":["http://zotero.org/users/7422708/items/HXUT4QW7"],"uri":["http://zotero.org/users/7422708/items/HXUT4QW7"],"itemData":{"id":1627,"type":"article","publisher":"International Energy Agency","title":"Net Zero by 2050","URL":"https://www.iea.org/reports/net-zero-by-2050","author":[{"family":"IEA","given":""}],"issued":{"date-parts":[["2021"]]}}}],"schema":"https://github.com/citation-style-language/schema/raw/master/csl-citation.json"} </w:instrText>
      </w:r>
      <w:r w:rsidRPr="00AF41A6">
        <w:fldChar w:fldCharType="separate"/>
      </w:r>
      <w:r w:rsidRPr="00AF41A6">
        <w:rPr>
          <w:rFonts w:cs="Times New Roman"/>
        </w:rPr>
        <w:t>(IEA, 2021c)</w:t>
      </w:r>
      <w:r w:rsidRPr="00AF41A6">
        <w:fldChar w:fldCharType="end"/>
      </w:r>
      <w:r w:rsidRPr="00AF41A6">
        <w:t>, natural gas and oil</w:t>
      </w:r>
      <w:r w:rsidRPr="00AF41A6">
        <w:rPr>
          <w:rStyle w:val="FootnoteReference"/>
        </w:rPr>
        <w:footnoteReference w:id="6"/>
      </w:r>
      <w:r w:rsidRPr="00AF41A6">
        <w:t xml:space="preserve"> from existing production is expected to continue to play a role in the world’s energy mix – in some fashion – for the coming decades, even in net-zero pathways </w:t>
      </w:r>
      <w:r w:rsidRPr="00AF41A6">
        <w:fldChar w:fldCharType="begin"/>
      </w:r>
      <w:r w:rsidR="009736D7">
        <w:instrText xml:space="preserve"> ADDIN ZOTERO_ITEM CSL_CITATION {"citationID":"2aUMfPNt","properties":{"formattedCitation":"(IEA, 2021c; Mac Kinnon et al., 2018; J. H. Williams et al., 2021)","plainCitation":"(IEA, 2021c; Mac Kinnon et al., 2018; J. H. Williams et al., 2021)","noteIndex":0},"citationItems":[{"id":1627,"uris":["http://zotero.org/users/7422708/items/HXUT4QW7"],"uri":["http://zotero.org/users/7422708/items/HXUT4QW7"],"itemData":{"id":1627,"type":"article","publisher":"International Energy Agency","title":"Net Zero by 2050","URL":"https://www.iea.org/reports/net-zero-by-2050","author":[{"family":"IEA","given":""}],"issued":{"date-parts":[["2021"]]}}},{"id":1577,"uris":["http://zotero.org/users/7422708/items/RBIFE9BF"],"uri":["http://zotero.org/users/7422708/items/RBIFE9BF"],"itemData":{"id":1577,"type":"article-journal","container-title":"Progress in Energy and Combustion Science","DOI":"10.1016/j.pecs.2017.10.002","ISSN":"03601285","journalAbbreviation":"Progress in Energy and Combustion Science","language":"en","page":"62-92","source":"DOI.org (Crossref)","title":"The role of natural gas and its infrastructure in mitigating greenhouse gas emissions, improving regional air quality, and renewable resource integration","volume":"64","author":[{"family":"Mac Kinnon","given":"Michael A."},{"family":"Brouwer","given":"Jacob"},{"family":"Samuelsen","given":"Scott"}],"issued":{"date-parts":[["2018",1]]}}},{"id":1292,"uris":["http://zotero.org/users/7422708/items/T4UPW57V"],"uri":["http://zotero.org/users/7422708/items/T4UPW57V"],</w:instrText>
      </w:r>
      <w:r w:rsidR="009736D7">
        <w:rPr>
          <w:rFonts w:hint="eastAsia"/>
        </w:rPr>
        <w:instrText>"itemData":{"id":1292,"type":"article-journal","abstract":"The Intergovernmental Panel on Climate Change (IPCC) Special Report on Global Warming of 1.5</w:instrText>
      </w:r>
      <w:r w:rsidR="009736D7">
        <w:rPr>
          <w:rFonts w:hint="eastAsia"/>
        </w:rPr>
        <w:instrText>°</w:instrText>
      </w:r>
      <w:r w:rsidR="009736D7">
        <w:rPr>
          <w:rFonts w:hint="eastAsia"/>
        </w:rPr>
        <w:instrText>C points to the need for carbon neutrality by mid</w:instrText>
      </w:r>
      <w:r w:rsidR="009736D7">
        <w:rPr>
          <w:rFonts w:hint="eastAsia"/>
        </w:rPr>
        <w:instrText>‐</w:instrText>
      </w:r>
      <w:r w:rsidR="009736D7">
        <w:rPr>
          <w:rFonts w:hint="eastAsia"/>
        </w:rPr>
        <w:instrText xml:space="preserve">century. Achieving this in the United States in only </w:instrText>
      </w:r>
      <w:r w:rsidR="009736D7">
        <w:instrText>30 years will be challenging, and practical pathways detailing the technologies, infrastructure, costs, and tradeoffs involved are needed. Modeling the entire U.S. energy and industrial system with new analysis tools that capture synergies not represented in sector</w:instrText>
      </w:r>
      <w:r w:rsidR="009736D7">
        <w:rPr>
          <w:rFonts w:hint="eastAsia"/>
        </w:rPr>
        <w:instrText>‐</w:instrText>
      </w:r>
      <w:r w:rsidR="009736D7">
        <w:instrText>speciﬁc or integrated assessment models, we created multiple pathways to net zero and net negative CO2 emissions by 2050. They met all forecast U.S. energy needs at a net cost of 0.2–1.2% of GDP in 2050, using only commercial or near</w:instrText>
      </w:r>
      <w:r w:rsidR="009736D7">
        <w:rPr>
          <w:rFonts w:hint="eastAsia"/>
        </w:rPr>
        <w:instrText>‐</w:instrText>
      </w:r>
      <w:r w:rsidR="009736D7">
        <w:instrText>commercial technologies, and requiring no early retirement of existing infrastructure. Pathways with constraints on consumer behavior, land use, biomass use, and technology choices (e.g., no nuclear) met the target but at higher cost. All pathways employed four basic strategies: energy efﬁciency, decarbonized electricity, electriﬁcation, and carbon capture. Least</w:instrText>
      </w:r>
      <w:r w:rsidR="009736D7">
        <w:rPr>
          <w:rFonts w:hint="eastAsia"/>
        </w:rPr>
        <w:instrText>‐</w:instrText>
      </w:r>
      <w:r w:rsidR="009736D7">
        <w:instrText>cost pathways were based on &gt;80% wind and solar electricity plus thermal generation for reliability. A 100% renewable primary energy system was feasible but had higher cost and land use. We found multiple feasible options for supplying low</w:instrText>
      </w:r>
      <w:r w:rsidR="009736D7">
        <w:rPr>
          <w:rFonts w:hint="eastAsia"/>
        </w:rPr>
        <w:instrText>‐</w:instrText>
      </w:r>
      <w:r w:rsidR="009736D7">
        <w:instrText>carbon fuels for non</w:instrText>
      </w:r>
      <w:r w:rsidR="009736D7">
        <w:rPr>
          <w:rFonts w:hint="eastAsia"/>
        </w:rPr>
        <w:instrText>‐</w:instrText>
      </w:r>
      <w:r w:rsidR="009736D7">
        <w:instrText>electriﬁable end uses in industry, freight, and aviation, which were not required in bulk until after 2035. In the next decade, the actions required in all pathways were similar: expand renewable capacity 3.5 fold, retire coal, maintain existing gas generating capacity, and increase electric vehicle and heat pump sales to &gt;50% of market share. This study provides a playbook for carbon neutrality poli</w:instrText>
      </w:r>
      <w:r w:rsidR="009736D7">
        <w:rPr>
          <w:rFonts w:hint="eastAsia"/>
        </w:rPr>
        <w:instrText>cy with concrete near</w:instrText>
      </w:r>
      <w:r w:rsidR="009736D7">
        <w:rPr>
          <w:rFonts w:hint="eastAsia"/>
        </w:rPr>
        <w:instrText>‐</w:instrText>
      </w:r>
      <w:r w:rsidR="009736D7">
        <w:rPr>
          <w:rFonts w:hint="eastAsia"/>
        </w:rPr>
        <w:instrText>term priorities. Plain Language Summary We created multiple blueprints for the United States to reach zero or negative CO2 emissions from the energy system by 2050 to avoid the most damaging impacts of climate change. By methodically</w:instrText>
      </w:r>
      <w:r w:rsidR="009736D7">
        <w:instrText xml:space="preserve"> increasing energy efﬁciency, switching to electric technologies, utilizing clean electricity (especially wind and solar power), and deploying a small amount of carbon capture technology, the United States can reach zero emissions without requiring changes to behavior. Cost is about $1 per person per day, not counting climate beneﬁts; this is signiﬁcantly less than estimates f</w:instrText>
      </w:r>
      <w:r w:rsidR="009736D7" w:rsidRPr="009736D7">
        <w:rPr>
          <w:lang w:val="fr-FR"/>
        </w:rPr>
        <w:instrText>rom a few years ago because of recent technology progress. Models with more detail than used in the past revealed unexpected synerg</w:instrText>
      </w:r>
      <w:r w:rsidR="009736D7" w:rsidRPr="009736D7">
        <w:rPr>
          <w:rFonts w:hint="eastAsia"/>
          <w:lang w:val="fr-FR"/>
        </w:rPr>
        <w:instrText>ies, counterintuitive results, and tradeoffs. The lowest</w:instrText>
      </w:r>
      <w:r w:rsidR="009736D7" w:rsidRPr="009736D7">
        <w:rPr>
          <w:rFonts w:hint="eastAsia"/>
          <w:lang w:val="fr-FR"/>
        </w:rPr>
        <w:instrText>‐</w:instrText>
      </w:r>
      <w:r w:rsidR="009736D7" w:rsidRPr="009736D7">
        <w:rPr>
          <w:rFonts w:hint="eastAsia"/>
          <w:lang w:val="fr-FR"/>
        </w:rPr>
        <w:instrText>cost electricity systems get &gt;80% of energy from wind and solar power but need other resources to provide reliable service. Eliminating fossil fuel use altogether is possible but higher cost. Restri</w:instrText>
      </w:r>
      <w:r w:rsidR="009736D7" w:rsidRPr="009736D7">
        <w:rPr>
          <w:lang w:val="fr-FR"/>
        </w:rPr>
        <w:instrText>cting biomass use and land for renewables is possible but could require nuclear power to compensate. All blueprints for the United States agree on the key tasks for the 2020s: increasing the capacity of wind and solar power by 3.5 times, retiring coal plants, and increasing electric vehicle and electric heat pump sales to &gt;50% of market share.","container-title":"AGU Advances","DOI":"10.1029/2020AV000284","ISSN":"2576-604X, 2576-604X","issue":"1","journalAbbreviation":"AGU Advances","language":"en","sourc</w:instrText>
      </w:r>
      <w:r w:rsidR="009736D7" w:rsidRPr="009736D7">
        <w:rPr>
          <w:rFonts w:hint="eastAsia"/>
          <w:lang w:val="fr-FR"/>
        </w:rPr>
        <w:instrText>e":"DOI.org (Crossref)","title":"Carbon</w:instrText>
      </w:r>
      <w:r w:rsidR="009736D7" w:rsidRPr="009736D7">
        <w:rPr>
          <w:rFonts w:hint="eastAsia"/>
          <w:lang w:val="fr-FR"/>
        </w:rPr>
        <w:instrText>‐</w:instrText>
      </w:r>
      <w:r w:rsidR="009736D7" w:rsidRPr="009736D7">
        <w:rPr>
          <w:rFonts w:hint="eastAsia"/>
          <w:lang w:val="fr-FR"/>
        </w:rPr>
        <w:instrText>Neutral Pathways for the United States","URL":"https://onlinelibrary.wiley.com/doi/10.1029/2020AV000284","volume":"2","author":[{"family":"Williams","given":"James H."},{"family":"Jones","given":"Ryan A."},{"family"</w:instrText>
      </w:r>
      <w:r w:rsidR="009736D7" w:rsidRPr="009736D7">
        <w:rPr>
          <w:lang w:val="fr-FR"/>
        </w:rPr>
        <w:instrText xml:space="preserve">:"Haley","given":"Ben"},{"family":"Kwok","given":"Gabe"},{"family":"Hargreaves","given":"Jeremy"},{"family":"Farbes","given":"Jamil"},{"family":"Torn","given":"Margaret S."}],"accessed":{"date-parts":[["2021",2,22]]},"issued":{"date-parts":[["2021",1]]}}}],"schema":"https://github.com/citation-style-language/schema/raw/master/csl-citation.json"} </w:instrText>
      </w:r>
      <w:r w:rsidRPr="00AF41A6">
        <w:fldChar w:fldCharType="separate"/>
      </w:r>
      <w:r w:rsidR="009736D7" w:rsidRPr="009736D7">
        <w:rPr>
          <w:rFonts w:cs="Times New Roman"/>
          <w:lang w:val="fr-FR"/>
        </w:rPr>
        <w:t>(IEA, 2021c; Mac Kinnon et al., 2018; J. H. Williams et al., 2021)</w:t>
      </w:r>
      <w:r w:rsidRPr="00AF41A6">
        <w:fldChar w:fldCharType="end"/>
      </w:r>
      <w:r w:rsidRPr="009736D7">
        <w:rPr>
          <w:lang w:val="fr-FR"/>
        </w:rPr>
        <w:t xml:space="preserve">. </w:t>
      </w:r>
      <w:r w:rsidR="0004216F" w:rsidRPr="00AF41A6">
        <w:t>The United Kingdom</w:t>
      </w:r>
      <w:r w:rsidRPr="00AF41A6">
        <w:t xml:space="preserve">’s </w:t>
      </w:r>
      <w:r w:rsidR="0004216F" w:rsidRPr="00AF41A6">
        <w:t xml:space="preserve">landmark net-zero report </w:t>
      </w:r>
      <w:r w:rsidR="0004216F" w:rsidRPr="00AF41A6">
        <w:fldChar w:fldCharType="begin"/>
      </w:r>
      <w:r w:rsidR="0004216F" w:rsidRPr="00AF41A6">
        <w:instrText xml:space="preserve"> ADDIN ZOTERO_ITEM CSL_CITATION {"citationID":"clpN7y9E","properties":{"formattedCitation":"(UK Committee on Climate Change, 2019)","plainCitation":"(UK Committee on Climate Change, 2019)","noteIndex":0},"citationItems":[{"id":761,"uris":["http://zotero.org/users/7422708/items/TMGFNCT9"],"uri":["http://zotero.org/users/7422708/items/TMGFNCT9"],"itemData":{"id":761,"type":"article","title":"Net Zero: The UK's contribution to stopping global warming","URL":"https://www.theccc.org.uk/wp-content/uploads/2019/05/Net-Zero-The-UKs-contribution-to-stopping-global-warming.pdf","author":[{"family":"UK Committee on Climate Change","given":""}],"issued":{"date-parts":[["2019"]]}}}],"schema":"https://github.com/citation-style-language/schema/raw/master/csl-citation.json"} </w:instrText>
      </w:r>
      <w:r w:rsidR="0004216F" w:rsidRPr="00AF41A6">
        <w:fldChar w:fldCharType="separate"/>
      </w:r>
      <w:r w:rsidR="0004216F" w:rsidRPr="00AF41A6">
        <w:rPr>
          <w:rFonts w:cs="Times New Roman"/>
        </w:rPr>
        <w:t>(UK Committee on Climate Change, 2019)</w:t>
      </w:r>
      <w:r w:rsidR="0004216F" w:rsidRPr="00AF41A6">
        <w:fldChar w:fldCharType="end"/>
      </w:r>
      <w:r w:rsidR="0004216F" w:rsidRPr="00AF41A6">
        <w:t xml:space="preserve"> frames the </w:t>
      </w:r>
      <w:r w:rsidR="00A94F33" w:rsidRPr="00AF41A6">
        <w:t>climate-aligned options for the natural gas distribution</w:t>
      </w:r>
      <w:r w:rsidR="0004216F" w:rsidRPr="00AF41A6">
        <w:t xml:space="preserve"> infrastructure</w:t>
      </w:r>
      <w:r w:rsidR="009736D7">
        <w:t xml:space="preserve"> in that country</w:t>
      </w:r>
      <w:r w:rsidR="00A94F33" w:rsidRPr="00AF41A6">
        <w:t xml:space="preserve">: by mid-century, it must </w:t>
      </w:r>
      <w:r w:rsidR="0004216F" w:rsidRPr="00AF41A6">
        <w:t>be phased out or repurposed</w:t>
      </w:r>
      <w:r w:rsidR="009736D7">
        <w:t xml:space="preserve"> to low-carbon alternatives</w:t>
      </w:r>
      <w:r w:rsidR="0004216F" w:rsidRPr="00AF41A6">
        <w:t xml:space="preserve">. </w:t>
      </w:r>
    </w:p>
    <w:p w14:paraId="491BD515" w14:textId="77777777" w:rsidR="00A94F33" w:rsidRPr="00AF41A6" w:rsidRDefault="00A94F33" w:rsidP="00A94F33">
      <w:pPr>
        <w:pStyle w:val="Heading4"/>
      </w:pPr>
      <w:r w:rsidRPr="00AF41A6">
        <w:t>Carbon lock-in</w:t>
      </w:r>
    </w:p>
    <w:p w14:paraId="5CB8DCCB" w14:textId="4F8C6B54" w:rsidR="007405B7" w:rsidRPr="00AF41A6" w:rsidRDefault="00A94F33" w:rsidP="00592E70">
      <w:r w:rsidRPr="00AF41A6">
        <w:t>The phase-out or conversion of natural gas infrastructu</w:t>
      </w:r>
      <w:r w:rsidR="008F62B6" w:rsidRPr="00AF41A6">
        <w:t xml:space="preserve">re cannot be examined </w:t>
      </w:r>
      <w:r w:rsidRPr="00AF41A6">
        <w:t xml:space="preserve">without acknowledging carbon lock-in, or the tendency of this kind of infrastructure to </w:t>
      </w:r>
      <w:r w:rsidR="008A7CCD" w:rsidRPr="00AF41A6">
        <w:t>resist change</w:t>
      </w:r>
      <w:r w:rsidRPr="00AF41A6">
        <w:t xml:space="preserve"> due to legacy market, </w:t>
      </w:r>
      <w:r w:rsidR="002B4806" w:rsidRPr="00AF41A6">
        <w:t xml:space="preserve">social, and political factors. Large-scale and far-reaching technologies, like natural gas infrastructure, have greater institutional strength to </w:t>
      </w:r>
      <w:r w:rsidR="008A7CCD" w:rsidRPr="00AF41A6">
        <w:t>persist</w:t>
      </w:r>
      <w:r w:rsidR="007405B7" w:rsidRPr="00AF41A6">
        <w:t xml:space="preserve"> </w:t>
      </w:r>
      <w:r w:rsidR="007405B7" w:rsidRPr="00AF41A6">
        <w:fldChar w:fldCharType="begin"/>
      </w:r>
      <w:r w:rsidR="007405B7" w:rsidRPr="00AF41A6">
        <w:instrText xml:space="preserve"> ADDIN ZOTERO_ITEM CSL_CITATION {"citationID":"UYPiCGIC","properties":{"formattedCitation":"(Erickson et al., 2015)","plainCitation":"(Erickson et al., 2015)","noteIndex":0},"citationItems":[{"id":1602,"uris":["http://zotero.org/users/7422708/items/QEIE8RA5"],"uri":["http://zotero.org/users/7422708/items/QEIE8RA5"],"itemData":{"id":1602,"type":"article-journal","container-title":"Environmental Research Letters","DOI":"10.1088/1748-9326/10/8/084023","ISSN":"1748-9326","issue":"8","journalAbbreviation":"Environ. Res. Lett.","language":"en","page":"084023","source":"DOI.org (Crossref)","title":"Assessing carbon lock-in","volume":"10","author":[{"family":"Erickson","given":"Peter"},{"family":"Kartha","given":"Sivan"},{"family":"Lazarus","given":"Michael"},{"family":"Tempest","given":"Kevin"}],"issued":{"date-parts":[["2015",8,1]]}}}],"schema":"https://github.com/citation-style-language/schema/raw/master/csl-citation.json"} </w:instrText>
      </w:r>
      <w:r w:rsidR="007405B7" w:rsidRPr="00AF41A6">
        <w:fldChar w:fldCharType="separate"/>
      </w:r>
      <w:r w:rsidR="007405B7" w:rsidRPr="00AF41A6">
        <w:rPr>
          <w:rFonts w:cs="Times New Roman"/>
        </w:rPr>
        <w:t>(Erickson et al., 2015)</w:t>
      </w:r>
      <w:r w:rsidR="007405B7" w:rsidRPr="00AF41A6">
        <w:fldChar w:fldCharType="end"/>
      </w:r>
      <w:r w:rsidR="007405B7" w:rsidRPr="00AF41A6">
        <w:t xml:space="preserve">. “Locking in” of carbon-intensive technologies can “lock out” </w:t>
      </w:r>
      <w:r w:rsidR="007D66FD" w:rsidRPr="00AF41A6">
        <w:t>alternative</w:t>
      </w:r>
      <w:r w:rsidR="008F62B6" w:rsidRPr="00AF41A6">
        <w:t>s</w:t>
      </w:r>
      <w:r w:rsidR="002B4806" w:rsidRPr="00AF41A6">
        <w:t xml:space="preserve">. Investing in improving this infrastructure to reduce methane leaks could be seen as further entrenching the lock-in effect. The risk of lock-in is amplified by the relative abundance and low price of natural gas, which delays stringent action and the development of low-carbon alternatives </w:t>
      </w:r>
      <w:r w:rsidR="002B4806" w:rsidRPr="00AF41A6">
        <w:rPr>
          <w:rFonts w:cs="Times New Roman"/>
        </w:rPr>
        <w:t xml:space="preserve">(Jacoby et al., 2012). </w:t>
      </w:r>
      <w:r w:rsidR="002B4806" w:rsidRPr="00AF41A6">
        <w:t xml:space="preserve">Oil and gas infrastructure can last up to eighty years </w:t>
      </w:r>
      <w:r w:rsidR="002B4806" w:rsidRPr="00AF41A6">
        <w:fldChar w:fldCharType="begin"/>
      </w:r>
      <w:r w:rsidR="002B4806" w:rsidRPr="00AF41A6">
        <w:instrText xml:space="preserve"> ADDIN ZOTERO_ITEM CSL_CITATION {"citationID":"qSnZ76At","properties":{"formattedCitation":"(Wright et al., 2018)","plainCitation":"(Wright et al., 2018)","noteIndex":0},"citationItems":[{"id":739,"uris":["http://zotero.org/users/7422708/items/MSEDTM9H"],"uri":["http://zotero.org/users/7422708/items/MSEDTM9H"],"itemData":{"id":739,"type":"article-journal","container-title":"briefing paper, Third Generation Environmentalism Ltd (E3G), London, June","source":"Google Scholar","title":"Sustainable infrastructure and the multilateral development banks: changing the narrative","title-short":"Sustainable infrastructure and the multilateral development banks","author":[{"family":"Wright","given":"HELENA"},{"family":"Dimsdale","given":"TAYLOR"},{"family":"Healy","given":"CLAIRE"},{"family":"Orozco","given":"DILEIMY"},{"family":"Williamson","given":"SONNY"},{"family":"Mabey","given":"NICK"}],"issued":{"date-parts":[["2018"]]}}}],"schema":"https://github.com/citation-style-language/schema/raw/master/csl-citation.json"} </w:instrText>
      </w:r>
      <w:r w:rsidR="002B4806" w:rsidRPr="00AF41A6">
        <w:fldChar w:fldCharType="separate"/>
      </w:r>
      <w:r w:rsidR="002B4806" w:rsidRPr="00AF41A6">
        <w:rPr>
          <w:rFonts w:cs="Times New Roman"/>
        </w:rPr>
        <w:t>(Wright et al., 2018)</w:t>
      </w:r>
      <w:r w:rsidR="002B4806" w:rsidRPr="00AF41A6">
        <w:fldChar w:fldCharType="end"/>
      </w:r>
      <w:r w:rsidR="002B4806" w:rsidRPr="00AF41A6">
        <w:t xml:space="preserve">, meaning that </w:t>
      </w:r>
      <w:r w:rsidR="008A7CCD" w:rsidRPr="00AF41A6">
        <w:t xml:space="preserve">investments in </w:t>
      </w:r>
      <w:r w:rsidR="002B4806" w:rsidRPr="00AF41A6">
        <w:t xml:space="preserve">this infrastructure now should consider mid-century climate goals and that </w:t>
      </w:r>
      <w:r w:rsidR="008F62B6" w:rsidRPr="00AF41A6">
        <w:t xml:space="preserve">early </w:t>
      </w:r>
      <w:r w:rsidR="002B4806" w:rsidRPr="00AF41A6">
        <w:t xml:space="preserve">phase-out </w:t>
      </w:r>
      <w:r w:rsidR="00B96E8F" w:rsidRPr="00AF41A6">
        <w:t xml:space="preserve">or conversion </w:t>
      </w:r>
      <w:r w:rsidR="002B4806" w:rsidRPr="00AF41A6">
        <w:t xml:space="preserve">of the infrastructure could be met with resistance by those with interests in maximizing the useful life of the investment. </w:t>
      </w:r>
    </w:p>
    <w:p w14:paraId="7EB9AFC0" w14:textId="0D40955B" w:rsidR="00592E70" w:rsidRPr="00AF41A6" w:rsidRDefault="007405B7" w:rsidP="007405B7">
      <w:pPr>
        <w:pStyle w:val="Heading4"/>
      </w:pPr>
      <w:r w:rsidRPr="00AF41A6">
        <w:t>Alternative uses for the infrastructure</w:t>
      </w:r>
    </w:p>
    <w:p w14:paraId="01054687" w14:textId="77777777" w:rsidR="006F128D" w:rsidRPr="00AF41A6" w:rsidRDefault="007D66FD" w:rsidP="00E65CF7">
      <w:r w:rsidRPr="00AF41A6">
        <w:t xml:space="preserve">The natural gas supply chain infrastructure could have an alternative future transporting low-carbon </w:t>
      </w:r>
      <w:r w:rsidR="006F128D" w:rsidRPr="00AF41A6">
        <w:t>fuels</w:t>
      </w:r>
      <w:r w:rsidRPr="00AF41A6">
        <w:t xml:space="preserve"> such as</w:t>
      </w:r>
      <w:r w:rsidR="006F128D" w:rsidRPr="00AF41A6">
        <w:t xml:space="preserve"> renewable or low-carbon</w:t>
      </w:r>
      <w:r w:rsidRPr="00AF41A6">
        <w:t xml:space="preserve"> hydrogen, biomethane, and synthetic methane </w:t>
      </w:r>
      <w:r w:rsidRPr="00AF41A6">
        <w:fldChar w:fldCharType="begin"/>
      </w:r>
      <w:r w:rsidRPr="00AF41A6">
        <w:instrText xml:space="preserve"> ADDIN ZOTERO_ITEM CSL_CITATION {"citationID":"F6yur0MH","properties":{"formattedCitation":"(Blanton et al., 2021)","plainCitation":"(Blanton et al., 2021)","noteIndex":0},"citationItems":[{"id":1585,"uris":["http://zotero.org/users/7422708/items/MYUGRLJ9"],"uri":["http://zotero.org/users/7422708/items/MYUGRLJ9"],"itemData":{"id":1585,"type":"article","language":"en","publisher":"Columbia Center on Global Energy Policy","source":"Zotero","title":"Investing in the US Natural Gas Pipeline System to Support Net-Zero Targets","author":[{"family":"Blanton","given":"Erin M"},{"family":"Lott","given":"Dr Melissa C"},{"family":"Smith","given":"Kirsten Nicole"}],"issued":{"date-parts":[["2021"]]}}}],"schema":"https://github.com/citation-style-language/schema/raw/master/csl-citation.json"} </w:instrText>
      </w:r>
      <w:r w:rsidRPr="00AF41A6">
        <w:fldChar w:fldCharType="separate"/>
      </w:r>
      <w:r w:rsidRPr="00AF41A6">
        <w:rPr>
          <w:rFonts w:cs="Times New Roman"/>
        </w:rPr>
        <w:t>(Blanton et al., 2021)</w:t>
      </w:r>
      <w:r w:rsidRPr="00AF41A6">
        <w:fldChar w:fldCharType="end"/>
      </w:r>
      <w:r w:rsidRPr="00AF41A6">
        <w:t xml:space="preserve">. There has been much recent, renewed interest in the future expansion of hydrogen as an energy carrier </w:t>
      </w:r>
      <w:r w:rsidR="00FC103E" w:rsidRPr="00AF41A6">
        <w:t>to fulfill many of the uses that natural gas currently addres</w:t>
      </w:r>
      <w:r w:rsidR="003502FC" w:rsidRPr="00AF41A6">
        <w:t>s</w:t>
      </w:r>
      <w:r w:rsidR="00FC103E" w:rsidRPr="00AF41A6">
        <w:t xml:space="preserve">es </w:t>
      </w:r>
      <w:r w:rsidR="00FC103E" w:rsidRPr="00AF41A6">
        <w:fldChar w:fldCharType="begin"/>
      </w:r>
      <w:r w:rsidR="00FC103E" w:rsidRPr="00AF41A6">
        <w:instrText xml:space="preserve"> ADDIN ZOTERO_ITEM CSL_CITATION {"citationID":"amaSv2HM","properties":{"formattedCitation":"(IEA, 2019)","plainCitation":"(IEA, 2019)","noteIndex":0},"citationItems":[{"id":1552,"uris":["http://zotero.org/users/7422708/items/DN4PSPJI"],"uri":["http://zotero.org/users/7422708/items/DN4PSPJI"],"itemData":{"id":1552,"type":"article","publisher":"International Energy Agency","title":"The Future of Hydrogen","URL":"https://www.iea.org/reports/the-future-of-hydrogen","author":[{"family":"IEA","given":""}],"issued":{"date-parts":[["2019"]]}}}],"schema":"https://github.com/citation-style-language/schema/raw/master/csl-citation.json"} </w:instrText>
      </w:r>
      <w:r w:rsidR="00FC103E" w:rsidRPr="00AF41A6">
        <w:fldChar w:fldCharType="separate"/>
      </w:r>
      <w:r w:rsidR="00FC103E" w:rsidRPr="00AF41A6">
        <w:rPr>
          <w:rFonts w:cs="Times New Roman"/>
        </w:rPr>
        <w:t>(IEA, 2019)</w:t>
      </w:r>
      <w:r w:rsidR="00FC103E" w:rsidRPr="00AF41A6">
        <w:fldChar w:fldCharType="end"/>
      </w:r>
      <w:r w:rsidR="00095986" w:rsidRPr="00AF41A6">
        <w:t>. Blending hydrogen into existing natural gas infrastructure at</w:t>
      </w:r>
      <w:r w:rsidR="00ED5284" w:rsidRPr="00AF41A6">
        <w:t xml:space="preserve"> 5-15% may be feasible without significant</w:t>
      </w:r>
      <w:r w:rsidR="00095986" w:rsidRPr="00AF41A6">
        <w:t xml:space="preserve"> changes in equipment or increase</w:t>
      </w:r>
      <w:r w:rsidR="006F128D" w:rsidRPr="00AF41A6">
        <w:t>d</w:t>
      </w:r>
      <w:r w:rsidR="00095986" w:rsidRPr="00AF41A6">
        <w:t xml:space="preserve"> </w:t>
      </w:r>
      <w:r w:rsidR="006F128D" w:rsidRPr="00AF41A6">
        <w:t>risk</w:t>
      </w:r>
      <w:r w:rsidR="00095986" w:rsidRPr="00AF41A6">
        <w:t xml:space="preserve"> for end-users </w:t>
      </w:r>
      <w:r w:rsidR="00095986" w:rsidRPr="00AF41A6">
        <w:fldChar w:fldCharType="begin"/>
      </w:r>
      <w:r w:rsidR="00095986" w:rsidRPr="00AF41A6">
        <w:instrText xml:space="preserve"> ADDIN ZOTERO_ITEM CSL_CITATION {"citationID":"FTfhllmJ","properties":{"formattedCitation":"(Melaina et al., 2013)","plainCitation":"(Melaina et al., 2013)","noteIndex":0},"citationItems":[{"id":1554,"uris":["http://zotero.org/users/7422708/items/QVTUZ66B"],"uri":["http://zotero.org/users/7422708/items/QVTUZ66B"],"itemData":{"id":1554,"type":"article-journal","container-title":"Renewable Energy","language":"en","page":"131","source":"Zotero","title":"Blending Hydrogen into Natural Gas Pipeline Networks: A Review of Key Issues","author":[{"family":"Melaina","given":"M W"},{"family":"Antonia","given":"O"},{"family":"Penev","given":"M"}],"issued":{"date-parts":[["2013"]]}}}],"schema":"https://github.com/citation-style-language/schema/raw/master/csl-citation.json"} </w:instrText>
      </w:r>
      <w:r w:rsidR="00095986" w:rsidRPr="00AF41A6">
        <w:fldChar w:fldCharType="separate"/>
      </w:r>
      <w:r w:rsidR="00095986" w:rsidRPr="00AF41A6">
        <w:rPr>
          <w:rFonts w:cs="Times New Roman"/>
        </w:rPr>
        <w:t>(Melaina et al., 2013)</w:t>
      </w:r>
      <w:r w:rsidR="00095986" w:rsidRPr="00AF41A6">
        <w:fldChar w:fldCharType="end"/>
      </w:r>
      <w:r w:rsidR="00095986" w:rsidRPr="00AF41A6">
        <w:t xml:space="preserve">. </w:t>
      </w:r>
      <w:r w:rsidR="00E640CE" w:rsidRPr="00AF41A6">
        <w:t>Local b</w:t>
      </w:r>
      <w:r w:rsidR="00095986" w:rsidRPr="00AF41A6">
        <w:t>lends of 20% have been tested</w:t>
      </w:r>
      <w:r w:rsidR="00095986" w:rsidRPr="00AF41A6">
        <w:rPr>
          <w:rStyle w:val="FootnoteReference"/>
        </w:rPr>
        <w:footnoteReference w:id="7"/>
      </w:r>
      <w:r w:rsidR="00095986" w:rsidRPr="00AF41A6">
        <w:t xml:space="preserve"> and are commonly su</w:t>
      </w:r>
      <w:r w:rsidR="00E640CE" w:rsidRPr="00AF41A6">
        <w:t xml:space="preserve">ggested as an acceptable level. </w:t>
      </w:r>
    </w:p>
    <w:p w14:paraId="0D17D751" w14:textId="0B363ECC" w:rsidR="00ED5284" w:rsidRPr="00AF41A6" w:rsidRDefault="006F128D" w:rsidP="00E65CF7">
      <w:r w:rsidRPr="00AF41A6">
        <w:t>A</w:t>
      </w:r>
      <w:r w:rsidR="00E640CE" w:rsidRPr="00AF41A6">
        <w:t xml:space="preserve"> global transition to hydrogen </w:t>
      </w:r>
      <w:r w:rsidRPr="00AF41A6">
        <w:t>blending in the natural gas grid</w:t>
      </w:r>
      <w:r w:rsidR="00E640CE" w:rsidRPr="00AF41A6">
        <w:t xml:space="preserve">, let alone a complete replacement of natural gas by hydrogen, </w:t>
      </w:r>
      <w:r w:rsidR="004A4E8A" w:rsidRPr="00AF41A6">
        <w:t xml:space="preserve">would require substantial increases in hydrogen production and changes to </w:t>
      </w:r>
      <w:r w:rsidRPr="00AF41A6">
        <w:t>the way</w:t>
      </w:r>
      <w:r w:rsidR="004A4E8A" w:rsidRPr="00AF41A6">
        <w:t xml:space="preserve"> it is made. Current hydrogen production is used mostly for</w:t>
      </w:r>
      <w:r w:rsidR="00B33B52" w:rsidRPr="00AF41A6">
        <w:t xml:space="preserve"> industrial processes</w:t>
      </w:r>
      <w:r w:rsidR="004A4E8A" w:rsidRPr="00AF41A6">
        <w:t xml:space="preserve"> and less than 0.1% of this is produced by electrolysis</w:t>
      </w:r>
      <w:r w:rsidR="00927722" w:rsidRPr="00AF41A6">
        <w:t xml:space="preserve"> of water</w:t>
      </w:r>
      <w:r w:rsidR="004A4E8A" w:rsidRPr="00AF41A6">
        <w:t>, the production pathway envisioned for use with renewable energy</w:t>
      </w:r>
      <w:r w:rsidR="00927722" w:rsidRPr="00AF41A6">
        <w:t xml:space="preserve"> </w:t>
      </w:r>
      <w:r w:rsidR="00E65CF7" w:rsidRPr="00AF41A6">
        <w:fldChar w:fldCharType="begin"/>
      </w:r>
      <w:r w:rsidR="00E65CF7" w:rsidRPr="00AF41A6">
        <w:instrText xml:space="preserve"> ADDIN ZOTERO_ITEM CSL_CITATION {"citationID":"njAQM6RW","properties":{"formattedCitation":"(IEA, 2019)","plainCitation":"(IEA, 2019)","noteIndex":0},"citationItems":[{"id":1552,"uris":["http://zotero.org/users/7422708/items/DN4PSPJI"],"uri":["http://zotero.org/users/7422708/items/DN4PSPJI"],"itemData":{"id":1552,"type":"article","publisher":"International Energy Agency","title":"The Future of Hydrogen","URL":"https://www.iea.org/reports/the-future-of-hydrogen","author":[{"family":"IEA","given":""}],"issued":{"date-parts":[["2019"]]}}}],"schema":"https://github.com/citation-style-language/schema/raw/master/csl-citation.json"} </w:instrText>
      </w:r>
      <w:r w:rsidR="00E65CF7" w:rsidRPr="00AF41A6">
        <w:fldChar w:fldCharType="separate"/>
      </w:r>
      <w:r w:rsidR="00E65CF7" w:rsidRPr="00AF41A6">
        <w:rPr>
          <w:rFonts w:cs="Times New Roman"/>
        </w:rPr>
        <w:t>(IEA, 2019)</w:t>
      </w:r>
      <w:r w:rsidR="00E65CF7" w:rsidRPr="00AF41A6">
        <w:fldChar w:fldCharType="end"/>
      </w:r>
      <w:r w:rsidR="00E65CF7" w:rsidRPr="00AF41A6">
        <w:t xml:space="preserve">. Though hydrogen production from fossil fuels with carbon capture and storage </w:t>
      </w:r>
      <w:r w:rsidR="00B33B52" w:rsidRPr="00AF41A6">
        <w:t xml:space="preserve">(CCS) </w:t>
      </w:r>
      <w:r w:rsidR="00E65CF7" w:rsidRPr="00AF41A6">
        <w:t>is another potential production pathway for low-carbon hydrogen, zero-emissions production</w:t>
      </w:r>
      <w:r w:rsidR="00097C40" w:rsidRPr="00AF41A6">
        <w:t xml:space="preserve"> cannot be attained</w:t>
      </w:r>
      <w:r w:rsidR="00E65CF7" w:rsidRPr="00AF41A6">
        <w:t xml:space="preserve"> </w:t>
      </w:r>
      <w:r w:rsidR="00097C40" w:rsidRPr="00AF41A6">
        <w:t>because</w:t>
      </w:r>
      <w:r w:rsidR="00E65CF7" w:rsidRPr="00AF41A6">
        <w:t xml:space="preserve"> </w:t>
      </w:r>
      <w:r w:rsidR="00B33B52" w:rsidRPr="00AF41A6">
        <w:t>CCS</w:t>
      </w:r>
      <w:r w:rsidR="00097C40" w:rsidRPr="00AF41A6">
        <w:t xml:space="preserve"> is expected to be only about 90% effective in most applications</w:t>
      </w:r>
      <w:r w:rsidR="00E65CF7" w:rsidRPr="00AF41A6">
        <w:t xml:space="preserve">, and – again – because of the methane emissions that occur upstream in the fossil fuel supply chain. </w:t>
      </w:r>
      <w:r w:rsidR="00B33B52" w:rsidRPr="00AF41A6">
        <w:t xml:space="preserve">Furthermore, without proper governance of hydrogen production and infrastructure, there is a risk that decarbonization is stalled at the level of blending that enables continued fossil fuel use and therefore carbon lock-in </w:t>
      </w:r>
      <w:r w:rsidR="00B33B52" w:rsidRPr="00AF41A6">
        <w:fldChar w:fldCharType="begin"/>
      </w:r>
      <w:r w:rsidR="00B33B52" w:rsidRPr="00AF41A6">
        <w:instrText xml:space="preserve"> ADDIN ZOTERO_ITEM CSL_CITATION {"citationID":"SGz2Ux7Z","properties":{"formattedCitation":"(Van de Graaf et al., 2020)","plainCitation":"(Van de Graaf et al., 2020)","noteIndex":0},"citationItems":[{"id":1610,"uris":["http://zotero.org/users/7422708/items/4GVETHF5"],"uri":["http://zotero.org/users/7422708/items/4GVETHF5"],"itemData":{"id":1610,"type":"article-journal","abstract":"While most hydrogen research focuses on the technical and cost hurdles to a full-scale hydrogen economy, little consideration has been given to the geopolitical drivers and consequences of hydrogen developments. The technologies and infrastructures underpinning a hydrogen economy can take markedly different forms, and the choice over which pathway to take is the object of competition between different stakeholders and countries. Over time, cross-border maritime trade in hydrogen has the potential to fundamentally redraw the geography of global energy trade, create a new class of energy exporters, and reshape geopolitical relations and alliances between countries. International governance and investments to scale up hydrogen value chains could reduce the risk of market fragmentation, carbon lock-in, and intensified geo-economic rivalry.","container-title":"Energy Research &amp; Social Science","DOI":"10.1016/j.erss.2020.101667","ISSN":"22146296","journalAbbreviation":"Energy Research &amp; Social Science","language":"en","page":"101667","source":"DOI.org (Crossref)","title":"The new oil? The geopolitics and international governance of hydrogen","title-short":"The new oil?","volume":"70","author":[{"family":"Van de Graaf","given":"Thijs"},{"family":"Overland","given":"Indra"},{"family":"Scholten","given":"Daniel"},{"family":"Westphal","given":"Kirsten"}],"issued":{"date-parts":[["2020",12]]}}}],"schema":"https://github.com/citation-style-language/schema/raw/master/csl-citation.json"} </w:instrText>
      </w:r>
      <w:r w:rsidR="00B33B52" w:rsidRPr="00AF41A6">
        <w:fldChar w:fldCharType="separate"/>
      </w:r>
      <w:r w:rsidR="00B33B52" w:rsidRPr="00AF41A6">
        <w:rPr>
          <w:rFonts w:cs="Times New Roman"/>
        </w:rPr>
        <w:t>(Van de Graaf et al., 2020)</w:t>
      </w:r>
      <w:r w:rsidR="00B33B52" w:rsidRPr="00AF41A6">
        <w:fldChar w:fldCharType="end"/>
      </w:r>
      <w:r w:rsidR="00B33B52" w:rsidRPr="00AF41A6">
        <w:t xml:space="preserve">. </w:t>
      </w:r>
    </w:p>
    <w:p w14:paraId="05CB7AEB" w14:textId="47C1E931" w:rsidR="00821F7D" w:rsidRPr="00AF41A6" w:rsidRDefault="00ED5284" w:rsidP="00E65CF7">
      <w:r w:rsidRPr="00AF41A6">
        <w:t>In addition to the above</w:t>
      </w:r>
      <w:r w:rsidR="00E65CF7" w:rsidRPr="00AF41A6">
        <w:t xml:space="preserve"> </w:t>
      </w:r>
      <w:r w:rsidR="00821F7D" w:rsidRPr="00AF41A6">
        <w:t>issues</w:t>
      </w:r>
      <w:r w:rsidRPr="00AF41A6">
        <w:t xml:space="preserve"> with a large-scale hydrogen conversion of the gas infrastructure</w:t>
      </w:r>
      <w:r w:rsidR="00821F7D" w:rsidRPr="00AF41A6">
        <w:t xml:space="preserve">, practical hurdles also remain. Hydrogen can make steel pipelines more brittle and susceptible to cracking, meaning that large sections of current infrastructure would need to </w:t>
      </w:r>
      <w:r w:rsidR="008F62B6" w:rsidRPr="00AF41A6">
        <w:t xml:space="preserve">be </w:t>
      </w:r>
      <w:r w:rsidR="00821F7D" w:rsidRPr="00AF41A6">
        <w:t xml:space="preserve">replaced with softer steel or polyethylene pipe </w:t>
      </w:r>
      <w:r w:rsidR="00821F7D" w:rsidRPr="00AF41A6">
        <w:fldChar w:fldCharType="begin"/>
      </w:r>
      <w:r w:rsidR="00821F7D" w:rsidRPr="00AF41A6">
        <w:instrText xml:space="preserve"> ADDIN ZOTERO_ITEM CSL_CITATION {"citationID":"eZE3gxiJ","properties":{"formattedCitation":"(Dodds &amp; Demoullin, 2013)","plainCitation":"(Dodds &amp; Demoullin, 2013)","noteIndex":0},"citationItems":[{"id":1551,"uris":["http://zotero.org/users/7422708/items/6B9WLU3X"],"uri":["http://zotero.org/users/7422708/items/6B9WLU3X"],"itemData":{"id":1551,"type":"article-journal","abstract":"One option to decarbonise residential heat in the UK is to convert the existing natural gas networks to deliver hydrogen. We review the technical feasibility of this option using semistructured interviews underpinned by a literature review and we assess the potential economic beneﬁts using the UK MARKAL energy systems model. We conclude that hydrogen can be transported safely in the low-pressure pipes but we identify concerns over the reduced capacity of the system and the much lower linepack storage compared to natural gas. New hydrogen meters and sensors would have to be ﬁtted to every building in a hydrogen conversion program and appliances would have to be converted unless the government was to legislate to make them hydrogen-ready in advance.","container-title":"International Journal of Hydrogen Energy","DOI":"10.1016/j.ijhydene.2013.03.070","ISSN":"03603199","issue":"18","journalAbbreviation":"International Journal of Hydrogen Energy","language":"en","page":"7189-7200","source":"DOI.org (Crossref)","title":"Conversion of the UK gas system to transport hydrogen","volume":"38","author":[{"family":"Dodds","given":"Paul E."},{"family":"Demoullin","given":"Stéphanie"}],"issued":{"date-parts":[["2013",6]]}}}],"schema":"https://github.com/citation-style-language/schema/raw/master/csl-citation.json"} </w:instrText>
      </w:r>
      <w:r w:rsidR="00821F7D" w:rsidRPr="00AF41A6">
        <w:fldChar w:fldCharType="separate"/>
      </w:r>
      <w:r w:rsidR="00821F7D" w:rsidRPr="00AF41A6">
        <w:rPr>
          <w:rFonts w:cs="Times New Roman"/>
        </w:rPr>
        <w:t>(Dodds &amp; Demoullin, 2013)</w:t>
      </w:r>
      <w:r w:rsidR="00821F7D" w:rsidRPr="00AF41A6">
        <w:fldChar w:fldCharType="end"/>
      </w:r>
      <w:r w:rsidR="00821F7D" w:rsidRPr="00AF41A6">
        <w:t xml:space="preserve">. </w:t>
      </w:r>
      <w:r w:rsidRPr="00AF41A6">
        <w:t>And h</w:t>
      </w:r>
      <w:r w:rsidR="00821F7D" w:rsidRPr="00AF41A6">
        <w:t>ydrogen is less energy dense on a volume basis, meaning that infrastructure would need to be expanded to provide the equivalent power</w:t>
      </w:r>
      <w:r w:rsidR="00927722" w:rsidRPr="00AF41A6">
        <w:t xml:space="preserve"> of natural gas</w:t>
      </w:r>
      <w:r w:rsidR="00821F7D" w:rsidRPr="00AF41A6">
        <w:t xml:space="preserve">, and new pipelines would likely need to be built to connect hydrogen production facilities to the grid </w:t>
      </w:r>
      <w:r w:rsidR="00821F7D" w:rsidRPr="00AF41A6">
        <w:fldChar w:fldCharType="begin"/>
      </w:r>
      <w:r w:rsidR="00821F7D" w:rsidRPr="00AF41A6">
        <w:instrText xml:space="preserve"> ADDIN ZOTERO_ITEM CSL_CITATION {"citationID":"gdgHMsuX","properties":{"formattedCitation":"(Blanton et al., 2021)","plainCitation":"(Blanton et al., 2021)","noteIndex":0},"citationItems":[{"id":1585,"uris":["http://zotero.org/users/7422708/items/MYUGRLJ9"],"uri":["http://zotero.org/users/7422708/items/MYUGRLJ9"],"itemData":{"id":1585,"type":"article","language":"en","publisher":"Columbia Center on Global Energy Policy","source":"Zotero","title":"Investing in the US Natural Gas Pipeline System to Support Net-Zero Targets","author":[{"family":"Blanton","given":"Erin M"},{"family":"Lott","given":"Dr Melissa C"},{"family":"Smith","given":"Kirsten Nicole"}],"issued":{"date-parts":[["2021"]]}}}],"schema":"https://github.com/citation-style-language/schema/raw/master/csl-citation.json"} </w:instrText>
      </w:r>
      <w:r w:rsidR="00821F7D" w:rsidRPr="00AF41A6">
        <w:fldChar w:fldCharType="separate"/>
      </w:r>
      <w:r w:rsidR="00821F7D" w:rsidRPr="00AF41A6">
        <w:rPr>
          <w:rFonts w:cs="Times New Roman"/>
        </w:rPr>
        <w:t>(Blanton et al., 2021)</w:t>
      </w:r>
      <w:r w:rsidR="00821F7D" w:rsidRPr="00AF41A6">
        <w:fldChar w:fldCharType="end"/>
      </w:r>
      <w:r w:rsidR="00B33B52" w:rsidRPr="00AF41A6">
        <w:t xml:space="preserve">. </w:t>
      </w:r>
    </w:p>
    <w:p w14:paraId="1C77C354" w14:textId="50165235" w:rsidR="00B33B52" w:rsidRPr="00AF41A6" w:rsidRDefault="00B33B52" w:rsidP="00E65CF7">
      <w:r w:rsidRPr="00AF41A6">
        <w:t xml:space="preserve">Several other </w:t>
      </w:r>
      <w:r w:rsidR="00097C40" w:rsidRPr="00AF41A6">
        <w:t>alternative fuels and uses</w:t>
      </w:r>
      <w:r w:rsidRPr="00AF41A6">
        <w:t xml:space="preserve"> have been proposed for the natural gas supply chains:</w:t>
      </w:r>
    </w:p>
    <w:p w14:paraId="14F5B07E" w14:textId="55030F14" w:rsidR="003F3552" w:rsidRPr="00AF41A6" w:rsidRDefault="003F3552" w:rsidP="00ED5284">
      <w:pPr>
        <w:pStyle w:val="ListParagraph"/>
        <w:numPr>
          <w:ilvl w:val="0"/>
          <w:numId w:val="26"/>
        </w:numPr>
      </w:pPr>
      <w:r w:rsidRPr="00AF41A6">
        <w:t xml:space="preserve">Renewable natural gas can refer to both biomethane and synthetic methane – fuels that are similar to natural gas in that they are </w:t>
      </w:r>
      <w:r w:rsidR="009736D7">
        <w:t xml:space="preserve">made mostly of </w:t>
      </w:r>
      <w:r w:rsidRPr="00AF41A6">
        <w:t>methane, but differing from natu</w:t>
      </w:r>
      <w:r w:rsidR="009736D7">
        <w:t>ral gas in that they are</w:t>
      </w:r>
      <w:r w:rsidR="002C1ADB">
        <w:t>, in principle,</w:t>
      </w:r>
      <w:r w:rsidR="009736D7">
        <w:t xml:space="preserve"> sourced</w:t>
      </w:r>
      <w:r w:rsidRPr="00AF41A6">
        <w:t xml:space="preserve"> from low-carbon activities. </w:t>
      </w:r>
      <w:r w:rsidR="002C1ADB">
        <w:t xml:space="preserve">Biomethane </w:t>
      </w:r>
      <w:r w:rsidR="00B33B52" w:rsidRPr="00AF41A6">
        <w:t xml:space="preserve">is formed from biological processing such as anaerobic digestion of manure. </w:t>
      </w:r>
      <w:r w:rsidR="009736D7">
        <w:t>Synthetic methane is formed from the combination of CO</w:t>
      </w:r>
      <w:r w:rsidR="009736D7">
        <w:rPr>
          <w:vertAlign w:val="subscript"/>
        </w:rPr>
        <w:t>2</w:t>
      </w:r>
      <w:r w:rsidR="009736D7">
        <w:t xml:space="preserve"> with hydrogen, presumably both envisioned to come from low-carbon or biogenic sources. </w:t>
      </w:r>
      <w:r w:rsidR="002C1ADB">
        <w:t xml:space="preserve">Current production levels of these fuels are low compared to fossil natural gas. </w:t>
      </w:r>
      <w:r w:rsidR="00FA60FD">
        <w:t xml:space="preserve">It must </w:t>
      </w:r>
      <w:r w:rsidR="002C1ADB">
        <w:t xml:space="preserve">also </w:t>
      </w:r>
      <w:r w:rsidR="00FA60FD">
        <w:t>be noted that</w:t>
      </w:r>
      <w:r w:rsidR="002C1ADB">
        <w:t xml:space="preserve"> renewable natural gas can be</w:t>
      </w:r>
      <w:r w:rsidR="00FA60FD">
        <w:t xml:space="preserve"> climate intensive, stemming from methane leaks that occur during production </w:t>
      </w:r>
      <w:r w:rsidR="00FA60FD">
        <w:fldChar w:fldCharType="begin"/>
      </w:r>
      <w:r w:rsidR="00FA60FD">
        <w:instrText xml:space="preserve"> ADDIN ZOTERO_ITEM CSL_CITATION {"citationID":"FuuahM74","properties":{"formattedCitation":"(Grubert, 2020)","plainCitation":"(Grubert, 2020)","noteIndex":0},"citationItems":[{"id":1536,"uris":["http://zotero.org/users/7422708/items/CGVXGZYE"],"uri":["http://zotero.org/users/7422708/items/CGVXGZYE"],"itemData":{"id":1536,"type":"article-journal","container-title":"Environmental Research Letters","DOI":"10.1088/1748-9326/ab9335","ISSN":"1748-9326","issue":"8","journalAbbreviation":"Environ. Res. Lett.","language":"en","page":"084041","source":"DOI.org (Crossref)","title":"At scale, renewable natural gas systems could be climate intensive: the influence of methane feedstock and leakage rates","title-short":"At scale, renewable natural gas systems could be climate intensive","volume":"15","author":[{"family":"Grubert","given":"Emily"}],"issued":{"date-parts":[["2020",8,14]]}}}],"schema":"https://github.com/citation-style-language/schema/raw/master/csl-citation.json"} </w:instrText>
      </w:r>
      <w:r w:rsidR="00FA60FD">
        <w:fldChar w:fldCharType="separate"/>
      </w:r>
      <w:r w:rsidR="00FA60FD" w:rsidRPr="00FA60FD">
        <w:rPr>
          <w:rFonts w:cs="Times New Roman"/>
        </w:rPr>
        <w:t>(Grubert, 2020)</w:t>
      </w:r>
      <w:r w:rsidR="00FA60FD">
        <w:fldChar w:fldCharType="end"/>
      </w:r>
      <w:r w:rsidR="00FA60FD">
        <w:t>.</w:t>
      </w:r>
    </w:p>
    <w:p w14:paraId="6742EA97" w14:textId="148BE2C9" w:rsidR="002E31A4" w:rsidRPr="00AF41A6" w:rsidRDefault="00EE1111" w:rsidP="009736D7">
      <w:pPr>
        <w:pStyle w:val="ListParagraph"/>
        <w:numPr>
          <w:ilvl w:val="0"/>
          <w:numId w:val="26"/>
        </w:numPr>
      </w:pPr>
      <w:r w:rsidRPr="00AF41A6">
        <w:t>Another potential purpose for natural gas pipe</w:t>
      </w:r>
      <w:r w:rsidR="009736D7">
        <w:t xml:space="preserve">lines is conversion to carry carbon dioxide to support permanent storage or utilization with carbon capture. </w:t>
      </w:r>
      <w:r w:rsidRPr="00AF41A6">
        <w:t>CCS and other negative emissions technologies that</w:t>
      </w:r>
      <w:r w:rsidR="009736D7">
        <w:t xml:space="preserve"> intend to permanently store CO</w:t>
      </w:r>
      <w:r w:rsidR="009736D7">
        <w:rPr>
          <w:vertAlign w:val="subscript"/>
        </w:rPr>
        <w:t>2</w:t>
      </w:r>
      <w:r w:rsidRPr="00AF41A6">
        <w:t xml:space="preserve"> undergro</w:t>
      </w:r>
      <w:r w:rsidR="009736D7">
        <w:t>und will likely require some CO</w:t>
      </w:r>
      <w:r w:rsidR="009736D7">
        <w:rPr>
          <w:vertAlign w:val="subscript"/>
        </w:rPr>
        <w:t>2</w:t>
      </w:r>
      <w:r w:rsidR="009736D7">
        <w:t xml:space="preserve"> transportation infrastructure </w:t>
      </w:r>
      <w:r w:rsidR="009736D7">
        <w:fldChar w:fldCharType="begin"/>
      </w:r>
      <w:r w:rsidR="009736D7">
        <w:instrText xml:space="preserve"> ADDIN ZOTERO_ITEM CSL_CITATION {"citationID":"dlUfaTYu","properties":{"formattedCitation":"(J. H. Williams et al., 2021)","plainCitation":"(J. H. Williams et al., 2021)","noteIndex":0},"citationItems":[{"id":1292,"uris":["http://zotero.org/users/7422708/items/T4UPW57V"],"uri":["http://zotero.org/users/7422708/items/T4UPW57V"],"itemData":{"id":1292,"type":"article-journal","abstract":"The Intergovernmental Panel on Climate Change (IPCC) Special Report on Global Warming of 1.5°C points to the need for carb</w:instrText>
      </w:r>
      <w:r w:rsidR="009736D7">
        <w:rPr>
          <w:rFonts w:hint="eastAsia"/>
        </w:rPr>
        <w:instrText>on neutrality by mid</w:instrText>
      </w:r>
      <w:r w:rsidR="009736D7">
        <w:rPr>
          <w:rFonts w:hint="eastAsia"/>
        </w:rPr>
        <w:instrText>‐</w:instrText>
      </w:r>
      <w:r w:rsidR="009736D7">
        <w:rPr>
          <w:rFonts w:hint="eastAsia"/>
        </w:rPr>
        <w:instrText>century. Achieving this in the United States in only 30 years will be challenging, and practical pathways detailing the technologies, infrastructure, costs, and tradeoffs involved are needed. Modeling the entire U.S. energy and indust</w:instrText>
      </w:r>
      <w:r w:rsidR="009736D7">
        <w:instrText>rial system with new analysis tools that capture synergies not represented in sector</w:instrText>
      </w:r>
      <w:r w:rsidR="009736D7">
        <w:rPr>
          <w:rFonts w:hint="eastAsia"/>
        </w:rPr>
        <w:instrText>‐</w:instrText>
      </w:r>
      <w:r w:rsidR="009736D7">
        <w:instrText>speciﬁc or integrated assessment models, we created multiple pathways to net zero and net negative CO2 emissions by 2050. They met all forecast U.S. energy needs at a net</w:instrText>
      </w:r>
      <w:r w:rsidR="009736D7">
        <w:rPr>
          <w:rFonts w:hint="eastAsia"/>
        </w:rPr>
        <w:instrText xml:space="preserve"> cost of 0.2</w:instrText>
      </w:r>
      <w:r w:rsidR="009736D7">
        <w:rPr>
          <w:rFonts w:hint="eastAsia"/>
        </w:rPr>
        <w:instrText>–</w:instrText>
      </w:r>
      <w:r w:rsidR="009736D7">
        <w:rPr>
          <w:rFonts w:hint="eastAsia"/>
        </w:rPr>
        <w:instrText>1.2% of GDP in 2050, using only commercial or near</w:instrText>
      </w:r>
      <w:r w:rsidR="009736D7">
        <w:rPr>
          <w:rFonts w:hint="eastAsia"/>
        </w:rPr>
        <w:instrText>‐</w:instrText>
      </w:r>
      <w:r w:rsidR="009736D7">
        <w:rPr>
          <w:rFonts w:hint="eastAsia"/>
        </w:rPr>
        <w:instrText xml:space="preserve">commercial technologies, and requiring no early retirement of existing infrastructure. Pathways with constraints on consumer behavior, land use, biomass use, and technology choices (e.g., no </w:instrText>
      </w:r>
      <w:r w:rsidR="009736D7">
        <w:instrText>nuclear) met the target but at higher cost. All pathways employed four basic strategies: energy efﬁciency, decarbonized electricity, electriﬁcation, and carbon capture. Least</w:instrText>
      </w:r>
      <w:r w:rsidR="009736D7">
        <w:rPr>
          <w:rFonts w:hint="eastAsia"/>
        </w:rPr>
        <w:instrText>‐</w:instrText>
      </w:r>
      <w:r w:rsidR="009736D7">
        <w:instrText>cost pathways were based on &gt;80% wind and solar electricity plus thermal generation for reliability. A 100% renewable primary energy system was feasible but had higher cost and land use. We found multiple feasible options for supplying low</w:instrText>
      </w:r>
      <w:r w:rsidR="009736D7">
        <w:rPr>
          <w:rFonts w:hint="eastAsia"/>
        </w:rPr>
        <w:instrText>‐</w:instrText>
      </w:r>
      <w:r w:rsidR="009736D7">
        <w:instrText>carbon fuels for non</w:instrText>
      </w:r>
      <w:r w:rsidR="009736D7">
        <w:rPr>
          <w:rFonts w:hint="eastAsia"/>
        </w:rPr>
        <w:instrText>‐</w:instrText>
      </w:r>
      <w:r w:rsidR="009736D7">
        <w:instrText xml:space="preserve">electriﬁable end uses in industry, freight, and aviation, which were not required in bulk until after 2035. In the next decade, the actions required in all pathways were similar: expand renewable capacity 3.5 fold, retire coal, maintain existing gas generating capacity, and increase electric vehicle and heat pump sales to &gt;50% </w:instrText>
      </w:r>
      <w:r w:rsidR="009736D7">
        <w:rPr>
          <w:rFonts w:hint="eastAsia"/>
        </w:rPr>
        <w:instrText>of market share. This study provides a playbook for carbon neutrality policy with concrete near</w:instrText>
      </w:r>
      <w:r w:rsidR="009736D7">
        <w:rPr>
          <w:rFonts w:hint="eastAsia"/>
        </w:rPr>
        <w:instrText>‐</w:instrText>
      </w:r>
      <w:r w:rsidR="009736D7">
        <w:rPr>
          <w:rFonts w:hint="eastAsia"/>
        </w:rPr>
        <w:instrText xml:space="preserve">term priorities. Plain Language Summary We created multiple blueprints for the United States to reach zero or negative CO2 emissions from the energy system by </w:instrText>
      </w:r>
      <w:r w:rsidR="009736D7">
        <w:instrText>2050 to avoid the most damaging impacts of climate change. By methodically increasing energy efﬁciency, switching to electric technologies, utilizing clean electricity (especially wind and solar power), and deploying a small amount of carbon capture technology, the United States can reach zero emissions without requiring changes to behavior. Cost is about $1 per person per day, not counting climate beneﬁts; this is signiﬁcantly less than estimates from a few years ago because of recent technology progress</w:instrText>
      </w:r>
      <w:r w:rsidR="009736D7">
        <w:rPr>
          <w:rFonts w:hint="eastAsia"/>
        </w:rPr>
        <w:instrText>. Models with more detail than used in the past revealed unexpected synergies, counterintuitive results, and tradeoffs. The lowest</w:instrText>
      </w:r>
      <w:r w:rsidR="009736D7">
        <w:rPr>
          <w:rFonts w:hint="eastAsia"/>
        </w:rPr>
        <w:instrText>‐</w:instrText>
      </w:r>
      <w:r w:rsidR="009736D7">
        <w:rPr>
          <w:rFonts w:hint="eastAsia"/>
        </w:rPr>
        <w:instrText xml:space="preserve">cost electricity systems get &gt;80% of energy from wind and solar power but need other resources to provide reliable service. </w:instrText>
      </w:r>
      <w:r w:rsidR="009736D7">
        <w:instrText>Eliminating fossil fuel use altogether is possible but higher cost. Restricting biomass use and land for renewables is possible but could require nuclear power to compensate. All blueprints for the United States agree on the key tasks for the 2020s: increasing the capacity of wind and solar power by 3.5 times, retiring coal plants, and increasing electric vehicle and electric heat pump sales to &gt;50% of market share.","container-title":"AGU Advances","DOI":"10.1029/2020AV000284","ISSN":"2576-604X, 2576-604</w:instrText>
      </w:r>
      <w:r w:rsidR="009736D7">
        <w:rPr>
          <w:rFonts w:hint="eastAsia"/>
        </w:rPr>
        <w:instrText>X","issue":"1","journalAbbreviation":"AGU Advances","language":"en","source":"DOI.org (Crossref)","title":"Carbon</w:instrText>
      </w:r>
      <w:r w:rsidR="009736D7">
        <w:rPr>
          <w:rFonts w:hint="eastAsia"/>
        </w:rPr>
        <w:instrText>‐</w:instrText>
      </w:r>
      <w:r w:rsidR="009736D7">
        <w:rPr>
          <w:rFonts w:hint="eastAsia"/>
        </w:rPr>
        <w:instrText>Neutral Pathways for the United States","URL":"https://onlinelibrary.wiley.com/doi/10.1029/2020AV000284","volume":"2","author":[{"family":"Wi</w:instrText>
      </w:r>
      <w:r w:rsidR="009736D7">
        <w:instrText xml:space="preserve">lliams","given":"James H."},{"family":"Jones","given":"Ryan A."},{"family":"Haley","given":"Ben"},{"family":"Kwok","given":"Gabe"},{"family":"Hargreaves","given":"Jeremy"},{"family":"Farbes","given":"Jamil"},{"family":"Torn","given":"Margaret S."}],"accessed":{"date-parts":[["2021",2,22]]},"issued":{"date-parts":[["2021",1]]}}}],"schema":"https://github.com/citation-style-language/schema/raw/master/csl-citation.json"} </w:instrText>
      </w:r>
      <w:r w:rsidR="009736D7">
        <w:fldChar w:fldCharType="separate"/>
      </w:r>
      <w:r w:rsidR="009736D7" w:rsidRPr="009736D7">
        <w:rPr>
          <w:rFonts w:cs="Times New Roman"/>
        </w:rPr>
        <w:t>(J. H. Williams et al., 2021)</w:t>
      </w:r>
      <w:r w:rsidR="009736D7">
        <w:fldChar w:fldCharType="end"/>
      </w:r>
      <w:r w:rsidR="00FC103E" w:rsidRPr="00AF41A6">
        <w:t xml:space="preserve">. Though, like hydrogen, this is still a very uncertain future </w:t>
      </w:r>
      <w:r w:rsidR="009736D7">
        <w:t>and f</w:t>
      </w:r>
      <w:r w:rsidR="00FC103E" w:rsidRPr="00AF41A6">
        <w:t xml:space="preserve">ar from the scale of the current natural gas infrastructure. </w:t>
      </w:r>
    </w:p>
    <w:p w14:paraId="111F4010" w14:textId="43A6976C" w:rsidR="00434F61" w:rsidRPr="00AF41A6" w:rsidRDefault="551A77D0" w:rsidP="00EB247F">
      <w:pPr>
        <w:pStyle w:val="Heading2"/>
      </w:pPr>
      <w:bookmarkStart w:id="29" w:name="_Toc75953793"/>
      <w:r w:rsidRPr="00AF41A6">
        <w:t>Adoption Path</w:t>
      </w:r>
      <w:bookmarkEnd w:id="29"/>
    </w:p>
    <w:p w14:paraId="2DE714B4" w14:textId="047972ED" w:rsidR="00112479" w:rsidRPr="00AF41A6" w:rsidRDefault="551A77D0" w:rsidP="00EB247F">
      <w:pPr>
        <w:pStyle w:val="Heading3"/>
      </w:pPr>
      <w:bookmarkStart w:id="30" w:name="_Toc75953794"/>
      <w:r w:rsidRPr="00AF41A6">
        <w:t>Current Adoption</w:t>
      </w:r>
      <w:bookmarkEnd w:id="30"/>
    </w:p>
    <w:p w14:paraId="30D0829E" w14:textId="4B64630D" w:rsidR="008A6BBE" w:rsidRPr="00AF41A6" w:rsidRDefault="008A6BBE" w:rsidP="00042017">
      <w:r w:rsidRPr="00AF41A6">
        <w:t xml:space="preserve">Improved methane management in the oil and gas supply chains consists of techniques and technologies that have been proven over decades of use and often save money for the infrastructure owners and operators by reducing lost product. Based on 2020 gas prices, as estimated 11% of </w:t>
      </w:r>
      <w:r w:rsidR="00BB4155" w:rsidRPr="00AF41A6">
        <w:t xml:space="preserve">annual </w:t>
      </w:r>
      <w:r w:rsidRPr="00AF41A6">
        <w:t xml:space="preserve">global methane emissions </w:t>
      </w:r>
      <w:r w:rsidR="00BB4155" w:rsidRPr="00AF41A6">
        <w:t xml:space="preserve">from this sector </w:t>
      </w:r>
      <w:r w:rsidRPr="00AF41A6">
        <w:t xml:space="preserve">could be abated at no net </w:t>
      </w:r>
      <w:r w:rsidR="0048525C">
        <w:t xml:space="preserve">lifetime </w:t>
      </w:r>
      <w:r w:rsidRPr="00AF41A6">
        <w:t xml:space="preserve">cost </w:t>
      </w:r>
      <w:r w:rsidRPr="00AF41A6">
        <w:fldChar w:fldCharType="begin"/>
      </w:r>
      <w:r w:rsidRPr="00AF41A6">
        <w:instrText xml:space="preserve"> ADDIN ZOTERO_ITEM CSL_CITATION {"citationID":"HBdMA0j5","properties":{"formattedCitation":"(IEA, 2021a)","plainCitation":"(IEA, 2021a)","noteIndex":0},"citationItems":[{"id":1527,"uris":["http://zotero.org/users/7422708/items/RT9ADG7J"],"uri":["http://zotero.org/users/7422708/items/RT9ADG7J"],"itemData":{"id":1527,"type":"article","publisher":"International Energy Agency","title":"Methane Tracker 2021","URL":"https://www.iea.org/reports/methane-tracker-2021","author":[{"family":"IEA","given":""}],"issued":{"date-parts":[["2021"]]}}}],"schema":"https://github.com/citation-style-language/schema/raw/master/csl-citation.json"} </w:instrText>
      </w:r>
      <w:r w:rsidRPr="00AF41A6">
        <w:fldChar w:fldCharType="separate"/>
      </w:r>
      <w:r w:rsidRPr="00AF41A6">
        <w:rPr>
          <w:rFonts w:cs="Times New Roman"/>
        </w:rPr>
        <w:t>(IEA, 2021a)</w:t>
      </w:r>
      <w:r w:rsidRPr="00AF41A6">
        <w:fldChar w:fldCharType="end"/>
      </w:r>
      <w:r w:rsidRPr="00AF41A6">
        <w:t>. Higher percentages</w:t>
      </w:r>
      <w:r w:rsidR="00BB4155" w:rsidRPr="00AF41A6">
        <w:t xml:space="preserve"> of no-net-cost abatement</w:t>
      </w:r>
      <w:r w:rsidRPr="00AF41A6">
        <w:t xml:space="preserve"> are possible at higher gas prices that justify the expense of finding and fixing emission sources. </w:t>
      </w:r>
    </w:p>
    <w:p w14:paraId="4266FBED" w14:textId="03DB9A94" w:rsidR="0048525C" w:rsidRPr="00AF41A6" w:rsidRDefault="008A6BBE" w:rsidP="0048525C">
      <w:r w:rsidRPr="00AF41A6">
        <w:t xml:space="preserve">In the United States, the EPA’s Gas STAR program has catalogued 72 technologies and practices that have been voluntarily implemented for reducing methane emissions. Partners to this program </w:t>
      </w:r>
      <w:r w:rsidR="007B7E09" w:rsidRPr="00AF41A6">
        <w:t xml:space="preserve">abated 46 </w:t>
      </w:r>
      <w:r w:rsidR="00E16B8F" w:rsidRPr="00AF41A6">
        <w:t xml:space="preserve">million </w:t>
      </w:r>
      <w:r w:rsidR="007B7E09" w:rsidRPr="00AF41A6">
        <w:t xml:space="preserve">mcf (thousand cubic feet) of natural gas emissions in 2019, </w:t>
      </w:r>
      <w:r w:rsidR="00BB4155" w:rsidRPr="00AF41A6">
        <w:t>equivalent to 2</w:t>
      </w:r>
      <w:r w:rsidR="00E16B8F" w:rsidRPr="00AF41A6">
        <w:t>2</w:t>
      </w:r>
      <w:r w:rsidR="00BB4155" w:rsidRPr="00AF41A6">
        <w:t>.1 Mt CO</w:t>
      </w:r>
      <w:r w:rsidR="00BB4155" w:rsidRPr="00AF41A6">
        <w:rPr>
          <w:vertAlign w:val="subscript"/>
        </w:rPr>
        <w:t>2</w:t>
      </w:r>
      <w:r w:rsidR="007231C4" w:rsidRPr="00AF41A6">
        <w:t xml:space="preserve">e, or </w:t>
      </w:r>
      <w:r w:rsidR="00E16B8F" w:rsidRPr="00AF41A6">
        <w:t>11% of EPA’s USA inventory emissions for this sector.</w:t>
      </w:r>
      <w:r w:rsidR="007231C4" w:rsidRPr="00AF41A6">
        <w:rPr>
          <w:rStyle w:val="FootnoteReference"/>
        </w:rPr>
        <w:t xml:space="preserve"> </w:t>
      </w:r>
      <w:r w:rsidR="007231C4" w:rsidRPr="00AF41A6">
        <w:rPr>
          <w:rStyle w:val="FootnoteReference"/>
        </w:rPr>
        <w:footnoteReference w:id="8"/>
      </w:r>
      <w:r w:rsidR="007231C4" w:rsidRPr="00AF41A6">
        <w:t xml:space="preserve"> This figure indicates that, in the USA, a significant amount of abatement is currently taking place. However, it is difficult to use this figure as an indication of adoption in Project Drawdown’s typical methodology because the amount of abatement is a counterfactual scenario that cannot be physically measured and does not transparently convey the assumptions of emissions that would have taken place in the absence of implementation. This is a recurring measurement challenge throughout our analysis of this solution. </w:t>
      </w:r>
      <w:r w:rsidR="0048525C" w:rsidRPr="00AF41A6">
        <w:t xml:space="preserve">The </w:t>
      </w:r>
      <w:r w:rsidR="0048525C">
        <w:t xml:space="preserve">EPA </w:t>
      </w:r>
      <w:r w:rsidR="0048525C" w:rsidRPr="00AF41A6">
        <w:t>data also indicate that reported abate</w:t>
      </w:r>
      <w:r w:rsidR="0048525C">
        <w:t>ment has not steadily increased; this</w:t>
      </w:r>
      <w:r w:rsidR="0048525C" w:rsidRPr="00AF41A6">
        <w:t xml:space="preserve"> is likely due to variations in the production cycle linked with natural gas prices. </w:t>
      </w:r>
    </w:p>
    <w:p w14:paraId="18F23C3C" w14:textId="3162AD6A" w:rsidR="002D14C0" w:rsidRPr="00AF41A6" w:rsidRDefault="007231C4" w:rsidP="00417162">
      <w:r w:rsidRPr="00AF41A6">
        <w:t>The level of adoption of this solution may also be estimated from a policy perspective.</w:t>
      </w:r>
      <w:r w:rsidR="0048525C">
        <w:t xml:space="preserve"> The</w:t>
      </w:r>
      <w:r w:rsidRPr="00AF41A6">
        <w:t xml:space="preserve"> </w:t>
      </w:r>
      <w:r w:rsidR="00311E14" w:rsidRPr="00AF41A6">
        <w:t>IEA policies database</w:t>
      </w:r>
      <w:r w:rsidR="00311E14" w:rsidRPr="00AF41A6">
        <w:rPr>
          <w:rStyle w:val="FootnoteReference"/>
        </w:rPr>
        <w:footnoteReference w:id="9"/>
      </w:r>
      <w:r w:rsidRPr="00AF41A6">
        <w:t xml:space="preserve"> </w:t>
      </w:r>
      <w:r w:rsidR="0048525C">
        <w:t>l</w:t>
      </w:r>
      <w:r w:rsidRPr="00AF41A6">
        <w:t>ists 258</w:t>
      </w:r>
      <w:r w:rsidR="0048525C">
        <w:t xml:space="preserve"> methane control</w:t>
      </w:r>
      <w:r w:rsidRPr="00AF41A6">
        <w:t xml:space="preserve"> policies from dozens of jurisdictions. In any case, the </w:t>
      </w:r>
      <w:r w:rsidR="0048525C">
        <w:t xml:space="preserve">continued emissions from this sector </w:t>
      </w:r>
      <w:r w:rsidRPr="00AF41A6">
        <w:t>indicate that there is significa</w:t>
      </w:r>
      <w:r w:rsidR="0048525C">
        <w:t>nt need for increased adoption.</w:t>
      </w:r>
    </w:p>
    <w:p w14:paraId="4B6E5C96" w14:textId="2EB53405" w:rsidR="00D1508C" w:rsidRDefault="551A77D0" w:rsidP="005D49A8">
      <w:pPr>
        <w:pStyle w:val="Heading3"/>
      </w:pPr>
      <w:bookmarkStart w:id="31" w:name="_Toc75953795"/>
      <w:r w:rsidRPr="00AF41A6">
        <w:t>Trends</w:t>
      </w:r>
      <w:r w:rsidR="000C3205" w:rsidRPr="00AF41A6">
        <w:t xml:space="preserve"> </w:t>
      </w:r>
      <w:r w:rsidR="00A53CDF" w:rsidRPr="00AF41A6">
        <w:t>to Accelerate Adoption</w:t>
      </w:r>
      <w:bookmarkEnd w:id="31"/>
    </w:p>
    <w:p w14:paraId="31A38131" w14:textId="5EF1402A" w:rsidR="0048525C" w:rsidRPr="0048525C" w:rsidRDefault="0048525C" w:rsidP="0048525C">
      <w:r>
        <w:t>A number of recent trends may accelerate the adoption of methane management in the oil and gas supply chains:</w:t>
      </w:r>
    </w:p>
    <w:p w14:paraId="05C01117" w14:textId="14E93A71" w:rsidR="003D4E80" w:rsidRPr="00AF41A6" w:rsidRDefault="003D4E80" w:rsidP="002521D7">
      <w:pPr>
        <w:pStyle w:val="ListParagraph"/>
        <w:numPr>
          <w:ilvl w:val="0"/>
          <w:numId w:val="32"/>
        </w:numPr>
      </w:pPr>
      <w:r w:rsidRPr="00AF41A6">
        <w:t xml:space="preserve">Increased </w:t>
      </w:r>
      <w:r w:rsidR="002521D7" w:rsidRPr="00AF41A6">
        <w:t>research</w:t>
      </w:r>
      <w:r w:rsidRPr="00AF41A6">
        <w:t xml:space="preserve"> of global methane emissions and the potential global temperature savings opportunity by rapid abatement </w:t>
      </w:r>
      <w:r w:rsidRPr="00AF41A6">
        <w:fldChar w:fldCharType="begin"/>
      </w:r>
      <w:r w:rsidRPr="00AF41A6">
        <w:instrText xml:space="preserve"> ADDIN ZOTERO_ITEM CSL_CITATION {"citationID":"ttgL328c","properties":{"formattedCitation":"(CCAC and UNEP, 2021; Ocko et al., 2021)","plainCitation":"(CCAC and UNEP, 2021; Ocko et al., 2021)","noteIndex":0},"citationItems":[{"id":1613,"uris":["http://zotero.org/users/7422708/items/YG8WTN8U"],"uri":["http://zotero.org/users/7422708/items/YG8WTN8U"],"itemData":{"id":1613,"type":"article","publisher":"Climate and Clean Air Coalition and United Nations Environment Programme","title":"Global Methane Assessment","URL":"https://www.ccacoalition.org/en/resources/global-methane-assessment-full-report","author":[{"family":"CCAC and UNEP","given":""}],"issued":{"date-parts":[["2021"]]}}},{"id":1587,"uris":["http://zotero.org/users/7422708/items/CKUYA2J7"],"uri":["http://zotero.org/users/7422708/items/CKUYA2J7"],"itemData":{"id":1587,"type":"article-journal","abstract":"Methane mitigation is essential for addressing climate change, but the value of rapidly implementing available mitigation measures is not well understood. In this paper, we analyze the climate benefits of fast action to reduce methane emissions as compared to slower and delayed mitigation timelines. We find that the scale up and deployment of greatly underutilized but available mitigation measures will have significant near-term temperature benefits beyond that from slow or delayed action. Overall, strategies exist to cut global methane emissions from human activities in half within the next ten years and half of these strategies currently incur no net cost. Pursuing all mitigation measures now could slow the global-mean rate of near-term decadal warming by around 30%, avoid a quarter of a degree centigrade of additional global-mean warming by midcentury, and set ourselves on a path to avoid more than half a degree centigrade by end of century. On the other hand, slow implementation of these measures may result in an additional tenth of a degree of global-mean warming by midcentury and 5% faster warming rate (relative to fast action), and waiting to pursue these measures until midcentury may result in an additional two tenths of a degree centigrade by midcentury and 15% faster warming rate (relative to fast action). Slow or delayed methane action is viewed by many as reasonable given that current and on-the-horizon climate policies heavily emphasize actions that benefit the climate in the long-term, such as decarbonization and reaching net-zero emissions, whereas methane emitted over the next couple of decades will play a limited role in long-term warming. However, given that fast methane action can considerably limit climate damages in the near-term, it is urgent to scale up efforts and take advantage of this achievable and affordable opportunity as we simultaneously reduce carbon dioxide emissions.","container-title":"Environ. Res. Lett.","language":"en","page":"12","source":"Zotero","title":"Acting rapidly to deploy readily available methane mitigation measures by sector can immediately slow global warming","author":[{"family":"Ocko","given":"Ilissa B"},{"family":"Sun","given":"Tianyi"},{"family":"Shindell","given":"Drew"},{"family":"Oppenheimer","given":"Michael"},{"family":"Hristov","given":"Alexander N"},{"family":"Pacala","given":"Stephen W"},{"family":"Mauzerall","given":"Denise L"},{"family":"Xu","given":"Yangyang"},{"family":"Hamburg","given":"Steven P"}],"issued":{"date-parts":[["2021"]]}}}],"schema":"https://github.com/citation-style-language/schema/raw/master/csl-citation.json"} </w:instrText>
      </w:r>
      <w:r w:rsidRPr="00AF41A6">
        <w:fldChar w:fldCharType="separate"/>
      </w:r>
      <w:r w:rsidRPr="00AF41A6">
        <w:t>(CCAC and UNEP, 2021; Ocko et al., 2021)</w:t>
      </w:r>
      <w:r w:rsidRPr="00AF41A6">
        <w:fldChar w:fldCharType="end"/>
      </w:r>
    </w:p>
    <w:p w14:paraId="49BDCC03" w14:textId="06642B27" w:rsidR="00065328" w:rsidRPr="00AF41A6" w:rsidRDefault="00065328" w:rsidP="002521D7">
      <w:pPr>
        <w:pStyle w:val="ListParagraph"/>
        <w:numPr>
          <w:ilvl w:val="0"/>
          <w:numId w:val="32"/>
        </w:numPr>
      </w:pPr>
      <w:r w:rsidRPr="00AF41A6">
        <w:t xml:space="preserve">Policy: </w:t>
      </w:r>
      <w:r w:rsidR="003D4E80" w:rsidRPr="00AF41A6">
        <w:t>In addition to existing policies such as in IEA’s datab</w:t>
      </w:r>
      <w:r w:rsidR="00311E14" w:rsidRPr="00AF41A6">
        <w:t>a</w:t>
      </w:r>
      <w:r w:rsidR="003D4E80" w:rsidRPr="00AF41A6">
        <w:t>se</w:t>
      </w:r>
      <w:r w:rsidR="00311E14" w:rsidRPr="00AF41A6">
        <w:t xml:space="preserve"> </w:t>
      </w:r>
      <w:r w:rsidRPr="00AF41A6">
        <w:t>(IEA, 2021a)</w:t>
      </w:r>
      <w:r w:rsidR="00545016" w:rsidRPr="00AF41A6">
        <w:t xml:space="preserve"> </w:t>
      </w:r>
      <w:r w:rsidRPr="00AF41A6">
        <w:t>there are notable developments:</w:t>
      </w:r>
      <w:r w:rsidR="003D4E80" w:rsidRPr="00AF41A6">
        <w:t xml:space="preserve"> </w:t>
      </w:r>
    </w:p>
    <w:p w14:paraId="155DB2CD" w14:textId="77777777" w:rsidR="002521D7" w:rsidRPr="00AF41A6" w:rsidRDefault="00065328" w:rsidP="002521D7">
      <w:pPr>
        <w:pStyle w:val="ListParagraph"/>
        <w:numPr>
          <w:ilvl w:val="1"/>
          <w:numId w:val="32"/>
        </w:numPr>
      </w:pPr>
      <w:r w:rsidRPr="00AF41A6">
        <w:t>The European Union’s Methane Strategy and forthcoming legislation</w:t>
      </w:r>
      <w:r w:rsidR="00545016" w:rsidRPr="00AF41A6">
        <w:rPr>
          <w:rStyle w:val="FootnoteReference"/>
        </w:rPr>
        <w:footnoteReference w:id="10"/>
      </w:r>
      <w:r w:rsidRPr="00AF41A6">
        <w:t xml:space="preserve"> </w:t>
      </w:r>
    </w:p>
    <w:p w14:paraId="1850F76C" w14:textId="46A12AC7" w:rsidR="002521D7" w:rsidRPr="00AF41A6" w:rsidRDefault="00065328" w:rsidP="002521D7">
      <w:pPr>
        <w:pStyle w:val="ListParagraph"/>
        <w:numPr>
          <w:ilvl w:val="1"/>
          <w:numId w:val="32"/>
        </w:numPr>
      </w:pPr>
      <w:r w:rsidRPr="00AF41A6">
        <w:t xml:space="preserve">A proposed agency for </w:t>
      </w:r>
      <w:r w:rsidR="002521D7" w:rsidRPr="00AF41A6">
        <w:t>mitigating methane from</w:t>
      </w:r>
      <w:r w:rsidRPr="00AF41A6">
        <w:t xml:space="preserve"> abandoned oil and gas infrastructure in the USA</w:t>
      </w:r>
    </w:p>
    <w:p w14:paraId="0CB16288" w14:textId="77777777" w:rsidR="009A043C" w:rsidRPr="00AF41A6" w:rsidRDefault="009A043C" w:rsidP="002521D7">
      <w:pPr>
        <w:pStyle w:val="ListParagraph"/>
        <w:numPr>
          <w:ilvl w:val="0"/>
          <w:numId w:val="32"/>
        </w:numPr>
      </w:pPr>
      <w:r w:rsidRPr="00AF41A6">
        <w:t>Voluntary programs, for example:</w:t>
      </w:r>
    </w:p>
    <w:p w14:paraId="1DFDEAAE" w14:textId="3047E787" w:rsidR="009A043C" w:rsidRPr="00AF41A6" w:rsidRDefault="009A043C" w:rsidP="002521D7">
      <w:pPr>
        <w:pStyle w:val="ListParagraph"/>
        <w:numPr>
          <w:ilvl w:val="1"/>
          <w:numId w:val="32"/>
        </w:numPr>
      </w:pPr>
      <w:r w:rsidRPr="00AF41A6">
        <w:t xml:space="preserve">The Global Methane Initiative, an </w:t>
      </w:r>
      <w:r w:rsidR="003D4E80" w:rsidRPr="00AF41A6">
        <w:t>internati</w:t>
      </w:r>
      <w:r w:rsidRPr="00AF41A6">
        <w:t>onal public-private partnership</w:t>
      </w:r>
    </w:p>
    <w:p w14:paraId="1BAF3F83" w14:textId="608A6F3D" w:rsidR="009A043C" w:rsidRPr="00AF41A6" w:rsidRDefault="003D4E80" w:rsidP="002521D7">
      <w:pPr>
        <w:pStyle w:val="ListParagraph"/>
        <w:numPr>
          <w:ilvl w:val="1"/>
          <w:numId w:val="32"/>
        </w:numPr>
      </w:pPr>
      <w:r w:rsidRPr="00AF41A6">
        <w:t>Gas STAR</w:t>
      </w:r>
      <w:r w:rsidR="009A043C" w:rsidRPr="00AF41A6">
        <w:t>’s</w:t>
      </w:r>
      <w:r w:rsidRPr="00AF41A6">
        <w:t xml:space="preserve"> Methane Challenge </w:t>
      </w:r>
    </w:p>
    <w:p w14:paraId="07E164B6" w14:textId="1B820717" w:rsidR="002521D7" w:rsidRPr="00AF41A6" w:rsidRDefault="002521D7" w:rsidP="002521D7">
      <w:pPr>
        <w:pStyle w:val="ListParagraph"/>
        <w:numPr>
          <w:ilvl w:val="1"/>
          <w:numId w:val="32"/>
        </w:numPr>
      </w:pPr>
      <w:r w:rsidRPr="00AF41A6">
        <w:t>The Methane Guiding Principles</w:t>
      </w:r>
    </w:p>
    <w:p w14:paraId="53030A6F" w14:textId="1BCA6C09" w:rsidR="002D0D83" w:rsidRPr="00AF41A6" w:rsidRDefault="009B66C4" w:rsidP="002D0D83">
      <w:pPr>
        <w:pStyle w:val="ListParagraph"/>
        <w:numPr>
          <w:ilvl w:val="1"/>
          <w:numId w:val="32"/>
        </w:numPr>
      </w:pPr>
      <w:r>
        <w:t>The Climate and Clean Air Coalition Oil and Gas Methane Partnership</w:t>
      </w:r>
    </w:p>
    <w:p w14:paraId="39DA63BB" w14:textId="06FC8F23" w:rsidR="009A043C" w:rsidRPr="00AF41A6" w:rsidRDefault="009A043C" w:rsidP="002521D7">
      <w:pPr>
        <w:pStyle w:val="ListParagraph"/>
        <w:numPr>
          <w:ilvl w:val="0"/>
          <w:numId w:val="32"/>
        </w:numPr>
      </w:pPr>
      <w:r w:rsidRPr="00AF41A6">
        <w:t>The forthcoming Net-Zero Producer’s Forum, a group of ministries of leading energy-producing countries, which has indicated a commitment to reducing methane emissions from fossil energy production</w:t>
      </w:r>
      <w:r w:rsidRPr="00AF41A6">
        <w:rPr>
          <w:rStyle w:val="FootnoteReference"/>
        </w:rPr>
        <w:footnoteReference w:id="11"/>
      </w:r>
    </w:p>
    <w:p w14:paraId="65AFCAD7" w14:textId="77777777" w:rsidR="002521D7" w:rsidRPr="00AF41A6" w:rsidRDefault="0066663F" w:rsidP="002521D7">
      <w:pPr>
        <w:pStyle w:val="ListParagraph"/>
        <w:numPr>
          <w:ilvl w:val="0"/>
          <w:numId w:val="32"/>
        </w:numPr>
      </w:pPr>
      <w:r w:rsidRPr="00AF41A6">
        <w:t>Technology improvements</w:t>
      </w:r>
      <w:r w:rsidR="002521D7" w:rsidRPr="00AF41A6">
        <w:t>:</w:t>
      </w:r>
    </w:p>
    <w:p w14:paraId="13F2DEA7" w14:textId="7166467B" w:rsidR="00954C15" w:rsidRPr="00AF41A6" w:rsidRDefault="002521D7" w:rsidP="002521D7">
      <w:pPr>
        <w:pStyle w:val="ListParagraph"/>
        <w:numPr>
          <w:ilvl w:val="1"/>
          <w:numId w:val="32"/>
        </w:numPr>
      </w:pPr>
      <w:r w:rsidRPr="00AF41A6">
        <w:t>W</w:t>
      </w:r>
      <w:r w:rsidR="009A043C" w:rsidRPr="00AF41A6">
        <w:t xml:space="preserve">ith the potential to </w:t>
      </w:r>
      <w:r w:rsidR="0066663F" w:rsidRPr="00AF41A6">
        <w:t xml:space="preserve">increase the technical abatement potential </w:t>
      </w:r>
      <w:r w:rsidR="009A043C" w:rsidRPr="00AF41A6">
        <w:t>in the sector</w:t>
      </w:r>
      <w:r w:rsidR="0066663F" w:rsidRPr="00AF41A6">
        <w:t xml:space="preserve"> </w:t>
      </w:r>
      <w:r w:rsidR="0066663F" w:rsidRPr="00AF41A6">
        <w:fldChar w:fldCharType="begin"/>
      </w:r>
      <w:r w:rsidR="00764282" w:rsidRPr="00AF41A6">
        <w:instrText xml:space="preserve"> ADDIN ZOTERO_ITEM CSL_CITATION {"citationID":"Lm0mkLXi","properties":{"formattedCitation":"(US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66663F" w:rsidRPr="00AF41A6">
        <w:fldChar w:fldCharType="separate"/>
      </w:r>
      <w:r w:rsidR="00764282" w:rsidRPr="00AF41A6">
        <w:rPr>
          <w:rFonts w:cs="Times New Roman"/>
        </w:rPr>
        <w:t>(US EPA, 2019b)</w:t>
      </w:r>
      <w:r w:rsidR="0066663F" w:rsidRPr="00AF41A6">
        <w:fldChar w:fldCharType="end"/>
      </w:r>
      <w:r w:rsidR="0066663F" w:rsidRPr="00AF41A6">
        <w:t xml:space="preserve"> </w:t>
      </w:r>
    </w:p>
    <w:p w14:paraId="67C4CEFD" w14:textId="4F47D154" w:rsidR="002521D7" w:rsidRPr="00AF41A6" w:rsidRDefault="002521D7" w:rsidP="002521D7">
      <w:pPr>
        <w:pStyle w:val="ListParagraph"/>
        <w:numPr>
          <w:ilvl w:val="1"/>
          <w:numId w:val="32"/>
        </w:numPr>
      </w:pPr>
      <w:r w:rsidRPr="00AF41A6">
        <w:t>Improved methane emission detection methods, notably by satellite (</w:t>
      </w:r>
      <w:r w:rsidRPr="00AF41A6">
        <w:fldChar w:fldCharType="begin"/>
      </w:r>
      <w:r w:rsidRPr="00AF41A6">
        <w:instrText xml:space="preserve"> REF _Ref72840039 \h </w:instrText>
      </w:r>
      <w:r w:rsidRPr="00AF41A6">
        <w:fldChar w:fldCharType="separate"/>
      </w:r>
      <w:r w:rsidR="003D1925" w:rsidRPr="00AF41A6">
        <w:t xml:space="preserve">Figure </w:t>
      </w:r>
      <w:r w:rsidR="003D1925">
        <w:rPr>
          <w:noProof/>
        </w:rPr>
        <w:t>11</w:t>
      </w:r>
      <w:r w:rsidRPr="00AF41A6">
        <w:fldChar w:fldCharType="end"/>
      </w:r>
      <w:r w:rsidRPr="00AF41A6">
        <w:t>), which additionally contribute to increased transparency and awareness of the issue</w:t>
      </w:r>
    </w:p>
    <w:p w14:paraId="276BA5CF" w14:textId="77777777" w:rsidR="002521D7" w:rsidRPr="00AF41A6" w:rsidRDefault="002521D7" w:rsidP="002521D7">
      <w:pPr>
        <w:pStyle w:val="ListParagraph"/>
      </w:pPr>
    </w:p>
    <w:p w14:paraId="602F8AA7" w14:textId="77777777" w:rsidR="00954C15" w:rsidRPr="00AF41A6" w:rsidRDefault="00954C15" w:rsidP="00954C15">
      <w:pPr>
        <w:spacing w:after="0"/>
        <w:rPr>
          <w:bCs/>
        </w:rPr>
      </w:pPr>
      <w:r w:rsidRPr="00AF41A6">
        <w:rPr>
          <w:noProof/>
          <w:lang w:eastAsia="en-US"/>
        </w:rPr>
        <w:drawing>
          <wp:inline distT="0" distB="0" distL="0" distR="0" wp14:anchorId="301AD011" wp14:editId="0FACE097">
            <wp:extent cx="5943600" cy="3466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6465"/>
                    </a:xfrm>
                    <a:prstGeom prst="rect">
                      <a:avLst/>
                    </a:prstGeom>
                  </pic:spPr>
                </pic:pic>
              </a:graphicData>
            </a:graphic>
          </wp:inline>
        </w:drawing>
      </w:r>
    </w:p>
    <w:p w14:paraId="67545979" w14:textId="4EBD5746" w:rsidR="00954C15" w:rsidRPr="00AF41A6" w:rsidRDefault="00954C15" w:rsidP="00E250FD">
      <w:pPr>
        <w:pStyle w:val="Caption"/>
        <w:rPr>
          <w:bCs/>
        </w:rPr>
      </w:pPr>
      <w:bookmarkStart w:id="32" w:name="_Ref72840039"/>
      <w:bookmarkStart w:id="33" w:name="_Toc75940745"/>
      <w:r w:rsidRPr="00AF41A6">
        <w:t xml:space="preserve">Figure </w:t>
      </w:r>
      <w:fldSimple w:instr=" SEQ Figure \* ARABIC ">
        <w:r w:rsidR="003D1925">
          <w:rPr>
            <w:noProof/>
          </w:rPr>
          <w:t>11</w:t>
        </w:r>
      </w:fldSimple>
      <w:bookmarkEnd w:id="32"/>
      <w:r w:rsidRPr="00AF41A6">
        <w:t xml:space="preserve">: </w:t>
      </w:r>
      <w:r w:rsidRPr="00AF41A6">
        <w:rPr>
          <w:bCs/>
        </w:rPr>
        <w:t xml:space="preserve">Satellite-measured oil and gas methane leaks </w:t>
      </w:r>
      <w:r w:rsidRPr="00AF41A6">
        <w:rPr>
          <w:bCs/>
        </w:rPr>
        <w:fldChar w:fldCharType="begin"/>
      </w:r>
      <w:r w:rsidR="00B504DF">
        <w:rPr>
          <w:bCs/>
        </w:rPr>
        <w:instrText xml:space="preserve"> ADDIN ZOTERO_ITEM CSL_CITATION {"citationID":"otRBzXtm","properties":{"formattedCitation":"(IEA, 2020b)","plainCitation":"(IEA, 2020b)","noteIndex":0},"citationItems":[{"id":1510,"uris":["http://zotero.org/users/7422708/items/N6ZIC7SM"],"uri":["http://zotero.org/users/7422708/items/N6ZIC7SM"],"itemData":{"id":1510,"type":"article-journal","container-title":"International Energy Agency","title":"World Energy Outlook 2020","URL":"https://www.iea.org/reports/world-energy-outlook-2020","author":[{"family":"IEA","given":""}],"issued":{"date-parts":[["2020"]]}}}],"schema":"https://github.com/citation-style-language/schema/raw/master/csl-citation.json"} </w:instrText>
      </w:r>
      <w:r w:rsidRPr="00AF41A6">
        <w:rPr>
          <w:bCs/>
        </w:rPr>
        <w:fldChar w:fldCharType="separate"/>
      </w:r>
      <w:r w:rsidR="00B504DF" w:rsidRPr="00B504DF">
        <w:rPr>
          <w:rFonts w:cs="Times New Roman"/>
          <w:sz w:val="22"/>
        </w:rPr>
        <w:t>(IEA, 2020b)</w:t>
      </w:r>
      <w:r w:rsidRPr="00AF41A6">
        <w:rPr>
          <w:bCs/>
        </w:rPr>
        <w:fldChar w:fldCharType="end"/>
      </w:r>
      <w:r w:rsidR="00E250FD" w:rsidRPr="00AF41A6">
        <w:rPr>
          <w:bCs/>
        </w:rPr>
        <w:t>.</w:t>
      </w:r>
      <w:bookmarkEnd w:id="33"/>
    </w:p>
    <w:p w14:paraId="3095BD19" w14:textId="12AB4274" w:rsidR="0048525C" w:rsidRPr="00AF41A6" w:rsidRDefault="006B47C4" w:rsidP="009B66C4">
      <w:pPr>
        <w:pStyle w:val="ListParagraph"/>
        <w:numPr>
          <w:ilvl w:val="0"/>
          <w:numId w:val="33"/>
        </w:numPr>
      </w:pPr>
      <w:r w:rsidRPr="00AF41A6">
        <w:t>Pollution controls that p</w:t>
      </w:r>
      <w:r w:rsidR="00E250FD" w:rsidRPr="00AF41A6">
        <w:t xml:space="preserve">ut a direct price on pollution: methane emissions reductions can arise as a co-benefit to pricing other pollutants that also occur along the supply chain, such as volatile organic compounds </w:t>
      </w:r>
      <w:r w:rsidRPr="00AF41A6">
        <w:fldChar w:fldCharType="begin"/>
      </w:r>
      <w:r w:rsidRPr="00AF41A6">
        <w:instrText xml:space="preserve"> ADDIN ZOTERO_ITEM CSL_CITATION {"citationID":"HVblr7mR","properties":{"formattedCitation":"(ICF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Pr="00AF41A6">
        <w:fldChar w:fldCharType="separate"/>
      </w:r>
      <w:r w:rsidRPr="00AF41A6">
        <w:rPr>
          <w:rFonts w:cs="Times New Roman"/>
        </w:rPr>
        <w:t>(ICF International, 2014)</w:t>
      </w:r>
      <w:r w:rsidRPr="00AF41A6">
        <w:fldChar w:fldCharType="end"/>
      </w:r>
      <w:r w:rsidRPr="00AF41A6">
        <w:t xml:space="preserve"> </w:t>
      </w:r>
    </w:p>
    <w:p w14:paraId="54928906" w14:textId="751BD8CF" w:rsidR="00E250FD" w:rsidRPr="00AF41A6" w:rsidRDefault="006305D7" w:rsidP="002521D7">
      <w:pPr>
        <w:pStyle w:val="ListParagraph"/>
        <w:numPr>
          <w:ilvl w:val="0"/>
          <w:numId w:val="33"/>
        </w:numPr>
      </w:pPr>
      <w:r w:rsidRPr="00AF41A6">
        <w:t>Financial incentive</w:t>
      </w:r>
      <w:r w:rsidR="00927722" w:rsidRPr="00AF41A6">
        <w:t>s</w:t>
      </w:r>
      <w:r w:rsidRPr="00AF41A6">
        <w:t xml:space="preserve"> </w:t>
      </w:r>
      <w:r w:rsidR="00682877" w:rsidRPr="00AF41A6">
        <w:t>through climate finance and carbon markets:</w:t>
      </w:r>
      <w:r w:rsidRPr="00AF41A6">
        <w:t xml:space="preserve"> </w:t>
      </w:r>
    </w:p>
    <w:p w14:paraId="3A386C60" w14:textId="4C6C3BE1" w:rsidR="006305D7" w:rsidRPr="00AF41A6" w:rsidRDefault="00E250FD" w:rsidP="002521D7">
      <w:pPr>
        <w:pStyle w:val="ListParagraph"/>
        <w:numPr>
          <w:ilvl w:val="1"/>
          <w:numId w:val="33"/>
        </w:numPr>
      </w:pPr>
      <w:r w:rsidRPr="00AF41A6">
        <w:t xml:space="preserve">The Pilot Auction Facility for Methane and Climate Change Mitigation, which stimulates investment in methane reduction projects </w:t>
      </w:r>
    </w:p>
    <w:p w14:paraId="0E5ACCB7" w14:textId="22F5F990" w:rsidR="00E250FD" w:rsidRPr="00AF41A6" w:rsidRDefault="00E250FD" w:rsidP="002521D7">
      <w:pPr>
        <w:pStyle w:val="ListParagraph"/>
        <w:numPr>
          <w:ilvl w:val="1"/>
          <w:numId w:val="33"/>
        </w:numPr>
      </w:pPr>
      <w:r w:rsidRPr="00AF41A6">
        <w:t>The U</w:t>
      </w:r>
      <w:r w:rsidR="005D0D09">
        <w:t>N’s Clean Development Mechanism (and potentially its successor mechanism, currently under international negotiation)</w:t>
      </w:r>
      <w:r w:rsidRPr="00AF41A6">
        <w:t xml:space="preserve"> which includes projects and methodologies for </w:t>
      </w:r>
      <w:r w:rsidR="005C4BF0" w:rsidRPr="00AF41A6">
        <w:t xml:space="preserve">carbon credits arising from methane abatement in oil and gas supply chains </w:t>
      </w:r>
    </w:p>
    <w:p w14:paraId="164D2FC9" w14:textId="1A550E17" w:rsidR="008866F5" w:rsidRPr="00AF41A6" w:rsidRDefault="008866F5" w:rsidP="002521D7">
      <w:pPr>
        <w:pStyle w:val="ListParagraph"/>
        <w:numPr>
          <w:ilvl w:val="1"/>
          <w:numId w:val="33"/>
        </w:numPr>
      </w:pPr>
      <w:r w:rsidRPr="00AF41A6">
        <w:t xml:space="preserve">The continued expansion of voluntary and compliance carbon pricing systems, some of which address methane emissions </w:t>
      </w:r>
      <w:r w:rsidRPr="00AF41A6">
        <w:fldChar w:fldCharType="begin"/>
      </w:r>
      <w:r w:rsidRPr="00AF41A6">
        <w:instrText xml:space="preserve"> ADDIN ZOTERO_ITEM CSL_CITATION {"citationID":"vAHzUwXC","properties":{"formattedCitation":"(World Bank, 2020, 2021)","plainCitation":"(World Bank, 2020, 2021)","noteIndex":0},"citationItems":[{"id":1363,"uris":["http://zotero.org/users/7422708/items/EGIUR4VH"],"uri":["http://zotero.org/users/7422708/items/EGIUR4VH"],"itemData":{"id":1363,"type":"article","title":"State and Trends of Carbon Pricing 2020","URL":"https://openknowledge.worldbank.org/handle/10986/33809","author":[{"family":"World Bank","given":""}],"issued":{"date-parts":[["2020",5]]}}},{"id":1631,"uris":["http://zotero.org/users/7422708/items/T6SHJS69"],"uri":["http://zotero.org/users/7422708/items/T6SHJS69"],"itemData":{"id":1631,"type":"article","publisher":"World Bank Partnership for Market Implementation","title":"State and Trends of Carbon Pricing 2021","URL":"https://pmiclimate.org/pmi-report","author":[{"family":"World Bank","given":""}],"issued":{"date-parts":[["2021"]]}}}],"schema":"https://github.com/citation-style-language/schema/raw/master/csl-citation.json"} </w:instrText>
      </w:r>
      <w:r w:rsidRPr="00AF41A6">
        <w:fldChar w:fldCharType="separate"/>
      </w:r>
      <w:r w:rsidRPr="00AF41A6">
        <w:rPr>
          <w:rFonts w:cs="Times New Roman"/>
        </w:rPr>
        <w:t>(World Bank, 2020, 2021)</w:t>
      </w:r>
      <w:r w:rsidRPr="00AF41A6">
        <w:fldChar w:fldCharType="end"/>
      </w:r>
    </w:p>
    <w:p w14:paraId="0B8C3EFB" w14:textId="18C52960" w:rsidR="00D1508C" w:rsidRPr="00AF41A6" w:rsidRDefault="551A77D0" w:rsidP="005D49A8">
      <w:pPr>
        <w:pStyle w:val="Heading3"/>
      </w:pPr>
      <w:bookmarkStart w:id="34" w:name="_Toc75953796"/>
      <w:r w:rsidRPr="00AF41A6">
        <w:t>Barriers to Adoption</w:t>
      </w:r>
      <w:bookmarkEnd w:id="34"/>
    </w:p>
    <w:p w14:paraId="604F8B31" w14:textId="4F210B7F" w:rsidR="005A74A6" w:rsidRPr="00AF41A6" w:rsidRDefault="005A74A6" w:rsidP="005A74A6">
      <w:r w:rsidRPr="00AF41A6">
        <w:t xml:space="preserve">This solution consists of proven technologies and practices that can often be implemented at no net </w:t>
      </w:r>
      <w:r w:rsidR="009B66C4">
        <w:t xml:space="preserve">lifetime </w:t>
      </w:r>
      <w:r w:rsidRPr="00AF41A6">
        <w:t xml:space="preserve">cost, yet methane emissions from this sector continue to rise. Clearly, there are additional barriers that are not addressed. </w:t>
      </w:r>
      <w:r w:rsidR="00C2682A" w:rsidRPr="00AF41A6">
        <w:t xml:space="preserve">While marginal abatement cost curves for this sector </w:t>
      </w:r>
      <w:r w:rsidR="00C2682A" w:rsidRPr="00AF41A6">
        <w:fldChar w:fldCharType="begin"/>
      </w:r>
      <w:r w:rsidR="00C2682A" w:rsidRPr="00AF41A6">
        <w:instrText xml:space="preserve"> ADDIN ZOTERO_ITEM CSL_CITATION {"citationID":"UiVXmDci","properties":{"formattedCitation":"(ICF International, 2014; IEA, 2021b; US EPA, 2019a, 2019b)","plainCitation":"(ICF International, 2014; IEA, 2021b; US EPA, 2019a, 2019b)","noteIndex":0},"citationItems":[{"id":1519,"uris":["http://zotero.org/users/7422708/items/6YJ7L5CP"],"uri":["http://zotero.org/users/7422708/items/6YJ7L5CP"],"itemData":{"id":1519,"type":"article","publisher":"Prepared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International","given":""}],"issued":{"date-parts":[["2014"]]}}},{"id":1532,"uris":["http://zotero.org/users/7422708/items/W2Z5J56I"],"uri":["http://zotero.org/users/7422708/items/W2Z5J56I"],"itemData":{"id":1532,"type":"article","publisher":"International Energy Agency","title":"Methane Tracker Database","URL":"https://www.iea.org/articles/methane-tracker-database","author":[{"family":"IEA","given":""}],"issued":{"date-parts":[["2021"]]}}},{"id":1621,"uris":["http://zotero.org/users/7422708/items/LALFKW5R"],"uri":["http://zotero.org/users/7422708/items/LALFKW5R"],"itemData":{"id":1621,"type":"article","publisher":"US Environmental Protection Agency Office of Atmospheric Programs","title":"Non-CO2 Methodology Report","URL":"https://www.epa.gov/global-mitigation-non-co2-greenhouse-gases/global-non-co2-greenhouse-gas-emission-projections","author":[{"family":"US EPA","given":""}],"issued":{"date-parts":[["2019"]]}}},{"id":1534,"uris":["http://zotero.org/users/7422708/items/53M6XKDZ"],"uri":["http://zotero.org/users/7422708/items/53M6XKDZ"],"itemData":{"id":1534,"type":"article","publisher":"US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C2682A" w:rsidRPr="00AF41A6">
        <w:fldChar w:fldCharType="separate"/>
      </w:r>
      <w:r w:rsidR="00C2682A" w:rsidRPr="00AF41A6">
        <w:rPr>
          <w:rFonts w:cs="Times New Roman"/>
        </w:rPr>
        <w:t>(ICF International, 2014; IEA, 2021b; US EPA, 2019a, 2019b)</w:t>
      </w:r>
      <w:r w:rsidR="00C2682A" w:rsidRPr="00AF41A6">
        <w:fldChar w:fldCharType="end"/>
      </w:r>
      <w:r w:rsidR="00C2682A" w:rsidRPr="00AF41A6">
        <w:t xml:space="preserve"> can be a useful guidance tool for prioritizing abatement actions, this kind of analysis does not typically reflect transaction costs and other hurdles to implementing the abatement measures.</w:t>
      </w:r>
      <w:r w:rsidR="002521D7" w:rsidRPr="00AF41A6">
        <w:t xml:space="preserve"> A number of barriers to implementation exist:</w:t>
      </w:r>
    </w:p>
    <w:p w14:paraId="3C250A69" w14:textId="74FD09B3" w:rsidR="00C2682A" w:rsidRPr="00AF41A6" w:rsidRDefault="001E6296" w:rsidP="002521D7">
      <w:pPr>
        <w:pStyle w:val="ListParagraph"/>
        <w:numPr>
          <w:ilvl w:val="0"/>
          <w:numId w:val="28"/>
        </w:numPr>
      </w:pPr>
      <w:r w:rsidRPr="00AF41A6">
        <w:t xml:space="preserve">Misalignment of incentives </w:t>
      </w:r>
      <w:r w:rsidRPr="00AF41A6">
        <w:fldChar w:fldCharType="begin"/>
      </w:r>
      <w:r w:rsidRPr="00AF41A6">
        <w:instrText xml:space="preserve"> ADDIN ZOTERO_ITEM CSL_CITATION {"citationID":"FUsFlILy","properties":{"formattedCitation":"(ICF International, 2014; IEA, 2021a)","plainCitation":"(ICF International, 2014; IEA, 2021a)","noteIndex":0},"citationItems":[{"id":1519,"uris":["http://zotero.org/users/7422708/items/6YJ7L5CP"],"uri":["http://zotero.org/users/7422708/items/6YJ7L5CP"],"itemData":{"id":1519,"type":"article","publisher":"Prepared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International","given":""}],"issued":{"date-parts":[["2014"]]}}},{"id":1527,"uris":["http://zotero.org/users/7422708/items/RT9ADG7J"],"uri":["http://zotero.org/users/7422708/items/RT9ADG7J"],"itemData":{"id":1527,"type":"article","publisher":"International Energy Agency","title":"Methane Tracker 2021","URL":"https://www.iea.org/reports/methane-tracker-2021","author":[{"family":"IEA","given":""}],"issued":{"date-parts":[["2021"]]}}}],"schema":"https://github.com/citation-style-language/schema/raw/master/csl-citation.json"} </w:instrText>
      </w:r>
      <w:r w:rsidRPr="00AF41A6">
        <w:fldChar w:fldCharType="separate"/>
      </w:r>
      <w:r w:rsidRPr="00AF41A6">
        <w:rPr>
          <w:rFonts w:cs="Times New Roman"/>
        </w:rPr>
        <w:t>(ICF International, 2014; IEA, 2021a)</w:t>
      </w:r>
      <w:r w:rsidRPr="00AF41A6">
        <w:fldChar w:fldCharType="end"/>
      </w:r>
      <w:r w:rsidR="009B66C4">
        <w:t>: D</w:t>
      </w:r>
      <w:r w:rsidRPr="00AF41A6">
        <w:t>ue to company or supply chain infrastructure, the in</w:t>
      </w:r>
      <w:r w:rsidR="0015141C" w:rsidRPr="00AF41A6">
        <w:t xml:space="preserve">centive of fixing methane emissions </w:t>
      </w:r>
      <w:r w:rsidRPr="00AF41A6">
        <w:t>does not</w:t>
      </w:r>
      <w:r w:rsidR="009B66C4">
        <w:t xml:space="preserve"> always</w:t>
      </w:r>
      <w:r w:rsidRPr="00AF41A6">
        <w:t xml:space="preserve"> return to the fixer. One situation could be a gas distribution company, separate from the production company, that is able to recover losses from emissions by charging higher prices to customers, as has been done historically </w:t>
      </w:r>
      <w:r w:rsidRPr="00AF41A6">
        <w:fldChar w:fldCharType="begin"/>
      </w:r>
      <w:r w:rsidRPr="00AF41A6">
        <w:instrText xml:space="preserve"> ADDIN ZOTERO_ITEM CSL_CITATION {"citationID":"7Vc74Qk1","properties":{"formattedCitation":"(Webb, 2015)","plainCitation":"(Webb, 2015)","noteIndex":0},"citationItems":[{"id":1539,"uris":["http://zotero.org/users/7422708/items/RIXZHN8I"],"uri":["http://zotero.org/users/7422708/items/RIXZHN8I"],"itemData":{"id":1539,"type":"article-journal","container-title":"SSRN Electronic Journal","DOI":"10.2139/ssrn.2597846","ISSN":"1556-5068","journalAbbreviation":"SSRN Journal","language":"en","source":"DOI.org (Crossref)","title":"Lost But Not Forgotten: The Hidden Environmental Costs of Compensating Pipelines for Natural Gas Losses","title-short":"Lost But Not Forgotten","URL":"http://www.ssrn.com/abstract=2597846","author":[{"family":"Webb","given":"Romany M."}],"accessed":{"date-parts":[["2021",4,30]]},"issued":{"date-parts":[["2015"]]}}}],"schema":"https://github.com/citation-style-language/schema/raw/master/csl-citation.json"} </w:instrText>
      </w:r>
      <w:r w:rsidRPr="00AF41A6">
        <w:fldChar w:fldCharType="separate"/>
      </w:r>
      <w:r w:rsidRPr="00AF41A6">
        <w:rPr>
          <w:rFonts w:cs="Times New Roman"/>
        </w:rPr>
        <w:t>(Webb, 2015)</w:t>
      </w:r>
      <w:r w:rsidRPr="00AF41A6">
        <w:fldChar w:fldCharType="end"/>
      </w:r>
      <w:r w:rsidRPr="00AF41A6">
        <w:t>. Abating emissions in</w:t>
      </w:r>
      <w:r w:rsidR="009B66C4">
        <w:t xml:space="preserve"> these cases can still</w:t>
      </w:r>
      <w:r w:rsidRPr="00AF41A6">
        <w:t xml:space="preserve"> produce ec</w:t>
      </w:r>
      <w:r w:rsidR="002521D7" w:rsidRPr="00AF41A6">
        <w:t xml:space="preserve">onomic benefits </w:t>
      </w:r>
      <w:r w:rsidRPr="00AF41A6">
        <w:t xml:space="preserve">through reduced prices for customers </w:t>
      </w:r>
      <w:r w:rsidRPr="00AF41A6">
        <w:fldChar w:fldCharType="begin"/>
      </w:r>
      <w:r w:rsidRPr="00AF41A6">
        <w:instrText xml:space="preserve"> ADDIN ZOTERO_ITEM CSL_CITATION {"citationID":"viHJ4odb","properties":{"formattedCitation":"(ICF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Pr="00AF41A6">
        <w:fldChar w:fldCharType="separate"/>
      </w:r>
      <w:r w:rsidRPr="00AF41A6">
        <w:rPr>
          <w:rFonts w:cs="Times New Roman"/>
        </w:rPr>
        <w:t>(ICF International, 2014)</w:t>
      </w:r>
      <w:r w:rsidRPr="00AF41A6">
        <w:fldChar w:fldCharType="end"/>
      </w:r>
      <w:r w:rsidRPr="00AF41A6">
        <w:t>, but the financial hurdle for abatement</w:t>
      </w:r>
      <w:r w:rsidR="009B66C4">
        <w:t xml:space="preserve"> action</w:t>
      </w:r>
      <w:r w:rsidRPr="00AF41A6">
        <w:t xml:space="preserve"> remains</w:t>
      </w:r>
      <w:r w:rsidR="009B66C4">
        <w:t xml:space="preserve"> in place. An extension of</w:t>
      </w:r>
      <w:r w:rsidRPr="00AF41A6">
        <w:t xml:space="preserve"> this </w:t>
      </w:r>
      <w:r w:rsidR="00630C74" w:rsidRPr="00AF41A6">
        <w:t xml:space="preserve">issue is reflected in inactive </w:t>
      </w:r>
      <w:r w:rsidRPr="00AF41A6">
        <w:t>oil and gas wells that continue to emit methane</w:t>
      </w:r>
      <w:r w:rsidR="00630C74" w:rsidRPr="00AF41A6">
        <w:t xml:space="preserve"> after companies abandon them out of bankruptcy, lack of regulatory requirement, or lack of financial incentive </w:t>
      </w:r>
      <w:r w:rsidR="00630C74" w:rsidRPr="00AF41A6">
        <w:fldChar w:fldCharType="begin"/>
      </w:r>
      <w:r w:rsidR="00630C74" w:rsidRPr="00AF41A6">
        <w:instrText xml:space="preserve"> ADDIN ZOTERO_ITEM CSL_CITATION {"citationID":"1Mb9IRSh","properties":{"formattedCitation":"(Kang et al., 2019; J. P. Williams et al., 2021)","plainCitation":"(Kang et al., 2019; J. P. Williams et al., 2021)","noteIndex":0},"citationItems":[{"id":1077,"uris":["http://zotero.org/users/7422708/items/77MH6GTC"],"uri":["http://zotero.org/users/7422708/items/77MH6GTC"],"itemData":{"id":1077,"type":"article-journal","container-title":"Energy Policy","DOI":"10.1016/j.enpol.2019.05.045","ISSN":"03014215","language":"en","page":"594-601","source":"Crossref","title":"Reducing methane emissions from abandoned oil and gas wells: Strategies and costs","title-short":"Reducing methane emissions from abandoned oil and gas wells","volume":"132","author":[{"family":"Kang","given":"Mary"},{"family":"Mauzerall","given":"Denise L."},{"family":"Ma","given":"Daniel Z."},{"family":"Celia","given":"Michael A."}],"issued":{"date-parts":[["2019",9]]}}},{"id":1526,"uris":["http://zotero.org/users/7422708/items/XWS4HWRV"],"uri":["http://zotero.org/users/7422708/items/XWS4HWRV"],"itemData":{"id":1526,"type":"article-journal","container-title":"Environmental Science &amp; Technology","issue":"1","title":"Methane Emissions from Abandoned Oil and Gas Wells in Canada and the United States","volume":"55","author":[{"family":"Williams","given":"James P"},{"family":"Regehr","given":"Amara"},{"family":"Kang","given":"Mary"}],"issued":{"date-parts":[["2021"]]}}}],"schema":"https://github.com/citation-style-language/schema/raw/master/csl-citation.json"} </w:instrText>
      </w:r>
      <w:r w:rsidR="00630C74" w:rsidRPr="00AF41A6">
        <w:fldChar w:fldCharType="separate"/>
      </w:r>
      <w:r w:rsidR="00630C74" w:rsidRPr="00AF41A6">
        <w:rPr>
          <w:rFonts w:cs="Times New Roman"/>
        </w:rPr>
        <w:t>(Kang et al., 2019; J. P. Williams et al., 2021)</w:t>
      </w:r>
      <w:r w:rsidR="00630C74" w:rsidRPr="00AF41A6">
        <w:fldChar w:fldCharType="end"/>
      </w:r>
      <w:r w:rsidR="00630C74" w:rsidRPr="00AF41A6">
        <w:t xml:space="preserve">. </w:t>
      </w:r>
    </w:p>
    <w:p w14:paraId="5EFB5E4D" w14:textId="7CE1D513" w:rsidR="007A1D7C" w:rsidRPr="00AF41A6" w:rsidRDefault="007A1D7C" w:rsidP="00C2682A">
      <w:pPr>
        <w:pStyle w:val="ListParagraph"/>
        <w:numPr>
          <w:ilvl w:val="0"/>
          <w:numId w:val="28"/>
        </w:numPr>
      </w:pPr>
      <w:r w:rsidRPr="00AF41A6">
        <w:t xml:space="preserve">Lack of infrastructure or markets to accommodate excess gas production </w:t>
      </w:r>
      <w:r w:rsidRPr="00AF41A6">
        <w:fldChar w:fldCharType="begin"/>
      </w:r>
      <w:r w:rsidRPr="00AF41A6">
        <w:instrText xml:space="preserve"> ADDIN ZOTERO_ITEM CSL_CITATION {"citationID":"SF868lj1","properties":{"formattedCitation":"(IEA, 2021a)","plainCitation":"(IEA, 2021a)","noteIndex":0},"citationItems":[{"id":1527,"uris":["http://zotero.org/users/7422708/items/RT9ADG7J"],"uri":["http://zotero.org/users/7422708/items/RT9ADG7J"],"itemData":{"id":1527,"type":"article","publisher":"International Energy Agency","title":"Methane Tracker 2021","URL":"https://www.iea.org/reports/methane-tracker-2021","author":[{"family":"IEA","given":""}],"issued":{"date-parts":[["2021"]]}}}],"schema":"https://github.com/citation-style-language/schema/raw/master/csl-citation.json"} </w:instrText>
      </w:r>
      <w:r w:rsidRPr="00AF41A6">
        <w:fldChar w:fldCharType="separate"/>
      </w:r>
      <w:r w:rsidRPr="00AF41A6">
        <w:rPr>
          <w:rFonts w:cs="Times New Roman"/>
        </w:rPr>
        <w:t>(IEA, 2021a)</w:t>
      </w:r>
      <w:r w:rsidRPr="00AF41A6">
        <w:fldChar w:fldCharType="end"/>
      </w:r>
      <w:r w:rsidR="0015141C" w:rsidRPr="00AF41A6">
        <w:t>, f</w:t>
      </w:r>
      <w:r w:rsidRPr="00AF41A6">
        <w:t>or example, when gas is produced alongside oil, which can be more readily transported by alte</w:t>
      </w:r>
      <w:r w:rsidR="0015141C" w:rsidRPr="00AF41A6">
        <w:t xml:space="preserve">rnative means such as rail, but </w:t>
      </w:r>
      <w:r w:rsidRPr="00AF41A6">
        <w:t xml:space="preserve">gas collection infrastructure has not yet been developed.  </w:t>
      </w:r>
    </w:p>
    <w:p w14:paraId="3126F976" w14:textId="11D30BA1" w:rsidR="00451486" w:rsidRPr="00AF41A6" w:rsidRDefault="006D2B35" w:rsidP="006D2B35">
      <w:pPr>
        <w:pStyle w:val="ListParagraph"/>
        <w:numPr>
          <w:ilvl w:val="0"/>
          <w:numId w:val="27"/>
        </w:numPr>
      </w:pPr>
      <w:r w:rsidRPr="00AF41A6">
        <w:t xml:space="preserve">Policy in need of improvement. </w:t>
      </w:r>
      <w:r w:rsidR="00545016" w:rsidRPr="00AF41A6">
        <w:t>Improved po</w:t>
      </w:r>
      <w:r w:rsidRPr="00AF41A6">
        <w:t>licy design has been researched.</w:t>
      </w:r>
      <w:r w:rsidR="00545016" w:rsidRPr="00AF41A6">
        <w:t xml:space="preserve"> Policies designed for reducing super-emitter locations, rather than each facility having to reduce methane emissions by an absolute amount, may be the most efficient option </w:t>
      </w:r>
      <w:r w:rsidR="00545016" w:rsidRPr="00AF41A6">
        <w:fldChar w:fldCharType="begin"/>
      </w:r>
      <w:r w:rsidR="00545016" w:rsidRPr="00AF41A6">
        <w:instrText xml:space="preserve"> ADDIN ZOTERO_ITEM CSL_CITATION {"citationID":"6mczwtdM","properties":{"formattedCitation":"(Mayfield et al., 2017)","plainCitation":"(Mayfield et al., 2017)","noteIndex":0},"citationItems":[{"id":1615,"uris":["http://zotero.org/users/7422708/items/E7MYXK5L"],"uri":["http://zotero.org/users/7422708/items/E7MYXK5L"],"itemData":{"id":1615,"type":"article-journal","abstract":"This work assesses trade-oﬀs between system-wide and superemitter policy options for reducing methane emissions from compressor stations in the U.S. transmission and storage system. Leveraging recently collected national emissions and activity data sets, we developed a new process-based emissions model implemented in a Monte Carlo simulation framework to estimate emissions for each component and facility in the system. We ﬁnd that approximately 83% of emissions, given the existing suite of technologies, have the potential to be abated, with only a few emission categories comprising a majority of emissions. We then formulate optimization models to determine optimal abatement strategies. Most emissions across the system (approximately 80%) are eﬃcient to abate, resulting in net beneﬁts ranging from $160M to $1.2B annually across the system. The private cost burden is minimal under standard and tax instruments, and if ﬁrms market the abated natural gas, private net beneﬁts may be generated. Superemitter policies, namely, those that target the highest emitting facilities, may reduce the private cost burden and achieve high emission reductions, especially if emissions across facilities are highly skewed. However, detection across all facilities is necessary regardless of the policy option and there are nontrivial net beneﬁts resulting from abatement of relatively low-emitting sources.","container-title":"Environmental Science &amp; Technology","DOI":"10.1021/acs.est.6b05052","ISSN":"0013-936X, 1520-5851","issue":"9","journalAbbreviation":"Environ. Sci. Technol.","language":"en","page":"4772-4780","source":"DOI.org (Crossref)","title":"System-wide and Superemitter Policy Options for the Abatement of Methane Emissions from the U.S. Natural Gas System","volume":"51","author":[{"family":"Mayfield","given":"Erin N."},{"family":"Robinson","given":"Allen L."},{"family":"Cohon","given":"Jared L."}],"issued":{"date-parts":[["2017",5,2]]}}}],"schema":"https://github.com/citation-style-language/schema/raw/master/csl-citation.json"} </w:instrText>
      </w:r>
      <w:r w:rsidR="00545016" w:rsidRPr="00AF41A6">
        <w:fldChar w:fldCharType="separate"/>
      </w:r>
      <w:r w:rsidR="00545016" w:rsidRPr="00AF41A6">
        <w:rPr>
          <w:rFonts w:cs="Times New Roman"/>
        </w:rPr>
        <w:t>(Mayfield et al., 2017)</w:t>
      </w:r>
      <w:r w:rsidR="00545016" w:rsidRPr="00AF41A6">
        <w:fldChar w:fldCharType="end"/>
      </w:r>
      <w:r w:rsidR="00545016" w:rsidRPr="00AF41A6">
        <w:t xml:space="preserve">. Similarly, policies would be most effective by being technology agnostic, to allow solutions to be adapted to the leaks detected </w:t>
      </w:r>
      <w:r w:rsidR="00545016" w:rsidRPr="00AF41A6">
        <w:fldChar w:fldCharType="begin"/>
      </w:r>
      <w:r w:rsidR="00545016" w:rsidRPr="00AF41A6">
        <w:instrText xml:space="preserve"> ADDIN ZOTERO_ITEM CSL_CITATION {"citationID":"aoAZufTP","properties":{"formattedCitation":"(Ravikumar &amp; Brandt, 2017)","plainCitation":"(Ravikumar &amp; Brandt, 2017)","noteIndex":0},"citationItems":[{"id":1600,"uris":["http://zotero.org/users/7422708/items/2HXPYDJD"],"uri":["http://zotero.org/users/7422708/items/2HXPYDJD"],"itemData":{"id":1600,"type":"article-journal","abstract":"Methane—a short-lived and potent greenhouse gas—presents a unique challenge: it is emitted from a large number of highly distributed and diffuse sources. In this regard, the United States’ Environmental Protection Agency (EPA) has recommended periodic leak detection and repair surveys at oil and gas facilities using optical gas imaging technology. This regulation requires an operator to ﬁx all detected leaks within a set time period. Whether such ‘ﬁnd-all-ﬁx-all’ policies are effective depends on signiﬁcant uncertainties in the character of emissions. In this work, we systematically analyze the effect of facility-related and mitigation-related uncertainties on regulation effectiveness. Drawing from multiple publicly-available datasets, we ﬁnd that: (1) highly-skewed leak-size distributions strongly inﬂuence emissions reduction potential; (2) variations in emissions estimates across facilities leads to large variability in mitigation effectiveness; (3) emissions reductions from optical gas imaging-based leak detection programs can range from 15% to over 70%; and (4) while implementation costs are uniformly lower than EPA estimates, beneﬁts from saved gas are highly variable. Combining empirical evidence with model results, we propose four policy options for effective methane mitigation: performanceoriented targets for accelerated emission reductions, ﬂexible policy mechanisms to account for regional variation, technology-agnostic regulations to encourage adoption of the most costeffective measures, and coordination with other greenhouse gas mitigation policies to reduce unintended spillover effects.","container-title":"Environmental Research Letters","DOI":"10.1088/1748-9326/aa6791","ISSN":"1748-9326","issue":"4","journalAbbreviation":"Environ. Res. Lett.","language":"en","page":"044023","source":"DOI.org (Crossref)","title":"Designing better methane mitigation policies: the challenge of distributed small sources in the natural gas sector","title-short":"Designing better methane mitigation policies","volume":"12","author":[{"family":"Ravikumar","given":"Arvind P"},{"family":"Brandt","given":"Adam R"}],"issued":{"date-parts":[["2017",4,1]]}}}],"schema":"https://github.com/citation-style-language/schema/raw/master/csl-citation.json"} </w:instrText>
      </w:r>
      <w:r w:rsidR="00545016" w:rsidRPr="00AF41A6">
        <w:fldChar w:fldCharType="separate"/>
      </w:r>
      <w:r w:rsidR="00545016" w:rsidRPr="00AF41A6">
        <w:rPr>
          <w:rFonts w:cs="Times New Roman"/>
        </w:rPr>
        <w:t>(Ravikumar &amp; Brandt, 2017)</w:t>
      </w:r>
      <w:r w:rsidR="00545016" w:rsidRPr="00AF41A6">
        <w:fldChar w:fldCharType="end"/>
      </w:r>
      <w:r w:rsidR="00545016" w:rsidRPr="00AF41A6">
        <w:t xml:space="preserve">. </w:t>
      </w:r>
      <w:r w:rsidR="009A043C" w:rsidRPr="00AF41A6">
        <w:t xml:space="preserve">In model comparison studies, most methane emissions occur as a result of policies directed at methane reduction; methane emissions reductions do not significantly come as a benefit </w:t>
      </w:r>
      <w:r w:rsidRPr="00AF41A6">
        <w:t>alongside policies targeting CO</w:t>
      </w:r>
      <w:r w:rsidRPr="00AF41A6">
        <w:rPr>
          <w:vertAlign w:val="subscript"/>
        </w:rPr>
        <w:t>2</w:t>
      </w:r>
      <w:r w:rsidR="009A043C" w:rsidRPr="00AF41A6">
        <w:t xml:space="preserve"> emissions</w:t>
      </w:r>
      <w:r w:rsidR="009B66C4">
        <w:t xml:space="preserve">, except insofar as reduced demand for fossil fuels that leads to reduced fossil fuel production </w:t>
      </w:r>
      <w:r w:rsidR="009B66C4">
        <w:fldChar w:fldCharType="begin"/>
      </w:r>
      <w:r w:rsidR="009B66C4">
        <w:instrText xml:space="preserve"> ADDIN ZOTERO_ITEM CSL_CITATION {"citationID":"YU2Sgwnd","properties":{"formattedCitation":"(Harmsen et al., 2019)","plainCitation":"(Harmsen et al., 2019)","noteIndex":0},"citationItems":[{"id":1594,"uris":["http://zotero.org/users/7422708/items/NWGE3NR4"],"uri":["http://zotero.org/users/7422708/items/NWGE3NR4"],"itemData":{"id":1594,"type":"article-journal","abstract":"This study presents a new comprehensive set of long-term Marginal Abatement Cost (MAC) curves of all major non-CO2 greenhouse gas emission sources. The work builds on existing short-term MAC curve datasets and recent literature on individual mitigation measures. The new MAC curves include current technology and costs information as well as estimates of technology development and removal of implementation barriers to capture long-term dynamics. Compared to earlier work, we find a higher projected maximum reduction potential (MRP) of nitrous oxide (N2O) and a lower MRP of methane (CH4). The combined MRP for all non-CO2 gases is similar but has been extended to also capture mitigation measures that can be realized at higher implementation costs. When applying the new MAC curves in a cost-optimal, integrated assessment model-based 2.6 W/m2 scenario, the total non-CO2 mitigation is projected to be 10.9 Mt CO2equivalents in 2050 (i.e. 58% reduction compared to baseline emissions) and 15.6 Mt CO2equivalents in 2100 (i.e. a 71% reduction). In applying the new MAC curves, we account for inertia in the implementation speed of mitigation measures. Although this does not strongly impact results in an optimal strategy, it means that the contribution of non-CO2 mitigation could be more limited if ambitious climate policy is delayed.","container-title":"Environmental Science &amp; Policy","DOI":"10.1016/j.envsci.2019.05.013","ISSN":"14629011","journalAbbreviation":"Environmental Science &amp; Policy","language":"en","page":"136-149","source":"DOI.org (Crossref)","title":"Long-term marginal abatement cost curves of non-CO2 greenhouse gases","volume":"99","author":[{"family":"Harmsen","given":"J.H.M."},{"family":"Vuuren","given":"Detlef P.","non-dropping-particle":"van"},{"family":"Nayak","given":"Dali R."},{"family":"Hof","given":"Andries F."},{"family":"Höglund-Isaksson","given":"Lena"},{"family":"Lucas","given":"Paul L."},{"family":"Nielsen","given":"Jens B."},{"family":"Smith","given":"Pete"},{"family":"Stehfest","given":"Elke"}],"issued":{"date-parts":[["2019",9]]}}}],"schema":"https://github.com/citation-style-language/schema/raw/master/csl-citation.json"} </w:instrText>
      </w:r>
      <w:r w:rsidR="009B66C4">
        <w:fldChar w:fldCharType="separate"/>
      </w:r>
      <w:r w:rsidR="009B66C4" w:rsidRPr="009B66C4">
        <w:rPr>
          <w:rFonts w:cs="Times New Roman"/>
        </w:rPr>
        <w:t>(Harmsen et al., 2019)</w:t>
      </w:r>
      <w:r w:rsidR="009B66C4">
        <w:fldChar w:fldCharType="end"/>
      </w:r>
      <w:r w:rsidR="009A043C" w:rsidRPr="00AF41A6">
        <w:t xml:space="preserve">. </w:t>
      </w:r>
      <w:r w:rsidR="001E6296" w:rsidRPr="00AF41A6">
        <w:t xml:space="preserve">There are regulations in place to limit methane </w:t>
      </w:r>
      <w:r w:rsidRPr="00AF41A6">
        <w:t>emissions</w:t>
      </w:r>
      <w:r w:rsidR="001E6296" w:rsidRPr="00AF41A6">
        <w:t xml:space="preserve"> from this sector, but many apply only to new infrastructure, leaving existing infrastructure and its many emissions sources unaddressed </w:t>
      </w:r>
      <w:r w:rsidR="001E6296" w:rsidRPr="00AF41A6">
        <w:fldChar w:fldCharType="begin"/>
      </w:r>
      <w:r w:rsidR="001E6296" w:rsidRPr="00AF41A6">
        <w:instrText xml:space="preserve"> ADDIN ZOTERO_ITEM CSL_CITATION {"citationID":"DyrklkUk","properties":{"formattedCitation":"(ICF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001E6296" w:rsidRPr="00AF41A6">
        <w:fldChar w:fldCharType="separate"/>
      </w:r>
      <w:r w:rsidR="001E6296" w:rsidRPr="00AF41A6">
        <w:rPr>
          <w:rFonts w:cs="Times New Roman"/>
        </w:rPr>
        <w:t>(ICF International, 2014)</w:t>
      </w:r>
      <w:r w:rsidR="001E6296" w:rsidRPr="00AF41A6">
        <w:fldChar w:fldCharType="end"/>
      </w:r>
      <w:r w:rsidRPr="00AF41A6">
        <w:t>. Furthermore, n</w:t>
      </w:r>
      <w:r w:rsidR="00451486" w:rsidRPr="00AF41A6">
        <w:t xml:space="preserve">on-hazardous leaks in many </w:t>
      </w:r>
      <w:r w:rsidRPr="00AF41A6">
        <w:t>jurisdictions</w:t>
      </w:r>
      <w:r w:rsidR="00451486" w:rsidRPr="00AF41A6">
        <w:t xml:space="preserve"> do not require repair and costs of wasted, leaked gas are recovered by passing onto the ratepayer </w:t>
      </w:r>
      <w:r w:rsidR="00451486" w:rsidRPr="00AF41A6">
        <w:fldChar w:fldCharType="begin"/>
      </w:r>
      <w:r w:rsidR="00451486" w:rsidRPr="00AF41A6">
        <w:instrText xml:space="preserve"> ADDIN ZOTERO_ITEM CSL_CITATION {"citationID":"bjWg0tgx","properties":{"formattedCitation":"(Webb, 2015)","plainCitation":"(Webb, 2015)","noteIndex":0},"citationItems":[{"id":1539,"uris":["http://zotero.org/users/7422708/items/RIXZHN8I"],"uri":["http://zotero.org/users/7422708/items/RIXZHN8I"],"itemData":{"id":1539,"type":"article-journal","container-title":"SSRN Electronic Journal","DOI":"10.2139/ssrn.2597846","ISSN":"1556-5068","journalAbbreviation":"SSRN Journal","language":"en","source":"DOI.org (Crossref)","title":"Lost But Not Forgotten: The Hidden Environmental Costs of Compensating Pipelines for Natural Gas Losses","title-short":"Lost But Not Forgotten","URL":"http://www.ssrn.com/abstract=2597846","author":[{"family":"Webb","given":"Romany M."}],"accessed":{"date-parts":[["2021",4,30]]},"issued":{"date-parts":[["2015"]]}}}],"schema":"https://github.com/citation-style-language/schema/raw/master/csl-citation.json"} </w:instrText>
      </w:r>
      <w:r w:rsidR="00451486" w:rsidRPr="00AF41A6">
        <w:fldChar w:fldCharType="separate"/>
      </w:r>
      <w:r w:rsidR="00451486" w:rsidRPr="00AF41A6">
        <w:rPr>
          <w:rFonts w:cs="Times New Roman"/>
        </w:rPr>
        <w:t>(Webb, 2015)</w:t>
      </w:r>
      <w:r w:rsidR="00451486" w:rsidRPr="00AF41A6">
        <w:fldChar w:fldCharType="end"/>
      </w:r>
      <w:r w:rsidRPr="00AF41A6">
        <w:t>. At a global level, there is a “m</w:t>
      </w:r>
      <w:r w:rsidR="00451486" w:rsidRPr="00AF41A6">
        <w:t xml:space="preserve">ethane blind spot” in </w:t>
      </w:r>
      <w:r w:rsidRPr="00AF41A6">
        <w:t>countries’</w:t>
      </w:r>
      <w:r w:rsidR="00451486" w:rsidRPr="00AF41A6">
        <w:t xml:space="preserve"> net-zero targets</w:t>
      </w:r>
      <w:r w:rsidRPr="00AF41A6">
        <w:t xml:space="preserve">, leading to lack of clarity and comparability over how methane fits into climate goals and countries’ own ambitions for emissions reductions </w:t>
      </w:r>
      <w:r w:rsidR="00451486" w:rsidRPr="00AF41A6">
        <w:t xml:space="preserve"> </w:t>
      </w:r>
      <w:r w:rsidR="00451486" w:rsidRPr="00AF41A6">
        <w:fldChar w:fldCharType="begin"/>
      </w:r>
      <w:r w:rsidR="00451486" w:rsidRPr="00AF41A6">
        <w:instrText xml:space="preserve"> ADDIN ZOTERO_ITEM CSL_CITATION {"citationID":"64BzXLYQ","properties":{"formattedCitation":"(Rogelj et al., 2021)","plainCitation":"(Rogelj et al., 2021)","noteIndex":0},"citationItems":[{"id":1396,"uris":["http://zotero.org/users/7422708/items/AG97T8IZ"],"uri":["http://zotero.org/users/7422708/items/AG97T8IZ"],"itemData":{"id":1396,"type":"article-journal","container-title":"Nature","language":"en","page":"4","source":"Zotero","title":"Three ways to improve net-zero emissions targets","volume":"591","author":[{"family":"Rogelj","given":"Joeri"},{"family":"Geden","given":"Oliver"},{"family":"Cowie","given":"Annette"},{"family":"Reisinger","given":"Andy"}],"issued":{"date-parts":[["2021"]]}}}],"schema":"https://github.com/citation-style-language/schema/raw/master/csl-citation.json"} </w:instrText>
      </w:r>
      <w:r w:rsidR="00451486" w:rsidRPr="00AF41A6">
        <w:fldChar w:fldCharType="separate"/>
      </w:r>
      <w:r w:rsidR="00451486" w:rsidRPr="00AF41A6">
        <w:rPr>
          <w:rFonts w:cs="Times New Roman"/>
        </w:rPr>
        <w:t>(Rogelj et al., 2021)</w:t>
      </w:r>
      <w:r w:rsidR="00451486" w:rsidRPr="00AF41A6">
        <w:fldChar w:fldCharType="end"/>
      </w:r>
      <w:r w:rsidRPr="00AF41A6">
        <w:t>.</w:t>
      </w:r>
    </w:p>
    <w:p w14:paraId="7CAE7279" w14:textId="44303598" w:rsidR="00545016" w:rsidRPr="00AF41A6" w:rsidRDefault="0015141C" w:rsidP="00545016">
      <w:pPr>
        <w:pStyle w:val="ListParagraph"/>
        <w:numPr>
          <w:ilvl w:val="0"/>
          <w:numId w:val="27"/>
        </w:numPr>
      </w:pPr>
      <w:r w:rsidRPr="00AF41A6">
        <w:t xml:space="preserve">Lack of capital </w:t>
      </w:r>
      <w:r w:rsidRPr="00AF41A6">
        <w:fldChar w:fldCharType="begin"/>
      </w:r>
      <w:r w:rsidRPr="00AF41A6">
        <w:instrText xml:space="preserve"> ADDIN ZOTERO_ITEM CSL_CITATION {"citationID":"FnfNxQfu","properties":{"formattedCitation":"(IEA, 2021a)","plainCitation":"(IEA, 2021a)","noteIndex":0},"citationItems":[{"id":1527,"uris":["http://zotero.org/users/7422708/items/RT9ADG7J"],"uri":["http://zotero.org/users/7422708/items/RT9ADG7J"],"itemData":{"id":1527,"type":"article","publisher":"International Energy Agency","title":"Methane Tracker 2021","URL":"https://www.iea.org/reports/methane-tracker-2021","author":[{"family":"IEA","given":""}],"issued":{"date-parts":[["2021"]]}}}],"schema":"https://github.com/citation-style-language/schema/raw/master/csl-citation.json"} </w:instrText>
      </w:r>
      <w:r w:rsidRPr="00AF41A6">
        <w:fldChar w:fldCharType="separate"/>
      </w:r>
      <w:r w:rsidRPr="00AF41A6">
        <w:rPr>
          <w:rFonts w:cs="Times New Roman"/>
        </w:rPr>
        <w:t>(IEA, 2021a)</w:t>
      </w:r>
      <w:r w:rsidRPr="00AF41A6">
        <w:fldChar w:fldCharType="end"/>
      </w:r>
      <w:r w:rsidRPr="00AF41A6">
        <w:t xml:space="preserve">: </w:t>
      </w:r>
      <w:r w:rsidR="004C247E" w:rsidRPr="00AF41A6">
        <w:t xml:space="preserve">Though investment </w:t>
      </w:r>
      <w:r w:rsidR="009B66C4">
        <w:t>in abatement measures often has</w:t>
      </w:r>
      <w:r w:rsidR="004C247E" w:rsidRPr="00AF41A6">
        <w:t xml:space="preserve"> a positive net present value due to reduced product losses, an initial capital investment is still often required. </w:t>
      </w:r>
      <w:r w:rsidRPr="00AF41A6">
        <w:t xml:space="preserve">Fossil fuel companies are subject to business cycles that affect their capital availability. Capital </w:t>
      </w:r>
      <w:r w:rsidR="004C247E" w:rsidRPr="00AF41A6">
        <w:t xml:space="preserve">is likely to be </w:t>
      </w:r>
      <w:r w:rsidRPr="00AF41A6">
        <w:t>directed to investments</w:t>
      </w:r>
      <w:r w:rsidR="004C247E" w:rsidRPr="00AF41A6">
        <w:t xml:space="preserve"> with the highest return</w:t>
      </w:r>
      <w:r w:rsidRPr="00AF41A6">
        <w:t xml:space="preserve">, which have historically been in </w:t>
      </w:r>
      <w:r w:rsidR="004C247E" w:rsidRPr="00AF41A6">
        <w:t>new production</w:t>
      </w:r>
      <w:r w:rsidRPr="00AF41A6">
        <w:t>.</w:t>
      </w:r>
      <w:r w:rsidR="001B4003" w:rsidRPr="00AF41A6">
        <w:t xml:space="preserve"> With indications that these kinds of investments must cease in order for alignment with net-zero </w:t>
      </w:r>
      <w:r w:rsidR="001B4003" w:rsidRPr="00AF41A6">
        <w:fldChar w:fldCharType="begin"/>
      </w:r>
      <w:r w:rsidR="001B4003" w:rsidRPr="00AF41A6">
        <w:instrText xml:space="preserve"> ADDIN ZOTERO_ITEM CSL_CITATION {"citationID":"TpkJ8EEp","properties":{"formattedCitation":"(IEA, 2021c)","plainCitation":"(IEA, 2021c)","noteIndex":0},"citationItems":[{"id":1627,"uris":["http://zotero.org/users/7422708/items/HXUT4QW7"],"uri":["http://zotero.org/users/7422708/items/HXUT4QW7"],"itemData":{"id":1627,"type":"article","publisher":"International Energy Agency","title":"Net Zero by 2050","URL":"https://www.iea.org/reports/net-zero-by-2050","author":[{"family":"IEA","given":""}],"issued":{"date-parts":[["2021"]]}}}],"schema":"https://github.com/citation-style-language/schema/raw/master/csl-citation.json"} </w:instrText>
      </w:r>
      <w:r w:rsidR="001B4003" w:rsidRPr="00AF41A6">
        <w:fldChar w:fldCharType="separate"/>
      </w:r>
      <w:r w:rsidR="001B4003" w:rsidRPr="00AF41A6">
        <w:rPr>
          <w:rFonts w:cs="Times New Roman"/>
        </w:rPr>
        <w:t>(IEA, 2021c)</w:t>
      </w:r>
      <w:r w:rsidR="001B4003" w:rsidRPr="00AF41A6">
        <w:fldChar w:fldCharType="end"/>
      </w:r>
      <w:r w:rsidR="001B4003" w:rsidRPr="00AF41A6">
        <w:t xml:space="preserve">, alongside potential increased financial pressure on fossil fuel companies as the world transitions to cleaner alternatives, it seems possible that capital constraints could continue to pose a challenge to emissions abatement in the sector. </w:t>
      </w:r>
    </w:p>
    <w:p w14:paraId="693B99B7" w14:textId="2EAA04F4" w:rsidR="00042017" w:rsidRPr="00AF41A6" w:rsidRDefault="00C2682A" w:rsidP="00042017">
      <w:pPr>
        <w:pStyle w:val="ListParagraph"/>
        <w:numPr>
          <w:ilvl w:val="0"/>
          <w:numId w:val="27"/>
        </w:numPr>
      </w:pPr>
      <w:r w:rsidRPr="00AF41A6">
        <w:t>S</w:t>
      </w:r>
      <w:r w:rsidR="004C247E" w:rsidRPr="00AF41A6">
        <w:t>uper-emitter distribution</w:t>
      </w:r>
      <w:r w:rsidR="009B66C4">
        <w:t xml:space="preserve"> pattern: D</w:t>
      </w:r>
      <w:r w:rsidR="004C247E" w:rsidRPr="00AF41A6">
        <w:t xml:space="preserve">epending on the method of leak detection and repair, hundreds or thousands of measurements must be taken in order to identify the largest emitting sources </w:t>
      </w:r>
      <w:r w:rsidR="009B66C4">
        <w:t xml:space="preserve">on a certain stretch of infrastructure </w:t>
      </w:r>
      <w:r w:rsidR="004C247E" w:rsidRPr="00AF41A6">
        <w:fldChar w:fldCharType="begin"/>
      </w:r>
      <w:r w:rsidR="004C247E" w:rsidRPr="00AF41A6">
        <w:instrText xml:space="preserve"> ADDIN ZOTERO_ITEM CSL_CITATION {"citationID":"KlQfGRoa","properties":{"formattedCitation":"(Marchese &amp; Zimmerle, 2019)","plainCitation":"(Marchese &amp; Zimmerle, 2019)","noteIndex":0},"citationItems":[{"id":1628,"uris":["http://zotero.org/users/7422708/items/88T7DT6N"],"uri":["http://zotero.org/users/7422708/items/88T7DT6N"],"itemData":{"id":1628,"type":"article-newspaper","container-title":"The Conversation","title":"Why methane emissions matter to climate change: 5 questions answered","URL":"https://theconversation.com/why-methane-emissions-matter-to-climate-change-5-questions-answered-122684","author":[{"family":"Marchese","given":"Anthony J."},{"family":"Zimmerle","given":"Dan"}],"issued":{"date-parts":[["2019",9,4]]}}}],"schema":"https://github.com/citation-style-language/schema/raw/master/csl-citation.json"} </w:instrText>
      </w:r>
      <w:r w:rsidR="004C247E" w:rsidRPr="00AF41A6">
        <w:fldChar w:fldCharType="separate"/>
      </w:r>
      <w:r w:rsidR="004C247E" w:rsidRPr="00AF41A6">
        <w:rPr>
          <w:rFonts w:cs="Times New Roman"/>
        </w:rPr>
        <w:t>(Marchese &amp; Zimmerle, 2019)</w:t>
      </w:r>
      <w:r w:rsidR="004C247E" w:rsidRPr="00AF41A6">
        <w:fldChar w:fldCharType="end"/>
      </w:r>
      <w:r w:rsidR="004C247E" w:rsidRPr="00AF41A6">
        <w:t xml:space="preserve">. Conversely, as remote </w:t>
      </w:r>
      <w:r w:rsidR="00451486" w:rsidRPr="00AF41A6">
        <w:t>detection</w:t>
      </w:r>
      <w:r w:rsidR="004C247E" w:rsidRPr="00AF41A6">
        <w:t xml:space="preserve"> </w:t>
      </w:r>
      <w:r w:rsidR="00451486" w:rsidRPr="00AF41A6">
        <w:t xml:space="preserve">methods </w:t>
      </w:r>
      <w:r w:rsidR="004C247E" w:rsidRPr="00AF41A6">
        <w:t xml:space="preserve">such as satellite and aerial detection </w:t>
      </w:r>
      <w:r w:rsidR="00451486" w:rsidRPr="00AF41A6">
        <w:t xml:space="preserve">advance, they will likely be used for identifying the largest emitters, which risks leaving the </w:t>
      </w:r>
      <w:r w:rsidR="006D2B35" w:rsidRPr="00AF41A6">
        <w:t xml:space="preserve">large number of </w:t>
      </w:r>
      <w:r w:rsidR="00451486" w:rsidRPr="00AF41A6">
        <w:t>smaller sources un</w:t>
      </w:r>
      <w:r w:rsidR="006D2B35" w:rsidRPr="00AF41A6">
        <w:t>addressed</w:t>
      </w:r>
      <w:r w:rsidR="00451486" w:rsidRPr="00AF41A6">
        <w:t xml:space="preserve">. In either case, the requirement to perform comprehensive and frequent leak detection campaigns, which represent an operational cost, may be a barrier to swift abatement. </w:t>
      </w:r>
    </w:p>
    <w:p w14:paraId="7E8C15AA" w14:textId="00A9ACC3" w:rsidR="009E474D" w:rsidRPr="00AF41A6" w:rsidRDefault="007F110D" w:rsidP="006305D7">
      <w:pPr>
        <w:pStyle w:val="ListParagraph"/>
        <w:numPr>
          <w:ilvl w:val="0"/>
          <w:numId w:val="27"/>
        </w:numPr>
      </w:pPr>
      <w:r w:rsidRPr="00AF41A6">
        <w:t xml:space="preserve">Lack of </w:t>
      </w:r>
      <w:r w:rsidR="009B66C4">
        <w:t>information: T</w:t>
      </w:r>
      <w:r w:rsidR="00451486" w:rsidRPr="00AF41A6">
        <w:t xml:space="preserve">here may be lack of awareness about costs and </w:t>
      </w:r>
      <w:r w:rsidR="006D2B35" w:rsidRPr="00AF41A6">
        <w:t>incentives</w:t>
      </w:r>
      <w:r w:rsidR="00451486" w:rsidRPr="00AF41A6">
        <w:t xml:space="preserve"> </w:t>
      </w:r>
      <w:r w:rsidR="00451486" w:rsidRPr="00AF41A6">
        <w:fldChar w:fldCharType="begin"/>
      </w:r>
      <w:r w:rsidR="00451486" w:rsidRPr="00AF41A6">
        <w:instrText xml:space="preserve"> ADDIN ZOTERO_ITEM CSL_CITATION {"citationID":"l3gPnC0X","properties":{"formattedCitation":"(IEA, 2021a)","plainCitation":"(IEA, 2021a)","noteIndex":0},"citationItems":[{"id":1527,"uris":["http://zotero.org/users/7422708/items/RT9ADG7J"],"uri":["http://zotero.org/users/7422708/items/RT9ADG7J"],"itemData":{"id":1527,"type":"article","publisher":"International Energy Agency","title":"Methane Tracker 2021","URL":"https://www.iea.org/reports/methane-tracker-2021","author":[{"family":"IEA","given":""}],"issued":{"date-parts":[["2021"]]}}}],"schema":"https://github.com/citation-style-language/schema/raw/master/csl-citation.json"} </w:instrText>
      </w:r>
      <w:r w:rsidR="00451486" w:rsidRPr="00AF41A6">
        <w:fldChar w:fldCharType="separate"/>
      </w:r>
      <w:r w:rsidR="00451486" w:rsidRPr="00AF41A6">
        <w:rPr>
          <w:rFonts w:cs="Times New Roman"/>
        </w:rPr>
        <w:t>(IEA, 2021a)</w:t>
      </w:r>
      <w:r w:rsidR="00451486" w:rsidRPr="00AF41A6">
        <w:fldChar w:fldCharType="end"/>
      </w:r>
      <w:r w:rsidR="00451486" w:rsidRPr="00AF41A6">
        <w:t xml:space="preserve">  or lack of historical measurements such as </w:t>
      </w:r>
      <w:r w:rsidRPr="00AF41A6">
        <w:t xml:space="preserve">firm-level inventories </w:t>
      </w:r>
      <w:r w:rsidRPr="00AF41A6">
        <w:fldChar w:fldCharType="begin"/>
      </w:r>
      <w:r w:rsidR="00D262FE" w:rsidRPr="00AF41A6">
        <w:instrText xml:space="preserve"> ADDIN ZOTERO_ITEM CSL_CITATION {"citationID":"6OCBcFCR","properties":{"formattedCitation":"(Munnings &amp; Krupnick, 2017)","plainCitation":"(Munnings &amp; Krupnick, 2017)","noteIndex":0},"citationItems":[{"id":1543,"uris":["http://zotero.org/users/7422708/items/RCY6UFZR"],"uri":["http://zotero.org/users/7422708/items/RCY6UFZR"],"itemData":{"id":1543,"type":"article","abstract":"Methane emissions from the natural gas sector threaten to erode the climatic benefit that gas holds over coal. Yet the majority of existing sources of methane emissions in the natural gas sector remain unregulated. This is due in part to concerns that policies to mitigate these emissions would entail overseeing a large number of sources and impose significant administrative and compliance costs. Unfortunately, the typical market-based approaches that might ameloriate these concerns, such as a pollution tax, are not practical at the moment because there are no accurate and publicly available firmlevel inventories of methane emissions; however, monitoring technologies are improving quickly, meaning that such inventories may be available in the foreseeable future. Focusing on the United States, we describe a suite of prototypical policies to reduce methane emissions from the natural gas sector, including technology standards, performance standards on firms, performance standards with averaging, tradable performance standards, several types of leak detection and repair programs, and a pollution tax with default and updatable leakage rates. We then analyze the extent to which each of these policies provides appropriate incentives for abatement, given the unique attributes of methane emissions from the natural gas sector. Finally, we compare these policies in terms of administrative costs, economic efficiency, and environmental effectiveness. We find, among other things, that a pollution tax with assumed and updatable default leakage rates performs particularly well in terms of economic efficiency and environmental effectiveness.","language":"en","publisher":"Resources for the Future","source":"Zotero","title":"Comparing Policies to Reduce Methane Emissions in the Natural Gas Sector","author":[{"family":"Munnings","given":"Clayton"},{"family":"Krupnick","given":"Alan"}],"issued":{"date-parts":[["2017"]]}}}],"schema":"https://github.com/citation-style-language/schema/raw/master/csl-citation.json"} </w:instrText>
      </w:r>
      <w:r w:rsidRPr="00AF41A6">
        <w:fldChar w:fldCharType="separate"/>
      </w:r>
      <w:r w:rsidR="00D262FE" w:rsidRPr="00AF41A6">
        <w:rPr>
          <w:rFonts w:cs="Times New Roman"/>
        </w:rPr>
        <w:t>(Munnings &amp; Krupnick, 2017)</w:t>
      </w:r>
      <w:r w:rsidRPr="00AF41A6">
        <w:fldChar w:fldCharType="end"/>
      </w:r>
      <w:r w:rsidRPr="00AF41A6">
        <w:t xml:space="preserve"> </w:t>
      </w:r>
      <w:r w:rsidR="00451486" w:rsidRPr="00AF41A6">
        <w:t xml:space="preserve">that would be compatible with policies to help reduce methane emissions. </w:t>
      </w:r>
    </w:p>
    <w:p w14:paraId="34222FBE" w14:textId="4EEBECBF" w:rsidR="00D1508C" w:rsidRPr="00AF41A6" w:rsidRDefault="551A77D0" w:rsidP="005D49A8">
      <w:pPr>
        <w:pStyle w:val="Heading3"/>
      </w:pPr>
      <w:bookmarkStart w:id="35" w:name="_Toc75953797"/>
      <w:r w:rsidRPr="00AF41A6">
        <w:t>Adoption</w:t>
      </w:r>
      <w:r w:rsidR="006E6C65" w:rsidRPr="00AF41A6">
        <w:t xml:space="preserve"> </w:t>
      </w:r>
      <w:r w:rsidRPr="00AF41A6">
        <w:t>Potential</w:t>
      </w:r>
      <w:bookmarkEnd w:id="35"/>
    </w:p>
    <w:p w14:paraId="7E7A4954" w14:textId="77777777" w:rsidR="002815AD" w:rsidRDefault="00E250FD" w:rsidP="00E250FD">
      <w:r w:rsidRPr="00AF41A6">
        <w:t xml:space="preserve">The IEA’s current estimate is that 70% of sector emissions could be abated using existing technologies and practices </w:t>
      </w:r>
      <w:r w:rsidRPr="00AF41A6">
        <w:fldChar w:fldCharType="begin"/>
      </w:r>
      <w:r w:rsidRPr="00AF41A6">
        <w:instrText xml:space="preserve"> ADDIN ZOTERO_ITEM CSL_CITATION {"citationID":"yoDerxeJ","properties":{"formattedCitation":"(IEA, 2021b)","plainCitation":"(IEA, 2021b)","noteIndex":0},"citationItems":[{"id":1532,"uris":["http://zotero.org/users/7422708/items/W2Z5J56I"],"uri":["http://zotero.org/users/7422708/items/W2Z5J56I"],"itemData":{"id":1532,"type":"article","publisher":"International Energy Agency","title":"Methane Tracker Database","URL":"https://www.iea.org/articles/methane-tracker-database","author":[{"family":"IEA","given":""}],"issued":{"date-parts":[["2021"]]}}}],"schema":"https://github.com/citation-style-language/schema/raw/master/csl-citation.json"} </w:instrText>
      </w:r>
      <w:r w:rsidRPr="00AF41A6">
        <w:fldChar w:fldCharType="separate"/>
      </w:r>
      <w:r w:rsidRPr="00AF41A6">
        <w:rPr>
          <w:rFonts w:cs="Times New Roman"/>
        </w:rPr>
        <w:t>(IEA, 2021b)</w:t>
      </w:r>
      <w:r w:rsidRPr="00AF41A6">
        <w:fldChar w:fldCharType="end"/>
      </w:r>
      <w:r w:rsidRPr="00AF41A6">
        <w:t xml:space="preserve">. </w:t>
      </w:r>
      <w:r w:rsidR="009B66C4">
        <w:t xml:space="preserve">It should be noted that the US EPA’s estimate is much lower, at only </w:t>
      </w:r>
      <w:r w:rsidR="002815AD">
        <w:t xml:space="preserve">34% </w:t>
      </w:r>
      <w:r w:rsidR="002815AD">
        <w:fldChar w:fldCharType="begin"/>
      </w:r>
      <w:r w:rsidR="002815AD">
        <w:instrText xml:space="preserve"> ADDIN ZOTERO_ITEM CSL_CITATION {"citationID":"54Y4jj8l","properties":{"formattedCitation":"(US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2815AD">
        <w:fldChar w:fldCharType="separate"/>
      </w:r>
      <w:r w:rsidR="002815AD" w:rsidRPr="002815AD">
        <w:rPr>
          <w:rFonts w:cs="Times New Roman"/>
        </w:rPr>
        <w:t>(US EPA, 2019b)</w:t>
      </w:r>
      <w:r w:rsidR="002815AD">
        <w:fldChar w:fldCharType="end"/>
      </w:r>
      <w:r w:rsidR="002815AD">
        <w:t>. The upper limit of this potential may be expanded by technology development, but a significant portion of emissions is expected to remain unabated. This may be due to:</w:t>
      </w:r>
    </w:p>
    <w:p w14:paraId="4B6401D1" w14:textId="013CDBCA" w:rsidR="002815AD" w:rsidRDefault="002815AD" w:rsidP="002815AD">
      <w:pPr>
        <w:pStyle w:val="ListParagraph"/>
        <w:numPr>
          <w:ilvl w:val="0"/>
          <w:numId w:val="38"/>
        </w:numPr>
      </w:pPr>
      <w:r>
        <w:t>LDAR effectiveness is dependent on frequency, and new emissions sources are identified on previously-remedied infrastructure during subsequent campaigns</w:t>
      </w:r>
    </w:p>
    <w:p w14:paraId="2A5FEAA6" w14:textId="2FD74E6C" w:rsidR="002815AD" w:rsidRDefault="002815AD" w:rsidP="002815AD">
      <w:pPr>
        <w:pStyle w:val="ListParagraph"/>
        <w:numPr>
          <w:ilvl w:val="0"/>
          <w:numId w:val="38"/>
        </w:numPr>
      </w:pPr>
      <w:r>
        <w:t>There is an additional time lag between detecting leaks and fixing them</w:t>
      </w:r>
    </w:p>
    <w:p w14:paraId="3B4B966F" w14:textId="5EAA2835" w:rsidR="002815AD" w:rsidRDefault="002815AD" w:rsidP="002815AD">
      <w:pPr>
        <w:pStyle w:val="ListParagraph"/>
        <w:numPr>
          <w:ilvl w:val="0"/>
          <w:numId w:val="38"/>
        </w:numPr>
      </w:pPr>
      <w:r>
        <w:t>There is a skewed d</w:t>
      </w:r>
      <w:r w:rsidR="005D0D09">
        <w:t>istribution of emissions rates from sources</w:t>
      </w:r>
      <w:r>
        <w:t xml:space="preserve"> – there is likely a very large number of low-emitting sources that are impractical to remedy</w:t>
      </w:r>
    </w:p>
    <w:p w14:paraId="70C04073" w14:textId="2BB5E162" w:rsidR="00E250FD" w:rsidRPr="00AF41A6" w:rsidRDefault="002815AD" w:rsidP="002815AD">
      <w:pPr>
        <w:pStyle w:val="ListParagraph"/>
        <w:numPr>
          <w:ilvl w:val="0"/>
          <w:numId w:val="38"/>
        </w:numPr>
      </w:pPr>
      <w:r>
        <w:t>Abandoned infrastructure continues to emit methane even after production ceases.</w:t>
      </w:r>
    </w:p>
    <w:p w14:paraId="60A30856" w14:textId="365A7E5D" w:rsidR="005919BB" w:rsidRPr="00AF41A6" w:rsidRDefault="002815AD" w:rsidP="00F17628">
      <w:r>
        <w:t xml:space="preserve">Other studies have identified higher technical abatement potentials for mid-century or for individual parts of the oil and gas supply chains. </w:t>
      </w:r>
      <w:r w:rsidR="00F17628" w:rsidRPr="00AF41A6">
        <w:fldChar w:fldCharType="begin"/>
      </w:r>
      <w:r w:rsidR="00F17628" w:rsidRPr="00AF41A6">
        <w:instrText xml:space="preserve"> ADDIN ZOTERO_ITEM CSL_CITATION {"citationID":"WjaTrkCK","properties":{"formattedCitation":"(H\\uc0\\u246{}glund-Isaksson et al., 2020)","plainCitation":"(Höglund-Isaksson et al., 2020)","noteIndex":0},"citationItems":[{"id":1592,"uris":["http://zotero.org/users/7422708/items/NBGHXRSV"],"uri":["http://zotero.org/users/7422708/items/NBGHXRSV"],"itemData":{"id":1592,"type":"article-journal","container-title":"Environmental Research Communications","DOI":"10.1088/2515-7620/ab7457","ISSN":"2515-7620","issue":"2","journalAbbreviation":"Environ. Res. Commun.","language":"en","page":"025004","source":"DOI.org (Crossref)","title":"Technical potentials and costs for reducing global anthropogenic methane emissions in the 2050 timeframe –results from the GAINS model","volume":"2","author":[{"family":"Höglund-Isaksson","given":"Lena"},{"family":"Gómez-Sanabria","given":"Adriana"},{"family":"Klimont","given":"Zbigniew"},{"family":"Rafaj","given":"Peter"},{"family":"Schöpp","given":"Wolfgang"}],"issued":{"date-parts":[["2020",2,27]]}}}],"schema":"https://github.com/citation-style-language/schema/raw/master/csl-citation.json"} </w:instrText>
      </w:r>
      <w:r w:rsidR="00F17628" w:rsidRPr="00AF41A6">
        <w:fldChar w:fldCharType="separate"/>
      </w:r>
      <w:r w:rsidR="00F17628" w:rsidRPr="00AF41A6">
        <w:rPr>
          <w:rFonts w:cs="Times New Roman"/>
          <w:szCs w:val="24"/>
        </w:rPr>
        <w:t>(Höglund-Isaksson et al., 2020)</w:t>
      </w:r>
      <w:r w:rsidR="00F17628" w:rsidRPr="00AF41A6">
        <w:fldChar w:fldCharType="end"/>
      </w:r>
      <w:r>
        <w:t>.</w:t>
      </w:r>
    </w:p>
    <w:p w14:paraId="12A2F24A" w14:textId="682288D3" w:rsidR="001C49CB" w:rsidRPr="00AF41A6" w:rsidRDefault="005A74A6" w:rsidP="00D910B7">
      <w:pPr>
        <w:pStyle w:val="Heading2"/>
        <w:numPr>
          <w:ilvl w:val="1"/>
          <w:numId w:val="6"/>
        </w:numPr>
      </w:pPr>
      <w:bookmarkStart w:id="36" w:name="_Toc75953798"/>
      <w:r w:rsidRPr="00AF41A6">
        <w:t>Advantages</w:t>
      </w:r>
      <w:r w:rsidR="551A77D0" w:rsidRPr="00AF41A6">
        <w:t xml:space="preserve"> and disadvantages of </w:t>
      </w:r>
      <w:r w:rsidR="002815AD">
        <w:t>oil and gas methane management</w:t>
      </w:r>
      <w:bookmarkEnd w:id="36"/>
    </w:p>
    <w:p w14:paraId="3AB60BD7" w14:textId="77777777" w:rsidR="00FA4322" w:rsidRPr="00AF41A6" w:rsidRDefault="551A77D0" w:rsidP="00D70CE4">
      <w:pPr>
        <w:pStyle w:val="Heading3"/>
      </w:pPr>
      <w:bookmarkStart w:id="37" w:name="_Toc75953799"/>
      <w:r w:rsidRPr="00AF41A6">
        <w:t>Similar Solutions</w:t>
      </w:r>
      <w:bookmarkEnd w:id="37"/>
    </w:p>
    <w:p w14:paraId="7757530D" w14:textId="11CEEE94" w:rsidR="00642DB7" w:rsidRPr="00AF41A6" w:rsidRDefault="00642DB7" w:rsidP="00642DB7">
      <w:r w:rsidRPr="00AF41A6">
        <w:t xml:space="preserve">Methane management in the oil and gas supply chains </w:t>
      </w:r>
      <w:r w:rsidR="00395692" w:rsidRPr="00AF41A6">
        <w:t>is an infrastructure solution that is connected to numerous other sectors and activities (</w:t>
      </w:r>
      <w:r w:rsidR="00395692" w:rsidRPr="00AF41A6">
        <w:fldChar w:fldCharType="begin"/>
      </w:r>
      <w:r w:rsidR="00395692" w:rsidRPr="00AF41A6">
        <w:instrText xml:space="preserve"> REF _Ref72236456 \h </w:instrText>
      </w:r>
      <w:r w:rsidR="00395692" w:rsidRPr="00AF41A6">
        <w:fldChar w:fldCharType="separate"/>
      </w:r>
      <w:r w:rsidR="003D1925" w:rsidRPr="00AF41A6">
        <w:t xml:space="preserve">Figure </w:t>
      </w:r>
      <w:r w:rsidR="003D1925">
        <w:rPr>
          <w:noProof/>
        </w:rPr>
        <w:t>12</w:t>
      </w:r>
      <w:r w:rsidR="00395692" w:rsidRPr="00AF41A6">
        <w:fldChar w:fldCharType="end"/>
      </w:r>
      <w:r w:rsidR="00395692" w:rsidRPr="00AF41A6">
        <w:t xml:space="preserve">). </w:t>
      </w:r>
      <w:r w:rsidR="00645923" w:rsidRPr="00AF41A6">
        <w:t>Within the global energy system, changes in demand from oil and gas-consuming sectors such as transportation, electricity generation, buildings, and industrial processes will directly affect the demand for the supporting infrastructure. There are also potential future alternative</w:t>
      </w:r>
      <w:r w:rsidR="00764C8A">
        <w:t xml:space="preserve"> uses for the infrastructure </w:t>
      </w:r>
      <w:r w:rsidR="00645923" w:rsidRPr="00AF41A6">
        <w:t xml:space="preserve">such as for transporting hydrogen, synthetic methane, biogas, or carbon dioxide. Several of Project Drawdown’s existing solutions could contribute to these uses by the production of biogas. This solution is also related to those Drawdown Solutions with a methane emissions component, as mitigation in these areas has different atmospheric effects to those solutions that address other greenhouse gases. </w:t>
      </w:r>
    </w:p>
    <w:p w14:paraId="2EE2DADD" w14:textId="0BA3FFD9" w:rsidR="00F70807" w:rsidRPr="00AF41A6" w:rsidRDefault="00F70807" w:rsidP="00F70807">
      <w:r w:rsidRPr="00AF41A6">
        <w:rPr>
          <w:noProof/>
          <w:lang w:eastAsia="en-US"/>
        </w:rPr>
        <w:drawing>
          <wp:inline distT="0" distB="0" distL="0" distR="0" wp14:anchorId="3ACCC0CA" wp14:editId="6EECC08E">
            <wp:extent cx="4752975" cy="2905125"/>
            <wp:effectExtent l="0" t="0" r="9525" b="9525"/>
            <wp:docPr id="143" name="Picture 143" descr="C:\Users\JB\Documents\Work\Drawdown\Natural gas infrastructure related 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Documents\Work\Drawdown\Natural gas infrastructure related solu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2905125"/>
                    </a:xfrm>
                    <a:prstGeom prst="rect">
                      <a:avLst/>
                    </a:prstGeom>
                    <a:noFill/>
                    <a:ln>
                      <a:noFill/>
                    </a:ln>
                  </pic:spPr>
                </pic:pic>
              </a:graphicData>
            </a:graphic>
          </wp:inline>
        </w:drawing>
      </w:r>
    </w:p>
    <w:p w14:paraId="46EA3164" w14:textId="0080BC76" w:rsidR="00395692" w:rsidRPr="00AF41A6" w:rsidRDefault="00395692" w:rsidP="00395692">
      <w:pPr>
        <w:pStyle w:val="Caption"/>
      </w:pPr>
      <w:bookmarkStart w:id="38" w:name="_Ref72236456"/>
      <w:bookmarkStart w:id="39" w:name="_Ref72739746"/>
      <w:bookmarkStart w:id="40" w:name="_Toc75940746"/>
      <w:r w:rsidRPr="00AF41A6">
        <w:t xml:space="preserve">Figure </w:t>
      </w:r>
      <w:fldSimple w:instr=" SEQ Figure \* ARABIC ">
        <w:r w:rsidR="003D1925">
          <w:rPr>
            <w:noProof/>
          </w:rPr>
          <w:t>12</w:t>
        </w:r>
      </w:fldSimple>
      <w:bookmarkEnd w:id="38"/>
      <w:r w:rsidRPr="00AF41A6">
        <w:t>: Contextual framing with related solutions and processes.</w:t>
      </w:r>
      <w:bookmarkEnd w:id="39"/>
      <w:bookmarkEnd w:id="40"/>
      <w:r w:rsidRPr="00AF41A6">
        <w:t xml:space="preserve"> </w:t>
      </w:r>
    </w:p>
    <w:p w14:paraId="4586B1FA" w14:textId="6D80C4EE" w:rsidR="00D81CE2" w:rsidRPr="00AF41A6" w:rsidRDefault="00D81CE2" w:rsidP="00AF60A8">
      <w:r w:rsidRPr="00AF41A6">
        <w:t>Coal mine methane management is a closely related solution that has not yet been examined in the Project Drawdown framework. By comparison with methane emissions from the oil and gas supply chains, the coal mining sector contributes about half of this amount to global non-CO</w:t>
      </w:r>
      <w:r w:rsidRPr="00AF41A6">
        <w:rPr>
          <w:vertAlign w:val="subscript"/>
        </w:rPr>
        <w:t>2</w:t>
      </w:r>
      <w:r w:rsidRPr="00AF41A6">
        <w:t xml:space="preserve"> greenhouse gas emissions </w:t>
      </w:r>
      <w:r w:rsidR="00E31BC5" w:rsidRPr="00AF41A6">
        <w:t>(</w:t>
      </w:r>
      <w:r w:rsidRPr="00AF41A6">
        <w:fldChar w:fldCharType="begin"/>
      </w:r>
      <w:r w:rsidRPr="00AF41A6">
        <w:instrText xml:space="preserve"> REF _Ref72939460 \h </w:instrText>
      </w:r>
      <w:r w:rsidRPr="00AF41A6">
        <w:fldChar w:fldCharType="separate"/>
      </w:r>
      <w:r w:rsidR="003D1925" w:rsidRPr="00AF41A6">
        <w:t xml:space="preserve">Figure </w:t>
      </w:r>
      <w:r w:rsidR="003D1925">
        <w:rPr>
          <w:noProof/>
        </w:rPr>
        <w:t>4</w:t>
      </w:r>
      <w:r w:rsidRPr="00AF41A6">
        <w:fldChar w:fldCharType="end"/>
      </w:r>
      <w:r w:rsidR="00E31BC5" w:rsidRPr="00AF41A6">
        <w:t>) or about 8% of all global non-CO</w:t>
      </w:r>
      <w:r w:rsidR="00E31BC5" w:rsidRPr="00AF41A6">
        <w:rPr>
          <w:vertAlign w:val="subscript"/>
        </w:rPr>
        <w:t>2</w:t>
      </w:r>
      <w:r w:rsidR="00E31BC5" w:rsidRPr="00AF41A6">
        <w:t xml:space="preserve"> greenhouse gas emissions.</w:t>
      </w:r>
      <w:r w:rsidRPr="00AF41A6">
        <w:t xml:space="preserve"> </w:t>
      </w:r>
      <w:r w:rsidR="00E31BC5" w:rsidRPr="00AF41A6">
        <w:t>Though this is a significant abatement challenge and opportunity, i</w:t>
      </w:r>
      <w:r w:rsidRPr="00AF41A6">
        <w:t>t differs from methane management in the oil and gas supply chains in several key ways</w:t>
      </w:r>
      <w:r w:rsidR="00E31BC5" w:rsidRPr="00AF41A6">
        <w:t xml:space="preserve"> that </w:t>
      </w:r>
      <w:r w:rsidR="006243DB" w:rsidRPr="00AF41A6">
        <w:t xml:space="preserve">warrant separate treatment </w:t>
      </w:r>
      <w:r w:rsidRPr="00AF41A6">
        <w:fldChar w:fldCharType="begin"/>
      </w:r>
      <w:r w:rsidRPr="00AF41A6">
        <w:instrText xml:space="preserve"> ADDIN ZOTERO_ITEM CSL_CITATION {"citationID":"U91IwQEP","properties":{"formattedCitation":"(US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Pr="00AF41A6">
        <w:fldChar w:fldCharType="separate"/>
      </w:r>
      <w:r w:rsidRPr="00AF41A6">
        <w:rPr>
          <w:rFonts w:cs="Times New Roman"/>
        </w:rPr>
        <w:t>(US EPA, 2019b)</w:t>
      </w:r>
      <w:r w:rsidRPr="00AF41A6">
        <w:fldChar w:fldCharType="end"/>
      </w:r>
      <w:r w:rsidRPr="00AF41A6">
        <w:t>:</w:t>
      </w:r>
    </w:p>
    <w:p w14:paraId="730A08DF" w14:textId="42232711" w:rsidR="00D81CE2" w:rsidRPr="00AF41A6" w:rsidRDefault="00D81CE2" w:rsidP="00CF402E">
      <w:pPr>
        <w:pStyle w:val="ListParagraph"/>
        <w:numPr>
          <w:ilvl w:val="0"/>
          <w:numId w:val="27"/>
        </w:numPr>
      </w:pPr>
      <w:r w:rsidRPr="00AF41A6">
        <w:t>Different and l</w:t>
      </w:r>
      <w:r w:rsidR="006243DB" w:rsidRPr="00AF41A6">
        <w:t>ess diverse abatement measures.</w:t>
      </w:r>
    </w:p>
    <w:p w14:paraId="0F1853B3" w14:textId="34E5E457" w:rsidR="00D81CE2" w:rsidRPr="00AF41A6" w:rsidRDefault="00D81CE2" w:rsidP="00D81CE2">
      <w:pPr>
        <w:pStyle w:val="ListParagraph"/>
        <w:numPr>
          <w:ilvl w:val="0"/>
          <w:numId w:val="27"/>
        </w:numPr>
      </w:pPr>
      <w:r w:rsidRPr="00AF41A6">
        <w:t xml:space="preserve">Only a small fraction </w:t>
      </w:r>
      <w:r w:rsidR="00E31BC5" w:rsidRPr="00AF41A6">
        <w:t xml:space="preserve">of abatement is </w:t>
      </w:r>
      <w:r w:rsidRPr="00AF41A6">
        <w:t>available at no net cost – the abatement method with greatest potential relies on destructive conversion (combustion) and has no associated revenue</w:t>
      </w:r>
      <w:r w:rsidR="006243DB" w:rsidRPr="00AF41A6">
        <w:t>,</w:t>
      </w:r>
    </w:p>
    <w:p w14:paraId="4857DE61" w14:textId="0FC2067F" w:rsidR="00D81CE2" w:rsidRPr="00AF41A6" w:rsidRDefault="006243DB" w:rsidP="00D81CE2">
      <w:pPr>
        <w:pStyle w:val="ListParagraph"/>
        <w:numPr>
          <w:ilvl w:val="0"/>
          <w:numId w:val="27"/>
        </w:numPr>
      </w:pPr>
      <w:r w:rsidRPr="00AF41A6">
        <w:t>Activities c</w:t>
      </w:r>
      <w:r w:rsidR="00D81CE2" w:rsidRPr="00AF41A6">
        <w:t xml:space="preserve">oncentrated in upstream mining operation sites, whereas oil and gas supply chains span from upstream to downstream and have </w:t>
      </w:r>
      <w:r w:rsidR="00691D31" w:rsidRPr="00AF41A6">
        <w:t xml:space="preserve">more widespread infrastructure. </w:t>
      </w:r>
      <w:r w:rsidR="00D81CE2" w:rsidRPr="00AF41A6">
        <w:t xml:space="preserve"> </w:t>
      </w:r>
    </w:p>
    <w:p w14:paraId="66FEF337" w14:textId="37DF672C" w:rsidR="000330C6" w:rsidRPr="00AF41A6" w:rsidRDefault="551A77D0" w:rsidP="00D70CE4">
      <w:pPr>
        <w:pStyle w:val="Heading3"/>
      </w:pPr>
      <w:bookmarkStart w:id="41" w:name="_Toc75953800"/>
      <w:r w:rsidRPr="00AF41A6">
        <w:t>Arguments for Adoption</w:t>
      </w:r>
      <w:bookmarkEnd w:id="41"/>
    </w:p>
    <w:p w14:paraId="6982D73E" w14:textId="341163BA" w:rsidR="00BA5068" w:rsidRPr="00AF41A6" w:rsidRDefault="00BA5068" w:rsidP="00BA5068">
      <w:r w:rsidRPr="00AF41A6">
        <w:t>The volume of methane released from the oil and gas supply chains is an attractive abatement opportunity. Red</w:t>
      </w:r>
      <w:r w:rsidR="00764C8A">
        <w:t>ucing methane emissions can yield</w:t>
      </w:r>
      <w:r w:rsidRPr="00AF41A6">
        <w:t xml:space="preserve"> quick reductions in expected global temperature increase </w:t>
      </w:r>
      <w:r w:rsidRPr="00AF41A6">
        <w:fldChar w:fldCharType="begin"/>
      </w:r>
      <w:r w:rsidRPr="00AF41A6">
        <w:instrText xml:space="preserve"> ADDIN ZOTERO_ITEM CSL_CITATION {"citationID":"upF0yHkJ","properties":{"formattedCitation":"(Ocko et al., 2021)","plainCitation":"(Ocko et al., 2021)","noteIndex":0},"citationItems":[{"id":1587,"uris":["http://zotero.org/users/7422708/items/CKUYA2J7"],"uri":["http://zotero.org/users/7422708/items/CKUYA2J7"],"itemData":{"id":1587,"type":"article-journal","abstract":"Methane mitigation is essential for addressing climate change, but the value of rapidly implementing available mitigation measures is not well understood. In this paper, we analyze the climate benefits of fast action to reduce methane emissions as compared to slower and delayed mitigation timelines. We find that the scale up and deployment of greatly underutilized but available mitigation measures will have significant near-term temperature benefits beyond that from slow or delayed action. Overall, strategies exist to cut global methane emissions from human activities in half within the next ten years and half of these strategies currently incur no net cost. Pursuing all mitigation measures now could slow the global-mean rate of near-term decadal warming by around 30%, avoid a quarter of a degree centigrade of additional global-mean warming by midcentury, and set ourselves on a path to avoid more than half a degree centigrade by end of century. On the other hand, slow implementation of these measures may result in an additional tenth of a degree of global-mean warming by midcentury and 5% faster warming rate (relative to fast action), and waiting to pursue these measures until midcentury may result in an additional two tenths of a degree centigrade by midcentury and 15% faster warming rate (relative to fast action). Slow or delayed methane action is viewed by many as reasonable given that current and on-the-horizon climate policies heavily emphasize actions that benefit the climate in the long-term, such as decarbonization and reaching net-zero emissions, whereas methane emitted over the next couple of decades will play a limited role in long-term warming. However, given that fast methane action can considerably limit climate damages in the near-term, it is urgent to scale up efforts and take advantage of this achievable and affordable opportunity as we simultaneously reduce carbon dioxide emissions.","container-title":"Environ. Res. Lett.","language":"en","page":"12","source":"Zotero","title":"Acting rapidly to deploy readily available methane mitigation measures by sector can immediately slow global warming","author":[{"family":"Ocko","given":"Ilissa B"},{"family":"Sun","given":"Tianyi"},{"family":"Shindell","given":"Drew"},{"family":"Oppenheimer","given":"Michael"},{"family":"Hristov","given":"Alexander N"},{"family":"Pacala","given":"Stephen W"},{"family":"Mauzerall","given":"Denise L"},{"family":"Xu","given":"Yangyang"},{"family":"Hamburg","given":"Steven P"}],"issued":{"date-parts":[["2021"]]}}}],"schema":"https://github.com/citation-style-language/schema/raw/master/csl-citation.json"} </w:instrText>
      </w:r>
      <w:r w:rsidRPr="00AF41A6">
        <w:fldChar w:fldCharType="separate"/>
      </w:r>
      <w:r w:rsidRPr="00AF41A6">
        <w:rPr>
          <w:rFonts w:cs="Times New Roman"/>
        </w:rPr>
        <w:t>(Ocko et al., 2021)</w:t>
      </w:r>
      <w:r w:rsidRPr="00AF41A6">
        <w:fldChar w:fldCharType="end"/>
      </w:r>
      <w:r w:rsidRPr="00AF41A6">
        <w:t>, the technologies to abate a significant portion of this volume exist today</w:t>
      </w:r>
      <w:r w:rsidR="00FC38D5" w:rsidRPr="00FC38D5">
        <w:t xml:space="preserve"> </w:t>
      </w:r>
      <w:r w:rsidR="00FC38D5" w:rsidRPr="00AF41A6">
        <w:fldChar w:fldCharType="begin"/>
      </w:r>
      <w:r w:rsidR="00FC38D5" w:rsidRPr="00AF41A6">
        <w:instrText xml:space="preserve"> ADDIN ZOTERO_ITEM CSL_CITATION {"citationID":"gpZUstXC","properties":{"formattedCitation":"(Shoemaker et al., 2013)","plainCitation":"(Shoemaker et al., 2013)","noteIndex":0},"citationItems":[{"id":1596,"uris":["http://zotero.org/users/7422708/items/K4NH5LM6"],"uri":["http://zotero.org/users/7422708/items/K4NH5LM6"],"itemData":{"id":1596,"type":"article-journal","container-title":"Science","DOI":"10.1126/science.1240162","ISSN":"0036-8075, 1095-9203","issue":"6164","journalAbbreviation":"Science","language":"en","page":"1323-1324","source":"DOI.org (Crossref)","title":"What Role for Short-Lived Climate Pollutants in Mitigation Policy?","volume":"342","author":[{"family":"Shoemaker","given":"J. K."},{"family":"Schrag","given":"D. P."},{"family":"Molina","given":"M. J."},{"family":"Ramanathan","given":"V."}],"issued":{"date-parts":[["2013",12,13]]}}}],"schema":"https://github.com/citation-style-language/schema/raw/master/csl-citation.json"} </w:instrText>
      </w:r>
      <w:r w:rsidR="00FC38D5" w:rsidRPr="00AF41A6">
        <w:fldChar w:fldCharType="separate"/>
      </w:r>
      <w:r w:rsidR="00FC38D5" w:rsidRPr="00AF41A6">
        <w:rPr>
          <w:rFonts w:cs="Times New Roman"/>
        </w:rPr>
        <w:t>(Shoemaker et al., 2013)</w:t>
      </w:r>
      <w:r w:rsidR="00FC38D5" w:rsidRPr="00AF41A6">
        <w:fldChar w:fldCharType="end"/>
      </w:r>
      <w:r w:rsidRPr="00AF41A6">
        <w:t xml:space="preserve">, and because the leaked methane is itself a saleable product in the form of natural gas abatement costs can be offset with savings from recovered product. </w:t>
      </w:r>
      <w:r w:rsidR="00FC38D5">
        <w:t xml:space="preserve">The abatement solutions in this category tend to be cheap and fast. </w:t>
      </w:r>
      <w:r w:rsidRPr="00AF41A6">
        <w:t>Of the 72 recommended technologies and measures in the EPA</w:t>
      </w:r>
      <w:r w:rsidR="00FC38D5">
        <w:t xml:space="preserve"> Gas STAR program, only two</w:t>
      </w:r>
      <w:r w:rsidRPr="00AF41A6">
        <w:t xml:space="preserve"> have estimated payback periods longer than three years. </w:t>
      </w:r>
      <w:r w:rsidR="00FC38D5" w:rsidRPr="00AF41A6">
        <w:t>The extent of savings depends on the natural gas price, and therefore the amount of abatement achievable at no net cost shifts accordingly.</w:t>
      </w:r>
    </w:p>
    <w:p w14:paraId="1A6E6559" w14:textId="40D56F7E" w:rsidR="00BA5068" w:rsidRPr="00AF41A6" w:rsidRDefault="00FC38D5" w:rsidP="00BA5068">
      <w:r>
        <w:t xml:space="preserve">Adoption of this solution can also be framed in </w:t>
      </w:r>
      <w:r w:rsidR="005D0D09">
        <w:t xml:space="preserve">a </w:t>
      </w:r>
      <w:r>
        <w:t xml:space="preserve">“no-regrets” context, where minimizing methane emissions today is beneficial, regardless of the future use of the infrastructure. Apart from the immediate climate and cost benefits, future alternative uses of the natural gas and oil infrastructure benefit from a system with minimal </w:t>
      </w:r>
      <w:r w:rsidR="00FA60FD">
        <w:t>emissions</w:t>
      </w:r>
      <w:r>
        <w:t>:</w:t>
      </w:r>
    </w:p>
    <w:p w14:paraId="435027BA" w14:textId="7C0EEDFC" w:rsidR="00BA5068" w:rsidRPr="00AF41A6" w:rsidRDefault="00BA5068" w:rsidP="00FC38D5">
      <w:pPr>
        <w:pStyle w:val="ListParagraph"/>
        <w:numPr>
          <w:ilvl w:val="0"/>
          <w:numId w:val="39"/>
        </w:numPr>
      </w:pPr>
      <w:r w:rsidRPr="00AF41A6">
        <w:t xml:space="preserve">Hydrogen is </w:t>
      </w:r>
      <w:r w:rsidR="005D0D09">
        <w:t>able to leak through smaller spaces than methane</w:t>
      </w:r>
      <w:r w:rsidR="00FC38D5">
        <w:t xml:space="preserve">. It is expected to be relatively expensive to produce, so leaks should be minimized. It also may itself act as a weak greenhouse gas. </w:t>
      </w:r>
      <w:r w:rsidR="005D0D09">
        <w:t>Furthermore, h</w:t>
      </w:r>
      <w:r w:rsidR="00FC38D5">
        <w:t xml:space="preserve">ydrogen leaks are dangerous – there is a significant safety benefit to avoiding them. </w:t>
      </w:r>
    </w:p>
    <w:p w14:paraId="64FEF081" w14:textId="69C7F876" w:rsidR="00BA5068" w:rsidRPr="00AF41A6" w:rsidRDefault="00BA5068" w:rsidP="00FC38D5">
      <w:pPr>
        <w:pStyle w:val="ListParagraph"/>
        <w:numPr>
          <w:ilvl w:val="0"/>
          <w:numId w:val="39"/>
        </w:numPr>
      </w:pPr>
      <w:r w:rsidRPr="00AF41A6">
        <w:t>Biomethane and synthetic methane</w:t>
      </w:r>
      <w:r w:rsidR="00FC38D5">
        <w:t xml:space="preserve"> physically have the same short-</w:t>
      </w:r>
      <w:r w:rsidRPr="00AF41A6">
        <w:t>term warming effect as fossil-natural gas</w:t>
      </w:r>
      <w:r w:rsidR="00FC38D5">
        <w:t xml:space="preserve">, so a switch to these fuels also requires that the infrastructure emissions be minimized. </w:t>
      </w:r>
    </w:p>
    <w:p w14:paraId="0572070F" w14:textId="765C8FDB" w:rsidR="00FC38D5" w:rsidRDefault="00FC38D5" w:rsidP="008C45A8">
      <w:pPr>
        <w:pStyle w:val="ListParagraph"/>
        <w:numPr>
          <w:ilvl w:val="0"/>
          <w:numId w:val="39"/>
        </w:numPr>
      </w:pPr>
      <w:r>
        <w:t>If natural gas pipelines are converted to CO</w:t>
      </w:r>
      <w:r w:rsidRPr="00FC38D5">
        <w:rPr>
          <w:vertAlign w:val="subscript"/>
        </w:rPr>
        <w:t>2</w:t>
      </w:r>
      <w:r>
        <w:t xml:space="preserve"> transport for permanent storage in conjunction with carbon capture,</w:t>
      </w:r>
      <w:r w:rsidR="00BA5068" w:rsidRPr="00AF41A6">
        <w:t xml:space="preserve"> then minimizing emissions or</w:t>
      </w:r>
      <w:r>
        <w:t xml:space="preserve"> “reversals” would be paramount, especially considering that the CO</w:t>
      </w:r>
      <w:r>
        <w:rPr>
          <w:vertAlign w:val="subscript"/>
        </w:rPr>
        <w:t>2</w:t>
      </w:r>
      <w:r>
        <w:t xml:space="preserve"> will likely have been captured at great cost. </w:t>
      </w:r>
    </w:p>
    <w:p w14:paraId="4E54458B" w14:textId="5B26A78D" w:rsidR="00EB5847" w:rsidRPr="00AF41A6" w:rsidRDefault="551A77D0" w:rsidP="00EB5847">
      <w:pPr>
        <w:pStyle w:val="Heading3"/>
      </w:pPr>
      <w:bookmarkStart w:id="42" w:name="_Toc75953801"/>
      <w:r w:rsidRPr="00AF41A6">
        <w:t>Additional Benefits and Burdens</w:t>
      </w:r>
      <w:bookmarkEnd w:id="42"/>
    </w:p>
    <w:p w14:paraId="7C86F43B" w14:textId="29F3E968" w:rsidR="00FA60FD" w:rsidRDefault="00FA60FD" w:rsidP="00991BBA">
      <w:r>
        <w:t>The companies and agencies that implement this solution will likely realize several additional benefits:</w:t>
      </w:r>
    </w:p>
    <w:p w14:paraId="0D4DF634" w14:textId="67AA2E8D" w:rsidR="00FA60FD" w:rsidRDefault="00FA60FD" w:rsidP="00FA60FD">
      <w:pPr>
        <w:pStyle w:val="ListParagraph"/>
        <w:numPr>
          <w:ilvl w:val="0"/>
          <w:numId w:val="40"/>
        </w:numPr>
      </w:pPr>
      <w:r>
        <w:t xml:space="preserve">Acting early on reducing methane emissions keeps companies ahead of the curve of regulatory advances that may bring additional costs or controls </w:t>
      </w:r>
      <w:r>
        <w:fldChar w:fldCharType="begin"/>
      </w:r>
      <w:r>
        <w:instrText xml:space="preserve"> ADDIN ZOTERO_ITEM CSL_CITATION {"citationID":"Qx5ulzG4","properties":{"formattedCitation":"(US EPA, 2007)","plainCitation":"(US EPA, 2007)","noteIndex":0},"citationItems":[{"id":1626,"uris":["http://zotero.org/users/7422708/items/4VWDU58G"],"uri":["http://zotero.org/users/7422708/items/4VWDU58G"],"itemData":{"id":1626,"type":"article","publisher":"US Environmental Protection Agency","title":"Leak Detection and Repair: A best practices guide","URL":"https://www.epa.gov/sites/production/files/2014-02/documents/ldarguide.pdf","author":[{"family":"US EPA","given":""}],"issued":{"date-parts":[["2007"]]}}}],"schema":"https://github.com/citation-style-language/schema/raw/master/csl-citation.json"} </w:instrText>
      </w:r>
      <w:r>
        <w:fldChar w:fldCharType="separate"/>
      </w:r>
      <w:r w:rsidRPr="00FA60FD">
        <w:rPr>
          <w:rFonts w:cs="Times New Roman"/>
        </w:rPr>
        <w:t>(US EPA, 2007)</w:t>
      </w:r>
      <w:r>
        <w:fldChar w:fldCharType="end"/>
      </w:r>
    </w:p>
    <w:p w14:paraId="06C8D15C" w14:textId="1D3055AB" w:rsidR="00FA60FD" w:rsidRDefault="00FA60FD" w:rsidP="00FA60FD">
      <w:pPr>
        <w:pStyle w:val="ListParagraph"/>
        <w:numPr>
          <w:ilvl w:val="0"/>
          <w:numId w:val="40"/>
        </w:numPr>
      </w:pPr>
      <w:r>
        <w:t>Companies that reduce methane emissions and make lower-c</w:t>
      </w:r>
      <w:r w:rsidR="000277C6">
        <w:t>arbon oil and gas products may b</w:t>
      </w:r>
      <w:r>
        <w:t xml:space="preserve">e more appealing to consumers </w:t>
      </w:r>
      <w:r>
        <w:fldChar w:fldCharType="begin"/>
      </w:r>
      <w:r>
        <w:instrText xml:space="preserve"> ADDIN ZOTERO_ITEM CSL_CITATION {"citationID":"kITQDiwR","properties":{"formattedCitation":"(IEA, 2021c)","plainCitation":"(IEA, 2021c)","noteIndex":0},"citationItems":[{"id":1627,"uris":["http://zotero.org/users/7422708/items/HXUT4QW7"],"uri":["http://zotero.org/users/7422708/items/HXUT4QW7"],"itemData":{"id":1627,"type":"article","publisher":"International Energy Agency","title":"Net Zero by 2050","URL":"https://www.iea.org/reports/net-zero-by-2050","author":[{"family":"IEA","given":""}],"issued":{"date-parts":[["2021"]]}}}],"schema":"https://github.com/citation-style-language/schema/raw/master/csl-citation.json"} </w:instrText>
      </w:r>
      <w:r>
        <w:fldChar w:fldCharType="separate"/>
      </w:r>
      <w:r w:rsidRPr="00FA60FD">
        <w:rPr>
          <w:rFonts w:cs="Times New Roman"/>
        </w:rPr>
        <w:t>(IEA, 2021c)</w:t>
      </w:r>
      <w:r>
        <w:fldChar w:fldCharType="end"/>
      </w:r>
    </w:p>
    <w:p w14:paraId="2096CEA6" w14:textId="475348FF" w:rsidR="00FC38D5" w:rsidRPr="00AF41A6" w:rsidRDefault="00FA60FD" w:rsidP="00FC38D5">
      <w:pPr>
        <w:pStyle w:val="ListParagraph"/>
        <w:numPr>
          <w:ilvl w:val="0"/>
          <w:numId w:val="40"/>
        </w:numPr>
      </w:pPr>
      <w:r>
        <w:t xml:space="preserve">Reducing methane emissions can help retain a skilled workforce. This may be especially important as the sector faces transition pressures. </w:t>
      </w:r>
      <w:r w:rsidR="000277C6">
        <w:t>For example, LDAR f</w:t>
      </w:r>
      <w:r w:rsidR="00FC38D5" w:rsidRPr="00AF41A6">
        <w:t>irms experienced 5-30%</w:t>
      </w:r>
      <w:r w:rsidR="000277C6">
        <w:t xml:space="preserve"> growth in business in the United States</w:t>
      </w:r>
      <w:r w:rsidR="00FC38D5" w:rsidRPr="00AF41A6">
        <w:t xml:space="preserve"> in the period following adoption of methane regulations. </w:t>
      </w:r>
      <w:r w:rsidR="00FC38D5" w:rsidRPr="00AF41A6">
        <w:fldChar w:fldCharType="begin"/>
      </w:r>
      <w:r w:rsidR="00FC38D5" w:rsidRPr="00AF41A6">
        <w:instrText xml:space="preserve"> ADDIN ZOTERO_ITEM CSL_CITATION {"citationID":"DKYQc7Cp","properties":{"formattedCitation":"(Datu Research, 2017)","plainCitation":"(Datu Research, 2017)","noteIndex":0},"citationItems":[{"id":1624,"uris":["http://zotero.org/users/7422708/items/TPUSQAEB"],"uri":["http://zotero.org/users/7422708/items/TPUSQAEB"],"itemData":{"id":1624,"type":"article","publisher":"Environmental Defense Fund","title":"Find and Fix: Job Creation in the Emerging Methane Leak Detection and Repair Industry","URL":"https://storage.googleapis.com/edfbiz_website/Oil%20Gas%20Methane/find-and-fix-datu-research.pdf","author":[{"family":"Datu Research","given":""}],"issued":{"date-parts":[["2017"]]}}}],"schema":"https://github.com/citation-style-language/schema/raw/master/csl-citation.json"} </w:instrText>
      </w:r>
      <w:r w:rsidR="00FC38D5" w:rsidRPr="00AF41A6">
        <w:fldChar w:fldCharType="separate"/>
      </w:r>
      <w:r w:rsidR="00FC38D5" w:rsidRPr="00FA60FD">
        <w:rPr>
          <w:rFonts w:cs="Times New Roman"/>
        </w:rPr>
        <w:t>(Datu Research, 2017)</w:t>
      </w:r>
      <w:r w:rsidR="00FC38D5" w:rsidRPr="00AF41A6">
        <w:fldChar w:fldCharType="end"/>
      </w:r>
      <w:r>
        <w:t xml:space="preserve">. </w:t>
      </w:r>
    </w:p>
    <w:p w14:paraId="7C1A6F37" w14:textId="77777777" w:rsidR="00FC38D5" w:rsidRPr="00AF41A6" w:rsidRDefault="00FC38D5" w:rsidP="00991BBA"/>
    <w:p w14:paraId="3AC57CE7" w14:textId="49FC28EF" w:rsidR="00BA3DEF" w:rsidRDefault="00FA60FD" w:rsidP="00BA3DEF">
      <w:r>
        <w:t xml:space="preserve">Additional co-benefits and burdens, many of which have been discussed above, are summarized in </w:t>
      </w:r>
      <w:r>
        <w:fldChar w:fldCharType="begin"/>
      </w:r>
      <w:r>
        <w:instrText xml:space="preserve"> REF _Ref75950286 \h </w:instrText>
      </w:r>
      <w:r>
        <w:fldChar w:fldCharType="separate"/>
      </w:r>
      <w:r>
        <w:t xml:space="preserve">Table </w:t>
      </w:r>
      <w:r>
        <w:rPr>
          <w:noProof/>
        </w:rPr>
        <w:t>1</w:t>
      </w:r>
      <w:r>
        <w:fldChar w:fldCharType="end"/>
      </w:r>
      <w:r>
        <w:t>.</w:t>
      </w:r>
    </w:p>
    <w:p w14:paraId="797EFC93" w14:textId="74A7370D" w:rsidR="00FA60FD" w:rsidRPr="00AF41A6" w:rsidRDefault="00FA60FD" w:rsidP="00FA60FD">
      <w:pPr>
        <w:pStyle w:val="Caption"/>
      </w:pPr>
      <w:bookmarkStart w:id="43" w:name="_Ref75950286"/>
      <w:r>
        <w:t xml:space="preserve">Table </w:t>
      </w:r>
      <w:fldSimple w:instr=" SEQ Table \* ARABIC ">
        <w:r>
          <w:rPr>
            <w:noProof/>
          </w:rPr>
          <w:t>1</w:t>
        </w:r>
      </w:fldSimple>
      <w:bookmarkEnd w:id="43"/>
      <w:r>
        <w:t xml:space="preserve">: Additional benefits and burdens summary. </w:t>
      </w:r>
    </w:p>
    <w:tbl>
      <w:tblPr>
        <w:tblStyle w:val="TableGrid"/>
        <w:tblW w:w="0" w:type="auto"/>
        <w:tblLayout w:type="fixed"/>
        <w:tblLook w:val="04A0" w:firstRow="1" w:lastRow="0" w:firstColumn="1" w:lastColumn="0" w:noHBand="0" w:noVBand="1"/>
      </w:tblPr>
      <w:tblGrid>
        <w:gridCol w:w="4585"/>
        <w:gridCol w:w="4765"/>
      </w:tblGrid>
      <w:tr w:rsidR="00BA5068" w:rsidRPr="00AF41A6" w14:paraId="07599764" w14:textId="77777777" w:rsidTr="00FA60FD">
        <w:tc>
          <w:tcPr>
            <w:tcW w:w="4585" w:type="dxa"/>
            <w:shd w:val="clear" w:color="auto" w:fill="4F81BD" w:themeFill="accent1"/>
          </w:tcPr>
          <w:p w14:paraId="30C45039" w14:textId="77777777" w:rsidR="00BA5068" w:rsidRPr="00FA60FD" w:rsidRDefault="00BA5068" w:rsidP="00CF402E">
            <w:pPr>
              <w:rPr>
                <w:color w:val="FFFFFF" w:themeColor="background1"/>
              </w:rPr>
            </w:pPr>
            <w:r w:rsidRPr="00FA60FD">
              <w:rPr>
                <w:color w:val="FFFFFF" w:themeColor="background1"/>
              </w:rPr>
              <w:t>Advantages and co-benefits</w:t>
            </w:r>
          </w:p>
        </w:tc>
        <w:tc>
          <w:tcPr>
            <w:tcW w:w="4765" w:type="dxa"/>
            <w:shd w:val="clear" w:color="auto" w:fill="4F81BD" w:themeFill="accent1"/>
          </w:tcPr>
          <w:p w14:paraId="76467092" w14:textId="77777777" w:rsidR="00BA5068" w:rsidRPr="00FA60FD" w:rsidRDefault="00BA5068" w:rsidP="00CF402E">
            <w:pPr>
              <w:rPr>
                <w:color w:val="FFFFFF" w:themeColor="background1"/>
              </w:rPr>
            </w:pPr>
            <w:r w:rsidRPr="00FA60FD">
              <w:rPr>
                <w:color w:val="FFFFFF" w:themeColor="background1"/>
              </w:rPr>
              <w:t>Disadvantages and additional burdens</w:t>
            </w:r>
          </w:p>
        </w:tc>
      </w:tr>
      <w:tr w:rsidR="00BA5068" w:rsidRPr="00AF41A6" w14:paraId="48AA6EBB" w14:textId="77777777" w:rsidTr="00CF402E">
        <w:tc>
          <w:tcPr>
            <w:tcW w:w="4585" w:type="dxa"/>
          </w:tcPr>
          <w:p w14:paraId="13117EAB" w14:textId="77777777" w:rsidR="00BA5068" w:rsidRPr="00AF41A6" w:rsidRDefault="00BA5068" w:rsidP="00CF402E">
            <w:pPr>
              <w:pStyle w:val="ListParagraph"/>
              <w:numPr>
                <w:ilvl w:val="0"/>
                <w:numId w:val="27"/>
              </w:numPr>
            </w:pPr>
            <w:r w:rsidRPr="00AF41A6">
              <w:t xml:space="preserve">Improved consumer safety </w:t>
            </w:r>
            <w:r w:rsidRPr="00AF41A6">
              <w:fldChar w:fldCharType="begin"/>
            </w:r>
            <w:r w:rsidRPr="00AF41A6">
              <w:instrText xml:space="preserve"> ADDIN ZOTERO_ITEM CSL_CITATION {"citationID":"I7GSf4IF","properties":{"formattedCitation":"(Gallagher et al., 2015)","plainCitation":"(Gallagher et al., 2015)","noteIndex":0},"citationItems":[{"id":1563,"uris":["http://zotero.org/users/7422708/items/P4C3BWM9"],"uri":["http://zotero.org/users/7422708/items/P4C3BWM9"],"itemData":{"id":1563,"type":"article-journal","abstract":"From production through distribution, oil and gas infrastructure provides the largest source of anthropogenic methane in the United States and the second largest globally. Using a Picarro G2132i Cavity Ring-Down spectrometer, we mapped natural gas leaks across the streets of three United States citiesDurham, NC, Cincinnati, OH, and Manhattan, NYat diﬀerent stages of pipeline replacement of cast iron and other older materials. We identiﬁed 132, 351, and 1050 leaks in Durham, Cincinnati, and Manhattan, respectively, across 595, 750, and 247 road miles driven. Leak densities were an order of magnitude lower for Durham and Cincinnati (0.22 and 0.47 leaks/mi, respectively) than for Manhattan (4.25 leaks/mi) and two previously mapped cities, Boston (4.28 leaks/mi) and Washington, DC (3.93 leaks/mi). Cities with successful pipeline replacement programs have 90% fewer leaks per mile than cities without such programs. Similar programs around the world should provide additional environmental, economic, and consumer safety beneﬁts.","container-title":"Environmental Science &amp; Technology Letters","DOI":"10.1021/acs.estlett.5b00213","ISSN":"2328-8930, 2328-8930","issue":"10","journalAbbreviation":"Environ. Sci. Technol. Lett.","language":"en","page":"286-291","source":"DOI.org (Crossref)","title":"Natural Gas Pipeline Replacement Programs Reduce Methane Leaks and Improve Consumer Safety","volume":"2","author":[{"family":"Gallagher","given":"Morgan E."},{"family":"Down","given":"Adrian"},{"family":"Ackley","given":"Robert C."},{"family":"Zhao","given":"Kaiguang"},{"family":"Phillips","given":"Nathan"},{"family":"Jackson","given":"Robert B."}],"issued":{"date-parts":[["2015",10,13]]}}}],"schema":"https://github.com/citation-style-language/schema/raw/master/csl-citation.json"} </w:instrText>
            </w:r>
            <w:r w:rsidRPr="00AF41A6">
              <w:fldChar w:fldCharType="separate"/>
            </w:r>
            <w:r w:rsidRPr="00AF41A6">
              <w:rPr>
                <w:rFonts w:cs="Times New Roman"/>
              </w:rPr>
              <w:t>(Gallagher et al., 2015)</w:t>
            </w:r>
            <w:r w:rsidRPr="00AF41A6">
              <w:fldChar w:fldCharType="end"/>
            </w:r>
          </w:p>
          <w:p w14:paraId="0820520D" w14:textId="15B51B15" w:rsidR="00E11B9A" w:rsidRPr="00AF41A6" w:rsidRDefault="00E11B9A" w:rsidP="00CF402E">
            <w:pPr>
              <w:pStyle w:val="ListParagraph"/>
              <w:numPr>
                <w:ilvl w:val="0"/>
                <w:numId w:val="27"/>
              </w:numPr>
            </w:pPr>
            <w:r w:rsidRPr="00AF41A6">
              <w:t>Improved operational safety</w:t>
            </w:r>
            <w:r w:rsidRPr="00AF41A6">
              <w:rPr>
                <w:rStyle w:val="FootnoteReference"/>
              </w:rPr>
              <w:footnoteReference w:id="12"/>
            </w:r>
          </w:p>
          <w:p w14:paraId="21352776" w14:textId="77777777" w:rsidR="00BA5068" w:rsidRPr="00AF41A6" w:rsidRDefault="00BA5068" w:rsidP="00CF402E">
            <w:pPr>
              <w:pStyle w:val="ListParagraph"/>
              <w:numPr>
                <w:ilvl w:val="0"/>
                <w:numId w:val="27"/>
              </w:numPr>
            </w:pPr>
            <w:r w:rsidRPr="00AF41A6">
              <w:t xml:space="preserve">Improved local air quality </w:t>
            </w:r>
            <w:r w:rsidRPr="00AF41A6">
              <w:fldChar w:fldCharType="begin"/>
            </w:r>
            <w:r w:rsidRPr="00AF41A6">
              <w:instrText xml:space="preserve"> ADDIN ZOTERO_ITEM CSL_CITATION {"citationID":"CxRewuHD","properties":{"formattedCitation":"(Gallagher et al., 2015)","plainCitation":"(Gallagher et al., 2015)","noteIndex":0},"citationItems":[{"id":1563,"uris":["http://zotero.org/users/7422708/items/P4C3BWM9"],"uri":["http://zotero.org/users/7422708/items/P4C3BWM9"],"itemData":{"id":1563,"type":"article-journal","abstract":"From production through distribution, oil and gas infrastructure provides the largest source of anthropogenic methane in the United States and the second largest globally. Using a Picarro G2132i Cavity Ring-Down spectrometer, we mapped natural gas leaks across the streets of three United States citiesDurham, NC, Cincinnati, OH, and Manhattan, NYat diﬀerent stages of pipeline replacement of cast iron and other older materials. We identiﬁed 132, 351, and 1050 leaks in Durham, Cincinnati, and Manhattan, respectively, across 595, 750, and 247 road miles driven. Leak densities were an order of magnitude lower for Durham and Cincinnati (0.22 and 0.47 leaks/mi, respectively) than for Manhattan (4.25 leaks/mi) and two previously mapped cities, Boston (4.28 leaks/mi) and Washington, DC (3.93 leaks/mi). Cities with successful pipeline replacement programs have 90% fewer leaks per mile than cities without such programs. Similar programs around the world should provide additional environmental, economic, and consumer safety beneﬁts.","container-title":"Environmental Science &amp; Technology Letters","DOI":"10.1021/acs.estlett.5b00213","ISSN":"2328-8930, 2328-8930","issue":"10","journalAbbreviation":"Environ. Sci. Technol. Lett.","language":"en","page":"286-291","source":"DOI.org (Crossref)","title":"Natural Gas Pipeline Replacement Programs Reduce Methane Leaks and Improve Consumer Safety","volume":"2","author":[{"family":"Gallagher","given":"Morgan E."},{"family":"Down","given":"Adrian"},{"family":"Ackley","given":"Robert C."},{"family":"Zhao","given":"Kaiguang"},{"family":"Phillips","given":"Nathan"},{"family":"Jackson","given":"Robert B."}],"issued":{"date-parts":[["2015",10,13]]}}}],"schema":"https://github.com/citation-style-language/schema/raw/master/csl-citation.json"} </w:instrText>
            </w:r>
            <w:r w:rsidRPr="00AF41A6">
              <w:fldChar w:fldCharType="separate"/>
            </w:r>
            <w:r w:rsidRPr="00AF41A6">
              <w:rPr>
                <w:rFonts w:cs="Times New Roman"/>
              </w:rPr>
              <w:t>(Gallagher et al., 2015)</w:t>
            </w:r>
            <w:r w:rsidRPr="00AF41A6">
              <w:fldChar w:fldCharType="end"/>
            </w:r>
            <w:r w:rsidRPr="00AF41A6">
              <w:t xml:space="preserve">, specifically through: </w:t>
            </w:r>
          </w:p>
          <w:p w14:paraId="0F379C55" w14:textId="77777777" w:rsidR="00BA5068" w:rsidRPr="00AF41A6" w:rsidRDefault="00BA5068" w:rsidP="00CF402E">
            <w:pPr>
              <w:pStyle w:val="ListParagraph"/>
              <w:numPr>
                <w:ilvl w:val="0"/>
                <w:numId w:val="27"/>
              </w:numPr>
            </w:pPr>
            <w:r w:rsidRPr="00AF41A6">
              <w:t>Reduced ozone formation</w:t>
            </w:r>
            <w:r w:rsidRPr="00AF41A6">
              <w:rPr>
                <w:rStyle w:val="FootnoteReference"/>
              </w:rPr>
              <w:footnoteReference w:id="13"/>
            </w:r>
          </w:p>
          <w:p w14:paraId="637520C6" w14:textId="77777777" w:rsidR="00BA5068" w:rsidRPr="00AF41A6" w:rsidRDefault="00BA5068" w:rsidP="00CF402E">
            <w:pPr>
              <w:pStyle w:val="ListParagraph"/>
              <w:numPr>
                <w:ilvl w:val="0"/>
                <w:numId w:val="27"/>
              </w:numPr>
            </w:pPr>
            <w:r w:rsidRPr="00AF41A6">
              <w:t xml:space="preserve">Reduced volatile organic compounds </w:t>
            </w:r>
            <w:r w:rsidRPr="00AF41A6">
              <w:fldChar w:fldCharType="begin"/>
            </w:r>
            <w:r w:rsidRPr="00AF41A6">
              <w:instrText xml:space="preserve"> ADDIN ZOTERO_ITEM CSL_CITATION {"citationID":"Ei8ImJX2","properties":{"formattedCitation":"(ICF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Pr="00AF41A6">
              <w:fldChar w:fldCharType="separate"/>
            </w:r>
            <w:r w:rsidRPr="00AF41A6">
              <w:rPr>
                <w:rFonts w:cs="Times New Roman"/>
              </w:rPr>
              <w:t>(ICF International, 2014)</w:t>
            </w:r>
            <w:r w:rsidRPr="00AF41A6">
              <w:fldChar w:fldCharType="end"/>
            </w:r>
          </w:p>
          <w:p w14:paraId="1F77391A" w14:textId="77777777" w:rsidR="00BA5068" w:rsidRPr="00AF41A6" w:rsidRDefault="00BA5068" w:rsidP="00CF402E">
            <w:pPr>
              <w:pStyle w:val="ListParagraph"/>
              <w:numPr>
                <w:ilvl w:val="0"/>
                <w:numId w:val="27"/>
              </w:numPr>
            </w:pPr>
            <w:r w:rsidRPr="00AF41A6">
              <w:t xml:space="preserve">Reduced hazardous air pollutants </w:t>
            </w:r>
            <w:r w:rsidRPr="00AF41A6">
              <w:fldChar w:fldCharType="begin"/>
            </w:r>
            <w:r w:rsidRPr="00AF41A6">
              <w:instrText xml:space="preserve"> ADDIN ZOTERO_ITEM CSL_CITATION {"citationID":"0jXsC5uV","properties":{"formattedCitation":"(ICF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Pr="00AF41A6">
              <w:fldChar w:fldCharType="separate"/>
            </w:r>
            <w:r w:rsidRPr="00AF41A6">
              <w:rPr>
                <w:rFonts w:cs="Times New Roman"/>
              </w:rPr>
              <w:t>(ICF International, 2014)</w:t>
            </w:r>
            <w:r w:rsidRPr="00AF41A6">
              <w:fldChar w:fldCharType="end"/>
            </w:r>
          </w:p>
          <w:p w14:paraId="3BD666DF" w14:textId="77777777" w:rsidR="00BA5068" w:rsidRPr="00DA4165" w:rsidRDefault="00BA5068" w:rsidP="00DA4165">
            <w:pPr>
              <w:ind w:left="360"/>
            </w:pPr>
          </w:p>
        </w:tc>
        <w:tc>
          <w:tcPr>
            <w:tcW w:w="4765" w:type="dxa"/>
          </w:tcPr>
          <w:p w14:paraId="2B355D58" w14:textId="24BC9C9F" w:rsidR="00BA5068" w:rsidRPr="00DA4165" w:rsidRDefault="00BA5068" w:rsidP="00DA4165">
            <w:pPr>
              <w:pStyle w:val="ListParagraph"/>
              <w:numPr>
                <w:ilvl w:val="0"/>
                <w:numId w:val="27"/>
              </w:numPr>
            </w:pPr>
            <w:r w:rsidRPr="00DA4165">
              <w:t>Carbon lock in</w:t>
            </w:r>
          </w:p>
          <w:p w14:paraId="394AB4C3" w14:textId="40091842" w:rsidR="00BA5068" w:rsidRPr="00DA4165" w:rsidRDefault="00BA5068" w:rsidP="00DA4165">
            <w:pPr>
              <w:pStyle w:val="ListParagraph"/>
              <w:numPr>
                <w:ilvl w:val="0"/>
                <w:numId w:val="27"/>
              </w:numPr>
            </w:pPr>
            <w:r w:rsidRPr="00DA4165">
              <w:t xml:space="preserve">Setting </w:t>
            </w:r>
            <w:r w:rsidR="00DA4165">
              <w:t>infrastructure up for renewable natural gas</w:t>
            </w:r>
            <w:r w:rsidRPr="00DA4165">
              <w:t xml:space="preserve"> </w:t>
            </w:r>
            <w:r w:rsidR="00DA4165">
              <w:t>still</w:t>
            </w:r>
            <w:r w:rsidRPr="00DA4165">
              <w:t xml:space="preserve"> risks methane-based global warming</w:t>
            </w:r>
            <w:r w:rsidR="00DA4165">
              <w:t xml:space="preserve"> </w:t>
            </w:r>
            <w:r w:rsidR="00DA4165">
              <w:fldChar w:fldCharType="begin"/>
            </w:r>
            <w:r w:rsidR="00DA4165">
              <w:instrText xml:space="preserve"> ADDIN ZOTERO_ITEM CSL_CITATION {"citationID":"PBnH6bvX","properties":{"formattedCitation":"(Grubert, 2020)","plainCitation":"(Grubert, 2020)","noteIndex":0},"citationItems":[{"id":1536,"uris":["http://zotero.org/users/7422708/items/CGVXGZYE"],"uri":["http://zotero.org/users/7422708/items/CGVXGZYE"],"itemData":{"id":1536,"type":"article-journal","container-title":"Environmental Research Letters","DOI":"10.1088/1748-9326/ab9335","ISSN":"1748-9326","issue":"8","journalAbbreviation":"Environ. Res. Lett.","language":"en","page":"084041","source":"DOI.org (Crossref)","title":"At scale, renewable natural gas systems could be climate intensive: the influence of methane feedstock and leakage rates","title-short":"At scale, renewable natural gas systems could be climate intensive","volume":"15","author":[{"family":"Grubert","given":"Emily"}],"issued":{"date-parts":[["2020",8,14]]}}}],"schema":"https://github.com/citation-style-language/schema/raw/master/csl-citation.json"} </w:instrText>
            </w:r>
            <w:r w:rsidR="00DA4165">
              <w:fldChar w:fldCharType="separate"/>
            </w:r>
            <w:r w:rsidR="00DA4165" w:rsidRPr="00DA4165">
              <w:rPr>
                <w:rFonts w:cs="Times New Roman"/>
              </w:rPr>
              <w:t>(Grubert, 2020)</w:t>
            </w:r>
            <w:r w:rsidR="00DA4165">
              <w:fldChar w:fldCharType="end"/>
            </w:r>
          </w:p>
          <w:p w14:paraId="020574BC" w14:textId="37F4712C" w:rsidR="00BA5068" w:rsidRPr="00DA4165" w:rsidRDefault="00BA5068" w:rsidP="00DA4165">
            <w:pPr>
              <w:pStyle w:val="ListParagraph"/>
              <w:numPr>
                <w:ilvl w:val="0"/>
                <w:numId w:val="27"/>
              </w:numPr>
            </w:pPr>
            <w:r w:rsidRPr="00DA4165">
              <w:t>Additional cost to natural gas operators. Costs could be passed along to consumers. Needs to be weighed against societal benefits of social cost of methane</w:t>
            </w:r>
            <w:r w:rsidR="00DA4165">
              <w:t>.</w:t>
            </w:r>
            <w:r w:rsidRPr="00DA4165">
              <w:t xml:space="preserve"> </w:t>
            </w:r>
          </w:p>
          <w:p w14:paraId="265C063F" w14:textId="49FB6C73" w:rsidR="00BA5068" w:rsidRPr="00DA4165" w:rsidRDefault="00DA4165" w:rsidP="00DA4165">
            <w:pPr>
              <w:pStyle w:val="ListParagraph"/>
              <w:numPr>
                <w:ilvl w:val="0"/>
                <w:numId w:val="27"/>
              </w:numPr>
            </w:pPr>
            <w:r>
              <w:t>P</w:t>
            </w:r>
            <w:r w:rsidR="00BA5068" w:rsidRPr="00DA4165">
              <w:t xml:space="preserve">otential rebound: if gas is marketed as cleaner, may </w:t>
            </w:r>
            <w:r w:rsidRPr="00DA4165">
              <w:t>increase</w:t>
            </w:r>
            <w:r w:rsidR="00BA5068" w:rsidRPr="00DA4165">
              <w:t xml:space="preserve"> market share and absolute consumption, leading to increased net greenhouse gas emissions</w:t>
            </w:r>
            <w:r>
              <w:t>.</w:t>
            </w:r>
            <w:r w:rsidR="00BA5068" w:rsidRPr="00DA4165">
              <w:t xml:space="preserve"> </w:t>
            </w:r>
          </w:p>
          <w:p w14:paraId="33687056" w14:textId="4D7C4F4B" w:rsidR="00BA5068" w:rsidRPr="00DA4165" w:rsidRDefault="00BA5068" w:rsidP="00DA4165">
            <w:pPr>
              <w:pStyle w:val="ListParagraph"/>
              <w:numPr>
                <w:ilvl w:val="0"/>
                <w:numId w:val="27"/>
              </w:numPr>
            </w:pPr>
            <w:r w:rsidRPr="00DA4165">
              <w:t xml:space="preserve">Installation of flares, which combust methane to carbon dioxide to reduce the potency of the greenhouse effect, emit black carbon which is itself a climate forcer with additional negative environmental and human health effects </w:t>
            </w:r>
            <w:r w:rsidRPr="00DA4165">
              <w:fldChar w:fldCharType="begin"/>
            </w:r>
            <w:r w:rsidRPr="00DA4165">
              <w:instrText xml:space="preserve"> ADDIN ZOTERO_ITEM CSL_CITATION {"citationID":"lrwFhLJu","properties":{"formattedCitation":"(CCAC and UNEP, 2021)","plainCitation":"(CCAC and UNEP, 2021)","noteIndex":0},"citationItems":[{"id":1613,"uris":["http://zotero.org/users/7422708/items/YG8WTN8U"],"uri":["http://zotero.org/users/7422708/items/YG8WTN8U"],"itemData":{"id":1613,"type":"article","publisher":"Climate and Clean Air Coalition and United Nations Environment Programme","title":"Global Methane Assessment","URL":"https://www.ccacoalition.org/en/resources/global-methane-assessment-full-report","author":[{"family":"CCAC and UNEP","given":""}],"issued":{"date-parts":[["2021"]]}}}],"schema":"https://github.com/citation-style-language/schema/raw/master/csl-citation.json"} </w:instrText>
            </w:r>
            <w:r w:rsidRPr="00DA4165">
              <w:fldChar w:fldCharType="separate"/>
            </w:r>
            <w:r w:rsidRPr="00DA4165">
              <w:rPr>
                <w:rFonts w:cs="Times New Roman"/>
              </w:rPr>
              <w:t>(CCAC and UNEP, 2021)</w:t>
            </w:r>
            <w:r w:rsidRPr="00DA4165">
              <w:fldChar w:fldCharType="end"/>
            </w:r>
            <w:r w:rsidR="00DA4165">
              <w:t>.</w:t>
            </w:r>
          </w:p>
        </w:tc>
      </w:tr>
    </w:tbl>
    <w:p w14:paraId="756DEC01" w14:textId="08BFC7E0" w:rsidR="00966563" w:rsidRPr="00AF41A6" w:rsidRDefault="551A77D0" w:rsidP="00D910B7">
      <w:pPr>
        <w:pStyle w:val="Heading1"/>
        <w:numPr>
          <w:ilvl w:val="0"/>
          <w:numId w:val="6"/>
        </w:numPr>
      </w:pPr>
      <w:bookmarkStart w:id="44" w:name="_Toc75953802"/>
      <w:r w:rsidRPr="00AF41A6">
        <w:t>Methodology</w:t>
      </w:r>
      <w:bookmarkEnd w:id="44"/>
    </w:p>
    <w:p w14:paraId="567926D6" w14:textId="346DE479" w:rsidR="00BD136D" w:rsidRPr="00AF41A6" w:rsidRDefault="00686965" w:rsidP="00D910B7">
      <w:pPr>
        <w:pStyle w:val="Heading2"/>
        <w:numPr>
          <w:ilvl w:val="1"/>
          <w:numId w:val="7"/>
        </w:numPr>
      </w:pPr>
      <w:bookmarkStart w:id="45" w:name="_Toc75953803"/>
      <w:r w:rsidRPr="00AF41A6">
        <w:t>Introduction</w:t>
      </w:r>
      <w:bookmarkEnd w:id="45"/>
    </w:p>
    <w:p w14:paraId="093833F7" w14:textId="405A8D67" w:rsidR="00FB2C53" w:rsidRPr="00AF41A6" w:rsidRDefault="00FB2C53" w:rsidP="00FB2C53">
      <w:r w:rsidRPr="00AF41A6">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w:t>
      </w:r>
      <w:r w:rsidR="00DC14EC" w:rsidRPr="00AF41A6">
        <w:t xml:space="preserve"> </w:t>
      </w:r>
      <w:r w:rsidRPr="00AF41A6">
        <w:t>The adoptions of both conventional</w:t>
      </w:r>
      <w:r w:rsidR="00463921" w:rsidRPr="00AF41A6">
        <w:t xml:space="preserve"> technologies and practices</w:t>
      </w:r>
      <w:r w:rsidRPr="00AF41A6">
        <w:t xml:space="preserve"> and </w:t>
      </w:r>
      <w:r w:rsidR="00463921" w:rsidRPr="00AF41A6">
        <w:t xml:space="preserve">the </w:t>
      </w:r>
      <w:r w:rsidRPr="00AF41A6">
        <w:t>solution</w:t>
      </w:r>
      <w:r w:rsidR="00463921" w:rsidRPr="00AF41A6">
        <w:t xml:space="preserve"> technologies and </w:t>
      </w:r>
      <w:r w:rsidR="00DA4165" w:rsidRPr="00AF41A6">
        <w:t>practices</w:t>
      </w:r>
      <w:r w:rsidRPr="00AF41A6">
        <w:t xml:space="preserve"> were projected for each of several scenarios from 2015 to 2060 (from a base year of 2014) and the comparison of these scenarios (for the 2020-2</w:t>
      </w:r>
      <w:r w:rsidR="00463921" w:rsidRPr="00AF41A6">
        <w:t>050 segment) constitutes</w:t>
      </w:r>
      <w:r w:rsidRPr="00AF41A6">
        <w:t xml:space="preserve"> the results.</w:t>
      </w:r>
    </w:p>
    <w:p w14:paraId="298F46AB" w14:textId="19A7192C" w:rsidR="00F52595" w:rsidRPr="00AF41A6" w:rsidRDefault="00686965" w:rsidP="00D910B7">
      <w:pPr>
        <w:pStyle w:val="Heading2"/>
        <w:numPr>
          <w:ilvl w:val="1"/>
          <w:numId w:val="6"/>
        </w:numPr>
      </w:pPr>
      <w:bookmarkStart w:id="46" w:name="_Toc75953804"/>
      <w:r w:rsidRPr="00AF41A6">
        <w:t>Data Sources</w:t>
      </w:r>
      <w:bookmarkEnd w:id="46"/>
    </w:p>
    <w:p w14:paraId="434F59F8" w14:textId="61242824" w:rsidR="00FB2C53" w:rsidRPr="00DA4165" w:rsidRDefault="00A859B1" w:rsidP="00FB2C53">
      <w:r w:rsidRPr="00AF41A6">
        <w:t xml:space="preserve">This model relies on inputs from previous studies by government agencies, international agencies, </w:t>
      </w:r>
      <w:r w:rsidR="000277C6">
        <w:t xml:space="preserve">non-governmental organizations, </w:t>
      </w:r>
      <w:r w:rsidRPr="00AF41A6">
        <w:t xml:space="preserve">and peer-reviewed academic literature. Additional details and sources are provided below for each key input. Briefly, estimates of the abatement potential of technologies and practices were compiled from two prominent sources </w:t>
      </w:r>
      <w:r w:rsidRPr="00AF41A6">
        <w:fldChar w:fldCharType="begin"/>
      </w:r>
      <w:r w:rsidRPr="00AF41A6">
        <w:instrText xml:space="preserve"> ADDIN ZOTERO_ITEM CSL_CITATION {"citationID":"imRrLsJa","properties":{"formattedCitation":"(IEA, 2021b; US EPA, 2019b)","plainCitation":"(IEA, 2021b; US EPA, 2019b)","noteIndex":0},"citationItems":[{"id":1532,"uris":["http://zotero.org/users/7422708/items/W2Z5J56I"],"uri":["http://zotero.org/users/7422708/items/W2Z5J56I"],"itemData":{"id":1532,"type":"article","publisher":"International Energy Agency","title":"Methane Tracker Database","URL":"https://www.iea.org/articles/methane-tracker-database","author":[{"family":"IEA","given":""}],"issued":{"date-parts":[["2021"]]}}},{"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Pr="00AF41A6">
        <w:fldChar w:fldCharType="separate"/>
      </w:r>
      <w:r w:rsidRPr="00AF41A6">
        <w:rPr>
          <w:rFonts w:cs="Times New Roman"/>
        </w:rPr>
        <w:t>(IEA, 2021b; US EPA, 2019b)</w:t>
      </w:r>
      <w:r w:rsidRPr="00AF41A6">
        <w:fldChar w:fldCharType="end"/>
      </w:r>
      <w:r w:rsidRPr="00AF41A6">
        <w:t xml:space="preserve"> and </w:t>
      </w:r>
      <w:r w:rsidR="00DA4165">
        <w:t xml:space="preserve">custom </w:t>
      </w:r>
      <w:r w:rsidRPr="00AF41A6">
        <w:t xml:space="preserve">adoption scenarios applied to future trajectories of this abatement opportunity, based on Project Drawdown assumptions. Cost data were compiled from US EPA’s Gas STAR program and another study of US oil and gas methane abatement opportunities </w:t>
      </w:r>
      <w:r w:rsidRPr="00AF41A6">
        <w:fldChar w:fldCharType="begin"/>
      </w:r>
      <w:r w:rsidRPr="00AF41A6">
        <w:instrText xml:space="preserve"> ADDIN ZOTERO_ITEM CSL_CITATION {"citationID":"ECd7HMdF","properties":{"formattedCitation":"(ICF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Pr="00AF41A6">
        <w:fldChar w:fldCharType="separate"/>
      </w:r>
      <w:r w:rsidRPr="00AF41A6">
        <w:rPr>
          <w:rFonts w:cs="Times New Roman"/>
        </w:rPr>
        <w:t>(ICF International, 2014)</w:t>
      </w:r>
      <w:r w:rsidRPr="00AF41A6">
        <w:fldChar w:fldCharType="end"/>
      </w:r>
      <w:r w:rsidR="00DA4165">
        <w:t xml:space="preserve">. </w:t>
      </w:r>
    </w:p>
    <w:p w14:paraId="16B9321E" w14:textId="04D08D29" w:rsidR="002930AE" w:rsidRPr="007D30A6" w:rsidRDefault="00686965" w:rsidP="007B1EDF">
      <w:pPr>
        <w:pStyle w:val="Heading2"/>
        <w:numPr>
          <w:ilvl w:val="1"/>
          <w:numId w:val="6"/>
        </w:numPr>
      </w:pPr>
      <w:bookmarkStart w:id="47" w:name="_Toc75953805"/>
      <w:bookmarkStart w:id="48" w:name="_Ref75773701"/>
      <w:r w:rsidRPr="007D30A6">
        <w:t>Total Addressable Market</w:t>
      </w:r>
      <w:bookmarkEnd w:id="47"/>
      <w:r w:rsidR="00FB2C53" w:rsidRPr="007D30A6">
        <w:t xml:space="preserve"> </w:t>
      </w:r>
      <w:bookmarkEnd w:id="48"/>
    </w:p>
    <w:p w14:paraId="3143C236" w14:textId="5FB67411" w:rsidR="006B1B4B" w:rsidRDefault="002930AE" w:rsidP="006B1B4B">
      <w:pPr>
        <w:rPr>
          <w:lang w:eastAsia="en-US"/>
        </w:rPr>
      </w:pPr>
      <w:r w:rsidRPr="00AF41A6">
        <w:rPr>
          <w:lang w:eastAsia="en-US"/>
        </w:rPr>
        <w:t xml:space="preserve">The total addressable market </w:t>
      </w:r>
      <w:r w:rsidR="00AF41A6" w:rsidRPr="00AF41A6">
        <w:rPr>
          <w:lang w:eastAsia="en-US"/>
        </w:rPr>
        <w:t xml:space="preserve">(TAM) </w:t>
      </w:r>
      <w:r w:rsidRPr="00AF41A6">
        <w:rPr>
          <w:lang w:eastAsia="en-US"/>
        </w:rPr>
        <w:t xml:space="preserve">was defined as the technical potential for </w:t>
      </w:r>
      <w:r w:rsidR="00AF41A6" w:rsidRPr="00AF41A6">
        <w:rPr>
          <w:lang w:eastAsia="en-US"/>
        </w:rPr>
        <w:t>oil and gas methane abatement by existing technologies and practices, measured in megatonnes of methane (Mt CH</w:t>
      </w:r>
      <w:r w:rsidR="00AF41A6" w:rsidRPr="00AF41A6">
        <w:rPr>
          <w:vertAlign w:val="subscript"/>
          <w:lang w:eastAsia="en-US"/>
        </w:rPr>
        <w:t>4</w:t>
      </w:r>
      <w:r w:rsidR="00AF41A6" w:rsidRPr="00AF41A6">
        <w:rPr>
          <w:lang w:eastAsia="en-US"/>
        </w:rPr>
        <w:t xml:space="preserve">). Because we evaluate results over a thirty-year period, the TAM needed to be </w:t>
      </w:r>
      <w:r w:rsidR="0001029C">
        <w:rPr>
          <w:lang w:eastAsia="en-US"/>
        </w:rPr>
        <w:t xml:space="preserve">projected for annual estimates from 2020-2050. Using the 2020 starting value as defined above, the technical abatement potential was scaled to Project Drawdown’s trajectory for natural gas usage in the electricity generation sector. This is a necessary methodological step </w:t>
      </w:r>
      <w:r w:rsidR="00DA4165">
        <w:rPr>
          <w:lang w:eastAsia="en-US"/>
        </w:rPr>
        <w:t xml:space="preserve">to </w:t>
      </w:r>
      <w:r w:rsidR="0001029C">
        <w:rPr>
          <w:lang w:eastAsia="en-US"/>
        </w:rPr>
        <w:t>capture the system-wide changes that occur in Project Drawdown’s three modeled worlds – a “plausible” world (PDS1), a “Drawdown</w:t>
      </w:r>
      <w:r w:rsidR="00DA4165">
        <w:rPr>
          <w:lang w:eastAsia="en-US"/>
        </w:rPr>
        <w:t>”</w:t>
      </w:r>
      <w:r w:rsidR="0001029C">
        <w:rPr>
          <w:lang w:eastAsia="en-US"/>
        </w:rPr>
        <w:t xml:space="preserve"> world (PDS2), and a maximum </w:t>
      </w:r>
      <w:r w:rsidR="00DA4165">
        <w:rPr>
          <w:lang w:eastAsia="en-US"/>
        </w:rPr>
        <w:t>mitigation</w:t>
      </w:r>
      <w:r w:rsidR="0001029C">
        <w:rPr>
          <w:lang w:eastAsia="en-US"/>
        </w:rPr>
        <w:t xml:space="preserve"> world (PDS3). As the largest natural gas use in Drawdown’s integrated model, we make the assumption that oil and gas methane emissions will follow a similar trajectory as the share of natural gas in the electricity generation sector. Each adoption scenario was combined with the respective TAM for PDS1, PDS2, and PDS3. </w:t>
      </w:r>
    </w:p>
    <w:p w14:paraId="2D8827D7" w14:textId="3E3F5147" w:rsidR="000379A9" w:rsidRPr="006B14FF" w:rsidRDefault="0001029C" w:rsidP="00FB2C53">
      <w:pPr>
        <w:rPr>
          <w:highlight w:val="yellow"/>
        </w:rPr>
      </w:pPr>
      <w:r>
        <w:rPr>
          <w:lang w:eastAsia="en-US"/>
        </w:rPr>
        <w:t>Recognizin</w:t>
      </w:r>
      <w:r w:rsidR="006B14FF">
        <w:rPr>
          <w:lang w:eastAsia="en-US"/>
        </w:rPr>
        <w:t>g that the above approach relies</w:t>
      </w:r>
      <w:r>
        <w:rPr>
          <w:lang w:eastAsia="en-US"/>
        </w:rPr>
        <w:t xml:space="preserve"> on several assumptions and does not fully capture the system-wide nature of methane emissions from oil and gas use, we consider </w:t>
      </w:r>
      <w:r w:rsidR="006B14FF">
        <w:rPr>
          <w:lang w:eastAsia="en-US"/>
        </w:rPr>
        <w:t xml:space="preserve">several alternatives, for illustration (see </w:t>
      </w:r>
      <w:r w:rsidR="006B14FF">
        <w:rPr>
          <w:lang w:eastAsia="en-US"/>
        </w:rPr>
        <w:fldChar w:fldCharType="begin"/>
      </w:r>
      <w:r w:rsidR="006B14FF">
        <w:rPr>
          <w:lang w:eastAsia="en-US"/>
        </w:rPr>
        <w:instrText xml:space="preserve"> REF _Ref75772157 \r \h </w:instrText>
      </w:r>
      <w:r w:rsidR="006B14FF">
        <w:rPr>
          <w:lang w:eastAsia="en-US"/>
        </w:rPr>
      </w:r>
      <w:r w:rsidR="006B14FF">
        <w:rPr>
          <w:lang w:eastAsia="en-US"/>
        </w:rPr>
        <w:fldChar w:fldCharType="separate"/>
      </w:r>
      <w:r w:rsidR="003D1925">
        <w:rPr>
          <w:lang w:eastAsia="en-US"/>
        </w:rPr>
        <w:t>2.4.3</w:t>
      </w:r>
      <w:r w:rsidR="006B14FF">
        <w:rPr>
          <w:lang w:eastAsia="en-US"/>
        </w:rPr>
        <w:fldChar w:fldCharType="end"/>
      </w:r>
      <w:r w:rsidR="006B14FF">
        <w:rPr>
          <w:lang w:eastAsia="en-US"/>
        </w:rPr>
        <w:t xml:space="preserve">; </w:t>
      </w:r>
      <w:r w:rsidR="006B14FF">
        <w:rPr>
          <w:lang w:eastAsia="en-US"/>
        </w:rPr>
        <w:fldChar w:fldCharType="begin"/>
      </w:r>
      <w:r w:rsidR="006B14FF">
        <w:rPr>
          <w:lang w:eastAsia="en-US"/>
        </w:rPr>
        <w:instrText xml:space="preserve"> REF _Ref75772197 \r \h </w:instrText>
      </w:r>
      <w:r w:rsidR="006B14FF">
        <w:rPr>
          <w:lang w:eastAsia="en-US"/>
        </w:rPr>
      </w:r>
      <w:r w:rsidR="006B14FF">
        <w:rPr>
          <w:lang w:eastAsia="en-US"/>
        </w:rPr>
        <w:fldChar w:fldCharType="separate"/>
      </w:r>
      <w:r w:rsidR="003D1925">
        <w:rPr>
          <w:lang w:eastAsia="en-US"/>
        </w:rPr>
        <w:t>3.5</w:t>
      </w:r>
      <w:r w:rsidR="006B14FF">
        <w:rPr>
          <w:lang w:eastAsia="en-US"/>
        </w:rPr>
        <w:fldChar w:fldCharType="end"/>
      </w:r>
      <w:r w:rsidR="006B14FF">
        <w:rPr>
          <w:lang w:eastAsia="en-US"/>
        </w:rPr>
        <w:t xml:space="preserve">). </w:t>
      </w:r>
    </w:p>
    <w:p w14:paraId="4303D5C0" w14:textId="6797098B" w:rsidR="00B144E5" w:rsidRPr="00AF41A6" w:rsidRDefault="00686965" w:rsidP="00D910B7">
      <w:pPr>
        <w:pStyle w:val="Heading2"/>
        <w:numPr>
          <w:ilvl w:val="1"/>
          <w:numId w:val="6"/>
        </w:numPr>
      </w:pPr>
      <w:bookmarkStart w:id="49" w:name="_Toc75953806"/>
      <w:r w:rsidRPr="00AF41A6">
        <w:t>Adoption Scenarios</w:t>
      </w:r>
      <w:bookmarkEnd w:id="49"/>
    </w:p>
    <w:p w14:paraId="20D1E58E" w14:textId="3348A9BB" w:rsidR="00D515F6" w:rsidRPr="00AF41A6" w:rsidRDefault="006B14FF" w:rsidP="00694449">
      <w:r>
        <w:t xml:space="preserve">A key challenge of modeling this solution is that it consists of numerous individual technologies and practices with differing costs, abatement potentials, and lifetimes. A </w:t>
      </w:r>
      <w:r w:rsidR="00703F21">
        <w:t xml:space="preserve">generic </w:t>
      </w:r>
      <w:r>
        <w:t>functional unit</w:t>
      </w:r>
      <w:r w:rsidR="00703F21">
        <w:t xml:space="preserve"> was therefore defined as</w:t>
      </w:r>
      <w:r w:rsidR="00DA4165">
        <w:t xml:space="preserve"> 1</w:t>
      </w:r>
      <w:r>
        <w:t xml:space="preserve"> megatonne of methane (Mt </w:t>
      </w:r>
      <w:r w:rsidRPr="006B14FF">
        <w:t>CH</w:t>
      </w:r>
      <w:r>
        <w:rPr>
          <w:vertAlign w:val="subscript"/>
        </w:rPr>
        <w:t>4</w:t>
      </w:r>
      <w:r w:rsidR="00703F21">
        <w:t>) abated. A corresponding generic implementation unit was defined as 1 Mt CH</w:t>
      </w:r>
      <w:r w:rsidR="00703F21">
        <w:rPr>
          <w:vertAlign w:val="subscript"/>
        </w:rPr>
        <w:t>4</w:t>
      </w:r>
      <w:r w:rsidR="00703F21">
        <w:t xml:space="preserve">/yr installed </w:t>
      </w:r>
      <w:r w:rsidR="00DA4165">
        <w:t xml:space="preserve">abatement </w:t>
      </w:r>
      <w:r w:rsidR="00703F21">
        <w:t xml:space="preserve">capacity. Adoption scenarios were defined in terms of the percentage of the technical abatement potential (i.e., the TAM) reached in each year. </w:t>
      </w:r>
    </w:p>
    <w:p w14:paraId="5BB095A5" w14:textId="09B8F496" w:rsidR="000875B5" w:rsidRDefault="000875B5" w:rsidP="005D49A8">
      <w:pPr>
        <w:pStyle w:val="Heading3"/>
      </w:pPr>
      <w:bookmarkStart w:id="50" w:name="_Toc75953807"/>
      <w:r w:rsidRPr="00AF41A6">
        <w:t>Reference Case / Current Adoption</w:t>
      </w:r>
      <w:bookmarkEnd w:id="50"/>
    </w:p>
    <w:p w14:paraId="06C2ACBC" w14:textId="4F55882A" w:rsidR="007D30A6" w:rsidRPr="007D30A6" w:rsidRDefault="007D30A6" w:rsidP="007D30A6">
      <w:r>
        <w:t>Current adoption of this solution is difficult to measure, given that abatement relies on a hypothetical counterfactual of the emissions that would have occurred in the absence of the measure. Current estimates are incomparable. For the purposes of modeling, we set the current adoption at 0%, which is consistent with the</w:t>
      </w:r>
      <w:r w:rsidR="000277C6">
        <w:t xml:space="preserve"> TAM definition as the current</w:t>
      </w:r>
      <w:r>
        <w:t xml:space="preserve"> technical potential for abatement</w:t>
      </w:r>
      <w:r w:rsidR="000277C6">
        <w:t xml:space="preserve"> of current emissions</w:t>
      </w:r>
      <w:r>
        <w:t>. The reference case (REF) against which the adoption cases are compared, is defined as 0% adoption of abatement measu</w:t>
      </w:r>
      <w:r w:rsidR="000277C6">
        <w:t xml:space="preserve">res in every year, equivalent to today’s ambition level. </w:t>
      </w:r>
    </w:p>
    <w:p w14:paraId="2FE0BC9D" w14:textId="10096525" w:rsidR="000875B5" w:rsidRPr="00AF41A6" w:rsidRDefault="00D2050B" w:rsidP="005D49A8">
      <w:pPr>
        <w:pStyle w:val="Heading3"/>
      </w:pPr>
      <w:bookmarkStart w:id="51" w:name="_Toc75953808"/>
      <w:r w:rsidRPr="00AF41A6">
        <w:t>Project Drawdown</w:t>
      </w:r>
      <w:r w:rsidR="000875B5" w:rsidRPr="00AF41A6">
        <w:t xml:space="preserve"> Scenarios</w:t>
      </w:r>
      <w:bookmarkEnd w:id="51"/>
    </w:p>
    <w:p w14:paraId="1B316531" w14:textId="53BAC5D2" w:rsidR="007D30A6" w:rsidRPr="00AF41A6" w:rsidRDefault="000875B5" w:rsidP="004B4939">
      <w:r w:rsidRPr="00AF41A6">
        <w:t>Three Project Dr</w:t>
      </w:r>
      <w:r w:rsidR="005A6986" w:rsidRPr="00AF41A6">
        <w:t xml:space="preserve">awdown </w:t>
      </w:r>
      <w:r w:rsidR="007546C9" w:rsidRPr="00AF41A6">
        <w:t xml:space="preserve">scenarios (PDS) </w:t>
      </w:r>
      <w:r w:rsidR="007D30A6">
        <w:t xml:space="preserve">were developed for this solution. </w:t>
      </w:r>
      <w:r w:rsidR="007D30A6" w:rsidRPr="007D30A6">
        <w:t xml:space="preserve">In contrast to many </w:t>
      </w:r>
      <w:r w:rsidR="007D30A6">
        <w:t xml:space="preserve">other Project Drawdown solutions, oil and gas methane management is expected to be a transition measure with a TAM that declines over time as global climate ambition increases and the world shifts away from fossil fuels. The year 2030, representing relatively near-term action, therefore serves as an important milestone in the adoption of </w:t>
      </w:r>
      <w:r w:rsidR="000277C6">
        <w:t>this solution and we set three</w:t>
      </w:r>
      <w:r w:rsidR="007D30A6">
        <w:t xml:space="preserve"> trajectories based on targeted adoption of abatement in that year. Because the TAM changes with adoption of other solutions that reduce fossil fuels, each PDS was combined with the corresponding TAM from Project Drawdown’s integrated model (see </w:t>
      </w:r>
      <w:r w:rsidR="007D30A6">
        <w:fldChar w:fldCharType="begin"/>
      </w:r>
      <w:r w:rsidR="007D30A6">
        <w:instrText xml:space="preserve"> REF _Ref75773701 \r \h </w:instrText>
      </w:r>
      <w:r w:rsidR="007D30A6">
        <w:fldChar w:fldCharType="separate"/>
      </w:r>
      <w:r w:rsidR="003D1925">
        <w:t>2.3</w:t>
      </w:r>
      <w:r w:rsidR="007D30A6">
        <w:fldChar w:fldCharType="end"/>
      </w:r>
      <w:r w:rsidR="003C7B93">
        <w:t>).</w:t>
      </w:r>
    </w:p>
    <w:p w14:paraId="7481C662" w14:textId="7ECB3A46" w:rsidR="00AC493E" w:rsidRPr="00057C21" w:rsidRDefault="00AC493E" w:rsidP="004B4939">
      <w:pPr>
        <w:pStyle w:val="Heading4"/>
      </w:pPr>
      <w:bookmarkStart w:id="52" w:name="_Toc507486009"/>
      <w:r w:rsidRPr="00057C21">
        <w:t>P</w:t>
      </w:r>
      <w:bookmarkEnd w:id="52"/>
      <w:r w:rsidR="007D30A6" w:rsidRPr="00057C21">
        <w:t>DS1</w:t>
      </w:r>
      <w:r w:rsidR="00DA4165">
        <w:t xml:space="preserve"> </w:t>
      </w:r>
      <w:r w:rsidR="00FB2C53" w:rsidRPr="00057C21">
        <w:t xml:space="preserve">- </w:t>
      </w:r>
      <w:r w:rsidR="00057C21" w:rsidRPr="00057C21">
        <w:rPr>
          <w:rFonts w:ascii="Times New Roman" w:eastAsiaTheme="minorEastAsia" w:hAnsi="Times New Roman" w:cstheme="minorBidi"/>
          <w:b w:val="0"/>
          <w:bCs w:val="0"/>
          <w:i w:val="0"/>
          <w:iCs w:val="0"/>
          <w:color w:val="auto"/>
        </w:rPr>
        <w:t xml:space="preserve">A linear increase to 50% of </w:t>
      </w:r>
      <w:r w:rsidR="00057C21">
        <w:rPr>
          <w:rFonts w:ascii="Times New Roman" w:eastAsiaTheme="minorEastAsia" w:hAnsi="Times New Roman" w:cstheme="minorBidi"/>
          <w:b w:val="0"/>
          <w:bCs w:val="0"/>
          <w:i w:val="0"/>
          <w:iCs w:val="0"/>
          <w:color w:val="auto"/>
        </w:rPr>
        <w:t>TAM</w:t>
      </w:r>
      <w:r w:rsidR="00057C21" w:rsidRPr="00057C21">
        <w:rPr>
          <w:rFonts w:ascii="Times New Roman" w:eastAsiaTheme="minorEastAsia" w:hAnsi="Times New Roman" w:cstheme="minorBidi"/>
          <w:b w:val="0"/>
          <w:bCs w:val="0"/>
          <w:i w:val="0"/>
          <w:iCs w:val="0"/>
          <w:color w:val="auto"/>
        </w:rPr>
        <w:t xml:space="preserve"> in 2030, followed by continued linear increase on the same trajectory until 100% of TAM is reached, then maintaining 100% of TAM in each year ther</w:t>
      </w:r>
      <w:r w:rsidR="00057C21">
        <w:rPr>
          <w:rFonts w:ascii="Times New Roman" w:eastAsiaTheme="minorEastAsia" w:hAnsi="Times New Roman" w:cstheme="minorBidi"/>
          <w:b w:val="0"/>
          <w:bCs w:val="0"/>
          <w:i w:val="0"/>
          <w:iCs w:val="0"/>
          <w:color w:val="auto"/>
        </w:rPr>
        <w:t>e</w:t>
      </w:r>
      <w:r w:rsidR="00057C21" w:rsidRPr="00057C21">
        <w:rPr>
          <w:rFonts w:ascii="Times New Roman" w:eastAsiaTheme="minorEastAsia" w:hAnsi="Times New Roman" w:cstheme="minorBidi"/>
          <w:b w:val="0"/>
          <w:bCs w:val="0"/>
          <w:i w:val="0"/>
          <w:iCs w:val="0"/>
          <w:color w:val="auto"/>
        </w:rPr>
        <w:t xml:space="preserve">after. </w:t>
      </w:r>
    </w:p>
    <w:p w14:paraId="0A63923E" w14:textId="6D4387A1" w:rsidR="00AC493E" w:rsidRPr="00057C21" w:rsidRDefault="007D30A6" w:rsidP="004B4939">
      <w:pPr>
        <w:pStyle w:val="Heading4"/>
      </w:pPr>
      <w:r w:rsidRPr="00057C21">
        <w:t>PDS2</w:t>
      </w:r>
      <w:r w:rsidR="00FB2C53" w:rsidRPr="00057C21">
        <w:t xml:space="preserve"> - </w:t>
      </w:r>
      <w:r w:rsidR="00057C21" w:rsidRPr="00057C21">
        <w:rPr>
          <w:rFonts w:ascii="Times New Roman" w:eastAsiaTheme="minorEastAsia" w:hAnsi="Times New Roman" w:cstheme="minorBidi"/>
          <w:b w:val="0"/>
          <w:bCs w:val="0"/>
          <w:i w:val="0"/>
          <w:iCs w:val="0"/>
          <w:color w:val="auto"/>
        </w:rPr>
        <w:t xml:space="preserve">A linear increase to </w:t>
      </w:r>
      <w:r w:rsidR="00057C21">
        <w:rPr>
          <w:rFonts w:ascii="Times New Roman" w:eastAsiaTheme="minorEastAsia" w:hAnsi="Times New Roman" w:cstheme="minorBidi"/>
          <w:b w:val="0"/>
          <w:bCs w:val="0"/>
          <w:i w:val="0"/>
          <w:iCs w:val="0"/>
          <w:color w:val="auto"/>
        </w:rPr>
        <w:t>75</w:t>
      </w:r>
      <w:r w:rsidR="00057C21" w:rsidRPr="00057C21">
        <w:rPr>
          <w:rFonts w:ascii="Times New Roman" w:eastAsiaTheme="minorEastAsia" w:hAnsi="Times New Roman" w:cstheme="minorBidi"/>
          <w:b w:val="0"/>
          <w:bCs w:val="0"/>
          <w:i w:val="0"/>
          <w:iCs w:val="0"/>
          <w:color w:val="auto"/>
        </w:rPr>
        <w:t xml:space="preserve">% of </w:t>
      </w:r>
      <w:r w:rsidR="00057C21">
        <w:rPr>
          <w:rFonts w:ascii="Times New Roman" w:eastAsiaTheme="minorEastAsia" w:hAnsi="Times New Roman" w:cstheme="minorBidi"/>
          <w:b w:val="0"/>
          <w:bCs w:val="0"/>
          <w:i w:val="0"/>
          <w:iCs w:val="0"/>
          <w:color w:val="auto"/>
        </w:rPr>
        <w:t>TAM</w:t>
      </w:r>
      <w:r w:rsidR="00057C21" w:rsidRPr="00057C21">
        <w:rPr>
          <w:rFonts w:ascii="Times New Roman" w:eastAsiaTheme="minorEastAsia" w:hAnsi="Times New Roman" w:cstheme="minorBidi"/>
          <w:b w:val="0"/>
          <w:bCs w:val="0"/>
          <w:i w:val="0"/>
          <w:iCs w:val="0"/>
          <w:color w:val="auto"/>
        </w:rPr>
        <w:t xml:space="preserve"> in 2030, followed by continued linear increase on the same trajectory until 100% of TAM is reached, then maintaining 100% of TAM in each year ther</w:t>
      </w:r>
      <w:r w:rsidR="00057C21">
        <w:rPr>
          <w:rFonts w:ascii="Times New Roman" w:eastAsiaTheme="minorEastAsia" w:hAnsi="Times New Roman" w:cstheme="minorBidi"/>
          <w:b w:val="0"/>
          <w:bCs w:val="0"/>
          <w:i w:val="0"/>
          <w:iCs w:val="0"/>
          <w:color w:val="auto"/>
        </w:rPr>
        <w:t>e</w:t>
      </w:r>
      <w:r w:rsidR="00057C21" w:rsidRPr="00057C21">
        <w:rPr>
          <w:rFonts w:ascii="Times New Roman" w:eastAsiaTheme="minorEastAsia" w:hAnsi="Times New Roman" w:cstheme="minorBidi"/>
          <w:b w:val="0"/>
          <w:bCs w:val="0"/>
          <w:i w:val="0"/>
          <w:iCs w:val="0"/>
          <w:color w:val="auto"/>
        </w:rPr>
        <w:t xml:space="preserve">after. </w:t>
      </w:r>
    </w:p>
    <w:p w14:paraId="0ADD086C" w14:textId="4815D37E" w:rsidR="00057C21" w:rsidRPr="003C7B93" w:rsidRDefault="007D30A6" w:rsidP="003C7B93">
      <w:pPr>
        <w:pStyle w:val="Heading4"/>
        <w:rPr>
          <w:rFonts w:ascii="Times New Roman" w:eastAsiaTheme="minorEastAsia" w:hAnsi="Times New Roman" w:cstheme="minorBidi"/>
          <w:b w:val="0"/>
          <w:bCs w:val="0"/>
          <w:i w:val="0"/>
          <w:iCs w:val="0"/>
          <w:color w:val="auto"/>
        </w:rPr>
      </w:pPr>
      <w:r w:rsidRPr="00057C21">
        <w:t>PDS3</w:t>
      </w:r>
      <w:r w:rsidR="00FB2C53" w:rsidRPr="00057C21">
        <w:t xml:space="preserve"> </w:t>
      </w:r>
      <w:r w:rsidR="00DA4165">
        <w:t xml:space="preserve"> -</w:t>
      </w:r>
      <w:r w:rsidR="00FB2C53" w:rsidRPr="00057C21">
        <w:t xml:space="preserve"> </w:t>
      </w:r>
      <w:r w:rsidR="00057C21" w:rsidRPr="00057C21">
        <w:rPr>
          <w:rFonts w:ascii="Times New Roman" w:eastAsiaTheme="minorEastAsia" w:hAnsi="Times New Roman" w:cstheme="minorBidi"/>
          <w:b w:val="0"/>
          <w:bCs w:val="0"/>
          <w:i w:val="0"/>
          <w:iCs w:val="0"/>
          <w:color w:val="auto"/>
        </w:rPr>
        <w:t xml:space="preserve">A linear increase to 100% of </w:t>
      </w:r>
      <w:r w:rsidR="00DA4165">
        <w:rPr>
          <w:rFonts w:ascii="Times New Roman" w:eastAsiaTheme="minorEastAsia" w:hAnsi="Times New Roman" w:cstheme="minorBidi"/>
          <w:b w:val="0"/>
          <w:bCs w:val="0"/>
          <w:i w:val="0"/>
          <w:iCs w:val="0"/>
          <w:color w:val="auto"/>
        </w:rPr>
        <w:t>TAM</w:t>
      </w:r>
      <w:r w:rsidR="00057C21" w:rsidRPr="00057C21">
        <w:rPr>
          <w:rFonts w:ascii="Times New Roman" w:eastAsiaTheme="minorEastAsia" w:hAnsi="Times New Roman" w:cstheme="minorBidi"/>
          <w:b w:val="0"/>
          <w:bCs w:val="0"/>
          <w:i w:val="0"/>
          <w:iCs w:val="0"/>
          <w:color w:val="auto"/>
        </w:rPr>
        <w:t xml:space="preserve"> in 2030, then maintaining 100% </w:t>
      </w:r>
      <w:r w:rsidR="00057C21">
        <w:rPr>
          <w:rFonts w:ascii="Times New Roman" w:eastAsiaTheme="minorEastAsia" w:hAnsi="Times New Roman" w:cstheme="minorBidi"/>
          <w:b w:val="0"/>
          <w:bCs w:val="0"/>
          <w:i w:val="0"/>
          <w:iCs w:val="0"/>
          <w:color w:val="auto"/>
        </w:rPr>
        <w:t xml:space="preserve">of TAM in each year thereafter. </w:t>
      </w:r>
    </w:p>
    <w:p w14:paraId="033788C7" w14:textId="13A63BB2" w:rsidR="006B14FF" w:rsidRDefault="006B14FF" w:rsidP="007D30A6">
      <w:pPr>
        <w:pStyle w:val="Heading3"/>
      </w:pPr>
      <w:bookmarkStart w:id="53" w:name="_Ref75772157"/>
      <w:bookmarkStart w:id="54" w:name="_Toc75953809"/>
      <w:r>
        <w:t>Alternative model scenarios</w:t>
      </w:r>
      <w:bookmarkEnd w:id="53"/>
      <w:bookmarkEnd w:id="54"/>
    </w:p>
    <w:p w14:paraId="19D1F917" w14:textId="558141B3" w:rsidR="00057C21" w:rsidRDefault="00057C21" w:rsidP="00057C21">
      <w:r>
        <w:t xml:space="preserve">Acknowledging that Project Drawdown’s typical integration framework may not capture all system-wide interactions for this solution, we consider two additional cases, for illustration. </w:t>
      </w:r>
    </w:p>
    <w:p w14:paraId="7E016112" w14:textId="15F5F118" w:rsidR="00057C21" w:rsidRDefault="00057C21" w:rsidP="00057C21">
      <w:pPr>
        <w:pStyle w:val="Heading4"/>
      </w:pPr>
      <w:r>
        <w:t>Alternative scenario 1</w:t>
      </w:r>
    </w:p>
    <w:p w14:paraId="5AC25794" w14:textId="03C3700A" w:rsidR="00057C21" w:rsidRDefault="00057C21" w:rsidP="00057C21">
      <w:r>
        <w:t xml:space="preserve">Considers the adoptions cases as </w:t>
      </w:r>
      <w:r w:rsidR="00677E39">
        <w:t>described</w:t>
      </w:r>
      <w:r>
        <w:t xml:space="preserve"> above, but all applied only to the TAM from PDS1, rather than pairwise combinations of PDS with respective TAM. </w:t>
      </w:r>
    </w:p>
    <w:p w14:paraId="18C39172" w14:textId="67554EF1" w:rsidR="00677E39" w:rsidRDefault="00677E39" w:rsidP="00B504DF">
      <w:pPr>
        <w:pStyle w:val="Heading4"/>
      </w:pPr>
      <w:r>
        <w:t>Alternative scenario 2</w:t>
      </w:r>
    </w:p>
    <w:p w14:paraId="21AF90DE" w14:textId="085F74D3" w:rsidR="00677E39" w:rsidRDefault="00677E39" w:rsidP="00057C21">
      <w:r>
        <w:t xml:space="preserve">Considers the adoptions cases as described above, but all applied to an external TAM generated from the IEA’s Net Zero Emissions (NZE) scenario </w:t>
      </w:r>
      <w:r>
        <w:fldChar w:fldCharType="begin"/>
      </w:r>
      <w:r>
        <w:instrText xml:space="preserve"> ADDIN ZOTERO_ITEM CSL_CITATION {"citationID":"LsvVdgCx","properties":{"formattedCitation":"(IEA, 2021c)","plainCitation":"(IEA, 2021c)","noteIndex":0},"citationItems":[{"id":1627,"uris":["http://zotero.org/users/7422708/items/HXUT4QW7"],"uri":["http://zotero.org/users/7422708/items/HXUT4QW7"],"itemData":{"id":1627,"type":"article","publisher":"International Energy Agency","title":"Net Zero by 2050","URL":"https://www.iea.org/reports/net-zero-by-2050","author":[{"family":"IEA","given":""}],"issued":{"date-parts":[["2021"]]}}}],"schema":"https://github.com/citation-style-language/schema/raw/master/csl-citation.json"} </w:instrText>
      </w:r>
      <w:r>
        <w:fldChar w:fldCharType="separate"/>
      </w:r>
      <w:r w:rsidRPr="00677E39">
        <w:rPr>
          <w:rFonts w:cs="Times New Roman"/>
        </w:rPr>
        <w:t>(IEA, 2021c)</w:t>
      </w:r>
      <w:r>
        <w:fldChar w:fldCharType="end"/>
      </w:r>
      <w:r>
        <w:t xml:space="preserve">. Modeled 2020-2050 oil and gas production volumes from this scenario were averaged, scaled to a value of one at the base year of 2020, and then applied to the same 2020 starting technical potential </w:t>
      </w:r>
      <w:r w:rsidR="00DA4165">
        <w:t xml:space="preserve">for abatable methane </w:t>
      </w:r>
      <w:r>
        <w:t xml:space="preserve">as used in the other TAMs in this model. The key assumption of this scenario is that oil and gas methane emissions are proportional to the average expected production volumes. </w:t>
      </w:r>
    </w:p>
    <w:p w14:paraId="6656AA83" w14:textId="148AC63A" w:rsidR="00677E39" w:rsidRPr="00057C21" w:rsidRDefault="00677E39" w:rsidP="00057C21">
      <w:r>
        <w:t xml:space="preserve">Results from these alternative scenarios are presented for illustration in </w:t>
      </w:r>
      <w:r>
        <w:fldChar w:fldCharType="begin"/>
      </w:r>
      <w:r>
        <w:instrText xml:space="preserve"> REF _Ref75772197 \r \h </w:instrText>
      </w:r>
      <w:r>
        <w:fldChar w:fldCharType="separate"/>
      </w:r>
      <w:r w:rsidR="003D1925">
        <w:t>3.5</w:t>
      </w:r>
      <w:r>
        <w:fldChar w:fldCharType="end"/>
      </w:r>
      <w:r>
        <w:t>.</w:t>
      </w:r>
    </w:p>
    <w:p w14:paraId="4C24E6F4" w14:textId="3266A2FC" w:rsidR="00FB3AB3" w:rsidRPr="00AF41A6" w:rsidRDefault="00686965" w:rsidP="00D910B7">
      <w:pPr>
        <w:pStyle w:val="Heading2"/>
        <w:numPr>
          <w:ilvl w:val="1"/>
          <w:numId w:val="6"/>
        </w:numPr>
      </w:pPr>
      <w:bookmarkStart w:id="55" w:name="_Toc75953810"/>
      <w:r w:rsidRPr="00AF41A6">
        <w:t>Inputs</w:t>
      </w:r>
      <w:bookmarkEnd w:id="55"/>
    </w:p>
    <w:p w14:paraId="5B61B0F2" w14:textId="3F43DC9C" w:rsidR="00FB2C53" w:rsidRDefault="00BF093E" w:rsidP="00FB2C53">
      <w:r>
        <w:t>This solution consists of numerous individual technologies and practices with differing abatement potential</w:t>
      </w:r>
      <w:r w:rsidR="00DA4165">
        <w:t>s</w:t>
      </w:r>
      <w:r>
        <w:t xml:space="preserve">, costs, and technical attributes. A typical approach to harmonize such diverse sub-solutions for analysis is to combine amortized costs with abatement potential in a marginal abatement cost curve, as was done by two prominent sources that serve as inputs to our analysis </w:t>
      </w:r>
      <w:r>
        <w:fldChar w:fldCharType="begin"/>
      </w:r>
      <w:r>
        <w:instrText xml:space="preserve"> ADDIN ZOTERO_ITEM CSL_CITATION {"citationID":"wX5Q6clK","properties":{"formattedCitation":"(IEA, 2021c; US EPA, 2019b)","plainCitation":"(IEA, 2021c; US EPA, 2019b)","noteIndex":0},"citationItems":[{"id":1627,"uris":["http://zotero.org/users/7422708/items/HXUT4QW7"],"uri":["http://zotero.org/users/7422708/items/HXUT4QW7"],"itemData":{"id":1627,"type":"article","publisher":"International Energy Agency","title":"Net Zero by 2050","URL":"https://www.iea.org/reports/net-zero-by-2050","author":[{"family":"IEA","given":""}],"issued":{"date-parts":[["2021"]]}}},{"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fldChar w:fldCharType="separate"/>
      </w:r>
      <w:r w:rsidRPr="00BF093E">
        <w:rPr>
          <w:rFonts w:cs="Times New Roman"/>
        </w:rPr>
        <w:t>(IEA, 2021c; US EPA, 2019b)</w:t>
      </w:r>
      <w:r>
        <w:fldChar w:fldCharType="end"/>
      </w:r>
      <w:r>
        <w:t xml:space="preserve">. However, this </w:t>
      </w:r>
      <w:r w:rsidR="006A525F">
        <w:t>approach was f</w:t>
      </w:r>
      <w:r>
        <w:t xml:space="preserve">ound to be </w:t>
      </w:r>
      <w:r w:rsidR="006A525F">
        <w:t>in</w:t>
      </w:r>
      <w:r>
        <w:t xml:space="preserve">compatible with Project Drawdown’s methodology, which disaggregates first costs and operating costs and additionally accounts for the replacement of </w:t>
      </w:r>
      <w:r w:rsidR="000277C6">
        <w:t xml:space="preserve">implementation </w:t>
      </w:r>
      <w:r>
        <w:t xml:space="preserve">units based on their lifespan. We therefore adopted a different generalization approach, as described below, of simulating a “generic abatement device” that has the weighted average features of the sub-solutions it represents. Of course, like the marginal abatement cost curve approach, this method has its own advantages and disadvantages, </w:t>
      </w:r>
      <w:r w:rsidR="006A525F">
        <w:t xml:space="preserve">as </w:t>
      </w:r>
      <w:r>
        <w:t>discussed later</w:t>
      </w:r>
      <w:r w:rsidR="006A525F">
        <w:t xml:space="preserve"> in this report</w:t>
      </w:r>
      <w:r>
        <w:t xml:space="preserve">. </w:t>
      </w:r>
    </w:p>
    <w:p w14:paraId="4A663605" w14:textId="297325EA" w:rsidR="006A525F" w:rsidRDefault="006A525F" w:rsidP="00DA4165">
      <w:pPr>
        <w:spacing w:before="240"/>
      </w:pPr>
      <w:r>
        <w:t>The IEA and EPA marginal abatement curve studies group the sub-solutions into about a dozen categories. We cross-matched these categories between studies and allocated any non-matching categories to an “all other” cate</w:t>
      </w:r>
      <w:r w:rsidR="00D1204A">
        <w:t>gory.</w:t>
      </w:r>
      <w:r>
        <w:t xml:space="preserve"> The total abatement potential for each category was filtered from the corresponding datasets. The share of each category’s abatement potential in the overall abatement (i.e. TAM) served as the weighting proportion applied to arrive at the generic abatement device or implementation unit</w:t>
      </w:r>
      <w:r w:rsidR="007D6E13">
        <w:t xml:space="preserve"> </w:t>
      </w:r>
      <w:r w:rsidR="00DA4165">
        <w:t>(</w:t>
      </w:r>
      <w:r w:rsidR="00DA4165">
        <w:fldChar w:fldCharType="begin"/>
      </w:r>
      <w:r w:rsidR="00DA4165">
        <w:instrText xml:space="preserve"> REF _Ref75789364 \h </w:instrText>
      </w:r>
      <w:r w:rsidR="00DA4165">
        <w:fldChar w:fldCharType="separate"/>
      </w:r>
      <w:r w:rsidR="00DA4165">
        <w:t xml:space="preserve">Figure </w:t>
      </w:r>
      <w:r w:rsidR="00DA4165">
        <w:rPr>
          <w:noProof/>
        </w:rPr>
        <w:t>13</w:t>
      </w:r>
      <w:r w:rsidR="00DA4165">
        <w:fldChar w:fldCharType="end"/>
      </w:r>
      <w:r w:rsidR="00DA4165">
        <w:t xml:space="preserve">). </w:t>
      </w:r>
      <w:r w:rsidR="00D1204A">
        <w:t>The “all-other” category was assigned the average value</w:t>
      </w:r>
      <w:r w:rsidR="000277C6">
        <w:t>s</w:t>
      </w:r>
      <w:r w:rsidR="00D1204A">
        <w:t xml:space="preserve"> of the attributes of the preceding categories. </w:t>
      </w:r>
    </w:p>
    <w:p w14:paraId="6A222411" w14:textId="0BC4583C" w:rsidR="006A525F" w:rsidRDefault="006A525F" w:rsidP="00FB2C53">
      <w:r w:rsidRPr="006A525F">
        <w:rPr>
          <w:noProof/>
          <w:lang w:eastAsia="en-US"/>
        </w:rPr>
        <w:drawing>
          <wp:inline distT="0" distB="0" distL="0" distR="0" wp14:anchorId="3A120A7D" wp14:editId="5C6F1CFB">
            <wp:extent cx="5943600" cy="3297655"/>
            <wp:effectExtent l="0" t="0" r="0" b="0"/>
            <wp:docPr id="7" name="Picture 7" descr="C:\Users\JB\Documents\Work\Drawdown\Generic abatement device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Documents\Work\Drawdown\Generic abatement device metho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7655"/>
                    </a:xfrm>
                    <a:prstGeom prst="rect">
                      <a:avLst/>
                    </a:prstGeom>
                    <a:noFill/>
                    <a:ln>
                      <a:noFill/>
                    </a:ln>
                  </pic:spPr>
                </pic:pic>
              </a:graphicData>
            </a:graphic>
          </wp:inline>
        </w:drawing>
      </w:r>
    </w:p>
    <w:p w14:paraId="1F671CAB" w14:textId="788F9864" w:rsidR="00907858" w:rsidRPr="00AF41A6" w:rsidRDefault="00907858" w:rsidP="00907858">
      <w:pPr>
        <w:pStyle w:val="Caption"/>
      </w:pPr>
      <w:bookmarkStart w:id="56" w:name="_Ref75789364"/>
      <w:bookmarkStart w:id="57" w:name="_Ref75783795"/>
      <w:bookmarkStart w:id="58" w:name="_Toc75940747"/>
      <w:r>
        <w:t xml:space="preserve">Figure </w:t>
      </w:r>
      <w:fldSimple w:instr=" SEQ Figure \* ARABIC ">
        <w:r w:rsidR="003D1925">
          <w:rPr>
            <w:noProof/>
          </w:rPr>
          <w:t>13</w:t>
        </w:r>
      </w:fldSimple>
      <w:bookmarkEnd w:id="56"/>
      <w:r>
        <w:t>: Generic abatement device modeling method.</w:t>
      </w:r>
      <w:bookmarkEnd w:id="57"/>
      <w:bookmarkEnd w:id="58"/>
      <w:r>
        <w:t xml:space="preserve"> </w:t>
      </w:r>
    </w:p>
    <w:p w14:paraId="3EBCEF57" w14:textId="4734A92D" w:rsidR="00FB3AB3" w:rsidRDefault="00686965" w:rsidP="005D49A8">
      <w:pPr>
        <w:pStyle w:val="Heading3"/>
      </w:pPr>
      <w:bookmarkStart w:id="59" w:name="_Toc75953811"/>
      <w:r w:rsidRPr="00AF41A6">
        <w:t>Climate Inputs</w:t>
      </w:r>
      <w:bookmarkEnd w:id="59"/>
    </w:p>
    <w:p w14:paraId="422D2F5D" w14:textId="098F3F0C" w:rsidR="00990505" w:rsidRPr="00AF41A6" w:rsidRDefault="00B504DF" w:rsidP="00990505">
      <w:r>
        <w:t>A generic functional unit</w:t>
      </w:r>
      <w:r w:rsidR="00EC28AE">
        <w:t xml:space="preserve"> was</w:t>
      </w:r>
      <w:r w:rsidR="00F16CA3">
        <w:t xml:space="preserve"> defined as 1</w:t>
      </w:r>
      <w:r>
        <w:t xml:space="preserve"> megatonne of methane (Mt </w:t>
      </w:r>
      <w:r w:rsidRPr="006B14FF">
        <w:t>CH</w:t>
      </w:r>
      <w:r>
        <w:rPr>
          <w:vertAlign w:val="subscript"/>
        </w:rPr>
        <w:t>4</w:t>
      </w:r>
      <w:r>
        <w:t>) abated. A corresponding generic implementation unit was defined as 1 Mt CH</w:t>
      </w:r>
      <w:r>
        <w:rPr>
          <w:vertAlign w:val="subscript"/>
        </w:rPr>
        <w:t>4</w:t>
      </w:r>
      <w:r>
        <w:t xml:space="preserve">/yr installed capacity. Each functional unit corresponds to a climate impact of 28 </w:t>
      </w:r>
      <w:r w:rsidR="00BF093E">
        <w:t>Mt CO</w:t>
      </w:r>
      <w:r w:rsidR="00BF093E">
        <w:rPr>
          <w:vertAlign w:val="subscript"/>
        </w:rPr>
        <w:t>2</w:t>
      </w:r>
      <w:r w:rsidR="00BF093E">
        <w:t xml:space="preserve">-e emissions reduction, using the 100-year global warming potential equivalent of methane, based on the Fifth Assessment Report from the Intergovernmental Panel on Climate Change. </w:t>
      </w:r>
      <w:r w:rsidR="00602995">
        <w:t xml:space="preserve">The abatement potential of each sub-solution accounts for the methane content of the natural gas at the point of implementation based on averages provided by EPA Gas STAR. </w:t>
      </w:r>
    </w:p>
    <w:p w14:paraId="67ED68E5" w14:textId="6021482F" w:rsidR="0021082B" w:rsidRPr="00AF41A6" w:rsidRDefault="003C7B93" w:rsidP="003C7B93">
      <w:pPr>
        <w:pStyle w:val="Caption"/>
        <w:rPr>
          <w:b/>
          <w:bCs/>
          <w:color w:val="000000" w:themeColor="text1"/>
          <w:sz w:val="20"/>
          <w:szCs w:val="20"/>
          <w:lang w:eastAsia="zh-CN"/>
        </w:rPr>
      </w:pPr>
      <w:bookmarkStart w:id="60" w:name="_Toc75940753"/>
      <w:r>
        <w:t xml:space="preserve">Table </w:t>
      </w:r>
      <w:fldSimple w:instr=" SEQ Table \* ARABIC ">
        <w:r w:rsidR="00FA60FD">
          <w:rPr>
            <w:noProof/>
          </w:rPr>
          <w:t>2</w:t>
        </w:r>
      </w:fldSimple>
      <w:r>
        <w:t>:</w:t>
      </w:r>
      <w:r w:rsidR="004F5425" w:rsidRPr="00AF41A6">
        <w:t xml:space="preserve"> Climate Inputs</w:t>
      </w:r>
      <w:bookmarkEnd w:id="60"/>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3922A1" w:rsidRPr="00AF41A6" w14:paraId="077EA588" w14:textId="77777777" w:rsidTr="00DA57F1">
        <w:trPr>
          <w:cantSplit/>
          <w:trHeight w:val="393"/>
          <w:tblHeader/>
        </w:trPr>
        <w:tc>
          <w:tcPr>
            <w:tcW w:w="2076" w:type="dxa"/>
            <w:shd w:val="clear" w:color="auto" w:fill="4F81BD" w:themeFill="accent1"/>
            <w:vAlign w:val="center"/>
          </w:tcPr>
          <w:p w14:paraId="19DDFB6D" w14:textId="77777777" w:rsidR="003922A1" w:rsidRPr="00AF41A6" w:rsidRDefault="003922A1" w:rsidP="00AD4CF8">
            <w:pPr>
              <w:spacing w:after="180" w:line="240" w:lineRule="auto"/>
              <w:jc w:val="center"/>
              <w:rPr>
                <w:rFonts w:eastAsia="Helvetica,Times New Roman" w:cstheme="minorHAnsi"/>
                <w:b/>
                <w:color w:val="FFFFFF" w:themeColor="background1"/>
                <w:sz w:val="20"/>
                <w:szCs w:val="20"/>
              </w:rPr>
            </w:pPr>
          </w:p>
        </w:tc>
        <w:tc>
          <w:tcPr>
            <w:tcW w:w="1427" w:type="dxa"/>
            <w:shd w:val="clear" w:color="auto" w:fill="4F81BD" w:themeFill="accent1"/>
            <w:vAlign w:val="center"/>
          </w:tcPr>
          <w:p w14:paraId="045E9FB2" w14:textId="6F4F4480" w:rsidR="003922A1" w:rsidRPr="00AF41A6" w:rsidRDefault="003922A1" w:rsidP="00AD4CF8">
            <w:pPr>
              <w:spacing w:after="180" w:line="240" w:lineRule="auto"/>
              <w:jc w:val="center"/>
              <w:rPr>
                <w:b/>
                <w:bCs/>
                <w:color w:val="FFFFFF" w:themeColor="background1"/>
                <w:sz w:val="20"/>
                <w:szCs w:val="20"/>
              </w:rPr>
            </w:pPr>
            <w:r w:rsidRPr="00AF41A6">
              <w:rPr>
                <w:b/>
                <w:bCs/>
                <w:color w:val="FFFFFF" w:themeColor="background1"/>
                <w:sz w:val="20"/>
                <w:szCs w:val="20"/>
              </w:rPr>
              <w:t>Units</w:t>
            </w:r>
          </w:p>
        </w:tc>
        <w:tc>
          <w:tcPr>
            <w:tcW w:w="1486" w:type="dxa"/>
            <w:shd w:val="clear" w:color="auto" w:fill="4F81BD" w:themeFill="accent1"/>
            <w:vAlign w:val="center"/>
          </w:tcPr>
          <w:p w14:paraId="74033D17" w14:textId="4591C5D0" w:rsidR="003922A1" w:rsidRPr="00AF41A6" w:rsidRDefault="003922A1" w:rsidP="00AD4CF8">
            <w:pPr>
              <w:spacing w:after="180" w:line="240" w:lineRule="auto"/>
              <w:jc w:val="center"/>
              <w:rPr>
                <w:b/>
                <w:bCs/>
                <w:color w:val="FFFFFF" w:themeColor="background1"/>
                <w:sz w:val="20"/>
                <w:szCs w:val="20"/>
              </w:rPr>
            </w:pPr>
            <w:r w:rsidRPr="00AF41A6">
              <w:rPr>
                <w:b/>
                <w:bCs/>
                <w:color w:val="FFFFFF" w:themeColor="background1"/>
                <w:sz w:val="20"/>
                <w:szCs w:val="20"/>
              </w:rPr>
              <w:t>Project Drawdown Data Set Range</w:t>
            </w:r>
          </w:p>
        </w:tc>
        <w:tc>
          <w:tcPr>
            <w:tcW w:w="1467" w:type="dxa"/>
            <w:shd w:val="clear" w:color="auto" w:fill="4F81BD" w:themeFill="accent1"/>
            <w:vAlign w:val="center"/>
          </w:tcPr>
          <w:p w14:paraId="5E5C518A" w14:textId="65C370A6" w:rsidR="003922A1" w:rsidRPr="00AF41A6" w:rsidRDefault="003922A1" w:rsidP="00AD4CF8">
            <w:pPr>
              <w:spacing w:after="180" w:line="240" w:lineRule="auto"/>
              <w:jc w:val="center"/>
              <w:rPr>
                <w:b/>
                <w:bCs/>
                <w:color w:val="FFFFFF" w:themeColor="background1"/>
                <w:sz w:val="20"/>
                <w:szCs w:val="20"/>
              </w:rPr>
            </w:pPr>
            <w:r w:rsidRPr="00AF41A6">
              <w:rPr>
                <w:b/>
                <w:bCs/>
                <w:color w:val="FFFFFF" w:themeColor="background1"/>
                <w:sz w:val="20"/>
                <w:szCs w:val="20"/>
              </w:rPr>
              <w:t>Model Input</w:t>
            </w:r>
          </w:p>
        </w:tc>
        <w:tc>
          <w:tcPr>
            <w:tcW w:w="1366" w:type="dxa"/>
            <w:shd w:val="clear" w:color="auto" w:fill="4F81BD" w:themeFill="accent1"/>
            <w:vAlign w:val="center"/>
          </w:tcPr>
          <w:p w14:paraId="16B1096E" w14:textId="5F2632DD" w:rsidR="003922A1" w:rsidRPr="00AF41A6" w:rsidRDefault="003922A1" w:rsidP="00AD4CF8">
            <w:pPr>
              <w:spacing w:after="180" w:line="240" w:lineRule="auto"/>
              <w:jc w:val="center"/>
              <w:rPr>
                <w:b/>
                <w:bCs/>
                <w:color w:val="FFFFFF" w:themeColor="background1"/>
                <w:sz w:val="20"/>
                <w:szCs w:val="20"/>
              </w:rPr>
            </w:pPr>
            <w:r w:rsidRPr="00AF41A6">
              <w:rPr>
                <w:b/>
                <w:bCs/>
                <w:color w:val="FFFFFF" w:themeColor="background1"/>
                <w:sz w:val="20"/>
                <w:szCs w:val="20"/>
              </w:rPr>
              <w:t>Data Points (#)</w:t>
            </w:r>
          </w:p>
        </w:tc>
        <w:tc>
          <w:tcPr>
            <w:tcW w:w="1528" w:type="dxa"/>
            <w:shd w:val="clear" w:color="auto" w:fill="4F81BD" w:themeFill="accent1"/>
            <w:vAlign w:val="center"/>
          </w:tcPr>
          <w:p w14:paraId="20C382D3" w14:textId="577A2C8A" w:rsidR="003922A1" w:rsidRPr="00AF41A6" w:rsidRDefault="003922A1" w:rsidP="00AD4CF8">
            <w:pPr>
              <w:spacing w:after="180" w:line="240" w:lineRule="auto"/>
              <w:jc w:val="center"/>
              <w:rPr>
                <w:b/>
                <w:bCs/>
                <w:color w:val="FFFFFF" w:themeColor="background1"/>
                <w:sz w:val="20"/>
                <w:szCs w:val="20"/>
              </w:rPr>
            </w:pPr>
            <w:r w:rsidRPr="00AF41A6">
              <w:rPr>
                <w:b/>
                <w:bCs/>
                <w:color w:val="FFFFFF" w:themeColor="background1"/>
                <w:sz w:val="20"/>
                <w:szCs w:val="20"/>
              </w:rPr>
              <w:t>Sources (#)</w:t>
            </w:r>
          </w:p>
        </w:tc>
      </w:tr>
      <w:tr w:rsidR="003922A1" w:rsidRPr="00AF41A6" w14:paraId="2A24A00A" w14:textId="77777777" w:rsidTr="003922A1">
        <w:trPr>
          <w:trHeight w:val="508"/>
        </w:trPr>
        <w:tc>
          <w:tcPr>
            <w:tcW w:w="2076" w:type="dxa"/>
            <w:vAlign w:val="center"/>
          </w:tcPr>
          <w:p w14:paraId="4F2A39BC" w14:textId="43BF2A3F" w:rsidR="003922A1" w:rsidRPr="00AF41A6" w:rsidRDefault="00BF093E" w:rsidP="00AD4CF8">
            <w:pPr>
              <w:spacing w:after="180" w:line="240" w:lineRule="auto"/>
              <w:jc w:val="center"/>
              <w:rPr>
                <w:rFonts w:eastAsia="Helvetica,Times New Roman" w:cstheme="minorHAnsi"/>
                <w:color w:val="000000" w:themeColor="text1"/>
                <w:sz w:val="20"/>
                <w:szCs w:val="20"/>
              </w:rPr>
            </w:pPr>
            <w:r>
              <w:t>Emissions reductions</w:t>
            </w:r>
          </w:p>
        </w:tc>
        <w:tc>
          <w:tcPr>
            <w:tcW w:w="1427" w:type="dxa"/>
            <w:shd w:val="clear" w:color="auto" w:fill="auto"/>
            <w:vAlign w:val="center"/>
          </w:tcPr>
          <w:p w14:paraId="48D37B75" w14:textId="177307E7" w:rsidR="003922A1" w:rsidRPr="00BF093E" w:rsidRDefault="00BF093E" w:rsidP="00AD4CF8">
            <w:pPr>
              <w:spacing w:after="180" w:line="240" w:lineRule="auto"/>
              <w:jc w:val="center"/>
              <w:rPr>
                <w:rFonts w:eastAsia="Helvetica,Times New Roman" w:cstheme="minorHAnsi"/>
                <w:i/>
                <w:sz w:val="20"/>
                <w:szCs w:val="20"/>
              </w:rPr>
            </w:pPr>
            <w:r>
              <w:rPr>
                <w:rFonts w:eastAsia="Helvetica,Times New Roman" w:cstheme="minorHAnsi"/>
                <w:i/>
                <w:sz w:val="20"/>
                <w:szCs w:val="20"/>
              </w:rPr>
              <w:t>Mt CO</w:t>
            </w:r>
            <w:r>
              <w:rPr>
                <w:rFonts w:eastAsia="Helvetica,Times New Roman" w:cstheme="minorHAnsi"/>
                <w:i/>
                <w:sz w:val="20"/>
                <w:szCs w:val="20"/>
                <w:vertAlign w:val="subscript"/>
              </w:rPr>
              <w:t>2</w:t>
            </w:r>
            <w:r>
              <w:rPr>
                <w:rFonts w:eastAsia="Helvetica,Times New Roman" w:cstheme="minorHAnsi"/>
                <w:i/>
                <w:sz w:val="20"/>
                <w:szCs w:val="20"/>
              </w:rPr>
              <w:t>-e reduced per Mt CH</w:t>
            </w:r>
            <w:r>
              <w:rPr>
                <w:rFonts w:eastAsia="Helvetica,Times New Roman" w:cstheme="minorHAnsi"/>
                <w:i/>
                <w:sz w:val="20"/>
                <w:szCs w:val="20"/>
                <w:vertAlign w:val="subscript"/>
              </w:rPr>
              <w:t>4</w:t>
            </w:r>
            <w:r>
              <w:rPr>
                <w:rFonts w:eastAsia="Helvetica,Times New Roman" w:cstheme="minorHAnsi"/>
                <w:i/>
                <w:sz w:val="20"/>
                <w:szCs w:val="20"/>
              </w:rPr>
              <w:t xml:space="preserve"> abated</w:t>
            </w:r>
          </w:p>
        </w:tc>
        <w:tc>
          <w:tcPr>
            <w:tcW w:w="1486" w:type="dxa"/>
            <w:vAlign w:val="center"/>
          </w:tcPr>
          <w:p w14:paraId="21F5B106" w14:textId="3302E337" w:rsidR="003922A1" w:rsidRPr="00AF41A6" w:rsidRDefault="00BF093E"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28-28</w:t>
            </w:r>
            <w:r w:rsidR="00910DE0" w:rsidRPr="00AF41A6">
              <w:rPr>
                <w:rFonts w:eastAsia="Helvetica,Times New Roman" w:cstheme="minorHAnsi"/>
                <w:color w:val="000000" w:themeColor="text1"/>
                <w:sz w:val="20"/>
                <w:szCs w:val="20"/>
              </w:rPr>
              <w:t xml:space="preserve"> </w:t>
            </w:r>
          </w:p>
        </w:tc>
        <w:tc>
          <w:tcPr>
            <w:tcW w:w="1467" w:type="dxa"/>
            <w:vAlign w:val="center"/>
          </w:tcPr>
          <w:p w14:paraId="11E87B1E" w14:textId="10D37499" w:rsidR="003922A1" w:rsidRPr="00AF41A6" w:rsidRDefault="00BF093E"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28</w:t>
            </w:r>
          </w:p>
        </w:tc>
        <w:tc>
          <w:tcPr>
            <w:tcW w:w="1366" w:type="dxa"/>
            <w:vAlign w:val="center"/>
          </w:tcPr>
          <w:p w14:paraId="1EC7EFEA" w14:textId="1B2CCD3A" w:rsidR="003922A1" w:rsidRPr="00AF41A6" w:rsidRDefault="00BF093E"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28" w:type="dxa"/>
            <w:vAlign w:val="center"/>
          </w:tcPr>
          <w:p w14:paraId="774B9874" w14:textId="20C9F407" w:rsidR="003922A1" w:rsidRPr="00AF41A6" w:rsidRDefault="00BF093E"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bl>
    <w:p w14:paraId="24C491B8" w14:textId="71CE95FA" w:rsidR="00F52595" w:rsidRDefault="00686965" w:rsidP="005D49A8">
      <w:pPr>
        <w:pStyle w:val="Heading3"/>
      </w:pPr>
      <w:bookmarkStart w:id="61" w:name="_Toc75953812"/>
      <w:r w:rsidRPr="00AF41A6">
        <w:t>Financial Inputs</w:t>
      </w:r>
      <w:bookmarkEnd w:id="61"/>
    </w:p>
    <w:p w14:paraId="0962EC30" w14:textId="08812A9F" w:rsidR="0032353F" w:rsidRPr="00AF41A6" w:rsidRDefault="00E66DAA" w:rsidP="00F16CA3">
      <w:r>
        <w:t>Cost data were obtained from US EPA’s Gas Star Recommended Technologies factsheets for categories that were most closely aligned with our cross-matched categories</w:t>
      </w:r>
      <w:r w:rsidR="00062704">
        <w:t xml:space="preserve">, and supplemented in some cases with data from a more recent analysis </w:t>
      </w:r>
      <w:r w:rsidR="00062704">
        <w:fldChar w:fldCharType="begin"/>
      </w:r>
      <w:r w:rsidR="00062704">
        <w:instrText xml:space="preserve"> ADDIN ZOTERO_ITEM CSL_CITATION {"citationID":"SXoYEnhr","properties":{"formattedCitation":"(ICF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00062704">
        <w:fldChar w:fldCharType="separate"/>
      </w:r>
      <w:r w:rsidR="00062704" w:rsidRPr="00062704">
        <w:rPr>
          <w:rFonts w:cs="Times New Roman"/>
        </w:rPr>
        <w:t>(ICF International, 2014)</w:t>
      </w:r>
      <w:r w:rsidR="00062704">
        <w:fldChar w:fldCharType="end"/>
      </w:r>
      <w:r>
        <w:t>. Co</w:t>
      </w:r>
      <w:r w:rsidR="00B86FEF">
        <w:t>st</w:t>
      </w:r>
      <w:r>
        <w:t xml:space="preserve"> data were normalized to the abatement potential</w:t>
      </w:r>
      <w:r w:rsidR="00B86FEF">
        <w:t xml:space="preserve"> of each sub-solution category by dividing first cost or operating cost by the annual abatement potential of each technology or practice. </w:t>
      </w:r>
      <w:r w:rsidR="00062704">
        <w:t>Sub-solutions that result in a relative savings of natural gas by reduced emissions have this credit applied against the operating cost</w:t>
      </w:r>
      <w:r w:rsidR="00602995">
        <w:t xml:space="preserve">. </w:t>
      </w:r>
      <w:r w:rsidR="00062704">
        <w:t>A fixed price</w:t>
      </w:r>
      <w:r w:rsidR="00F16CA3">
        <w:t xml:space="preserve"> of $4/mcf</w:t>
      </w:r>
      <w:r w:rsidR="00062704">
        <w:t xml:space="preserve"> of natural gas was used in the analysis, fo</w:t>
      </w:r>
      <w:r w:rsidR="00503180">
        <w:t xml:space="preserve">r consistency with literature sources </w:t>
      </w:r>
      <w:r w:rsidR="00503180">
        <w:fldChar w:fldCharType="begin"/>
      </w:r>
      <w:r w:rsidR="00503180">
        <w:instrText xml:space="preserve"> ADDIN ZOTERO_ITEM CSL_CITATION {"citationID":"9M27caYi","properties":{"formattedCitation":"(ICF International, 2014; US EPA, 2019b)","plainCitation":"(ICF International, 2014; US EPA, 2019b)","noteIndex":0},"citationItems":[{"id":1519,"uris":["http://zotero.org/users/7422708/items/6YJ7L5CP"],"uri":["http://zotero.org/users/7422708/items/6YJ7L5CP"],"itemData":{"id":1519,"type":"article","publisher":"Prepared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503180">
        <w:fldChar w:fldCharType="separate"/>
      </w:r>
      <w:r w:rsidR="00503180" w:rsidRPr="00503180">
        <w:rPr>
          <w:rFonts w:cs="Times New Roman"/>
        </w:rPr>
        <w:t>(ICF International, 2014; US EPA, 2019b)</w:t>
      </w:r>
      <w:r w:rsidR="00503180">
        <w:fldChar w:fldCharType="end"/>
      </w:r>
      <w:r w:rsidR="00062704">
        <w:t>. All operating costs are treated as variable operating costs. Cost and technical data for the sub-solution category of leak detection and repair, the effectiveness of which differs with implementation frequency and the portion of the supply chain where it is implemented, were combined from five distinct EPA Gas STAR LDAR case studies, with an average used to represent LDAR as a whole. All costs were scaled for inflation to 2014 dollars for consistency with Drawdown’s other solutions.</w:t>
      </w:r>
      <w:r w:rsidR="00D1204A">
        <w:t xml:space="preserve"> </w:t>
      </w:r>
    </w:p>
    <w:p w14:paraId="1521B01D" w14:textId="69F83099" w:rsidR="00D25FC7" w:rsidRPr="00AF41A6" w:rsidRDefault="00062704" w:rsidP="00062704">
      <w:pPr>
        <w:pStyle w:val="Caption"/>
        <w:jc w:val="left"/>
        <w:rPr>
          <w:rFonts w:asciiTheme="majorHAnsi" w:eastAsiaTheme="majorEastAsia" w:hAnsiTheme="majorHAnsi" w:cstheme="majorBidi"/>
          <w:b/>
          <w:bCs/>
          <w:color w:val="000000" w:themeColor="text1"/>
          <w:sz w:val="23"/>
          <w:szCs w:val="23"/>
          <w:lang w:eastAsia="zh-CN"/>
        </w:rPr>
      </w:pPr>
      <w:bookmarkStart w:id="62" w:name="_Toc75940754"/>
      <w:r>
        <w:t xml:space="preserve">Table </w:t>
      </w:r>
      <w:fldSimple w:instr=" SEQ Table \* ARABIC ">
        <w:r w:rsidR="00FA60FD">
          <w:rPr>
            <w:noProof/>
          </w:rPr>
          <w:t>3</w:t>
        </w:r>
      </w:fldSimple>
      <w:r>
        <w:t>:</w:t>
      </w:r>
      <w:r w:rsidR="00D25FC7" w:rsidRPr="00AF41A6">
        <w:t xml:space="preserve"> Financial Inputs </w:t>
      </w:r>
      <w:r w:rsidR="009C0F77" w:rsidRPr="00AF41A6">
        <w:t xml:space="preserve">for </w:t>
      </w:r>
      <w:r>
        <w:t>Solution – generic abatement device</w:t>
      </w:r>
      <w:bookmarkEnd w:id="62"/>
    </w:p>
    <w:tbl>
      <w:tblPr>
        <w:tblStyle w:val="TableGrid"/>
        <w:tblW w:w="0" w:type="auto"/>
        <w:jc w:val="center"/>
        <w:tblLook w:val="04A0" w:firstRow="1" w:lastRow="0" w:firstColumn="1" w:lastColumn="0" w:noHBand="0" w:noVBand="1"/>
      </w:tblPr>
      <w:tblGrid>
        <w:gridCol w:w="3509"/>
        <w:gridCol w:w="1877"/>
        <w:gridCol w:w="1366"/>
        <w:gridCol w:w="1451"/>
        <w:gridCol w:w="1147"/>
      </w:tblGrid>
      <w:tr w:rsidR="00062704" w:rsidRPr="00AF41A6" w14:paraId="5EBC0DC9" w14:textId="77777777" w:rsidTr="003C7B93">
        <w:trPr>
          <w:cantSplit/>
          <w:trHeight w:val="1154"/>
          <w:tblHeader/>
          <w:jc w:val="center"/>
        </w:trPr>
        <w:tc>
          <w:tcPr>
            <w:tcW w:w="0" w:type="auto"/>
            <w:shd w:val="clear" w:color="auto" w:fill="4F81BD" w:themeFill="accent1"/>
            <w:vAlign w:val="center"/>
          </w:tcPr>
          <w:p w14:paraId="74E672A4" w14:textId="77777777" w:rsidR="00062704" w:rsidRPr="00AF41A6" w:rsidRDefault="00062704" w:rsidP="00AD4CF8">
            <w:pPr>
              <w:spacing w:after="180" w:line="240" w:lineRule="auto"/>
              <w:jc w:val="center"/>
              <w:rPr>
                <w:rFonts w:eastAsia="Helvetica,Times New Roman" w:cstheme="minorHAnsi"/>
                <w:b/>
                <w:color w:val="000000" w:themeColor="text1"/>
                <w:sz w:val="20"/>
                <w:szCs w:val="20"/>
              </w:rPr>
            </w:pPr>
          </w:p>
        </w:tc>
        <w:tc>
          <w:tcPr>
            <w:tcW w:w="0" w:type="auto"/>
            <w:shd w:val="clear" w:color="auto" w:fill="4F81BD" w:themeFill="accent1"/>
            <w:vAlign w:val="center"/>
          </w:tcPr>
          <w:p w14:paraId="47C8F982" w14:textId="77777777" w:rsidR="00062704" w:rsidRPr="00AF41A6" w:rsidRDefault="00062704" w:rsidP="00AD4CF8">
            <w:pPr>
              <w:spacing w:after="180" w:line="240" w:lineRule="auto"/>
              <w:jc w:val="center"/>
              <w:rPr>
                <w:b/>
                <w:bCs/>
                <w:sz w:val="20"/>
                <w:szCs w:val="20"/>
              </w:rPr>
            </w:pPr>
            <w:r w:rsidRPr="00AF41A6">
              <w:rPr>
                <w:b/>
                <w:bCs/>
                <w:color w:val="FFFFFF" w:themeColor="background1"/>
                <w:sz w:val="20"/>
                <w:szCs w:val="20"/>
              </w:rPr>
              <w:t>Units</w:t>
            </w:r>
          </w:p>
        </w:tc>
        <w:tc>
          <w:tcPr>
            <w:tcW w:w="0" w:type="auto"/>
            <w:shd w:val="clear" w:color="auto" w:fill="4F81BD" w:themeFill="accent1"/>
            <w:vAlign w:val="center"/>
          </w:tcPr>
          <w:p w14:paraId="6FC568BA" w14:textId="77777777" w:rsidR="00062704" w:rsidRPr="00AF41A6" w:rsidRDefault="00062704" w:rsidP="00AD4CF8">
            <w:pPr>
              <w:spacing w:after="180" w:line="240" w:lineRule="auto"/>
              <w:jc w:val="center"/>
              <w:rPr>
                <w:b/>
                <w:bCs/>
                <w:color w:val="FFFFFF" w:themeColor="background1"/>
                <w:sz w:val="20"/>
                <w:szCs w:val="20"/>
              </w:rPr>
            </w:pPr>
            <w:r w:rsidRPr="00AF41A6">
              <w:rPr>
                <w:b/>
                <w:bCs/>
                <w:color w:val="FFFFFF" w:themeColor="background1"/>
                <w:sz w:val="20"/>
                <w:szCs w:val="20"/>
              </w:rPr>
              <w:t>Model Input</w:t>
            </w:r>
          </w:p>
        </w:tc>
        <w:tc>
          <w:tcPr>
            <w:tcW w:w="0" w:type="auto"/>
            <w:shd w:val="clear" w:color="auto" w:fill="4F81BD" w:themeFill="accent1"/>
            <w:vAlign w:val="center"/>
          </w:tcPr>
          <w:p w14:paraId="034FA35B" w14:textId="77777777" w:rsidR="00062704" w:rsidRPr="00AF41A6" w:rsidRDefault="00062704" w:rsidP="00AD4CF8">
            <w:pPr>
              <w:spacing w:after="180" w:line="240" w:lineRule="auto"/>
              <w:jc w:val="center"/>
              <w:rPr>
                <w:b/>
                <w:bCs/>
                <w:color w:val="FFFFFF" w:themeColor="background1"/>
                <w:sz w:val="20"/>
                <w:szCs w:val="20"/>
              </w:rPr>
            </w:pPr>
            <w:r w:rsidRPr="00AF41A6">
              <w:rPr>
                <w:b/>
                <w:bCs/>
                <w:color w:val="FFFFFF" w:themeColor="background1"/>
                <w:sz w:val="20"/>
                <w:szCs w:val="20"/>
              </w:rPr>
              <w:t>Data Points (#)</w:t>
            </w:r>
          </w:p>
        </w:tc>
        <w:tc>
          <w:tcPr>
            <w:tcW w:w="0" w:type="auto"/>
            <w:shd w:val="clear" w:color="auto" w:fill="4F81BD" w:themeFill="accent1"/>
            <w:vAlign w:val="center"/>
          </w:tcPr>
          <w:p w14:paraId="213A903C" w14:textId="77777777" w:rsidR="00062704" w:rsidRPr="00AF41A6" w:rsidRDefault="00062704" w:rsidP="00AD4CF8">
            <w:pPr>
              <w:spacing w:after="180" w:line="240" w:lineRule="auto"/>
              <w:jc w:val="center"/>
              <w:rPr>
                <w:b/>
                <w:bCs/>
                <w:color w:val="FFFFFF" w:themeColor="background1"/>
                <w:sz w:val="20"/>
                <w:szCs w:val="20"/>
              </w:rPr>
            </w:pPr>
            <w:r w:rsidRPr="00AF41A6">
              <w:rPr>
                <w:b/>
                <w:bCs/>
                <w:color w:val="FFFFFF" w:themeColor="background1"/>
                <w:sz w:val="20"/>
                <w:szCs w:val="20"/>
              </w:rPr>
              <w:t>Sources (#)</w:t>
            </w:r>
          </w:p>
        </w:tc>
      </w:tr>
      <w:tr w:rsidR="00062704" w:rsidRPr="00AF41A6" w14:paraId="224D399B" w14:textId="77777777" w:rsidTr="003C7B93">
        <w:trPr>
          <w:trHeight w:val="149"/>
          <w:jc w:val="center"/>
        </w:trPr>
        <w:tc>
          <w:tcPr>
            <w:tcW w:w="0" w:type="auto"/>
            <w:vAlign w:val="center"/>
          </w:tcPr>
          <w:p w14:paraId="400D3B56" w14:textId="22976980" w:rsidR="00062704" w:rsidRPr="00AF41A6" w:rsidRDefault="00062704" w:rsidP="00D1204A">
            <w:pPr>
              <w:spacing w:after="180" w:line="240" w:lineRule="auto"/>
              <w:jc w:val="center"/>
              <w:rPr>
                <w:color w:val="000000" w:themeColor="text1"/>
                <w:sz w:val="20"/>
                <w:szCs w:val="20"/>
              </w:rPr>
            </w:pPr>
            <w:r w:rsidRPr="00AF41A6">
              <w:rPr>
                <w:color w:val="000000" w:themeColor="text1"/>
                <w:sz w:val="20"/>
                <w:szCs w:val="20"/>
              </w:rPr>
              <w:t xml:space="preserve">First costs </w:t>
            </w:r>
          </w:p>
        </w:tc>
        <w:tc>
          <w:tcPr>
            <w:tcW w:w="0" w:type="auto"/>
            <w:vAlign w:val="center"/>
          </w:tcPr>
          <w:p w14:paraId="56AA3572" w14:textId="134E9A48" w:rsidR="00062704" w:rsidRPr="00D1204A" w:rsidRDefault="00062704" w:rsidP="00AD4CF8">
            <w:pPr>
              <w:spacing w:after="180" w:line="240" w:lineRule="auto"/>
              <w:jc w:val="center"/>
              <w:rPr>
                <w:rFonts w:eastAsia="Helvetica,Times New Roman" w:cstheme="minorHAnsi"/>
                <w:sz w:val="20"/>
                <w:szCs w:val="20"/>
              </w:rPr>
            </w:pPr>
            <w:r>
              <w:rPr>
                <w:bCs/>
                <w:i/>
                <w:sz w:val="20"/>
                <w:szCs w:val="20"/>
              </w:rPr>
              <w:t>$</w:t>
            </w:r>
            <w:r w:rsidR="00D1204A">
              <w:rPr>
                <w:bCs/>
                <w:i/>
                <w:sz w:val="20"/>
                <w:szCs w:val="20"/>
              </w:rPr>
              <w:t>/Mt CH</w:t>
            </w:r>
            <w:r w:rsidR="00D1204A">
              <w:rPr>
                <w:bCs/>
                <w:i/>
                <w:sz w:val="20"/>
                <w:szCs w:val="20"/>
                <w:vertAlign w:val="subscript"/>
              </w:rPr>
              <w:t>4</w:t>
            </w:r>
            <w:r w:rsidR="00D1204A">
              <w:rPr>
                <w:bCs/>
                <w:i/>
                <w:sz w:val="20"/>
                <w:szCs w:val="20"/>
              </w:rPr>
              <w:t>/yr capacity</w:t>
            </w:r>
          </w:p>
        </w:tc>
        <w:tc>
          <w:tcPr>
            <w:tcW w:w="0" w:type="auto"/>
            <w:vAlign w:val="center"/>
          </w:tcPr>
          <w:p w14:paraId="6782A95B" w14:textId="5CAD566D" w:rsidR="00062704" w:rsidRPr="00AF41A6" w:rsidRDefault="00D1204A"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1,536,000,000</w:t>
            </w:r>
          </w:p>
        </w:tc>
        <w:tc>
          <w:tcPr>
            <w:tcW w:w="0" w:type="auto"/>
            <w:vAlign w:val="center"/>
          </w:tcPr>
          <w:p w14:paraId="1AA7E7F8" w14:textId="7E686FB2" w:rsidR="00062704" w:rsidRPr="00AF41A6" w:rsidRDefault="00D1204A"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12</w:t>
            </w:r>
          </w:p>
        </w:tc>
        <w:tc>
          <w:tcPr>
            <w:tcW w:w="0" w:type="auto"/>
            <w:vAlign w:val="center"/>
          </w:tcPr>
          <w:p w14:paraId="367ADBC1" w14:textId="07920737" w:rsidR="00062704" w:rsidRPr="00AF41A6" w:rsidRDefault="00D1204A"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062704" w:rsidRPr="00AF41A6" w14:paraId="789E9F95" w14:textId="77777777" w:rsidTr="003C7B93">
        <w:trPr>
          <w:trHeight w:val="149"/>
          <w:jc w:val="center"/>
        </w:trPr>
        <w:tc>
          <w:tcPr>
            <w:tcW w:w="0" w:type="auto"/>
            <w:vAlign w:val="center"/>
          </w:tcPr>
          <w:p w14:paraId="564B7DFA" w14:textId="25B70BF6" w:rsidR="00062704" w:rsidRPr="00AF41A6" w:rsidRDefault="00062704" w:rsidP="00D1204A">
            <w:pPr>
              <w:spacing w:after="180" w:line="240" w:lineRule="auto"/>
              <w:jc w:val="center"/>
              <w:rPr>
                <w:color w:val="000000" w:themeColor="text1"/>
                <w:sz w:val="20"/>
                <w:szCs w:val="20"/>
              </w:rPr>
            </w:pPr>
            <w:r w:rsidRPr="00AF41A6">
              <w:rPr>
                <w:color w:val="000000" w:themeColor="text1"/>
                <w:sz w:val="20"/>
                <w:szCs w:val="20"/>
              </w:rPr>
              <w:t xml:space="preserve">Variable Operation and Maintenance Costs </w:t>
            </w:r>
          </w:p>
        </w:tc>
        <w:tc>
          <w:tcPr>
            <w:tcW w:w="0" w:type="auto"/>
            <w:vAlign w:val="center"/>
          </w:tcPr>
          <w:p w14:paraId="292CCBF2" w14:textId="311FC9A9" w:rsidR="00062704" w:rsidRPr="00D1204A" w:rsidRDefault="00D1204A" w:rsidP="00AD4CF8">
            <w:pPr>
              <w:spacing w:after="180" w:line="240" w:lineRule="auto"/>
              <w:jc w:val="center"/>
              <w:rPr>
                <w:rFonts w:eastAsia="Helvetica,Times New Roman" w:cstheme="minorHAnsi"/>
                <w:sz w:val="20"/>
                <w:szCs w:val="20"/>
              </w:rPr>
            </w:pPr>
            <w:r>
              <w:rPr>
                <w:bCs/>
                <w:i/>
                <w:sz w:val="20"/>
                <w:szCs w:val="20"/>
              </w:rPr>
              <w:t>$/Mt CH</w:t>
            </w:r>
            <w:r>
              <w:rPr>
                <w:bCs/>
                <w:i/>
                <w:sz w:val="20"/>
                <w:szCs w:val="20"/>
                <w:vertAlign w:val="subscript"/>
              </w:rPr>
              <w:t>4</w:t>
            </w:r>
          </w:p>
        </w:tc>
        <w:tc>
          <w:tcPr>
            <w:tcW w:w="0" w:type="auto"/>
            <w:vAlign w:val="center"/>
          </w:tcPr>
          <w:p w14:paraId="2C205561" w14:textId="2B882F9D" w:rsidR="00062704" w:rsidRPr="00AF41A6" w:rsidRDefault="00D1204A"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74,600,000</w:t>
            </w:r>
          </w:p>
        </w:tc>
        <w:tc>
          <w:tcPr>
            <w:tcW w:w="0" w:type="auto"/>
            <w:vAlign w:val="center"/>
          </w:tcPr>
          <w:p w14:paraId="6F7826B4" w14:textId="082B6CBA" w:rsidR="00062704" w:rsidRPr="00AF41A6" w:rsidRDefault="00D1204A"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12</w:t>
            </w:r>
          </w:p>
        </w:tc>
        <w:tc>
          <w:tcPr>
            <w:tcW w:w="0" w:type="auto"/>
            <w:vAlign w:val="center"/>
          </w:tcPr>
          <w:p w14:paraId="6F71B7A1" w14:textId="04F6C157" w:rsidR="00062704" w:rsidRPr="00AF41A6" w:rsidRDefault="00D1204A"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bl>
    <w:p w14:paraId="7E13702C" w14:textId="77777777" w:rsidR="00D25FC7" w:rsidRPr="00AF41A6" w:rsidRDefault="00D25FC7" w:rsidP="00EB247F">
      <w:pPr>
        <w:rPr>
          <w:bCs/>
          <w:sz w:val="21"/>
          <w:szCs w:val="21"/>
        </w:rPr>
      </w:pPr>
    </w:p>
    <w:p w14:paraId="56F5BC32" w14:textId="548E8C38" w:rsidR="001D17E8" w:rsidRDefault="00686965" w:rsidP="00EB247F">
      <w:pPr>
        <w:pStyle w:val="Heading3"/>
      </w:pPr>
      <w:bookmarkStart w:id="63" w:name="_Toc75953813"/>
      <w:r w:rsidRPr="00AF41A6">
        <w:t>Technical Inputs</w:t>
      </w:r>
      <w:bookmarkEnd w:id="63"/>
    </w:p>
    <w:p w14:paraId="75A5E584" w14:textId="44F8E200" w:rsidR="00D1204A" w:rsidRPr="00D1204A" w:rsidRDefault="00D1204A" w:rsidP="00D1204A">
      <w:r>
        <w:t xml:space="preserve">A weighted average lifetime of the generic abatement device was derived based on the reported and assumed lifetimes of the sub-solution categories. </w:t>
      </w:r>
      <w:r w:rsidR="00E638AB">
        <w:t>Where a lifetime was reported in the data or example financial analysis, these values were used. Sub-solutions with compressors are assumed to have five-year lifetimes before a rebuild is necessary; sub-solutions with minimal moving parts are assumed to have a twenty year lifespan; reported costs for leak detection and repair are assumed to recur annually, except when a different interval</w:t>
      </w:r>
      <w:r w:rsidR="003D0644">
        <w:t xml:space="preserve"> was specified. For the purposes</w:t>
      </w:r>
      <w:r w:rsidR="00E638AB">
        <w:t xml:space="preserve"> of calculation in the Project Drawdown model, the generic abatement device is assumed to operate 100% of the time. This is not an overestimate of performance because the abatement potentials from the data sources report the average annual value. For tractability, the lifespan and replacement of conventional practices and technologies being replaced were not analyzed. </w:t>
      </w:r>
    </w:p>
    <w:p w14:paraId="18EFA6FA" w14:textId="77777777" w:rsidR="000875B5" w:rsidRPr="00AF41A6" w:rsidRDefault="000875B5" w:rsidP="00EB247F">
      <w:pPr>
        <w:spacing w:after="0"/>
        <w:rPr>
          <w:bCs/>
        </w:rPr>
      </w:pPr>
    </w:p>
    <w:p w14:paraId="71759B8A" w14:textId="2920589F" w:rsidR="00E978D4" w:rsidRPr="00AF41A6" w:rsidRDefault="003C7B93" w:rsidP="003C7B93">
      <w:pPr>
        <w:pStyle w:val="Caption"/>
        <w:rPr>
          <w:rFonts w:asciiTheme="majorHAnsi" w:eastAsiaTheme="majorEastAsia" w:hAnsiTheme="majorHAnsi" w:cstheme="majorBidi"/>
          <w:b/>
          <w:bCs/>
          <w:color w:val="000000" w:themeColor="text1"/>
          <w:sz w:val="23"/>
          <w:szCs w:val="23"/>
          <w:lang w:eastAsia="zh-CN"/>
        </w:rPr>
      </w:pPr>
      <w:bookmarkStart w:id="64" w:name="_Toc75940755"/>
      <w:r>
        <w:t xml:space="preserve">Table </w:t>
      </w:r>
      <w:fldSimple w:instr=" SEQ Table \* ARABIC ">
        <w:r w:rsidR="00FA60FD">
          <w:rPr>
            <w:noProof/>
          </w:rPr>
          <w:t>4</w:t>
        </w:r>
      </w:fldSimple>
      <w:r>
        <w:t xml:space="preserve">: </w:t>
      </w:r>
      <w:r w:rsidR="00E978D4" w:rsidRPr="00AF41A6">
        <w:t xml:space="preserve"> Technical Inputs</w:t>
      </w:r>
      <w:r>
        <w:t xml:space="preserve"> for</w:t>
      </w:r>
      <w:r w:rsidR="00E978D4" w:rsidRPr="00AF41A6">
        <w:t xml:space="preserve"> Solution</w:t>
      </w:r>
      <w:bookmarkEnd w:id="64"/>
    </w:p>
    <w:tbl>
      <w:tblPr>
        <w:tblStyle w:val="TableGrid"/>
        <w:tblW w:w="0" w:type="auto"/>
        <w:jc w:val="center"/>
        <w:tblLook w:val="04A0" w:firstRow="1" w:lastRow="0" w:firstColumn="1" w:lastColumn="0" w:noHBand="0" w:noVBand="1"/>
      </w:tblPr>
      <w:tblGrid>
        <w:gridCol w:w="1868"/>
        <w:gridCol w:w="1128"/>
        <w:gridCol w:w="1289"/>
        <w:gridCol w:w="2242"/>
        <w:gridCol w:w="1746"/>
      </w:tblGrid>
      <w:tr w:rsidR="00E638AB" w:rsidRPr="00AF41A6" w14:paraId="13C00DA5" w14:textId="77777777" w:rsidTr="003C7B93">
        <w:trPr>
          <w:cantSplit/>
          <w:trHeight w:val="591"/>
          <w:tblHeader/>
          <w:jc w:val="center"/>
        </w:trPr>
        <w:tc>
          <w:tcPr>
            <w:tcW w:w="0" w:type="auto"/>
            <w:shd w:val="clear" w:color="auto" w:fill="4F81BD" w:themeFill="accent1"/>
            <w:vAlign w:val="center"/>
          </w:tcPr>
          <w:p w14:paraId="348EFAF2" w14:textId="77777777" w:rsidR="00E638AB" w:rsidRPr="00AF41A6" w:rsidRDefault="00E638AB" w:rsidP="00AD4CF8">
            <w:pPr>
              <w:spacing w:after="180" w:line="240" w:lineRule="auto"/>
              <w:jc w:val="center"/>
              <w:rPr>
                <w:rFonts w:eastAsia="Helvetica,Times New Roman" w:cstheme="minorHAnsi"/>
                <w:b/>
                <w:color w:val="FFFFFF" w:themeColor="background1"/>
                <w:sz w:val="20"/>
                <w:szCs w:val="20"/>
              </w:rPr>
            </w:pPr>
          </w:p>
        </w:tc>
        <w:tc>
          <w:tcPr>
            <w:tcW w:w="0" w:type="auto"/>
            <w:shd w:val="clear" w:color="auto" w:fill="4F81BD" w:themeFill="accent1"/>
            <w:vAlign w:val="center"/>
          </w:tcPr>
          <w:p w14:paraId="6C3DD347" w14:textId="77777777" w:rsidR="00E638AB" w:rsidRPr="00AF41A6" w:rsidRDefault="00E638AB" w:rsidP="00AD4CF8">
            <w:pPr>
              <w:spacing w:after="180" w:line="240" w:lineRule="auto"/>
              <w:jc w:val="center"/>
              <w:rPr>
                <w:b/>
                <w:bCs/>
                <w:color w:val="FFFFFF" w:themeColor="background1"/>
                <w:sz w:val="20"/>
                <w:szCs w:val="20"/>
              </w:rPr>
            </w:pPr>
            <w:r w:rsidRPr="00AF41A6">
              <w:rPr>
                <w:b/>
                <w:bCs/>
                <w:color w:val="FFFFFF" w:themeColor="background1"/>
                <w:sz w:val="20"/>
                <w:szCs w:val="20"/>
              </w:rPr>
              <w:t>Units</w:t>
            </w:r>
          </w:p>
        </w:tc>
        <w:tc>
          <w:tcPr>
            <w:tcW w:w="0" w:type="auto"/>
            <w:shd w:val="clear" w:color="auto" w:fill="4F81BD" w:themeFill="accent1"/>
            <w:vAlign w:val="center"/>
          </w:tcPr>
          <w:p w14:paraId="01F11A1C" w14:textId="77777777" w:rsidR="00E638AB" w:rsidRPr="00AF41A6" w:rsidRDefault="00E638AB" w:rsidP="00AD4CF8">
            <w:pPr>
              <w:spacing w:after="180" w:line="240" w:lineRule="auto"/>
              <w:jc w:val="center"/>
              <w:rPr>
                <w:b/>
                <w:bCs/>
                <w:color w:val="FFFFFF" w:themeColor="background1"/>
                <w:sz w:val="20"/>
                <w:szCs w:val="20"/>
              </w:rPr>
            </w:pPr>
            <w:r w:rsidRPr="00AF41A6">
              <w:rPr>
                <w:b/>
                <w:bCs/>
                <w:color w:val="FFFFFF" w:themeColor="background1"/>
                <w:sz w:val="20"/>
                <w:szCs w:val="20"/>
              </w:rPr>
              <w:t>Model Input</w:t>
            </w:r>
          </w:p>
        </w:tc>
        <w:tc>
          <w:tcPr>
            <w:tcW w:w="0" w:type="auto"/>
            <w:shd w:val="clear" w:color="auto" w:fill="4F81BD" w:themeFill="accent1"/>
            <w:vAlign w:val="center"/>
          </w:tcPr>
          <w:p w14:paraId="19836510" w14:textId="77777777" w:rsidR="00E638AB" w:rsidRPr="00AF41A6" w:rsidRDefault="00E638AB" w:rsidP="00AD4CF8">
            <w:pPr>
              <w:spacing w:after="180" w:line="240" w:lineRule="auto"/>
              <w:jc w:val="center"/>
              <w:rPr>
                <w:b/>
                <w:bCs/>
                <w:color w:val="FFFFFF" w:themeColor="background1"/>
                <w:sz w:val="20"/>
                <w:szCs w:val="20"/>
              </w:rPr>
            </w:pPr>
            <w:r w:rsidRPr="00AF41A6">
              <w:rPr>
                <w:b/>
                <w:bCs/>
                <w:color w:val="FFFFFF" w:themeColor="background1"/>
                <w:sz w:val="20"/>
                <w:szCs w:val="20"/>
              </w:rPr>
              <w:t>Data Points (#)</w:t>
            </w:r>
          </w:p>
        </w:tc>
        <w:tc>
          <w:tcPr>
            <w:tcW w:w="0" w:type="auto"/>
            <w:shd w:val="clear" w:color="auto" w:fill="4F81BD" w:themeFill="accent1"/>
            <w:vAlign w:val="center"/>
          </w:tcPr>
          <w:p w14:paraId="60C8D5D4" w14:textId="77777777" w:rsidR="00E638AB" w:rsidRPr="00AF41A6" w:rsidRDefault="00E638AB" w:rsidP="00AD4CF8">
            <w:pPr>
              <w:spacing w:after="180" w:line="240" w:lineRule="auto"/>
              <w:jc w:val="center"/>
              <w:rPr>
                <w:b/>
                <w:bCs/>
                <w:color w:val="FFFFFF" w:themeColor="background1"/>
                <w:sz w:val="20"/>
                <w:szCs w:val="20"/>
              </w:rPr>
            </w:pPr>
            <w:r w:rsidRPr="00AF41A6">
              <w:rPr>
                <w:b/>
                <w:bCs/>
                <w:color w:val="FFFFFF" w:themeColor="background1"/>
                <w:sz w:val="20"/>
                <w:szCs w:val="20"/>
              </w:rPr>
              <w:t>Sources (#)</w:t>
            </w:r>
          </w:p>
        </w:tc>
      </w:tr>
      <w:tr w:rsidR="00E638AB" w:rsidRPr="00AF41A6" w14:paraId="695CF599" w14:textId="77777777" w:rsidTr="003C7B93">
        <w:trPr>
          <w:trHeight w:val="437"/>
          <w:jc w:val="center"/>
        </w:trPr>
        <w:tc>
          <w:tcPr>
            <w:tcW w:w="0" w:type="auto"/>
            <w:vAlign w:val="center"/>
          </w:tcPr>
          <w:p w14:paraId="54939FF5" w14:textId="09D08411" w:rsidR="00E638AB" w:rsidRPr="00AF41A6" w:rsidRDefault="00E638AB" w:rsidP="00E638AB">
            <w:pPr>
              <w:spacing w:line="240" w:lineRule="auto"/>
              <w:jc w:val="center"/>
              <w:rPr>
                <w:bCs/>
                <w:sz w:val="20"/>
                <w:szCs w:val="20"/>
              </w:rPr>
            </w:pPr>
            <w:r w:rsidRPr="00AF41A6">
              <w:rPr>
                <w:bCs/>
                <w:sz w:val="20"/>
                <w:szCs w:val="20"/>
              </w:rPr>
              <w:t xml:space="preserve">Lifetime Capacity </w:t>
            </w:r>
          </w:p>
        </w:tc>
        <w:tc>
          <w:tcPr>
            <w:tcW w:w="0" w:type="auto"/>
            <w:vAlign w:val="center"/>
          </w:tcPr>
          <w:p w14:paraId="3E6C4D96" w14:textId="71A4A718" w:rsidR="00E638AB" w:rsidRPr="00AF41A6" w:rsidRDefault="00E638AB" w:rsidP="00AD4CF8">
            <w:pPr>
              <w:spacing w:after="180" w:line="240" w:lineRule="auto"/>
              <w:jc w:val="center"/>
              <w:rPr>
                <w:rFonts w:eastAsia="Helvetica,Times New Roman" w:cstheme="minorHAnsi"/>
                <w:color w:val="000000" w:themeColor="text1"/>
                <w:sz w:val="20"/>
                <w:szCs w:val="20"/>
              </w:rPr>
            </w:pPr>
            <w:r w:rsidRPr="00AF41A6">
              <w:rPr>
                <w:bCs/>
                <w:i/>
                <w:color w:val="000000" w:themeColor="text1"/>
                <w:sz w:val="20"/>
                <w:szCs w:val="20"/>
              </w:rPr>
              <w:t>years</w:t>
            </w:r>
          </w:p>
        </w:tc>
        <w:tc>
          <w:tcPr>
            <w:tcW w:w="0" w:type="auto"/>
            <w:vAlign w:val="center"/>
          </w:tcPr>
          <w:p w14:paraId="20F7DFAA" w14:textId="3F7352E4" w:rsidR="00E638AB" w:rsidRPr="00AF41A6" w:rsidRDefault="00E638A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9.81</w:t>
            </w:r>
          </w:p>
        </w:tc>
        <w:tc>
          <w:tcPr>
            <w:tcW w:w="0" w:type="auto"/>
            <w:vAlign w:val="center"/>
          </w:tcPr>
          <w:p w14:paraId="604C40F1" w14:textId="463FDD81" w:rsidR="00E638AB" w:rsidRPr="00AF41A6" w:rsidRDefault="00E638A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12</w:t>
            </w:r>
          </w:p>
        </w:tc>
        <w:tc>
          <w:tcPr>
            <w:tcW w:w="0" w:type="auto"/>
            <w:vAlign w:val="center"/>
          </w:tcPr>
          <w:p w14:paraId="686442A0" w14:textId="1B216E30" w:rsidR="00E638AB" w:rsidRPr="00AF41A6" w:rsidRDefault="00E638A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E638AB" w:rsidRPr="00AF41A6" w14:paraId="2C2A2D34" w14:textId="77777777" w:rsidTr="003C7B93">
        <w:trPr>
          <w:trHeight w:val="307"/>
          <w:jc w:val="center"/>
        </w:trPr>
        <w:tc>
          <w:tcPr>
            <w:tcW w:w="0" w:type="auto"/>
            <w:vAlign w:val="center"/>
          </w:tcPr>
          <w:p w14:paraId="61A76755" w14:textId="1F67403E" w:rsidR="00E638AB" w:rsidRPr="00AF41A6" w:rsidRDefault="00E638AB" w:rsidP="00E638AB">
            <w:pPr>
              <w:spacing w:line="240" w:lineRule="auto"/>
              <w:jc w:val="center"/>
              <w:rPr>
                <w:bCs/>
                <w:sz w:val="20"/>
                <w:szCs w:val="20"/>
              </w:rPr>
            </w:pPr>
            <w:r w:rsidRPr="00AF41A6">
              <w:rPr>
                <w:bCs/>
                <w:sz w:val="20"/>
                <w:szCs w:val="20"/>
              </w:rPr>
              <w:t xml:space="preserve">Average Annual Use </w:t>
            </w:r>
          </w:p>
        </w:tc>
        <w:tc>
          <w:tcPr>
            <w:tcW w:w="0" w:type="auto"/>
            <w:vAlign w:val="center"/>
          </w:tcPr>
          <w:p w14:paraId="6E34186B" w14:textId="248B5C9B" w:rsidR="00E638AB" w:rsidRPr="00AF41A6" w:rsidRDefault="00E638AB" w:rsidP="00AD4CF8">
            <w:pPr>
              <w:spacing w:after="180" w:line="240" w:lineRule="auto"/>
              <w:jc w:val="center"/>
              <w:rPr>
                <w:rFonts w:eastAsia="Helvetica,Times New Roman" w:cstheme="minorHAnsi"/>
                <w:color w:val="000000" w:themeColor="text1"/>
                <w:sz w:val="20"/>
                <w:szCs w:val="20"/>
              </w:rPr>
            </w:pPr>
            <w:r w:rsidRPr="00AF41A6">
              <w:rPr>
                <w:bCs/>
                <w:i/>
                <w:color w:val="000000" w:themeColor="text1"/>
                <w:sz w:val="20"/>
                <w:szCs w:val="20"/>
              </w:rPr>
              <w:t>Hours</w:t>
            </w:r>
            <w:r>
              <w:rPr>
                <w:bCs/>
                <w:i/>
                <w:color w:val="000000" w:themeColor="text1"/>
                <w:sz w:val="20"/>
                <w:szCs w:val="20"/>
              </w:rPr>
              <w:t>/year</w:t>
            </w:r>
          </w:p>
        </w:tc>
        <w:tc>
          <w:tcPr>
            <w:tcW w:w="0" w:type="auto"/>
            <w:vAlign w:val="center"/>
          </w:tcPr>
          <w:p w14:paraId="278E134A" w14:textId="116C7942" w:rsidR="00E638AB" w:rsidRPr="00AF41A6" w:rsidRDefault="00E638A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 xml:space="preserve">8760 </w:t>
            </w:r>
          </w:p>
        </w:tc>
        <w:tc>
          <w:tcPr>
            <w:tcW w:w="0" w:type="auto"/>
            <w:gridSpan w:val="2"/>
            <w:vAlign w:val="center"/>
          </w:tcPr>
          <w:p w14:paraId="1F20109E" w14:textId="72C04598" w:rsidR="00E638AB" w:rsidRPr="00AF41A6" w:rsidRDefault="00E638AB"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Assumption for consistency with model format</w:t>
            </w:r>
          </w:p>
        </w:tc>
      </w:tr>
    </w:tbl>
    <w:p w14:paraId="3F927A96" w14:textId="77777777" w:rsidR="00E978D4" w:rsidRPr="00AF41A6" w:rsidRDefault="00E978D4" w:rsidP="00EB247F">
      <w:pPr>
        <w:spacing w:after="0"/>
        <w:rPr>
          <w:bCs/>
        </w:rPr>
      </w:pPr>
    </w:p>
    <w:p w14:paraId="4E32D218" w14:textId="12B11079" w:rsidR="00B144E5" w:rsidRDefault="00686965" w:rsidP="00D910B7">
      <w:pPr>
        <w:pStyle w:val="Heading2"/>
        <w:numPr>
          <w:ilvl w:val="1"/>
          <w:numId w:val="6"/>
        </w:numPr>
      </w:pPr>
      <w:bookmarkStart w:id="65" w:name="_Toc75953814"/>
      <w:r w:rsidRPr="00AF41A6">
        <w:t>Assumptions</w:t>
      </w:r>
      <w:bookmarkEnd w:id="65"/>
    </w:p>
    <w:p w14:paraId="1C71D5EB" w14:textId="7AA3B241" w:rsidR="00E33621" w:rsidRPr="00AF41A6" w:rsidRDefault="00E33621" w:rsidP="00EB247F">
      <w:pPr>
        <w:spacing w:after="240"/>
      </w:pPr>
      <w:r w:rsidRPr="00AF41A6">
        <w:t xml:space="preserve">Six overarching assumptions have been made for Project Drawdown models to enable the development and integration of individual model solutions. These are that infrastructure required for solution is available and in-place, policies required are already in-place, no carbon price is modeled, all costs accrue at the level of agency modeled, improvements in technology are not modeled, and that first costs may change according to learning. Full details of core assumptions and methodology will be available at </w:t>
      </w:r>
      <w:hyperlink r:id="rId28" w:history="1">
        <w:r w:rsidRPr="00AF41A6">
          <w:rPr>
            <w:rStyle w:val="Hyperlink"/>
          </w:rPr>
          <w:t>www.drawdown.org</w:t>
        </w:r>
      </w:hyperlink>
      <w:r w:rsidRPr="00AF41A6">
        <w:t>. Beyond these core assumptions, there are other important assumptions made for the modeling of this specific solution. These are detailed below.</w:t>
      </w:r>
    </w:p>
    <w:p w14:paraId="7022FC4D" w14:textId="1B0301C7" w:rsidR="0032353F" w:rsidRPr="00AF41A6" w:rsidRDefault="00617F18" w:rsidP="00617F18">
      <w:pPr>
        <w:pStyle w:val="ListParagraph"/>
        <w:numPr>
          <w:ilvl w:val="0"/>
          <w:numId w:val="2"/>
        </w:numPr>
        <w:ind w:left="426" w:hanging="426"/>
      </w:pPr>
      <w:r w:rsidRPr="00617F18">
        <w:t>The proportions of each abatement sub-solution category remain the same over time. This</w:t>
      </w:r>
      <w:r>
        <w:t xml:space="preserve"> was a necessary assumption to determine a weighted-average generic abatement </w:t>
      </w:r>
      <w:r w:rsidR="003D0644">
        <w:t xml:space="preserve">device </w:t>
      </w:r>
      <w:r>
        <w:t>that could be modeled consistently over the analysis period. We furthermore assume that this generic abatement device represents the attributes of the sub-solutions adequately enough to provide an indication of the sector-wide costs and abatement potential, acknowledging that this approach overlooks technical and geographic detail</w:t>
      </w:r>
      <w:r w:rsidR="00DF4089">
        <w:t xml:space="preserve"> that may lead to very different results in practice. </w:t>
      </w:r>
    </w:p>
    <w:p w14:paraId="0935FD74" w14:textId="507E04D1" w:rsidR="0032353F" w:rsidRPr="00AF41A6" w:rsidRDefault="00617F18" w:rsidP="00D910B7">
      <w:pPr>
        <w:pStyle w:val="ListParagraph"/>
        <w:numPr>
          <w:ilvl w:val="0"/>
          <w:numId w:val="2"/>
        </w:numPr>
        <w:ind w:left="426" w:hanging="426"/>
      </w:pPr>
      <w:r>
        <w:t xml:space="preserve">The technical abatement potential, expressed as percentage of sector emissions that can be abated with existing technologies and practices, remains the same over time. This assumption is unlikely to be true in practice. The technical abatement potential will likely increase with technology improvements, as was modeled by US EPA (2019). Adding this detail to our current model would require better understanding of the baseline sector emissions to which the technical potential percentage is applied.  </w:t>
      </w:r>
    </w:p>
    <w:p w14:paraId="7748F8C5" w14:textId="605E8303" w:rsidR="0032353F" w:rsidRPr="00AF41A6" w:rsidRDefault="00617F18" w:rsidP="00D910B7">
      <w:pPr>
        <w:pStyle w:val="ListParagraph"/>
        <w:numPr>
          <w:ilvl w:val="0"/>
          <w:numId w:val="2"/>
        </w:numPr>
        <w:ind w:left="426" w:hanging="426"/>
      </w:pPr>
      <w:r w:rsidRPr="00617F18">
        <w:t xml:space="preserve">As mentioned earlier in the description of TAM, we have assumed that the sector methane emissions follow a trajectory similar to that of natural gas in the share of global electricity generation. </w:t>
      </w:r>
      <w:r>
        <w:t xml:space="preserve">This assumption was the best of examined options for making the current solution compatible with Project Drawdown’s integrated modeling framework. Alternatives are compared later for illustration. </w:t>
      </w:r>
    </w:p>
    <w:p w14:paraId="04FBF2E3" w14:textId="6267BB18" w:rsidR="009D118F" w:rsidRDefault="00686965" w:rsidP="00D910B7">
      <w:pPr>
        <w:pStyle w:val="Heading2"/>
        <w:numPr>
          <w:ilvl w:val="1"/>
          <w:numId w:val="6"/>
        </w:numPr>
      </w:pPr>
      <w:bookmarkStart w:id="66" w:name="_Toc75953815"/>
      <w:r w:rsidRPr="00AF41A6">
        <w:t>Integration</w:t>
      </w:r>
      <w:bookmarkEnd w:id="66"/>
    </w:p>
    <w:p w14:paraId="14138AAC" w14:textId="5D67F8B9" w:rsidR="00DF4089" w:rsidRPr="00DF4089" w:rsidRDefault="00DF4089" w:rsidP="00DF4089">
      <w:r>
        <w:t>Project Drawdown solution models are integrated in a complete modeling framework to avoid double-counting of emissions savings. This specific solution poses the challenge of relying on abatement estimates that in turn rely on varying exogenous baseline assumptions about the future of methane emissions from the oil and gas sector. Of the alternatives examined, our modeling approach of scaling the sector emissions to the trajectory of the share of natural gas in the electricity generation sector is the most robust; Drawdown’s electricity generation model draws on numerous external sources to inform scenarios and many other solutions models reference it in turn. The chosen trajectories for this solution model</w:t>
      </w:r>
      <w:r w:rsidR="00F16CA3">
        <w:t xml:space="preserve"> can be considered conservative:</w:t>
      </w:r>
      <w:r>
        <w:t xml:space="preserve"> because baseline emissions in all cases decline towards zero in mid-century, emissions </w:t>
      </w:r>
      <w:r>
        <w:rPr>
          <w:i/>
        </w:rPr>
        <w:t>savings</w:t>
      </w:r>
      <w:r>
        <w:t xml:space="preserve"> measured against this baseline are likely to be more conservative than against an increasing baseline. The ideal integration would consider all production and uses of natural gas and oil to mid-century and correlate this with expected sector methane emissions. Lacking this level of detail for the time being, we present two </w:t>
      </w:r>
      <w:r w:rsidR="003D0644">
        <w:t xml:space="preserve">additional </w:t>
      </w:r>
      <w:r>
        <w:t xml:space="preserve">alternative model scenarios for illustration. </w:t>
      </w:r>
    </w:p>
    <w:p w14:paraId="770B457D" w14:textId="4EE8D87E" w:rsidR="00BC673E" w:rsidRDefault="00686965" w:rsidP="00D910B7">
      <w:pPr>
        <w:pStyle w:val="Heading2"/>
        <w:numPr>
          <w:ilvl w:val="1"/>
          <w:numId w:val="6"/>
        </w:numPr>
      </w:pPr>
      <w:bookmarkStart w:id="67" w:name="_Toc75953816"/>
      <w:r w:rsidRPr="00AF41A6">
        <w:t>Limitations/Further Development</w:t>
      </w:r>
      <w:bookmarkEnd w:id="67"/>
    </w:p>
    <w:p w14:paraId="2398692D" w14:textId="4D832BED" w:rsidR="00DF4089" w:rsidRPr="00DF4089" w:rsidRDefault="00DF4089" w:rsidP="00DF4089">
      <w:r>
        <w:t xml:space="preserve">Model-specific limitation and further potential development are discussed below. Broader limitations and contextualization of the results are discussed in </w:t>
      </w:r>
      <w:r>
        <w:fldChar w:fldCharType="begin"/>
      </w:r>
      <w:r>
        <w:instrText xml:space="preserve"> REF _Ref75794537 \r \h </w:instrText>
      </w:r>
      <w:r>
        <w:fldChar w:fldCharType="separate"/>
      </w:r>
      <w:r w:rsidR="003D1925">
        <w:t>4.2</w:t>
      </w:r>
      <w:r>
        <w:fldChar w:fldCharType="end"/>
      </w:r>
      <w:r>
        <w:t>.</w:t>
      </w:r>
    </w:p>
    <w:p w14:paraId="7FF7A0D5" w14:textId="77777777" w:rsidR="007B1EDF" w:rsidRDefault="007B1EDF" w:rsidP="00B86FEF">
      <w:r>
        <w:t xml:space="preserve">This is the first version of this solution model in the Drawdown framework. It relies on numerous assumptions and simplifications to arrive at global estimates that are intended to be broadly indicative of the costs and abatement potentials of the sector as a whole, and comparable to results from Drawdown’s 80-plus existing models. </w:t>
      </w:r>
    </w:p>
    <w:p w14:paraId="002E5B8E" w14:textId="77777777" w:rsidR="007B1EDF" w:rsidRDefault="007B1EDF" w:rsidP="00B86FEF">
      <w:r>
        <w:t>Modeling limitations and areas for further development include:</w:t>
      </w:r>
    </w:p>
    <w:p w14:paraId="3A61083F" w14:textId="1F633C84" w:rsidR="0024231A" w:rsidRDefault="0024231A" w:rsidP="007B1EDF">
      <w:pPr>
        <w:pStyle w:val="ListParagraph"/>
        <w:numPr>
          <w:ilvl w:val="0"/>
          <w:numId w:val="36"/>
        </w:numPr>
      </w:pPr>
      <w:r>
        <w:t>Generic abatement device modeling approach: This approach was a necessary step for model consistency; however, it sacrifices geographic and technical detail that other source</w:t>
      </w:r>
      <w:r w:rsidR="00F16CA3">
        <w:t>s</w:t>
      </w:r>
      <w:r>
        <w:t xml:space="preserve"> have incorporated. </w:t>
      </w:r>
      <w:r w:rsidR="00102A16" w:rsidRPr="00AF41A6">
        <w:t xml:space="preserve">Weighting may not be effective for reflecting how device lifespan affects abatement: the average lifespan is weighted, like the other variables, by the share of the device in the overall TAM or abatement potential; however, there may be correlations between the variables of capital </w:t>
      </w:r>
      <w:r w:rsidR="003D0644">
        <w:t xml:space="preserve">cost and lifespan that are </w:t>
      </w:r>
      <w:r w:rsidR="00102A16" w:rsidRPr="00AF41A6">
        <w:t>not properly reflected in this simple averaging method.</w:t>
      </w:r>
    </w:p>
    <w:p w14:paraId="654E4B32" w14:textId="3D155D02" w:rsidR="007B1EDF" w:rsidRDefault="007B1EDF" w:rsidP="007B1EDF">
      <w:pPr>
        <w:pStyle w:val="ListParagraph"/>
        <w:numPr>
          <w:ilvl w:val="0"/>
          <w:numId w:val="36"/>
        </w:numPr>
      </w:pPr>
      <w:r>
        <w:t xml:space="preserve">Technical detail: Our literature review identified an abundance of technical detail for individual technologies and practices, but cost and performance data are all primarily from 2006 EPA Gas STAR collections. Even more recent modeling efforts </w:t>
      </w:r>
      <w:r>
        <w:fldChar w:fldCharType="begin"/>
      </w:r>
      <w:r>
        <w:instrText xml:space="preserve"> ADDIN ZOTERO_ITEM CSL_CITATION {"citationID":"sPN1p5Aj","properties":{"formattedCitation":"(ICF International, 2014, 2015; US EPA, 2019b)","plainCitation":"(ICF International, 2014, 2015; US EPA, 2019b)","noteIndex":0},"citationItems":[{"id":1519,"uris":["http://zotero.org/users/7422708/items/6YJ7L5CP"],"uri":["http://zotero.org/users/7422708/items/6YJ7L5CP"],"itemData":{"id":1519,"type":"article","publisher":"Prepared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International","given":""}],"issued":{"date-parts":[["2014"]]}}},{"id":5499,"uris":["http://zotero.org/users/7422708/items/JTCUEVSA"],"uri":["http://zotero.org/users/7422708/items/JTCUEVSA"],"itemData":{"id":5499,"type":"article","publisher":"Prepared for Environmental Defense Fund","title":"Economic Analysis of Methane Emission Reduction Opportunities in the Mexican Oil and Natural Gas Industries","URL":"https://www.edf.org/sites/default/files/mexico_methane_cost_curve_report.pdf","author":[{"family":"ICF International","given":""}],"issued":{"date-parts":[["2015"]]}}},{"id":1534,"uris":["http://zotero.org/users/7422708/items/53M6XKDZ"],"uri":["http://zotero.org/users/7422708/items/53M6XKDZ"],"itemData":{"id":1534,"type":"article","publisher":"US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fldChar w:fldCharType="separate"/>
      </w:r>
      <w:r w:rsidRPr="007B1EDF">
        <w:rPr>
          <w:rFonts w:cs="Times New Roman"/>
        </w:rPr>
        <w:t>(ICF International, 2014, 2015; US EPA, 2019b)</w:t>
      </w:r>
      <w:r>
        <w:fldChar w:fldCharType="end"/>
      </w:r>
      <w:r>
        <w:t xml:space="preserve"> reference this </w:t>
      </w:r>
      <w:r w:rsidR="003D0644">
        <w:t xml:space="preserve">historic </w:t>
      </w:r>
      <w:r>
        <w:t xml:space="preserve">dataset. Additional data sources and more contemporary information on the state and costs of technologies would improve and likely change model results. </w:t>
      </w:r>
      <w:r w:rsidR="00102A16">
        <w:t>Additionally, our model o</w:t>
      </w:r>
      <w:r w:rsidR="00102A16" w:rsidRPr="00AF41A6">
        <w:t>verlooks the fact that some capital upgrades also bring about reductions in operating costs, for example, switching from wet seals to dry seals at compressor stations.</w:t>
      </w:r>
    </w:p>
    <w:p w14:paraId="7CC789BC" w14:textId="5545D0E4" w:rsidR="00B86FEF" w:rsidRDefault="007B1EDF" w:rsidP="007B1EDF">
      <w:pPr>
        <w:pStyle w:val="ListParagraph"/>
        <w:numPr>
          <w:ilvl w:val="0"/>
          <w:numId w:val="36"/>
        </w:numPr>
      </w:pPr>
      <w:r>
        <w:t xml:space="preserve">Indirect emissions: </w:t>
      </w:r>
      <w:r w:rsidR="00B86FEF">
        <w:t>Some sub-solutions</w:t>
      </w:r>
      <w:r>
        <w:t xml:space="preserve">, for example switching </w:t>
      </w:r>
      <w:r w:rsidR="0024231A">
        <w:t>from gas-pneumatic controls to compressed air,</w:t>
      </w:r>
      <w:r w:rsidR="00B86FEF">
        <w:t xml:space="preserve"> require electricity</w:t>
      </w:r>
      <w:r>
        <w:t xml:space="preserve"> for operation</w:t>
      </w:r>
      <w:r w:rsidR="00B86FEF">
        <w:t>, which we did not model</w:t>
      </w:r>
      <w:r>
        <w:t xml:space="preserve"> due to the complications presented by the generic abatement device approach</w:t>
      </w:r>
      <w:r w:rsidR="00B86FEF">
        <w:t xml:space="preserve">. </w:t>
      </w:r>
    </w:p>
    <w:p w14:paraId="28C3B148" w14:textId="0DFD6036" w:rsidR="00102A16" w:rsidRPr="00B86FEF" w:rsidRDefault="00102A16" w:rsidP="00102A16">
      <w:pPr>
        <w:pStyle w:val="ListParagraph"/>
        <w:numPr>
          <w:ilvl w:val="0"/>
          <w:numId w:val="36"/>
        </w:numPr>
      </w:pPr>
      <w:r w:rsidRPr="00AF41A6">
        <w:t xml:space="preserve">In case of early replacement of equipment, there may be a salvage value associated with the legacy equipment, which is not included in our model but would translate into reduced net costs of implementing the new measure. </w:t>
      </w:r>
    </w:p>
    <w:p w14:paraId="276B2F0D" w14:textId="259A4168" w:rsidR="00395692" w:rsidRDefault="0024231A" w:rsidP="0024231A">
      <w:pPr>
        <w:pStyle w:val="ListParagraph"/>
        <w:numPr>
          <w:ilvl w:val="0"/>
          <w:numId w:val="36"/>
        </w:numPr>
      </w:pPr>
      <w:r>
        <w:t>In the literature and in this model there is a l</w:t>
      </w:r>
      <w:r w:rsidR="00395692" w:rsidRPr="00AF41A6">
        <w:t xml:space="preserve">ack of treatment of transaction costs and barriers that </w:t>
      </w:r>
      <w:r>
        <w:t xml:space="preserve">may be present in actual implementation of this solution. </w:t>
      </w:r>
    </w:p>
    <w:p w14:paraId="5A1F10A3" w14:textId="50927CC6" w:rsidR="0024231A" w:rsidRDefault="0024231A" w:rsidP="0024231A">
      <w:pPr>
        <w:pStyle w:val="ListParagraph"/>
        <w:numPr>
          <w:ilvl w:val="0"/>
          <w:numId w:val="36"/>
        </w:numPr>
      </w:pPr>
      <w:r>
        <w:t xml:space="preserve">Absolute emissions vs emissions savings: For consistency with literature sources and Drawdown’s modeling framework, climate impacts are measured as emissions savings compared to a conventional baseline. This presents several challenges for modeling the current solution. Literature sources on this sector report emissions reductions relative to a baseline scenario, but these baselines rely on differing assumptions and are often not reported. Only an integrated approach that considers how this baseline changes over time can present abatement figures that may be considered consistent. It seems a more robust approach would be to model the absolute emissions of the sector and examine these effects in an integrated climate model. </w:t>
      </w:r>
    </w:p>
    <w:p w14:paraId="7C6B0D98" w14:textId="3EEE6B7F" w:rsidR="00025558" w:rsidRDefault="0024231A" w:rsidP="00025558">
      <w:pPr>
        <w:pStyle w:val="ListParagraph"/>
        <w:numPr>
          <w:ilvl w:val="0"/>
          <w:numId w:val="36"/>
        </w:numPr>
      </w:pPr>
      <w:r w:rsidRPr="00AF41A6">
        <w:t>Abandoned infrastructure</w:t>
      </w:r>
      <w:r>
        <w:t>: This</w:t>
      </w:r>
      <w:r w:rsidRPr="00AF41A6">
        <w:t xml:space="preserve"> is an area of emerging importance.</w:t>
      </w:r>
      <w:r>
        <w:t xml:space="preserve"> A common assumption in our model and some literature sources is that sector methane emissions will, all else equal, be proportional to the production volumes of oil and gas. However, if abandoned infrastructure continues to emit significant methane without significant production</w:t>
      </w:r>
      <w:r w:rsidRPr="00AF41A6">
        <w:t xml:space="preserve"> </w:t>
      </w:r>
      <w:r w:rsidRPr="00AF41A6">
        <w:fldChar w:fldCharType="begin"/>
      </w:r>
      <w:r w:rsidRPr="00AF41A6">
        <w:instrText xml:space="preserve"> ADDIN ZOTERO_ITEM CSL_CITATION {"citationID":"QM8awODF","properties":{"formattedCitation":"(Kang et al., 2019; J. P. Williams et al., 2021)","plainCitation":"(Kang et al., 2019; J. P. Williams et al., 2021)","noteIndex":0},"citationItems":[{"id":1077,"uris":["http://zotero.org/users/7422708/items/77MH6GTC"],"uri":["http://zotero.org/users/7422708/items/77MH6GTC"],"itemData":{"id":1077,"type":"article-journal","container-title":"Energy Policy","DOI":"10.1016/j.enpol.2019.05.045","ISSN":"03014215","language":"en","page":"594-601","source":"Crossref","title":"Reducing methane emissions from abandoned oil and gas wells: Strategies and costs","title-short":"Reducing methane emissions from abandoned oil and gas wells","volume":"132","author":[{"family":"Kang","given":"Mary"},{"family":"Mauzerall","given":"Denise L."},{"family":"Ma","given":"Daniel Z."},{"family":"Celia","given":"Michael A."}],"issued":{"date-parts":[["2019",9]]}}},{"id":1526,"uris":["http://zotero.org/users/7422708/items/XWS4HWRV"],"uri":["http://zotero.org/users/7422708/items/XWS4HWRV"],"itemData":{"id":1526,"type":"article-journal","container-title":"Environmental Science &amp; Technology","issue":"1","title":"Methane Emissions from Abandoned Oil and Gas Wells in Canada and the United States","volume":"55","author":[{"family":"Williams","given":"James P"},{"family":"Regehr","given":"Amara"},{"family":"Kang","given":"Mary"}],"issued":{"date-parts":[["2021"]]}}}],"schema":"https://github.com/citation-style-language/schema/raw/master/csl-citation.json"} </w:instrText>
      </w:r>
      <w:r w:rsidRPr="00AF41A6">
        <w:fldChar w:fldCharType="separate"/>
      </w:r>
      <w:r w:rsidRPr="0024231A">
        <w:rPr>
          <w:rFonts w:cs="Times New Roman"/>
        </w:rPr>
        <w:t>(Kang et al., 2019; J. P. Williams et al., 2021)</w:t>
      </w:r>
      <w:r w:rsidRPr="00AF41A6">
        <w:fldChar w:fldCharType="end"/>
      </w:r>
      <w:r>
        <w:t xml:space="preserve">, then the scale of the abatement challenge may currently be under-represented. </w:t>
      </w:r>
    </w:p>
    <w:p w14:paraId="35EF0E1B" w14:textId="00439C0E" w:rsidR="00102A16" w:rsidRPr="00AF41A6" w:rsidRDefault="00102A16" w:rsidP="00025558">
      <w:pPr>
        <w:pStyle w:val="ListParagraph"/>
        <w:numPr>
          <w:ilvl w:val="0"/>
          <w:numId w:val="36"/>
        </w:numPr>
      </w:pPr>
      <w:r>
        <w:t>Future model versions may benefit from using the</w:t>
      </w:r>
      <w:r w:rsidRPr="00AF41A6">
        <w:t xml:space="preserve"> Nelson-Farrar price indices to adjust cost estimates for inflation. The current analysis uses standard inflation factors from the US Bureau of Labor Statistics, for consistency with other Project Drawdown Solutions.</w:t>
      </w:r>
    </w:p>
    <w:p w14:paraId="4DFFEB6E" w14:textId="77777777" w:rsidR="00BC673E" w:rsidRPr="00AF41A6" w:rsidRDefault="00BC673E" w:rsidP="00BC673E"/>
    <w:p w14:paraId="7CAFC693" w14:textId="7F82B40D" w:rsidR="007C645A" w:rsidRPr="00AF41A6" w:rsidRDefault="551A77D0" w:rsidP="00D910B7">
      <w:pPr>
        <w:pStyle w:val="Heading1"/>
        <w:numPr>
          <w:ilvl w:val="0"/>
          <w:numId w:val="6"/>
        </w:numPr>
      </w:pPr>
      <w:bookmarkStart w:id="68" w:name="_Toc75953817"/>
      <w:r w:rsidRPr="00AF41A6">
        <w:t>Results</w:t>
      </w:r>
      <w:bookmarkEnd w:id="68"/>
    </w:p>
    <w:p w14:paraId="7E39F2AB" w14:textId="41C0036E" w:rsidR="00B261E0" w:rsidRPr="00AF41A6" w:rsidRDefault="007C645A" w:rsidP="00D910B7">
      <w:pPr>
        <w:pStyle w:val="Heading2"/>
        <w:numPr>
          <w:ilvl w:val="1"/>
          <w:numId w:val="6"/>
        </w:numPr>
      </w:pPr>
      <w:bookmarkStart w:id="69" w:name="_Toc75953818"/>
      <w:r w:rsidRPr="00AF41A6">
        <w:t>Adoption</w:t>
      </w:r>
      <w:bookmarkEnd w:id="69"/>
    </w:p>
    <w:p w14:paraId="303C12A9" w14:textId="2D6EECFE" w:rsidR="00BD3D8F" w:rsidRDefault="0032353F" w:rsidP="00BD3D8F">
      <w:pPr>
        <w:rPr>
          <w:lang w:eastAsia="zh-CN"/>
        </w:rPr>
      </w:pPr>
      <w:r w:rsidRPr="00AF41A6">
        <w:rPr>
          <w:lang w:eastAsia="zh-CN"/>
        </w:rPr>
        <w:t xml:space="preserve">Below are shown the </w:t>
      </w:r>
      <w:r w:rsidR="00D85EDB">
        <w:rPr>
          <w:lang w:eastAsia="zh-CN"/>
        </w:rPr>
        <w:t xml:space="preserve">world adoptions of the solution, each combined with the corresponding TAM. </w:t>
      </w:r>
    </w:p>
    <w:p w14:paraId="7A2926D4" w14:textId="6D9C0DDD" w:rsidR="003A7929" w:rsidRPr="00BD3D8F" w:rsidRDefault="00BD3D8F" w:rsidP="00BD3D8F">
      <w:pPr>
        <w:rPr>
          <w:sz w:val="20"/>
          <w:lang w:eastAsia="zh-CN"/>
        </w:rPr>
      </w:pPr>
      <w:r>
        <w:rPr>
          <w:noProof/>
          <w:lang w:eastAsia="en-US"/>
        </w:rPr>
        <w:drawing>
          <wp:inline distT="0" distB="0" distL="0" distR="0" wp14:anchorId="16CCBAB8" wp14:editId="127788F2">
            <wp:extent cx="2762250" cy="20955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32353F" w:rsidRPr="00AF41A6">
        <w:rPr>
          <w:lang w:eastAsia="zh-CN"/>
        </w:rPr>
        <w:t xml:space="preserve"> </w:t>
      </w:r>
      <w:r>
        <w:rPr>
          <w:noProof/>
          <w:lang w:eastAsia="en-US"/>
        </w:rPr>
        <w:drawing>
          <wp:inline distT="0" distB="0" distL="0" distR="0" wp14:anchorId="5DD9A6B9" wp14:editId="25AC7BDD">
            <wp:extent cx="2667000" cy="2245625"/>
            <wp:effectExtent l="0" t="0" r="0" b="25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AC7637F" w14:textId="7172CD93" w:rsidR="00BD3D8F" w:rsidRPr="00BD3D8F" w:rsidRDefault="00BD3D8F" w:rsidP="00BD3D8F">
      <w:r>
        <w:rPr>
          <w:noProof/>
          <w:lang w:eastAsia="en-US"/>
        </w:rPr>
        <w:drawing>
          <wp:inline distT="0" distB="0" distL="0" distR="0" wp14:anchorId="5C457C8F" wp14:editId="3486BAD5">
            <wp:extent cx="2937510" cy="2129051"/>
            <wp:effectExtent l="0" t="0" r="0" b="508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67E303A" w14:textId="00D694EE" w:rsidR="00762877" w:rsidRPr="00AF41A6" w:rsidRDefault="003338F1" w:rsidP="003338F1">
      <w:pPr>
        <w:pStyle w:val="Caption"/>
        <w:rPr>
          <w:b/>
          <w:bCs/>
          <w:i w:val="0"/>
          <w:iCs w:val="0"/>
        </w:rPr>
      </w:pPr>
      <w:bookmarkStart w:id="70" w:name="_Ref75866677"/>
      <w:bookmarkStart w:id="71" w:name="_Ref75866660"/>
      <w:bookmarkStart w:id="72" w:name="_Toc75940748"/>
      <w:r>
        <w:t xml:space="preserve">Figure </w:t>
      </w:r>
      <w:fldSimple w:instr=" SEQ Figure \* ARABIC ">
        <w:r w:rsidR="003D1925">
          <w:rPr>
            <w:noProof/>
          </w:rPr>
          <w:t>14</w:t>
        </w:r>
      </w:fldSimple>
      <w:bookmarkEnd w:id="70"/>
      <w:r>
        <w:t xml:space="preserve">: </w:t>
      </w:r>
      <w:r w:rsidR="00807D37" w:rsidRPr="00AF41A6">
        <w:t xml:space="preserve">World Annual </w:t>
      </w:r>
      <w:r w:rsidR="00977F6D" w:rsidRPr="00AF41A6">
        <w:t>Adoption 2020-2050</w:t>
      </w:r>
      <w:bookmarkEnd w:id="71"/>
      <w:bookmarkEnd w:id="72"/>
    </w:p>
    <w:p w14:paraId="0CAB84B4" w14:textId="77777777" w:rsidR="002930AE" w:rsidRPr="00AF41A6" w:rsidRDefault="002930AE" w:rsidP="002930AE">
      <w:pPr>
        <w:pStyle w:val="Heading2"/>
        <w:numPr>
          <w:ilvl w:val="1"/>
          <w:numId w:val="6"/>
        </w:numPr>
      </w:pPr>
      <w:bookmarkStart w:id="73" w:name="_Toc75953819"/>
      <w:r w:rsidRPr="00AF41A6">
        <w:t>Climate Impacts</w:t>
      </w:r>
      <w:bookmarkEnd w:id="73"/>
    </w:p>
    <w:p w14:paraId="2B0EAE6E" w14:textId="07D2C491" w:rsidR="002930AE" w:rsidRPr="00AF41A6" w:rsidRDefault="002930AE" w:rsidP="002930AE">
      <w:r w:rsidRPr="00AF41A6">
        <w:t xml:space="preserve">Below are the emissions results of the analysis for each scenario which include total emissions reduction, </w:t>
      </w:r>
      <w:r w:rsidR="00D85EDB">
        <w:t xml:space="preserve">and </w:t>
      </w:r>
      <w:r w:rsidRPr="00AF41A6">
        <w:t>atm</w:t>
      </w:r>
      <w:r w:rsidR="00D85EDB">
        <w:t xml:space="preserve">ospheric concentration changes. </w:t>
      </w:r>
      <w:r w:rsidRPr="00AF41A6">
        <w:t>For a detailed explanation of each result, please see the glossary (Section 6).</w:t>
      </w:r>
    </w:p>
    <w:p w14:paraId="447F9F63" w14:textId="77777777" w:rsidR="002930AE" w:rsidRPr="00AF41A6" w:rsidRDefault="002930AE" w:rsidP="002930AE">
      <w:pPr>
        <w:spacing w:after="0"/>
        <w:rPr>
          <w:rFonts w:cstheme="minorHAnsi"/>
          <w:b/>
          <w:bCs/>
          <w:i/>
        </w:rPr>
      </w:pPr>
    </w:p>
    <w:p w14:paraId="6F1284C9" w14:textId="3061269B" w:rsidR="002930AE" w:rsidRPr="00AF41A6" w:rsidRDefault="00D85EDB" w:rsidP="00D85EDB">
      <w:pPr>
        <w:pStyle w:val="Caption"/>
        <w:rPr>
          <w:rFonts w:eastAsia="Times New Roman" w:cs="Times New Roman"/>
          <w:sz w:val="24"/>
          <w:szCs w:val="24"/>
          <w:lang w:eastAsia="zh-CN"/>
        </w:rPr>
      </w:pPr>
      <w:bookmarkStart w:id="74" w:name="_Toc75940756"/>
      <w:r>
        <w:t xml:space="preserve">Table </w:t>
      </w:r>
      <w:fldSimple w:instr=" SEQ Table \* ARABIC ">
        <w:r w:rsidR="00FA60FD">
          <w:rPr>
            <w:noProof/>
          </w:rPr>
          <w:t>5</w:t>
        </w:r>
      </w:fldSimple>
      <w:r>
        <w:t xml:space="preserve">: </w:t>
      </w:r>
      <w:r w:rsidR="002930AE" w:rsidRPr="00AF41A6">
        <w:t>Climate Impacts</w:t>
      </w:r>
      <w:bookmarkEnd w:id="74"/>
    </w:p>
    <w:tbl>
      <w:tblPr>
        <w:tblW w:w="0" w:type="auto"/>
        <w:jc w:val="center"/>
        <w:tblCellMar>
          <w:top w:w="15" w:type="dxa"/>
          <w:left w:w="15" w:type="dxa"/>
          <w:bottom w:w="15" w:type="dxa"/>
          <w:right w:w="15" w:type="dxa"/>
        </w:tblCellMar>
        <w:tblLook w:val="04A0" w:firstRow="1" w:lastRow="0" w:firstColumn="1" w:lastColumn="0" w:noHBand="0" w:noVBand="1"/>
      </w:tblPr>
      <w:tblGrid>
        <w:gridCol w:w="945"/>
        <w:gridCol w:w="2599"/>
        <w:gridCol w:w="1924"/>
        <w:gridCol w:w="1851"/>
        <w:gridCol w:w="2021"/>
      </w:tblGrid>
      <w:tr w:rsidR="003338F1" w:rsidRPr="00AF41A6" w14:paraId="681A293F" w14:textId="77777777" w:rsidTr="00D85EDB">
        <w:trPr>
          <w:cantSplit/>
          <w:trHeight w:val="124"/>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47CFB78" w14:textId="77777777" w:rsidR="003338F1" w:rsidRPr="00AF41A6" w:rsidRDefault="003338F1" w:rsidP="007B1EDF">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9C80C87" w14:textId="77777777" w:rsidR="003338F1" w:rsidRPr="00AF41A6" w:rsidRDefault="003338F1" w:rsidP="007B1EDF">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Maximum Annual Emissions Reduction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A955A07" w14:textId="77777777" w:rsidR="003338F1" w:rsidRPr="00AF41A6" w:rsidRDefault="003338F1" w:rsidP="007B1EDF">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Total Emissions Reduction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C5FCDBC" w14:textId="77777777" w:rsidR="003338F1" w:rsidRPr="00AF41A6" w:rsidRDefault="003338F1" w:rsidP="007B1EDF">
            <w:pPr>
              <w:spacing w:line="240" w:lineRule="auto"/>
              <w:jc w:val="center"/>
              <w:rPr>
                <w:rFonts w:cstheme="minorHAnsi"/>
                <w:b/>
                <w:bCs/>
                <w:color w:val="FFFFFF" w:themeColor="background1"/>
                <w:sz w:val="20"/>
                <w:szCs w:val="20"/>
                <w:lang w:eastAsia="zh-CN"/>
              </w:rPr>
            </w:pPr>
            <w:r w:rsidRPr="00AF41A6">
              <w:rPr>
                <w:b/>
                <w:color w:val="FFFFFF" w:themeColor="background1"/>
                <w:sz w:val="20"/>
                <w:szCs w:val="20"/>
                <w:lang w:eastAsia="zh-CN"/>
              </w:rPr>
              <w:t>Emissions Reduction in 2030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26497A4" w14:textId="77777777" w:rsidR="003338F1" w:rsidRPr="00AF41A6" w:rsidRDefault="003338F1" w:rsidP="007B1EDF">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Emissions Reduction in 2050</w:t>
            </w:r>
          </w:p>
        </w:tc>
      </w:tr>
      <w:tr w:rsidR="003338F1" w:rsidRPr="00AF41A6" w14:paraId="1FB8A2C0" w14:textId="77777777" w:rsidTr="00D85EDB">
        <w:trPr>
          <w:cantSplit/>
          <w:trHeight w:val="97"/>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4EAD3858" w14:textId="77777777" w:rsidR="003338F1" w:rsidRPr="00AF41A6" w:rsidRDefault="003338F1" w:rsidP="007B1EDF">
            <w:pPr>
              <w:spacing w:line="240" w:lineRule="auto"/>
              <w:jc w:val="center"/>
              <w:rPr>
                <w:rFonts w:cstheme="minorHAnsi"/>
                <w:b/>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576C5F" w14:textId="77777777" w:rsidR="003338F1" w:rsidRPr="00AF41A6" w:rsidRDefault="003338F1" w:rsidP="007B1EDF">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-eq/yr.)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2E561A3" w14:textId="6034B899" w:rsidR="003338F1" w:rsidRPr="00AF41A6" w:rsidRDefault="003338F1" w:rsidP="007B1EDF">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Pr>
                <w:rFonts w:cstheme="minorHAnsi"/>
                <w:bCs/>
                <w:i/>
                <w:color w:val="FFFFFF" w:themeColor="background1"/>
                <w:sz w:val="20"/>
                <w:szCs w:val="20"/>
                <w:lang w:eastAsia="zh-CN"/>
              </w:rPr>
              <w:t>-eq</w:t>
            </w:r>
            <w:r w:rsidRPr="00AF41A6">
              <w:rPr>
                <w:rFonts w:cstheme="minorHAnsi"/>
                <w:bCs/>
                <w:i/>
                <w:color w:val="FFFFFF" w:themeColor="background1"/>
                <w:sz w:val="20"/>
                <w:szCs w:val="20"/>
                <w:lang w:eastAsia="zh-CN"/>
              </w:rPr>
              <w:t xml:space="preserve"> (2020-2050)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321D3F52" w14:textId="77777777" w:rsidR="003338F1" w:rsidRPr="00AF41A6" w:rsidRDefault="003338F1" w:rsidP="007B1EDF">
            <w:pPr>
              <w:spacing w:line="240" w:lineRule="auto"/>
              <w:jc w:val="center"/>
              <w:rPr>
                <w:rFonts w:cstheme="minorHAnsi"/>
                <w:bCs/>
                <w:i/>
                <w:color w:val="FFFFFF" w:themeColor="background1"/>
                <w:sz w:val="20"/>
                <w:szCs w:val="20"/>
                <w:lang w:eastAsia="zh-CN"/>
              </w:rPr>
            </w:pPr>
            <w:r w:rsidRPr="00AF41A6">
              <w:rPr>
                <w:color w:val="FFFFFF" w:themeColor="background1"/>
                <w:sz w:val="20"/>
                <w:szCs w:val="20"/>
                <w:lang w:eastAsia="zh-CN"/>
              </w:rPr>
              <w:t>(Gt CO</w:t>
            </w:r>
            <w:r w:rsidRPr="00AF41A6">
              <w:rPr>
                <w:color w:val="FFFFFF" w:themeColor="background1"/>
                <w:sz w:val="20"/>
                <w:szCs w:val="20"/>
                <w:vertAlign w:val="subscript"/>
                <w:lang w:eastAsia="zh-CN"/>
              </w:rPr>
              <w:t>2</w:t>
            </w:r>
            <w:r w:rsidRPr="00AF41A6">
              <w:rPr>
                <w:color w:val="FFFFFF" w:themeColor="background1"/>
                <w:sz w:val="20"/>
                <w:szCs w:val="20"/>
                <w:lang w:eastAsia="zh-CN"/>
              </w:rPr>
              <w:t>-eq/year)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130522" w14:textId="77777777" w:rsidR="003338F1" w:rsidRPr="00AF41A6" w:rsidRDefault="003338F1" w:rsidP="007B1EDF">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-eq/year)</w:t>
            </w:r>
          </w:p>
        </w:tc>
      </w:tr>
      <w:tr w:rsidR="003338F1" w:rsidRPr="00AF41A6" w14:paraId="6950E1E6"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9485879" w14:textId="2B45CF3B" w:rsidR="003338F1" w:rsidRPr="00AF41A6" w:rsidRDefault="003338F1" w:rsidP="007B1EDF">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776E0B1" w14:textId="10256B2C" w:rsidR="003338F1" w:rsidRPr="00AF41A6" w:rsidRDefault="003338F1"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1.28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696ABC2" w14:textId="2810B507" w:rsidR="003338F1" w:rsidRPr="00AF41A6" w:rsidRDefault="003338F1"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21.39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50D3B8" w14:textId="5979EF97" w:rsidR="003338F1" w:rsidRPr="00AF41A6" w:rsidRDefault="00132B50"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0.70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5BD72FC8" w14:textId="75E0FCC5" w:rsidR="003338F1" w:rsidRPr="00AF41A6" w:rsidRDefault="003338F1"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p>
        </w:tc>
      </w:tr>
      <w:tr w:rsidR="003338F1" w:rsidRPr="00AF41A6" w14:paraId="1AA6DEC3"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EF71104" w14:textId="1BF004FD" w:rsidR="003338F1" w:rsidRPr="00AF41A6" w:rsidRDefault="003338F1" w:rsidP="007B1EDF">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754A5D6" w14:textId="7C9A4239" w:rsidR="003338F1" w:rsidRPr="00AF41A6" w:rsidRDefault="00132B50"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56AE55A" w14:textId="7CCA6BE6" w:rsidR="003338F1" w:rsidRPr="00AF41A6" w:rsidRDefault="00132B50"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5.18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F4C596" w14:textId="44EB85A9" w:rsidR="003338F1" w:rsidRPr="00AF41A6" w:rsidRDefault="00132B50"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0.29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044D0AE0" w14:textId="35E96812" w:rsidR="003338F1" w:rsidRPr="00AF41A6" w:rsidRDefault="00132B50"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w:t>
            </w:r>
          </w:p>
        </w:tc>
      </w:tr>
      <w:tr w:rsidR="003338F1" w:rsidRPr="00AF41A6" w14:paraId="496ADA2F"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EBC98D6" w14:textId="1EF74BD8" w:rsidR="003338F1" w:rsidRPr="00AF41A6" w:rsidRDefault="003338F1" w:rsidP="007B1EDF">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44013D8" w14:textId="47B475A2" w:rsidR="003338F1" w:rsidRPr="00AF41A6" w:rsidRDefault="00DE2C4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0.72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94637F5" w14:textId="43360D3C" w:rsidR="003338F1" w:rsidRPr="00AF41A6" w:rsidRDefault="00DE2C4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14.87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472F56" w14:textId="7111B0E6" w:rsidR="003338F1" w:rsidRPr="00AF41A6" w:rsidRDefault="00DE2C4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0.64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40EFC524" w14:textId="4EBC5AB8" w:rsidR="003338F1" w:rsidRPr="00AF41A6" w:rsidRDefault="00DE2C4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w:t>
            </w:r>
          </w:p>
        </w:tc>
      </w:tr>
    </w:tbl>
    <w:p w14:paraId="23410A54" w14:textId="77777777" w:rsidR="002930AE" w:rsidRPr="00AF41A6" w:rsidRDefault="002930AE" w:rsidP="002930AE">
      <w:pPr>
        <w:pStyle w:val="Caption"/>
      </w:pPr>
      <w:bookmarkStart w:id="75" w:name="_Toc524993443"/>
    </w:p>
    <w:p w14:paraId="1122DC1C" w14:textId="31BAD82A" w:rsidR="002930AE" w:rsidRPr="00AF41A6" w:rsidRDefault="002930AE" w:rsidP="002930AE">
      <w:r w:rsidRPr="00AF41A6">
        <w:t>The solution was integrated with all other Project Drawdown solutions and may have different emissions results from the models. This is due to adjustments caused by interactions among solutions that limit full adoption (such as by feedstock or demand limits) or that limit the full benefit of some solutions (such as reduced individual solution impact w</w:t>
      </w:r>
      <w:r w:rsidR="00D85EDB">
        <w:t>hen technologies are combined).</w:t>
      </w:r>
    </w:p>
    <w:p w14:paraId="0162D3C0" w14:textId="51A2375E" w:rsidR="002930AE" w:rsidRPr="00AF41A6" w:rsidRDefault="00D85EDB" w:rsidP="00D85EDB">
      <w:pPr>
        <w:pStyle w:val="Caption"/>
        <w:rPr>
          <w:rFonts w:eastAsia="Times New Roman" w:cs="Times New Roman"/>
          <w:sz w:val="24"/>
          <w:szCs w:val="24"/>
          <w:lang w:eastAsia="zh-CN"/>
        </w:rPr>
      </w:pPr>
      <w:bookmarkStart w:id="76" w:name="_Toc75940757"/>
      <w:r>
        <w:t xml:space="preserve">Table </w:t>
      </w:r>
      <w:fldSimple w:instr=" SEQ Table \* ARABIC ">
        <w:r w:rsidR="00FA60FD">
          <w:rPr>
            <w:noProof/>
          </w:rPr>
          <w:t>6</w:t>
        </w:r>
      </w:fldSimple>
      <w:r>
        <w:t xml:space="preserve">: </w:t>
      </w:r>
      <w:r w:rsidR="002930AE" w:rsidRPr="00AF41A6">
        <w:t>Impacts on Atmospheric Concentrations of CO</w:t>
      </w:r>
      <w:r w:rsidR="002930AE" w:rsidRPr="00AF41A6">
        <w:rPr>
          <w:vertAlign w:val="subscript"/>
        </w:rPr>
        <w:t>2</w:t>
      </w:r>
      <w:r w:rsidR="002930AE" w:rsidRPr="00AF41A6">
        <w:t>-eq</w:t>
      </w:r>
      <w:bookmarkEnd w:id="75"/>
      <w:bookmarkEnd w:id="76"/>
    </w:p>
    <w:tbl>
      <w:tblPr>
        <w:tblW w:w="9281" w:type="dxa"/>
        <w:jc w:val="center"/>
        <w:tblCellMar>
          <w:top w:w="15" w:type="dxa"/>
          <w:left w:w="15" w:type="dxa"/>
          <w:bottom w:w="15" w:type="dxa"/>
          <w:right w:w="15" w:type="dxa"/>
        </w:tblCellMar>
        <w:tblLook w:val="04A0" w:firstRow="1" w:lastRow="0" w:firstColumn="1" w:lastColumn="0" w:noHBand="0" w:noVBand="1"/>
      </w:tblPr>
      <w:tblGrid>
        <w:gridCol w:w="1062"/>
        <w:gridCol w:w="3735"/>
        <w:gridCol w:w="4484"/>
      </w:tblGrid>
      <w:tr w:rsidR="002930AE" w:rsidRPr="00AF41A6" w14:paraId="576A9BC4" w14:textId="77777777" w:rsidTr="007B1EDF">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47621B5B" w14:textId="77777777" w:rsidR="002930AE" w:rsidRPr="00AF41A6" w:rsidRDefault="002930AE" w:rsidP="007B1EDF">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9C04B27" w14:textId="77777777" w:rsidR="002930AE" w:rsidRPr="00AF41A6" w:rsidRDefault="002930AE" w:rsidP="007B1EDF">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10FD4FD" w14:textId="77777777" w:rsidR="002930AE" w:rsidRPr="00AF41A6" w:rsidRDefault="002930AE" w:rsidP="007B1EDF">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GHG Concentration Rate of Change in 2050</w:t>
            </w:r>
          </w:p>
        </w:tc>
      </w:tr>
      <w:tr w:rsidR="002930AE" w:rsidRPr="00AF41A6" w14:paraId="0227161F" w14:textId="77777777" w:rsidTr="007B1EDF">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2FE68E57" w14:textId="77777777" w:rsidR="002930AE" w:rsidRPr="00AF41A6" w:rsidRDefault="002930AE" w:rsidP="007B1EDF">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3AEF6045" w14:textId="77777777" w:rsidR="002930AE" w:rsidRPr="00AF41A6" w:rsidRDefault="002930AE" w:rsidP="007B1EDF">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PPM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C4D078B" w14:textId="77777777" w:rsidR="002930AE" w:rsidRPr="00AF41A6" w:rsidRDefault="002930AE" w:rsidP="007B1EDF">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PPM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 change from 2049-2050</w:t>
            </w:r>
          </w:p>
        </w:tc>
      </w:tr>
      <w:tr w:rsidR="002930AE" w:rsidRPr="00AF41A6" w14:paraId="6852C8DA" w14:textId="77777777" w:rsidTr="007B1EDF">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8866B3" w14:textId="796E749F" w:rsidR="002930AE" w:rsidRPr="00AF41A6" w:rsidRDefault="005D2F2A" w:rsidP="007B1EDF">
            <w:pPr>
              <w:shd w:val="clear" w:color="auto" w:fill="FFFFFF" w:themeFill="background1"/>
              <w:spacing w:after="0" w:line="240" w:lineRule="auto"/>
              <w:jc w:val="center"/>
              <w:rPr>
                <w:color w:val="000000" w:themeColor="text1"/>
                <w:sz w:val="20"/>
                <w:szCs w:val="20"/>
                <w:lang w:eastAsia="zh-CN"/>
              </w:rPr>
            </w:pPr>
            <w:r>
              <w:rPr>
                <w:b/>
                <w:bCs/>
                <w:color w:val="000000" w:themeColor="text1"/>
                <w:sz w:val="20"/>
                <w:szCs w:val="20"/>
                <w:lang w:eastAsia="zh-CN"/>
              </w:rPr>
              <w:t>PDS1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D8A6C9" w14:textId="30A0AC3E" w:rsidR="002930AE" w:rsidRPr="00AF41A6" w:rsidRDefault="005D2F2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1.68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8361FC" w14:textId="6A6B4771" w:rsidR="002930AE" w:rsidRPr="00AF41A6" w:rsidRDefault="005D2F2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-0.03</w:t>
            </w:r>
          </w:p>
        </w:tc>
      </w:tr>
      <w:tr w:rsidR="002930AE" w:rsidRPr="00AF41A6" w14:paraId="58B19253" w14:textId="77777777" w:rsidTr="007B1EDF">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F037E6" w14:textId="5BD4AC69" w:rsidR="002930AE" w:rsidRPr="00AF41A6" w:rsidRDefault="005D2F2A" w:rsidP="007B1EDF">
            <w:pPr>
              <w:shd w:val="clear" w:color="auto" w:fill="FFFFFF" w:themeFill="background1"/>
              <w:spacing w:after="0" w:line="240" w:lineRule="auto"/>
              <w:jc w:val="center"/>
              <w:rPr>
                <w:color w:val="000000" w:themeColor="text1"/>
                <w:sz w:val="20"/>
                <w:szCs w:val="20"/>
                <w:lang w:eastAsia="zh-CN"/>
              </w:rPr>
            </w:pPr>
            <w:r>
              <w:rPr>
                <w:b/>
                <w:bCs/>
                <w:color w:val="000000" w:themeColor="text1"/>
                <w:sz w:val="20"/>
                <w:szCs w:val="20"/>
                <w:lang w:eastAsia="zh-CN"/>
              </w:rPr>
              <w:t>PDS2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9D5130" w14:textId="7AFE9124" w:rsidR="002930AE" w:rsidRPr="00AF41A6" w:rsidRDefault="00132B50"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0.40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408816" w14:textId="13131774" w:rsidR="002930AE" w:rsidRPr="00AF41A6" w:rsidRDefault="00132B50"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p>
        </w:tc>
      </w:tr>
      <w:tr w:rsidR="002930AE" w:rsidRPr="00AF41A6" w14:paraId="242C46BC" w14:textId="77777777" w:rsidTr="007B1EDF">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476E4B" w14:textId="25CEC985" w:rsidR="002930AE" w:rsidRPr="00AF41A6" w:rsidRDefault="005D2F2A" w:rsidP="007B1EDF">
            <w:pPr>
              <w:shd w:val="clear" w:color="auto" w:fill="FFFFFF" w:themeFill="background1"/>
              <w:spacing w:after="0" w:line="240" w:lineRule="auto"/>
              <w:jc w:val="center"/>
              <w:rPr>
                <w:color w:val="000000" w:themeColor="text1"/>
                <w:sz w:val="20"/>
                <w:szCs w:val="20"/>
                <w:lang w:eastAsia="zh-CN"/>
              </w:rPr>
            </w:pPr>
            <w:r>
              <w:rPr>
                <w:b/>
                <w:bCs/>
                <w:color w:val="000000" w:themeColor="text1"/>
                <w:sz w:val="20"/>
                <w:szCs w:val="20"/>
                <w:lang w:eastAsia="zh-CN"/>
              </w:rPr>
              <w:t>PDS3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5EFB8D" w14:textId="2AF125BA" w:rsidR="002930AE" w:rsidRPr="00AF41A6" w:rsidRDefault="00DE2C4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E534EC" w14:textId="00412518" w:rsidR="002930AE" w:rsidRPr="00AF41A6" w:rsidRDefault="00DE2C4A" w:rsidP="007B1EDF">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-0.02</w:t>
            </w:r>
          </w:p>
        </w:tc>
      </w:tr>
    </w:tbl>
    <w:p w14:paraId="51A25DA8" w14:textId="77777777" w:rsidR="002930AE" w:rsidRPr="00AF41A6" w:rsidRDefault="002930AE" w:rsidP="002930AE">
      <w:pPr>
        <w:pStyle w:val="Caption"/>
      </w:pPr>
    </w:p>
    <w:p w14:paraId="78B87C27" w14:textId="77777777" w:rsidR="002930AE" w:rsidRPr="00AF41A6" w:rsidRDefault="002930AE" w:rsidP="002930AE"/>
    <w:p w14:paraId="587FDB74" w14:textId="1BBC606E" w:rsidR="002930AE" w:rsidRPr="00AF41A6" w:rsidRDefault="00B02C76" w:rsidP="002930AE">
      <w:pPr>
        <w:jc w:val="center"/>
        <w:rPr>
          <w:highlight w:val="red"/>
        </w:rPr>
      </w:pPr>
      <w:r>
        <w:rPr>
          <w:noProof/>
          <w:lang w:eastAsia="en-US"/>
        </w:rPr>
        <w:drawing>
          <wp:inline distT="0" distB="0" distL="0" distR="0" wp14:anchorId="24CC15E2" wp14:editId="79B19558">
            <wp:extent cx="4819650" cy="287655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C12D193" w14:textId="23026037" w:rsidR="002930AE" w:rsidRPr="00AF41A6" w:rsidRDefault="00F75A79" w:rsidP="00F75A79">
      <w:pPr>
        <w:pStyle w:val="Caption"/>
        <w:rPr>
          <w:rFonts w:eastAsia="Times New Roman" w:cs="Times New Roman"/>
          <w:sz w:val="24"/>
          <w:szCs w:val="24"/>
          <w:lang w:eastAsia="zh-CN"/>
        </w:rPr>
      </w:pPr>
      <w:bookmarkStart w:id="77" w:name="_Ref75951559"/>
      <w:bookmarkStart w:id="78" w:name="_Toc524993433"/>
      <w:bookmarkStart w:id="79" w:name="_Toc75940749"/>
      <w:r>
        <w:t xml:space="preserve">Figure </w:t>
      </w:r>
      <w:fldSimple w:instr=" SEQ Figure \* ARABIC ">
        <w:r w:rsidR="003D1925">
          <w:rPr>
            <w:noProof/>
          </w:rPr>
          <w:t>15</w:t>
        </w:r>
      </w:fldSimple>
      <w:bookmarkEnd w:id="77"/>
      <w:r>
        <w:t>: World a</w:t>
      </w:r>
      <w:r w:rsidR="002930AE" w:rsidRPr="00AF41A6">
        <w:t>nnual</w:t>
      </w:r>
      <w:r w:rsidR="002930AE" w:rsidRPr="00AF41A6">
        <w:rPr>
          <w:vertAlign w:val="subscript"/>
        </w:rPr>
        <w:t xml:space="preserve"> </w:t>
      </w:r>
      <w:r>
        <w:t>greenhouse gas emissions r</w:t>
      </w:r>
      <w:r w:rsidR="002930AE" w:rsidRPr="00AF41A6">
        <w:t>eduction</w:t>
      </w:r>
      <w:bookmarkEnd w:id="78"/>
      <w:r>
        <w:t>.</w:t>
      </w:r>
      <w:bookmarkEnd w:id="79"/>
    </w:p>
    <w:p w14:paraId="66EC2EBB" w14:textId="500D3397" w:rsidR="00B261E0" w:rsidRPr="00AF41A6" w:rsidRDefault="551A77D0" w:rsidP="00D910B7">
      <w:pPr>
        <w:pStyle w:val="Heading2"/>
        <w:numPr>
          <w:ilvl w:val="1"/>
          <w:numId w:val="6"/>
        </w:numPr>
      </w:pPr>
      <w:bookmarkStart w:id="80" w:name="_Toc75953820"/>
      <w:r w:rsidRPr="00AF41A6">
        <w:t>Financial Impacts</w:t>
      </w:r>
      <w:bookmarkEnd w:id="80"/>
    </w:p>
    <w:p w14:paraId="306213A7" w14:textId="77777777" w:rsidR="006B675D" w:rsidRPr="00AF41A6" w:rsidRDefault="006B675D" w:rsidP="006B675D">
      <w:r w:rsidRPr="00AF41A6">
        <w:t>Below are the financial results of the analysis for each scenario. For a detailed explanation of each result, please see the glossary.</w:t>
      </w:r>
    </w:p>
    <w:p w14:paraId="4F6C2C45" w14:textId="77777777" w:rsidR="00E14F94" w:rsidRPr="00AF41A6" w:rsidRDefault="00E14F94" w:rsidP="00EB247F">
      <w:pPr>
        <w:spacing w:after="0"/>
        <w:rPr>
          <w:bCs/>
          <w:i/>
        </w:rPr>
      </w:pPr>
    </w:p>
    <w:p w14:paraId="09347CCA" w14:textId="32B34C5F" w:rsidR="00492F5E" w:rsidRPr="00AF41A6" w:rsidRDefault="003C7B93" w:rsidP="003C7B93">
      <w:pPr>
        <w:pStyle w:val="Caption"/>
        <w:rPr>
          <w:i w:val="0"/>
          <w:iCs w:val="0"/>
        </w:rPr>
      </w:pPr>
      <w:bookmarkStart w:id="81" w:name="_Ref75865890"/>
      <w:bookmarkStart w:id="82" w:name="_Toc75940758"/>
      <w:r>
        <w:t xml:space="preserve">Table </w:t>
      </w:r>
      <w:fldSimple w:instr=" SEQ Table \* ARABIC ">
        <w:r w:rsidR="00FA60FD">
          <w:rPr>
            <w:noProof/>
          </w:rPr>
          <w:t>7</w:t>
        </w:r>
      </w:fldSimple>
      <w:bookmarkEnd w:id="81"/>
      <w:r>
        <w:t>:</w:t>
      </w:r>
      <w:r w:rsidR="00492F5E" w:rsidRPr="00AF41A6">
        <w:t xml:space="preserve"> Financial Impacts</w:t>
      </w:r>
      <w:bookmarkEnd w:id="82"/>
    </w:p>
    <w:tbl>
      <w:tblPr>
        <w:tblW w:w="0" w:type="auto"/>
        <w:tblCellMar>
          <w:top w:w="15" w:type="dxa"/>
          <w:left w:w="15" w:type="dxa"/>
          <w:bottom w:w="15" w:type="dxa"/>
          <w:right w:w="15" w:type="dxa"/>
        </w:tblCellMar>
        <w:tblLook w:val="04A0" w:firstRow="1" w:lastRow="0" w:firstColumn="1" w:lastColumn="0" w:noHBand="0" w:noVBand="1"/>
      </w:tblPr>
      <w:tblGrid>
        <w:gridCol w:w="945"/>
        <w:gridCol w:w="1906"/>
        <w:gridCol w:w="1864"/>
        <w:gridCol w:w="1907"/>
        <w:gridCol w:w="2718"/>
      </w:tblGrid>
      <w:tr w:rsidR="005D2F2A" w:rsidRPr="00AF41A6" w14:paraId="02CA9FB7" w14:textId="77777777" w:rsidTr="00D85EDB">
        <w:trPr>
          <w:cantSplit/>
          <w:trHeight w:val="820"/>
          <w:tblHead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5D2F2A" w:rsidRPr="00AF41A6" w:rsidRDefault="005D2F2A" w:rsidP="00AD4CF8">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5D2F2A" w:rsidRPr="00AF41A6" w:rsidRDefault="005D2F2A" w:rsidP="00AD4CF8">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Cumulative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5D2F2A" w:rsidRPr="00AF41A6" w:rsidRDefault="005D2F2A" w:rsidP="00AD4CF8">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Marginal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5D2F2A" w:rsidRPr="00AF41A6" w:rsidRDefault="005D2F2A" w:rsidP="00AD4CF8">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Net Operating Savings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6AF9036D" w:rsidR="005D2F2A" w:rsidRPr="005D2F2A" w:rsidRDefault="005D2F2A" w:rsidP="005D2F2A">
            <w:pPr>
              <w:spacing w:after="0" w:line="240" w:lineRule="auto"/>
              <w:jc w:val="center"/>
              <w:rPr>
                <w:b/>
                <w:color w:val="FFFFFF" w:themeColor="background1"/>
                <w:sz w:val="20"/>
                <w:szCs w:val="20"/>
                <w:lang w:eastAsia="zh-CN"/>
              </w:rPr>
            </w:pPr>
            <w:r>
              <w:rPr>
                <w:b/>
                <w:bCs/>
                <w:color w:val="FFFFFF" w:themeColor="background1"/>
                <w:sz w:val="20"/>
                <w:szCs w:val="20"/>
                <w:lang w:eastAsia="zh-CN"/>
              </w:rPr>
              <w:t xml:space="preserve">Average abatement cost 2020-2050 </w:t>
            </w:r>
          </w:p>
        </w:tc>
      </w:tr>
      <w:tr w:rsidR="005D2F2A" w:rsidRPr="00AF41A6" w14:paraId="67FE449F" w14:textId="77777777" w:rsidTr="00D85EDB">
        <w:trPr>
          <w:cantSplit/>
          <w:trHeight w:val="640"/>
          <w:tblHead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5D2F2A" w:rsidRPr="00AF41A6" w:rsidRDefault="005D2F2A" w:rsidP="00AD4CF8">
            <w:pPr>
              <w:spacing w:after="0" w:line="240" w:lineRule="auto"/>
              <w:jc w:val="center"/>
              <w:rPr>
                <w:rFonts w:eastAsia="Times New Roman" w:cstheme="minorHAnsi"/>
                <w:b/>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0E6E98A4" w:rsidR="005D2F2A" w:rsidRPr="00AF41A6" w:rsidRDefault="005D2F2A" w:rsidP="00AD4CF8">
            <w:pPr>
              <w:spacing w:after="0" w:line="240" w:lineRule="auto"/>
              <w:jc w:val="center"/>
              <w:rPr>
                <w:i/>
                <w:color w:val="FFFFFF" w:themeColor="background1"/>
                <w:sz w:val="20"/>
                <w:szCs w:val="20"/>
                <w:lang w:eastAsia="zh-CN"/>
              </w:rPr>
            </w:pPr>
            <w:r>
              <w:rPr>
                <w:i/>
                <w:color w:val="FFFFFF" w:themeColor="background1"/>
                <w:sz w:val="20"/>
                <w:szCs w:val="20"/>
                <w:lang w:eastAsia="zh-CN"/>
              </w:rPr>
              <w:t>2020</w:t>
            </w:r>
            <w:r w:rsidRPr="00AF41A6">
              <w:rPr>
                <w:i/>
                <w:color w:val="FFFFFF" w:themeColor="background1"/>
                <w:sz w:val="20"/>
                <w:szCs w:val="20"/>
                <w:lang w:eastAsia="zh-CN"/>
              </w:rPr>
              <w:t>-2050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638E798E" w:rsidR="005D2F2A" w:rsidRPr="00AF41A6" w:rsidRDefault="005D2F2A" w:rsidP="00AD4CF8">
            <w:pPr>
              <w:spacing w:after="0" w:line="240" w:lineRule="auto"/>
              <w:jc w:val="center"/>
              <w:rPr>
                <w:i/>
                <w:color w:val="FFFFFF" w:themeColor="background1"/>
                <w:sz w:val="20"/>
                <w:szCs w:val="20"/>
                <w:lang w:eastAsia="zh-CN"/>
              </w:rPr>
            </w:pPr>
            <w:r>
              <w:rPr>
                <w:i/>
                <w:color w:val="FFFFFF" w:themeColor="background1"/>
                <w:sz w:val="20"/>
                <w:szCs w:val="20"/>
                <w:lang w:eastAsia="zh-CN"/>
              </w:rPr>
              <w:t>2020</w:t>
            </w:r>
            <w:r w:rsidRPr="00AF41A6">
              <w:rPr>
                <w:i/>
                <w:color w:val="FFFFFF" w:themeColor="background1"/>
                <w:sz w:val="20"/>
                <w:szCs w:val="20"/>
                <w:lang w:eastAsia="zh-CN"/>
              </w:rPr>
              <w:t>-2050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5D2F2A" w:rsidRPr="00AF41A6" w:rsidRDefault="005D2F2A" w:rsidP="00AD4CF8">
            <w:pPr>
              <w:spacing w:after="0" w:line="240" w:lineRule="auto"/>
              <w:jc w:val="center"/>
              <w:rPr>
                <w:i/>
                <w:color w:val="FFFFFF" w:themeColor="background1"/>
                <w:sz w:val="20"/>
                <w:szCs w:val="20"/>
                <w:lang w:eastAsia="zh-CN"/>
              </w:rPr>
            </w:pPr>
            <w:r w:rsidRPr="00AF41A6">
              <w:rPr>
                <w:i/>
                <w:color w:val="FFFFFF" w:themeColor="background1"/>
                <w:sz w:val="20"/>
                <w:szCs w:val="20"/>
                <w:lang w:eastAsia="zh-CN"/>
              </w:rPr>
              <w:t>2020-2050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30472E47" w:rsidR="005D2F2A" w:rsidRPr="005D2F2A" w:rsidRDefault="005D2F2A" w:rsidP="00AD4CF8">
            <w:pPr>
              <w:spacing w:after="0" w:line="240" w:lineRule="auto"/>
              <w:jc w:val="center"/>
              <w:rPr>
                <w:i/>
                <w:color w:val="FFFFFF" w:themeColor="background1"/>
                <w:sz w:val="20"/>
                <w:szCs w:val="20"/>
                <w:lang w:eastAsia="zh-CN"/>
              </w:rPr>
            </w:pPr>
            <w:r w:rsidRPr="005D2F2A">
              <w:rPr>
                <w:bCs/>
                <w:color w:val="FFFFFF" w:themeColor="background1"/>
                <w:sz w:val="20"/>
                <w:szCs w:val="20"/>
                <w:lang w:eastAsia="zh-CN"/>
              </w:rPr>
              <w:t>$/tCO</w:t>
            </w:r>
            <w:r w:rsidRPr="005D2F2A">
              <w:rPr>
                <w:bCs/>
                <w:color w:val="FFFFFF" w:themeColor="background1"/>
                <w:sz w:val="20"/>
                <w:szCs w:val="20"/>
                <w:vertAlign w:val="subscript"/>
                <w:lang w:eastAsia="zh-CN"/>
              </w:rPr>
              <w:t>2</w:t>
            </w:r>
            <w:r>
              <w:rPr>
                <w:bCs/>
                <w:color w:val="FFFFFF" w:themeColor="background1"/>
                <w:sz w:val="20"/>
                <w:szCs w:val="20"/>
                <w:lang w:eastAsia="zh-CN"/>
              </w:rPr>
              <w:t>-e</w:t>
            </w:r>
          </w:p>
        </w:tc>
      </w:tr>
      <w:tr w:rsidR="005D2F2A" w:rsidRPr="00AF41A6" w14:paraId="2CCDE781"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21614C41" w:rsidR="005D2F2A" w:rsidRPr="00AF41A6" w:rsidRDefault="005D2F2A" w:rsidP="00AD4CF8">
            <w:pPr>
              <w:spacing w:after="0" w:line="240" w:lineRule="auto"/>
              <w:jc w:val="center"/>
              <w:rPr>
                <w:sz w:val="20"/>
                <w:szCs w:val="20"/>
                <w:lang w:eastAsia="zh-CN"/>
              </w:rPr>
            </w:pPr>
            <w:r>
              <w:rPr>
                <w:b/>
                <w:bCs/>
                <w:color w:val="000000" w:themeColor="text1"/>
                <w:sz w:val="20"/>
                <w:szCs w:val="20"/>
                <w:lang w:eastAsia="zh-CN"/>
              </w:rPr>
              <w:t>PDS1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515D5F2" w14:textId="6BDA1659" w:rsidR="005D2F2A" w:rsidRPr="00AF41A6" w:rsidRDefault="005D2F2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127.95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BD6A13" w14:textId="28984567" w:rsidR="005D2F2A" w:rsidRPr="00AF41A6" w:rsidRDefault="005D2F2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127.95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A9B277B" w14:textId="74AB37A3" w:rsidR="005D2F2A" w:rsidRPr="00AF41A6" w:rsidRDefault="005D2F2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-56.84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403F6C" w14:textId="35C72E2A" w:rsidR="005D2F2A" w:rsidRPr="00AF41A6" w:rsidRDefault="005D2F2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8.64</w:t>
            </w:r>
          </w:p>
        </w:tc>
      </w:tr>
      <w:tr w:rsidR="005D2F2A" w:rsidRPr="00AF41A6" w14:paraId="6C3482B4"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06109670" w:rsidR="005D2F2A" w:rsidRPr="00AF41A6" w:rsidRDefault="005D2F2A" w:rsidP="00AD4CF8">
            <w:pPr>
              <w:spacing w:after="0" w:line="240" w:lineRule="auto"/>
              <w:jc w:val="center"/>
              <w:rPr>
                <w:sz w:val="20"/>
                <w:szCs w:val="20"/>
                <w:lang w:eastAsia="zh-CN"/>
              </w:rPr>
            </w:pPr>
            <w:r>
              <w:rPr>
                <w:b/>
                <w:bCs/>
                <w:color w:val="000000" w:themeColor="text1"/>
                <w:sz w:val="20"/>
                <w:szCs w:val="20"/>
                <w:lang w:eastAsia="zh-CN"/>
              </w:rPr>
              <w:t>PDS2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32B376" w14:textId="5E777CE7" w:rsidR="005D2F2A" w:rsidRPr="00AF41A6" w:rsidRDefault="00132B50"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49.09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1B939A" w14:textId="28FF99DD" w:rsidR="005D2F2A" w:rsidRPr="00AF41A6" w:rsidRDefault="00132B50"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49.09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FA5DB3" w14:textId="70BE74FF" w:rsidR="005D2F2A" w:rsidRPr="00AF41A6" w:rsidRDefault="00132B50"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-13.72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47233A8" w14:textId="559B3FF0" w:rsidR="005D2F2A" w:rsidRPr="00AF41A6" w:rsidRDefault="00132B50"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12.12</w:t>
            </w:r>
          </w:p>
        </w:tc>
      </w:tr>
      <w:tr w:rsidR="005D2F2A" w:rsidRPr="00AF41A6" w14:paraId="76A27626"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3E236F64" w:rsidR="005D2F2A" w:rsidRPr="00AF41A6" w:rsidRDefault="005D2F2A" w:rsidP="00AD4CF8">
            <w:pPr>
              <w:spacing w:after="0" w:line="240" w:lineRule="auto"/>
              <w:jc w:val="center"/>
              <w:rPr>
                <w:sz w:val="20"/>
                <w:szCs w:val="20"/>
                <w:lang w:eastAsia="zh-CN"/>
              </w:rPr>
            </w:pPr>
            <w:r>
              <w:rPr>
                <w:b/>
                <w:bCs/>
                <w:color w:val="000000" w:themeColor="text1"/>
                <w:sz w:val="20"/>
                <w:szCs w:val="20"/>
                <w:lang w:eastAsia="zh-CN"/>
              </w:rPr>
              <w:t>PDS3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D3AF255" w14:textId="5E38B8FF" w:rsidR="005D2F2A" w:rsidRPr="00AF41A6" w:rsidRDefault="00DE2C4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95.73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96F6A9C" w14:textId="411E0014" w:rsidR="005D2F2A" w:rsidRPr="00AF41A6" w:rsidRDefault="00DE2C4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95.73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259EAAB" w14:textId="36F5E7A4" w:rsidR="005D2F2A" w:rsidRPr="00AF41A6" w:rsidRDefault="00DE2C4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-39.44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F14A8F5" w14:textId="12C45965" w:rsidR="005D2F2A" w:rsidRPr="00AF41A6" w:rsidRDefault="00DE2C4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9.09</w:t>
            </w:r>
          </w:p>
        </w:tc>
      </w:tr>
    </w:tbl>
    <w:p w14:paraId="65064E23" w14:textId="77777777" w:rsidR="00E8320F" w:rsidRPr="00AF41A6" w:rsidRDefault="00E8320F" w:rsidP="00EB247F">
      <w:pPr>
        <w:pStyle w:val="Caption"/>
      </w:pPr>
    </w:p>
    <w:p w14:paraId="373BC169" w14:textId="1D1AC15D" w:rsidR="006B675D" w:rsidRDefault="002930AE" w:rsidP="00D910B7">
      <w:pPr>
        <w:pStyle w:val="Heading2"/>
        <w:numPr>
          <w:ilvl w:val="1"/>
          <w:numId w:val="6"/>
        </w:numPr>
      </w:pPr>
      <w:bookmarkStart w:id="83" w:name="_Ref75772197"/>
      <w:bookmarkStart w:id="84" w:name="_Toc75953821"/>
      <w:bookmarkStart w:id="85" w:name="_Toc524993435"/>
      <w:r w:rsidRPr="00AF41A6">
        <w:t>Alternative scenarios</w:t>
      </w:r>
      <w:bookmarkEnd w:id="83"/>
      <w:bookmarkEnd w:id="84"/>
    </w:p>
    <w:p w14:paraId="2BE05472" w14:textId="581468B0" w:rsidR="00D85EDB" w:rsidRDefault="00D85EDB" w:rsidP="00D85EDB">
      <w:pPr>
        <w:pStyle w:val="Heading4"/>
      </w:pPr>
      <w:r>
        <w:t>Alternative scenario 1</w:t>
      </w:r>
    </w:p>
    <w:p w14:paraId="5B124336" w14:textId="66A95B09" w:rsidR="009D3D66" w:rsidRPr="009D3D66" w:rsidRDefault="009D3D66" w:rsidP="009D3D66">
      <w:r>
        <w:t xml:space="preserve">Adoption scenarios are all applied to the TAM from PDS1, to highlight differences between adoption cases against a consistent TAM. </w:t>
      </w:r>
    </w:p>
    <w:p w14:paraId="4EE8E76B" w14:textId="2922A57E" w:rsidR="000974C1" w:rsidRDefault="000974C1" w:rsidP="000974C1">
      <w:r>
        <w:rPr>
          <w:noProof/>
          <w:lang w:eastAsia="en-US"/>
        </w:rPr>
        <w:drawing>
          <wp:inline distT="0" distB="0" distL="0" distR="0" wp14:anchorId="31339037" wp14:editId="3347348C">
            <wp:extent cx="5868237" cy="2692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CF1342" w14:textId="5285FC00" w:rsidR="009D3D66" w:rsidRDefault="009D3D66" w:rsidP="009D3D66">
      <w:pPr>
        <w:pStyle w:val="Caption"/>
      </w:pPr>
      <w:bookmarkStart w:id="86" w:name="_Toc75940750"/>
      <w:r>
        <w:t xml:space="preserve">Figure </w:t>
      </w:r>
      <w:fldSimple w:instr=" SEQ Figure \* ARABIC ">
        <w:r w:rsidR="003D1925">
          <w:rPr>
            <w:noProof/>
          </w:rPr>
          <w:t>16</w:t>
        </w:r>
      </w:fldSimple>
      <w:r>
        <w:t>: Adoption cases in alternative scenario 1.</w:t>
      </w:r>
      <w:bookmarkEnd w:id="86"/>
    </w:p>
    <w:p w14:paraId="79217E1D" w14:textId="22F4B651" w:rsidR="009D3D66" w:rsidRPr="009D3D66" w:rsidRDefault="009D3D66" w:rsidP="009D3D66">
      <w:pPr>
        <w:pStyle w:val="Caption"/>
      </w:pPr>
      <w:bookmarkStart w:id="87" w:name="_Toc75940759"/>
      <w:r>
        <w:t xml:space="preserve">Table </w:t>
      </w:r>
      <w:fldSimple w:instr=" SEQ Table \* ARABIC ">
        <w:r w:rsidR="00FA60FD">
          <w:rPr>
            <w:noProof/>
          </w:rPr>
          <w:t>8</w:t>
        </w:r>
      </w:fldSimple>
      <w:r>
        <w:t>: Key climate results in alternative scenario 1.</w:t>
      </w:r>
      <w:bookmarkEnd w:id="87"/>
    </w:p>
    <w:tbl>
      <w:tblPr>
        <w:tblW w:w="0" w:type="auto"/>
        <w:jc w:val="center"/>
        <w:tblCellMar>
          <w:top w:w="15" w:type="dxa"/>
          <w:left w:w="15" w:type="dxa"/>
          <w:bottom w:w="15" w:type="dxa"/>
          <w:right w:w="15" w:type="dxa"/>
        </w:tblCellMar>
        <w:tblLook w:val="04A0" w:firstRow="1" w:lastRow="0" w:firstColumn="1" w:lastColumn="0" w:noHBand="0" w:noVBand="1"/>
      </w:tblPr>
      <w:tblGrid>
        <w:gridCol w:w="945"/>
        <w:gridCol w:w="2599"/>
        <w:gridCol w:w="1924"/>
        <w:gridCol w:w="1851"/>
        <w:gridCol w:w="2021"/>
      </w:tblGrid>
      <w:tr w:rsidR="00E12488" w:rsidRPr="00AF41A6" w14:paraId="5E85E51B" w14:textId="77777777" w:rsidTr="00D85EDB">
        <w:trPr>
          <w:cantSplit/>
          <w:trHeight w:val="124"/>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470C5E83"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409296CA"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Maximum Annual Emissions Reduction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52AF9CFF"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Total Emissions Reduction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vAlign w:val="center"/>
          </w:tcPr>
          <w:p w14:paraId="3626C5C5"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b/>
                <w:color w:val="FFFFFF" w:themeColor="background1"/>
                <w:sz w:val="20"/>
                <w:szCs w:val="20"/>
                <w:lang w:eastAsia="zh-CN"/>
              </w:rPr>
              <w:t>Emissions Reduction in 2030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087DD5F6"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Emissions Reduction in 2050</w:t>
            </w:r>
          </w:p>
        </w:tc>
      </w:tr>
      <w:tr w:rsidR="00E12488" w:rsidRPr="00AF41A6" w14:paraId="44D78C15" w14:textId="77777777" w:rsidTr="00D85EDB">
        <w:trPr>
          <w:cantSplit/>
          <w:trHeight w:val="97"/>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8064A2" w:themeFill="accent4"/>
            <w:vAlign w:val="center"/>
            <w:hideMark/>
          </w:tcPr>
          <w:p w14:paraId="51B31320" w14:textId="77777777" w:rsidR="00E12488" w:rsidRPr="00AF41A6" w:rsidRDefault="00E12488" w:rsidP="00F75A79">
            <w:pPr>
              <w:spacing w:line="240" w:lineRule="auto"/>
              <w:jc w:val="center"/>
              <w:rPr>
                <w:rFonts w:cstheme="minorHAnsi"/>
                <w:b/>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5DF1960E"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-eq/yr.)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1816725A"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Pr>
                <w:rFonts w:cstheme="minorHAnsi"/>
                <w:bCs/>
                <w:i/>
                <w:color w:val="FFFFFF" w:themeColor="background1"/>
                <w:sz w:val="20"/>
                <w:szCs w:val="20"/>
                <w:lang w:eastAsia="zh-CN"/>
              </w:rPr>
              <w:t>-eq</w:t>
            </w:r>
            <w:r w:rsidRPr="00AF41A6">
              <w:rPr>
                <w:rFonts w:cstheme="minorHAnsi"/>
                <w:bCs/>
                <w:i/>
                <w:color w:val="FFFFFF" w:themeColor="background1"/>
                <w:sz w:val="20"/>
                <w:szCs w:val="20"/>
                <w:lang w:eastAsia="zh-CN"/>
              </w:rPr>
              <w:t xml:space="preserve"> (2020-2050)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vAlign w:val="center"/>
          </w:tcPr>
          <w:p w14:paraId="302DA350"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color w:val="FFFFFF" w:themeColor="background1"/>
                <w:sz w:val="20"/>
                <w:szCs w:val="20"/>
                <w:lang w:eastAsia="zh-CN"/>
              </w:rPr>
              <w:t>(Gt CO</w:t>
            </w:r>
            <w:r w:rsidRPr="00AF41A6">
              <w:rPr>
                <w:color w:val="FFFFFF" w:themeColor="background1"/>
                <w:sz w:val="20"/>
                <w:szCs w:val="20"/>
                <w:vertAlign w:val="subscript"/>
                <w:lang w:eastAsia="zh-CN"/>
              </w:rPr>
              <w:t>2</w:t>
            </w:r>
            <w:r w:rsidRPr="00AF41A6">
              <w:rPr>
                <w:color w:val="FFFFFF" w:themeColor="background1"/>
                <w:sz w:val="20"/>
                <w:szCs w:val="20"/>
                <w:lang w:eastAsia="zh-CN"/>
              </w:rPr>
              <w:t>-eq/year)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61DF0BE0"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-eq/year)</w:t>
            </w:r>
          </w:p>
        </w:tc>
      </w:tr>
      <w:tr w:rsidR="00E12488" w:rsidRPr="00AF41A6" w14:paraId="3E623D4D"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C25D733" w14:textId="290CEE70" w:rsidR="00E12488" w:rsidRPr="00AF41A6" w:rsidRDefault="00E12488" w:rsidP="00F75A79">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BD83A2" w14:textId="77777777"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1.28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B6FE253" w14:textId="77777777"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21.39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4A6963" w14:textId="77777777"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0.70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47B9CFB5" w14:textId="77777777"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p>
        </w:tc>
      </w:tr>
      <w:tr w:rsidR="00E12488" w:rsidRPr="00AF41A6" w14:paraId="09B05C8A"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9D6980D" w14:textId="77777777" w:rsidR="00E12488" w:rsidRPr="00AF41A6" w:rsidRDefault="00E12488" w:rsidP="00F75A79">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89405D7" w14:textId="43882A32"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1.42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B0B7CA" w14:textId="2BF3D03B"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25.88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77A13" w14:textId="59C793EF"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1.05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2F6325DD" w14:textId="58831482"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p>
        </w:tc>
      </w:tr>
      <w:tr w:rsidR="00E12488" w:rsidRPr="00AF41A6" w14:paraId="4B79326C"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DAD806" w14:textId="77777777" w:rsidR="00E12488" w:rsidRPr="00AF41A6" w:rsidRDefault="00E12488" w:rsidP="00F75A79">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F9E395E" w14:textId="7711A531"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1.43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40BA729" w14:textId="37B6B384"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27.89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18ABD4" w14:textId="7AFB4B9F"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1.40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7384DF58" w14:textId="7A6BD5A5" w:rsidR="00E12488" w:rsidRPr="00AF41A6" w:rsidRDefault="00E12488"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p>
        </w:tc>
      </w:tr>
    </w:tbl>
    <w:p w14:paraId="07D665CF" w14:textId="77777777" w:rsidR="00E12488" w:rsidRDefault="00E12488" w:rsidP="000974C1"/>
    <w:p w14:paraId="2CEC2C1D" w14:textId="1C87D478" w:rsidR="009D3D66" w:rsidRDefault="009D3D66" w:rsidP="009D3D66">
      <w:pPr>
        <w:pStyle w:val="Caption"/>
      </w:pPr>
      <w:bookmarkStart w:id="88" w:name="_Toc75940760"/>
      <w:r>
        <w:t xml:space="preserve">Table </w:t>
      </w:r>
      <w:fldSimple w:instr=" SEQ Table \* ARABIC ">
        <w:r w:rsidR="00FA60FD">
          <w:rPr>
            <w:noProof/>
          </w:rPr>
          <w:t>9</w:t>
        </w:r>
      </w:fldSimple>
      <w:r>
        <w:t>: Key financial results in alternative scenario 1.</w:t>
      </w:r>
      <w:bookmarkEnd w:id="88"/>
    </w:p>
    <w:p w14:paraId="7B9A7040" w14:textId="77777777" w:rsidR="00E12488" w:rsidRDefault="00E12488" w:rsidP="000974C1"/>
    <w:tbl>
      <w:tblPr>
        <w:tblW w:w="0" w:type="auto"/>
        <w:tblCellMar>
          <w:top w:w="15" w:type="dxa"/>
          <w:left w:w="15" w:type="dxa"/>
          <w:bottom w:w="15" w:type="dxa"/>
          <w:right w:w="15" w:type="dxa"/>
        </w:tblCellMar>
        <w:tblLook w:val="04A0" w:firstRow="1" w:lastRow="0" w:firstColumn="1" w:lastColumn="0" w:noHBand="0" w:noVBand="1"/>
      </w:tblPr>
      <w:tblGrid>
        <w:gridCol w:w="945"/>
        <w:gridCol w:w="1906"/>
        <w:gridCol w:w="1864"/>
        <w:gridCol w:w="1907"/>
        <w:gridCol w:w="2718"/>
      </w:tblGrid>
      <w:tr w:rsidR="00E12488" w:rsidRPr="005D2F2A" w14:paraId="668A9127" w14:textId="77777777" w:rsidTr="00D85EDB">
        <w:trPr>
          <w:cantSplit/>
          <w:trHeight w:val="820"/>
          <w:tblHead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7CD9F265"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5034FCB5"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Cumulative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1BCF9AE0"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Marginal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0675452A"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Net Operating Savings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5BEB222A" w14:textId="77777777" w:rsidR="00E12488" w:rsidRPr="005D2F2A" w:rsidRDefault="00E12488" w:rsidP="00F75A79">
            <w:pPr>
              <w:spacing w:after="0" w:line="240" w:lineRule="auto"/>
              <w:jc w:val="center"/>
              <w:rPr>
                <w:b/>
                <w:color w:val="FFFFFF" w:themeColor="background1"/>
                <w:sz w:val="20"/>
                <w:szCs w:val="20"/>
                <w:lang w:eastAsia="zh-CN"/>
              </w:rPr>
            </w:pPr>
            <w:r>
              <w:rPr>
                <w:b/>
                <w:bCs/>
                <w:color w:val="FFFFFF" w:themeColor="background1"/>
                <w:sz w:val="20"/>
                <w:szCs w:val="20"/>
                <w:lang w:eastAsia="zh-CN"/>
              </w:rPr>
              <w:t xml:space="preserve">Average abatement cost 2020-2050 </w:t>
            </w:r>
          </w:p>
        </w:tc>
      </w:tr>
      <w:tr w:rsidR="00E12488" w:rsidRPr="005D2F2A" w14:paraId="0FBC4752" w14:textId="77777777" w:rsidTr="00D85EDB">
        <w:trPr>
          <w:cantSplit/>
          <w:trHeight w:val="640"/>
          <w:tblHeader/>
        </w:trPr>
        <w:tc>
          <w:tcPr>
            <w:tcW w:w="0" w:type="auto"/>
            <w:vMerge/>
            <w:tcBorders>
              <w:top w:val="single" w:sz="8" w:space="0" w:color="000000"/>
              <w:left w:val="single" w:sz="8" w:space="0" w:color="000000"/>
              <w:bottom w:val="single" w:sz="8" w:space="0" w:color="000000"/>
              <w:right w:val="single" w:sz="8" w:space="0" w:color="000000"/>
            </w:tcBorders>
            <w:shd w:val="clear" w:color="auto" w:fill="8064A2" w:themeFill="accent4"/>
            <w:vAlign w:val="center"/>
            <w:hideMark/>
          </w:tcPr>
          <w:p w14:paraId="6CEF7495" w14:textId="77777777" w:rsidR="00E12488" w:rsidRPr="00AF41A6" w:rsidRDefault="00E12488" w:rsidP="00F75A79">
            <w:pPr>
              <w:spacing w:after="0" w:line="240" w:lineRule="auto"/>
              <w:jc w:val="center"/>
              <w:rPr>
                <w:rFonts w:eastAsia="Times New Roman" w:cstheme="minorHAnsi"/>
                <w:b/>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39587C27" w14:textId="77777777" w:rsidR="00E12488" w:rsidRPr="00AF41A6" w:rsidRDefault="00E12488" w:rsidP="00F75A79">
            <w:pPr>
              <w:spacing w:after="0" w:line="240" w:lineRule="auto"/>
              <w:jc w:val="center"/>
              <w:rPr>
                <w:i/>
                <w:color w:val="FFFFFF" w:themeColor="background1"/>
                <w:sz w:val="20"/>
                <w:szCs w:val="20"/>
                <w:lang w:eastAsia="zh-CN"/>
              </w:rPr>
            </w:pPr>
            <w:r>
              <w:rPr>
                <w:i/>
                <w:color w:val="FFFFFF" w:themeColor="background1"/>
                <w:sz w:val="20"/>
                <w:szCs w:val="20"/>
                <w:lang w:eastAsia="zh-CN"/>
              </w:rPr>
              <w:t>2020</w:t>
            </w:r>
            <w:r w:rsidRPr="00AF41A6">
              <w:rPr>
                <w:i/>
                <w:color w:val="FFFFFF" w:themeColor="background1"/>
                <w:sz w:val="20"/>
                <w:szCs w:val="20"/>
                <w:lang w:eastAsia="zh-CN"/>
              </w:rPr>
              <w:t>-2050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129FC01C" w14:textId="77777777" w:rsidR="00E12488" w:rsidRPr="00AF41A6" w:rsidRDefault="00E12488" w:rsidP="00F75A79">
            <w:pPr>
              <w:spacing w:after="0" w:line="240" w:lineRule="auto"/>
              <w:jc w:val="center"/>
              <w:rPr>
                <w:i/>
                <w:color w:val="FFFFFF" w:themeColor="background1"/>
                <w:sz w:val="20"/>
                <w:szCs w:val="20"/>
                <w:lang w:eastAsia="zh-CN"/>
              </w:rPr>
            </w:pPr>
            <w:r>
              <w:rPr>
                <w:i/>
                <w:color w:val="FFFFFF" w:themeColor="background1"/>
                <w:sz w:val="20"/>
                <w:szCs w:val="20"/>
                <w:lang w:eastAsia="zh-CN"/>
              </w:rPr>
              <w:t>2020</w:t>
            </w:r>
            <w:r w:rsidRPr="00AF41A6">
              <w:rPr>
                <w:i/>
                <w:color w:val="FFFFFF" w:themeColor="background1"/>
                <w:sz w:val="20"/>
                <w:szCs w:val="20"/>
                <w:lang w:eastAsia="zh-CN"/>
              </w:rPr>
              <w:t>-2050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1599A0C8" w14:textId="77777777" w:rsidR="00E12488" w:rsidRPr="00AF41A6" w:rsidRDefault="00E12488" w:rsidP="00F75A79">
            <w:pPr>
              <w:spacing w:after="0" w:line="240" w:lineRule="auto"/>
              <w:jc w:val="center"/>
              <w:rPr>
                <w:i/>
                <w:color w:val="FFFFFF" w:themeColor="background1"/>
                <w:sz w:val="20"/>
                <w:szCs w:val="20"/>
                <w:lang w:eastAsia="zh-CN"/>
              </w:rPr>
            </w:pPr>
            <w:r w:rsidRPr="00AF41A6">
              <w:rPr>
                <w:i/>
                <w:color w:val="FFFFFF" w:themeColor="background1"/>
                <w:sz w:val="20"/>
                <w:szCs w:val="20"/>
                <w:lang w:eastAsia="zh-CN"/>
              </w:rPr>
              <w:t>2020-2050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4A2" w:themeFill="accent4"/>
            <w:tcMar>
              <w:top w:w="100" w:type="dxa"/>
              <w:left w:w="100" w:type="dxa"/>
              <w:bottom w:w="100" w:type="dxa"/>
              <w:right w:w="100" w:type="dxa"/>
            </w:tcMar>
            <w:vAlign w:val="center"/>
            <w:hideMark/>
          </w:tcPr>
          <w:p w14:paraId="41B9CB62" w14:textId="77777777" w:rsidR="00E12488" w:rsidRPr="005D2F2A" w:rsidRDefault="00E12488" w:rsidP="00F75A79">
            <w:pPr>
              <w:spacing w:after="0" w:line="240" w:lineRule="auto"/>
              <w:jc w:val="center"/>
              <w:rPr>
                <w:i/>
                <w:color w:val="FFFFFF" w:themeColor="background1"/>
                <w:sz w:val="20"/>
                <w:szCs w:val="20"/>
                <w:lang w:eastAsia="zh-CN"/>
              </w:rPr>
            </w:pPr>
            <w:r w:rsidRPr="005D2F2A">
              <w:rPr>
                <w:bCs/>
                <w:color w:val="FFFFFF" w:themeColor="background1"/>
                <w:sz w:val="20"/>
                <w:szCs w:val="20"/>
                <w:lang w:eastAsia="zh-CN"/>
              </w:rPr>
              <w:t>$/tCO</w:t>
            </w:r>
            <w:r w:rsidRPr="005D2F2A">
              <w:rPr>
                <w:bCs/>
                <w:color w:val="FFFFFF" w:themeColor="background1"/>
                <w:sz w:val="20"/>
                <w:szCs w:val="20"/>
                <w:vertAlign w:val="subscript"/>
                <w:lang w:eastAsia="zh-CN"/>
              </w:rPr>
              <w:t>2</w:t>
            </w:r>
            <w:r>
              <w:rPr>
                <w:bCs/>
                <w:color w:val="FFFFFF" w:themeColor="background1"/>
                <w:sz w:val="20"/>
                <w:szCs w:val="20"/>
                <w:lang w:eastAsia="zh-CN"/>
              </w:rPr>
              <w:t>-e</w:t>
            </w:r>
          </w:p>
        </w:tc>
      </w:tr>
      <w:tr w:rsidR="00E12488" w:rsidRPr="00AF41A6" w14:paraId="16D612DB"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08CAAA" w14:textId="77777777" w:rsidR="00E12488" w:rsidRPr="00AF41A6" w:rsidRDefault="00E12488" w:rsidP="007C067F">
            <w:pPr>
              <w:spacing w:after="0" w:line="240" w:lineRule="auto"/>
              <w:jc w:val="left"/>
              <w:rPr>
                <w:sz w:val="20"/>
                <w:szCs w:val="20"/>
                <w:lang w:eastAsia="zh-CN"/>
              </w:rPr>
            </w:pPr>
            <w:r>
              <w:rPr>
                <w:b/>
                <w:bCs/>
                <w:color w:val="000000" w:themeColor="text1"/>
                <w:sz w:val="20"/>
                <w:szCs w:val="20"/>
                <w:lang w:eastAsia="zh-CN"/>
              </w:rPr>
              <w:t>PDS1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D53A63C" w14:textId="77777777"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127.95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D1D3AC5" w14:textId="77777777"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127.95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644B7E" w14:textId="77777777"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-56.84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3B0F5E4" w14:textId="77777777"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8.64</w:t>
            </w:r>
          </w:p>
        </w:tc>
      </w:tr>
      <w:tr w:rsidR="00E12488" w:rsidRPr="00AF41A6" w14:paraId="1F728101"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D9E2C08" w14:textId="77777777" w:rsidR="00E12488" w:rsidRPr="00AF41A6" w:rsidRDefault="00E12488" w:rsidP="007C067F">
            <w:pPr>
              <w:spacing w:after="0" w:line="240" w:lineRule="auto"/>
              <w:jc w:val="left"/>
              <w:rPr>
                <w:sz w:val="20"/>
                <w:szCs w:val="20"/>
                <w:lang w:eastAsia="zh-CN"/>
              </w:rPr>
            </w:pPr>
            <w:r>
              <w:rPr>
                <w:b/>
                <w:bCs/>
                <w:color w:val="000000" w:themeColor="text1"/>
                <w:sz w:val="20"/>
                <w:szCs w:val="20"/>
                <w:lang w:eastAsia="zh-CN"/>
              </w:rPr>
              <w:t>PDS2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80C0BE5" w14:textId="54209EA2"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135.42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3113A0" w14:textId="55B11298"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135.42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2CACD40" w14:textId="211DB84C"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-68.72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930C7EC" w14:textId="7FBD63FD"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7.89</w:t>
            </w:r>
          </w:p>
        </w:tc>
      </w:tr>
      <w:tr w:rsidR="00E12488" w:rsidRPr="00AF41A6" w14:paraId="7C66B1A2"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6CBCCCC" w14:textId="77777777" w:rsidR="00E12488" w:rsidRPr="00AF41A6" w:rsidRDefault="00E12488" w:rsidP="007C067F">
            <w:pPr>
              <w:spacing w:after="0" w:line="240" w:lineRule="auto"/>
              <w:jc w:val="left"/>
              <w:rPr>
                <w:sz w:val="20"/>
                <w:szCs w:val="20"/>
                <w:lang w:eastAsia="zh-CN"/>
              </w:rPr>
            </w:pPr>
            <w:r>
              <w:rPr>
                <w:b/>
                <w:bCs/>
                <w:color w:val="000000" w:themeColor="text1"/>
                <w:sz w:val="20"/>
                <w:szCs w:val="20"/>
                <w:lang w:eastAsia="zh-CN"/>
              </w:rPr>
              <w:t>PDS3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37C61E2" w14:textId="2DE1816B"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138.30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5C408A5" w14:textId="3F2EB9B7"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138.30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C8C9136" w14:textId="7E978522"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-69.38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7AB9458" w14:textId="15DB5986"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7.62</w:t>
            </w:r>
          </w:p>
        </w:tc>
      </w:tr>
    </w:tbl>
    <w:p w14:paraId="28BCC76E" w14:textId="77777777" w:rsidR="000974C1" w:rsidRDefault="000974C1" w:rsidP="000974C1"/>
    <w:p w14:paraId="6A358E27" w14:textId="239B6EF9" w:rsidR="00D85EDB" w:rsidRDefault="00D85EDB" w:rsidP="00D85EDB">
      <w:pPr>
        <w:pStyle w:val="Heading4"/>
      </w:pPr>
      <w:r>
        <w:t>Alternative scenario 2</w:t>
      </w:r>
    </w:p>
    <w:p w14:paraId="0A16621B" w14:textId="05D6A7A0" w:rsidR="009D3D66" w:rsidRPr="009D3D66" w:rsidRDefault="009D3D66" w:rsidP="009D3D66">
      <w:r>
        <w:t xml:space="preserve">Adoption scenarios are all applied to an exogenous TAM, modified from the IEA’s Net Zero Emissions scenario </w:t>
      </w:r>
      <w:r>
        <w:fldChar w:fldCharType="begin"/>
      </w:r>
      <w:r>
        <w:instrText xml:space="preserve"> ADDIN ZOTERO_ITEM CSL_CITATION {"citationID":"2KFuMkos","properties":{"formattedCitation":"(IEA, 2021c)","plainCitation":"(IEA, 2021c)","noteIndex":0},"citationItems":[{"id":1627,"uris":["http://zotero.org/users/7422708/items/HXUT4QW7"],"uri":["http://zotero.org/users/7422708/items/HXUT4QW7"],"itemData":{"id":1627,"type":"article","publisher":"International Energy Agency","title":"Net Zero by 2050","URL":"https://www.iea.org/reports/net-zero-by-2050","author":[{"family":"IEA","given":""}],"issued":{"date-parts":[["2021"]]}}}],"schema":"https://github.com/citation-style-language/schema/raw/master/csl-citation.json"} </w:instrText>
      </w:r>
      <w:r>
        <w:fldChar w:fldCharType="separate"/>
      </w:r>
      <w:r w:rsidRPr="009D3D66">
        <w:rPr>
          <w:rFonts w:cs="Times New Roman"/>
        </w:rPr>
        <w:t>(IEA, 2021c)</w:t>
      </w:r>
      <w:r>
        <w:fldChar w:fldCharType="end"/>
      </w:r>
      <w:r>
        <w:t xml:space="preserve"> for oil and gas production.</w:t>
      </w:r>
      <w:r>
        <w:rPr>
          <w:rStyle w:val="FootnoteReference"/>
        </w:rPr>
        <w:footnoteReference w:id="14"/>
      </w:r>
    </w:p>
    <w:p w14:paraId="4E1F59AB" w14:textId="719ABD63" w:rsidR="000974C1" w:rsidRDefault="009D3D66" w:rsidP="000974C1">
      <w:r>
        <w:rPr>
          <w:noProof/>
          <w:lang w:eastAsia="en-US"/>
        </w:rPr>
        <w:drawing>
          <wp:inline distT="0" distB="0" distL="0" distR="0" wp14:anchorId="586073C7" wp14:editId="68512853">
            <wp:extent cx="5938576" cy="2743200"/>
            <wp:effectExtent l="0" t="0" r="508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105833" w14:textId="617AADA8" w:rsidR="00E12488" w:rsidRDefault="009D3D66" w:rsidP="009D3D66">
      <w:pPr>
        <w:pStyle w:val="Caption"/>
      </w:pPr>
      <w:bookmarkStart w:id="89" w:name="_Toc75940751"/>
      <w:r>
        <w:t xml:space="preserve">Figure </w:t>
      </w:r>
      <w:fldSimple w:instr=" SEQ Figure \* ARABIC ">
        <w:r w:rsidR="003D1925">
          <w:rPr>
            <w:noProof/>
          </w:rPr>
          <w:t>17</w:t>
        </w:r>
      </w:fldSimple>
      <w:r>
        <w:t xml:space="preserve">: Adoption </w:t>
      </w:r>
      <w:r w:rsidR="003C7B93">
        <w:t>in alternative scenario 2.</w:t>
      </w:r>
      <w:bookmarkEnd w:id="89"/>
    </w:p>
    <w:p w14:paraId="5964039E" w14:textId="67DFBAD3" w:rsidR="003C7B93" w:rsidRPr="003C7B93" w:rsidRDefault="003C7B93" w:rsidP="003C7B93">
      <w:pPr>
        <w:pStyle w:val="Caption"/>
      </w:pPr>
      <w:bookmarkStart w:id="90" w:name="_Toc75940761"/>
      <w:r>
        <w:t xml:space="preserve">Table </w:t>
      </w:r>
      <w:fldSimple w:instr=" SEQ Table \* ARABIC ">
        <w:r w:rsidR="00FA60FD">
          <w:rPr>
            <w:noProof/>
          </w:rPr>
          <w:t>10</w:t>
        </w:r>
      </w:fldSimple>
      <w:r>
        <w:t>: Key climate results in alternative scenario 2.</w:t>
      </w:r>
      <w:bookmarkEnd w:id="90"/>
    </w:p>
    <w:tbl>
      <w:tblPr>
        <w:tblW w:w="0" w:type="auto"/>
        <w:jc w:val="center"/>
        <w:tblCellMar>
          <w:top w:w="15" w:type="dxa"/>
          <w:left w:w="15" w:type="dxa"/>
          <w:bottom w:w="15" w:type="dxa"/>
          <w:right w:w="15" w:type="dxa"/>
        </w:tblCellMar>
        <w:tblLook w:val="04A0" w:firstRow="1" w:lastRow="0" w:firstColumn="1" w:lastColumn="0" w:noHBand="0" w:noVBand="1"/>
      </w:tblPr>
      <w:tblGrid>
        <w:gridCol w:w="945"/>
        <w:gridCol w:w="2599"/>
        <w:gridCol w:w="1924"/>
        <w:gridCol w:w="1851"/>
        <w:gridCol w:w="2021"/>
      </w:tblGrid>
      <w:tr w:rsidR="00E12488" w:rsidRPr="00AF41A6" w14:paraId="54EBD997" w14:textId="77777777" w:rsidTr="00D85EDB">
        <w:trPr>
          <w:cantSplit/>
          <w:trHeight w:val="124"/>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7DA92A58"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5DCA6894"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Maximum Annual Emissions Reduction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391AE449"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Total Emissions Reduction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vAlign w:val="center"/>
          </w:tcPr>
          <w:p w14:paraId="57B49B49"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b/>
                <w:color w:val="FFFFFF" w:themeColor="background1"/>
                <w:sz w:val="20"/>
                <w:szCs w:val="20"/>
                <w:lang w:eastAsia="zh-CN"/>
              </w:rPr>
              <w:t>Emissions Reduction in 2030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46B62665" w14:textId="77777777" w:rsidR="00E12488" w:rsidRPr="00AF41A6" w:rsidRDefault="00E12488" w:rsidP="00F75A79">
            <w:pPr>
              <w:spacing w:line="240" w:lineRule="auto"/>
              <w:jc w:val="center"/>
              <w:rPr>
                <w:rFonts w:cstheme="minorHAnsi"/>
                <w:b/>
                <w:bCs/>
                <w:color w:val="FFFFFF" w:themeColor="background1"/>
                <w:sz w:val="20"/>
                <w:szCs w:val="20"/>
                <w:lang w:eastAsia="zh-CN"/>
              </w:rPr>
            </w:pPr>
            <w:r w:rsidRPr="00AF41A6">
              <w:rPr>
                <w:rFonts w:cstheme="minorHAnsi"/>
                <w:b/>
                <w:bCs/>
                <w:color w:val="FFFFFF" w:themeColor="background1"/>
                <w:sz w:val="20"/>
                <w:szCs w:val="20"/>
                <w:lang w:eastAsia="zh-CN"/>
              </w:rPr>
              <w:t>Emissions Reduction in 2050</w:t>
            </w:r>
          </w:p>
        </w:tc>
      </w:tr>
      <w:tr w:rsidR="00E12488" w:rsidRPr="00AF41A6" w14:paraId="3C3A38DF" w14:textId="77777777" w:rsidTr="00D85EDB">
        <w:trPr>
          <w:cantSplit/>
          <w:trHeight w:val="97"/>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C0504D" w:themeFill="accent2"/>
            <w:vAlign w:val="center"/>
            <w:hideMark/>
          </w:tcPr>
          <w:p w14:paraId="77075B15" w14:textId="77777777" w:rsidR="00E12488" w:rsidRPr="00AF41A6" w:rsidRDefault="00E12488" w:rsidP="00F75A79">
            <w:pPr>
              <w:spacing w:line="240" w:lineRule="auto"/>
              <w:jc w:val="center"/>
              <w:rPr>
                <w:rFonts w:cstheme="minorHAnsi"/>
                <w:b/>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703E1DAD"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-eq/yr.)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1A05692A"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Pr>
                <w:rFonts w:cstheme="minorHAnsi"/>
                <w:bCs/>
                <w:i/>
                <w:color w:val="FFFFFF" w:themeColor="background1"/>
                <w:sz w:val="20"/>
                <w:szCs w:val="20"/>
                <w:lang w:eastAsia="zh-CN"/>
              </w:rPr>
              <w:t>-eq</w:t>
            </w:r>
            <w:r w:rsidRPr="00AF41A6">
              <w:rPr>
                <w:rFonts w:cstheme="minorHAnsi"/>
                <w:bCs/>
                <w:i/>
                <w:color w:val="FFFFFF" w:themeColor="background1"/>
                <w:sz w:val="20"/>
                <w:szCs w:val="20"/>
                <w:lang w:eastAsia="zh-CN"/>
              </w:rPr>
              <w:t xml:space="preserve"> (2020-2050)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vAlign w:val="center"/>
          </w:tcPr>
          <w:p w14:paraId="5CA038B6"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color w:val="FFFFFF" w:themeColor="background1"/>
                <w:sz w:val="20"/>
                <w:szCs w:val="20"/>
                <w:lang w:eastAsia="zh-CN"/>
              </w:rPr>
              <w:t>(Gt CO</w:t>
            </w:r>
            <w:r w:rsidRPr="00AF41A6">
              <w:rPr>
                <w:color w:val="FFFFFF" w:themeColor="background1"/>
                <w:sz w:val="20"/>
                <w:szCs w:val="20"/>
                <w:vertAlign w:val="subscript"/>
                <w:lang w:eastAsia="zh-CN"/>
              </w:rPr>
              <w:t>2</w:t>
            </w:r>
            <w:r w:rsidRPr="00AF41A6">
              <w:rPr>
                <w:color w:val="FFFFFF" w:themeColor="background1"/>
                <w:sz w:val="20"/>
                <w:szCs w:val="20"/>
                <w:lang w:eastAsia="zh-CN"/>
              </w:rPr>
              <w:t>-eq/year)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09AC90C3" w14:textId="77777777" w:rsidR="00E12488" w:rsidRPr="00AF41A6" w:rsidRDefault="00E12488" w:rsidP="00F75A79">
            <w:pPr>
              <w:spacing w:line="240" w:lineRule="auto"/>
              <w:jc w:val="center"/>
              <w:rPr>
                <w:rFonts w:cstheme="minorHAnsi"/>
                <w:bCs/>
                <w:i/>
                <w:color w:val="FFFFFF" w:themeColor="background1"/>
                <w:sz w:val="20"/>
                <w:szCs w:val="20"/>
                <w:lang w:eastAsia="zh-CN"/>
              </w:rPr>
            </w:pPr>
            <w:r w:rsidRPr="00AF41A6">
              <w:rPr>
                <w:rFonts w:cstheme="minorHAnsi"/>
                <w:bCs/>
                <w:i/>
                <w:color w:val="FFFFFF" w:themeColor="background1"/>
                <w:sz w:val="20"/>
                <w:szCs w:val="20"/>
                <w:lang w:eastAsia="zh-CN"/>
              </w:rPr>
              <w:t>(Gt CO</w:t>
            </w:r>
            <w:r w:rsidRPr="00AF41A6">
              <w:rPr>
                <w:rFonts w:cstheme="minorHAnsi"/>
                <w:bCs/>
                <w:i/>
                <w:color w:val="FFFFFF" w:themeColor="background1"/>
                <w:sz w:val="20"/>
                <w:szCs w:val="20"/>
                <w:vertAlign w:val="subscript"/>
                <w:lang w:eastAsia="zh-CN"/>
              </w:rPr>
              <w:t>2</w:t>
            </w:r>
            <w:r w:rsidRPr="00AF41A6">
              <w:rPr>
                <w:rFonts w:cstheme="minorHAnsi"/>
                <w:bCs/>
                <w:i/>
                <w:color w:val="FFFFFF" w:themeColor="background1"/>
                <w:sz w:val="20"/>
                <w:szCs w:val="20"/>
                <w:lang w:eastAsia="zh-CN"/>
              </w:rPr>
              <w:t>-eq/year)</w:t>
            </w:r>
          </w:p>
        </w:tc>
      </w:tr>
      <w:tr w:rsidR="00E12488" w:rsidRPr="00AF41A6" w14:paraId="22E214EC"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A4870D" w14:textId="77777777" w:rsidR="00E12488" w:rsidRPr="00AF41A6" w:rsidRDefault="00E12488" w:rsidP="00F75A79">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2DDAE80" w14:textId="36747C66"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0.66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D7C47DA" w14:textId="3F039547"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12.21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70DA" w14:textId="655285EC"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0.44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713F425E" w14:textId="2587DD16"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0.34</w:t>
            </w:r>
          </w:p>
        </w:tc>
      </w:tr>
      <w:tr w:rsidR="00E12488" w:rsidRPr="00AF41A6" w14:paraId="4BE38A75"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649767A" w14:textId="77777777" w:rsidR="00E12488" w:rsidRPr="00AF41A6" w:rsidRDefault="00E12488" w:rsidP="00F75A79">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B5310DE" w14:textId="2AD97C92"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0.79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CBAF9BB" w14:textId="4D8C26E4"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14.23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0B2FAF" w14:textId="23BABF9E"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0.66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6431219E" w14:textId="559A0FB9"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0.34</w:t>
            </w:r>
          </w:p>
        </w:tc>
      </w:tr>
      <w:tr w:rsidR="00E12488" w:rsidRPr="00AF41A6" w14:paraId="163118C9" w14:textId="77777777" w:rsidTr="00D85EDB">
        <w:trPr>
          <w:trHeight w:val="5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3437F18" w14:textId="77777777" w:rsidR="00E12488" w:rsidRPr="00AF41A6" w:rsidRDefault="00E12488" w:rsidP="00F75A79">
            <w:pPr>
              <w:shd w:val="clear" w:color="auto" w:fill="FFFFFF" w:themeFill="background1"/>
              <w:spacing w:after="0" w:line="240" w:lineRule="auto"/>
              <w:jc w:val="center"/>
              <w:rPr>
                <w:i/>
                <w:iCs/>
                <w:color w:val="000000" w:themeColor="text1"/>
                <w:sz w:val="20"/>
                <w:szCs w:val="20"/>
                <w:lang w:eastAsia="zh-CN"/>
              </w:rPr>
            </w:pPr>
            <w:r>
              <w:rPr>
                <w:b/>
                <w:bCs/>
                <w:i/>
                <w:iCs/>
                <w:color w:val="000000" w:themeColor="text1"/>
                <w:sz w:val="20"/>
                <w:szCs w:val="20"/>
                <w:lang w:eastAsia="zh-CN"/>
              </w:rPr>
              <w:t>PDS3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F6FBEB1" w14:textId="45A57522"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0.88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CF3799E" w14:textId="4F2ACD4D"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16.02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DA334" w14:textId="3B113902"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0.88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0BBABEA9" w14:textId="35AE8A59" w:rsidR="00E12488" w:rsidRPr="00AF41A6" w:rsidRDefault="00D530C4" w:rsidP="00F75A79">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0.34</w:t>
            </w:r>
          </w:p>
        </w:tc>
      </w:tr>
    </w:tbl>
    <w:p w14:paraId="7A1473BE" w14:textId="77777777" w:rsidR="00E12488" w:rsidRDefault="00E12488" w:rsidP="000974C1"/>
    <w:p w14:paraId="0D0F2CBD" w14:textId="5FFB4976" w:rsidR="003C7B93" w:rsidRDefault="003C7B93" w:rsidP="003C7B93">
      <w:pPr>
        <w:pStyle w:val="Caption"/>
      </w:pPr>
      <w:bookmarkStart w:id="91" w:name="_Toc75940762"/>
      <w:r>
        <w:t xml:space="preserve">Table </w:t>
      </w:r>
      <w:fldSimple w:instr=" SEQ Table \* ARABIC ">
        <w:r w:rsidR="00FA60FD">
          <w:rPr>
            <w:noProof/>
          </w:rPr>
          <w:t>11</w:t>
        </w:r>
      </w:fldSimple>
      <w:r>
        <w:t>: Key financial results in alternative scenario 2.</w:t>
      </w:r>
      <w:bookmarkEnd w:id="91"/>
    </w:p>
    <w:tbl>
      <w:tblPr>
        <w:tblW w:w="0" w:type="auto"/>
        <w:tblCellMar>
          <w:top w:w="15" w:type="dxa"/>
          <w:left w:w="15" w:type="dxa"/>
          <w:bottom w:w="15" w:type="dxa"/>
          <w:right w:w="15" w:type="dxa"/>
        </w:tblCellMar>
        <w:tblLook w:val="04A0" w:firstRow="1" w:lastRow="0" w:firstColumn="1" w:lastColumn="0" w:noHBand="0" w:noVBand="1"/>
      </w:tblPr>
      <w:tblGrid>
        <w:gridCol w:w="945"/>
        <w:gridCol w:w="1906"/>
        <w:gridCol w:w="1864"/>
        <w:gridCol w:w="1907"/>
        <w:gridCol w:w="2718"/>
      </w:tblGrid>
      <w:tr w:rsidR="00E12488" w:rsidRPr="005D2F2A" w14:paraId="253726EB" w14:textId="77777777" w:rsidTr="00D85EDB">
        <w:trPr>
          <w:cantSplit/>
          <w:trHeight w:val="820"/>
          <w:tblHead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1F925630"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4C01296E"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Cumulative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639F516D"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Marginal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7203B516" w14:textId="77777777" w:rsidR="00E12488" w:rsidRPr="00AF41A6" w:rsidRDefault="00E12488" w:rsidP="00F75A79">
            <w:pPr>
              <w:spacing w:after="0" w:line="240" w:lineRule="auto"/>
              <w:jc w:val="center"/>
              <w:rPr>
                <w:b/>
                <w:color w:val="FFFFFF" w:themeColor="background1"/>
                <w:sz w:val="20"/>
                <w:szCs w:val="20"/>
                <w:lang w:eastAsia="zh-CN"/>
              </w:rPr>
            </w:pPr>
            <w:r w:rsidRPr="00AF41A6">
              <w:rPr>
                <w:b/>
                <w:bCs/>
                <w:color w:val="FFFFFF" w:themeColor="background1"/>
                <w:sz w:val="20"/>
                <w:szCs w:val="20"/>
                <w:lang w:eastAsia="zh-CN"/>
              </w:rPr>
              <w:t>Net Operating Savings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1346FBD0" w14:textId="77777777" w:rsidR="00E12488" w:rsidRPr="005D2F2A" w:rsidRDefault="00E12488" w:rsidP="00F75A79">
            <w:pPr>
              <w:spacing w:after="0" w:line="240" w:lineRule="auto"/>
              <w:jc w:val="center"/>
              <w:rPr>
                <w:b/>
                <w:color w:val="FFFFFF" w:themeColor="background1"/>
                <w:sz w:val="20"/>
                <w:szCs w:val="20"/>
                <w:lang w:eastAsia="zh-CN"/>
              </w:rPr>
            </w:pPr>
            <w:r>
              <w:rPr>
                <w:b/>
                <w:bCs/>
                <w:color w:val="FFFFFF" w:themeColor="background1"/>
                <w:sz w:val="20"/>
                <w:szCs w:val="20"/>
                <w:lang w:eastAsia="zh-CN"/>
              </w:rPr>
              <w:t xml:space="preserve">Average abatement cost 2020-2050 </w:t>
            </w:r>
          </w:p>
        </w:tc>
      </w:tr>
      <w:tr w:rsidR="00E12488" w:rsidRPr="005D2F2A" w14:paraId="6BB6BAA6" w14:textId="77777777" w:rsidTr="00D85EDB">
        <w:trPr>
          <w:cantSplit/>
          <w:trHeight w:val="640"/>
          <w:tblHeader/>
        </w:trPr>
        <w:tc>
          <w:tcPr>
            <w:tcW w:w="0" w:type="auto"/>
            <w:vMerge/>
            <w:tcBorders>
              <w:top w:val="single" w:sz="8" w:space="0" w:color="000000"/>
              <w:left w:val="single" w:sz="8" w:space="0" w:color="000000"/>
              <w:bottom w:val="single" w:sz="8" w:space="0" w:color="000000"/>
              <w:right w:val="single" w:sz="8" w:space="0" w:color="000000"/>
            </w:tcBorders>
            <w:shd w:val="clear" w:color="auto" w:fill="C0504D" w:themeFill="accent2"/>
            <w:vAlign w:val="center"/>
            <w:hideMark/>
          </w:tcPr>
          <w:p w14:paraId="4FDCBC5E" w14:textId="77777777" w:rsidR="00E12488" w:rsidRPr="00AF41A6" w:rsidRDefault="00E12488" w:rsidP="00F75A79">
            <w:pPr>
              <w:spacing w:after="0" w:line="240" w:lineRule="auto"/>
              <w:jc w:val="center"/>
              <w:rPr>
                <w:rFonts w:eastAsia="Times New Roman" w:cstheme="minorHAnsi"/>
                <w:b/>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6233486C" w14:textId="77777777" w:rsidR="00E12488" w:rsidRPr="00AF41A6" w:rsidRDefault="00E12488" w:rsidP="00F75A79">
            <w:pPr>
              <w:spacing w:after="0" w:line="240" w:lineRule="auto"/>
              <w:jc w:val="center"/>
              <w:rPr>
                <w:i/>
                <w:color w:val="FFFFFF" w:themeColor="background1"/>
                <w:sz w:val="20"/>
                <w:szCs w:val="20"/>
                <w:lang w:eastAsia="zh-CN"/>
              </w:rPr>
            </w:pPr>
            <w:r>
              <w:rPr>
                <w:i/>
                <w:color w:val="FFFFFF" w:themeColor="background1"/>
                <w:sz w:val="20"/>
                <w:szCs w:val="20"/>
                <w:lang w:eastAsia="zh-CN"/>
              </w:rPr>
              <w:t>2020</w:t>
            </w:r>
            <w:r w:rsidRPr="00AF41A6">
              <w:rPr>
                <w:i/>
                <w:color w:val="FFFFFF" w:themeColor="background1"/>
                <w:sz w:val="20"/>
                <w:szCs w:val="20"/>
                <w:lang w:eastAsia="zh-CN"/>
              </w:rPr>
              <w:t>-2050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646E551D" w14:textId="77777777" w:rsidR="00E12488" w:rsidRPr="00AF41A6" w:rsidRDefault="00E12488" w:rsidP="00F75A79">
            <w:pPr>
              <w:spacing w:after="0" w:line="240" w:lineRule="auto"/>
              <w:jc w:val="center"/>
              <w:rPr>
                <w:i/>
                <w:color w:val="FFFFFF" w:themeColor="background1"/>
                <w:sz w:val="20"/>
                <w:szCs w:val="20"/>
                <w:lang w:eastAsia="zh-CN"/>
              </w:rPr>
            </w:pPr>
            <w:r>
              <w:rPr>
                <w:i/>
                <w:color w:val="FFFFFF" w:themeColor="background1"/>
                <w:sz w:val="20"/>
                <w:szCs w:val="20"/>
                <w:lang w:eastAsia="zh-CN"/>
              </w:rPr>
              <w:t>2020</w:t>
            </w:r>
            <w:r w:rsidRPr="00AF41A6">
              <w:rPr>
                <w:i/>
                <w:color w:val="FFFFFF" w:themeColor="background1"/>
                <w:sz w:val="20"/>
                <w:szCs w:val="20"/>
                <w:lang w:eastAsia="zh-CN"/>
              </w:rPr>
              <w:t>-2050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77C4195E" w14:textId="77777777" w:rsidR="00E12488" w:rsidRPr="00AF41A6" w:rsidRDefault="00E12488" w:rsidP="00F75A79">
            <w:pPr>
              <w:spacing w:after="0" w:line="240" w:lineRule="auto"/>
              <w:jc w:val="center"/>
              <w:rPr>
                <w:i/>
                <w:color w:val="FFFFFF" w:themeColor="background1"/>
                <w:sz w:val="20"/>
                <w:szCs w:val="20"/>
                <w:lang w:eastAsia="zh-CN"/>
              </w:rPr>
            </w:pPr>
            <w:r w:rsidRPr="00AF41A6">
              <w:rPr>
                <w:i/>
                <w:color w:val="FFFFFF" w:themeColor="background1"/>
                <w:sz w:val="20"/>
                <w:szCs w:val="20"/>
                <w:lang w:eastAsia="zh-CN"/>
              </w:rPr>
              <w:t>2020-2050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504D" w:themeFill="accent2"/>
            <w:tcMar>
              <w:top w:w="100" w:type="dxa"/>
              <w:left w:w="100" w:type="dxa"/>
              <w:bottom w:w="100" w:type="dxa"/>
              <w:right w:w="100" w:type="dxa"/>
            </w:tcMar>
            <w:vAlign w:val="center"/>
            <w:hideMark/>
          </w:tcPr>
          <w:p w14:paraId="390E1134" w14:textId="77777777" w:rsidR="00E12488" w:rsidRPr="005D2F2A" w:rsidRDefault="00E12488" w:rsidP="00F75A79">
            <w:pPr>
              <w:spacing w:after="0" w:line="240" w:lineRule="auto"/>
              <w:jc w:val="center"/>
              <w:rPr>
                <w:i/>
                <w:color w:val="FFFFFF" w:themeColor="background1"/>
                <w:sz w:val="20"/>
                <w:szCs w:val="20"/>
                <w:lang w:eastAsia="zh-CN"/>
              </w:rPr>
            </w:pPr>
            <w:r w:rsidRPr="005D2F2A">
              <w:rPr>
                <w:bCs/>
                <w:color w:val="FFFFFF" w:themeColor="background1"/>
                <w:sz w:val="20"/>
                <w:szCs w:val="20"/>
                <w:lang w:eastAsia="zh-CN"/>
              </w:rPr>
              <w:t>$/tCO</w:t>
            </w:r>
            <w:r w:rsidRPr="005D2F2A">
              <w:rPr>
                <w:bCs/>
                <w:color w:val="FFFFFF" w:themeColor="background1"/>
                <w:sz w:val="20"/>
                <w:szCs w:val="20"/>
                <w:vertAlign w:val="subscript"/>
                <w:lang w:eastAsia="zh-CN"/>
              </w:rPr>
              <w:t>2</w:t>
            </w:r>
            <w:r>
              <w:rPr>
                <w:bCs/>
                <w:color w:val="FFFFFF" w:themeColor="background1"/>
                <w:sz w:val="20"/>
                <w:szCs w:val="20"/>
                <w:lang w:eastAsia="zh-CN"/>
              </w:rPr>
              <w:t>-e</w:t>
            </w:r>
          </w:p>
        </w:tc>
      </w:tr>
      <w:tr w:rsidR="00E12488" w:rsidRPr="00AF41A6" w14:paraId="2D89D28B"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C236C70" w14:textId="77777777" w:rsidR="00E12488" w:rsidRPr="00AF41A6" w:rsidRDefault="00E12488" w:rsidP="00F75A79">
            <w:pPr>
              <w:spacing w:after="0" w:line="240" w:lineRule="auto"/>
              <w:jc w:val="center"/>
              <w:rPr>
                <w:sz w:val="20"/>
                <w:szCs w:val="20"/>
                <w:lang w:eastAsia="zh-CN"/>
              </w:rPr>
            </w:pPr>
            <w:r>
              <w:rPr>
                <w:b/>
                <w:bCs/>
                <w:color w:val="000000" w:themeColor="text1"/>
                <w:sz w:val="20"/>
                <w:szCs w:val="20"/>
                <w:lang w:eastAsia="zh-CN"/>
              </w:rPr>
              <w:t>PDS1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603E186" w14:textId="7AEB3AC0"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60.18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DEFAD8A" w14:textId="1EED9FAA"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60.18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EE17B80" w14:textId="30CF4F3A" w:rsidR="00E12488" w:rsidRPr="00AF41A6" w:rsidRDefault="00E12488" w:rsidP="00D530C4">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w:t>
            </w:r>
            <w:r w:rsidR="00D530C4">
              <w:rPr>
                <w:rFonts w:eastAsia="Times New Roman" w:cstheme="minorHAnsi"/>
                <w:sz w:val="20"/>
                <w:szCs w:val="20"/>
                <w:lang w:eastAsia="zh-CN"/>
              </w:rPr>
              <w:t>32.42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B4B946C" w14:textId="71723509"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7.58</w:t>
            </w:r>
          </w:p>
        </w:tc>
      </w:tr>
      <w:tr w:rsidR="00E12488" w:rsidRPr="00AF41A6" w14:paraId="5CB14A60"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B5EFA23" w14:textId="77777777" w:rsidR="00E12488" w:rsidRPr="00AF41A6" w:rsidRDefault="00E12488" w:rsidP="00F75A79">
            <w:pPr>
              <w:spacing w:after="0" w:line="240" w:lineRule="auto"/>
              <w:jc w:val="center"/>
              <w:rPr>
                <w:sz w:val="20"/>
                <w:szCs w:val="20"/>
                <w:lang w:eastAsia="zh-CN"/>
              </w:rPr>
            </w:pPr>
            <w:r>
              <w:rPr>
                <w:b/>
                <w:bCs/>
                <w:color w:val="000000" w:themeColor="text1"/>
                <w:sz w:val="20"/>
                <w:szCs w:val="20"/>
                <w:lang w:eastAsia="zh-CN"/>
              </w:rPr>
              <w:t>PDS2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AEC9D0" w14:textId="7D32DE54"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72.22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D80F3C6" w14:textId="39B6F163"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72.22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714CA26" w14:textId="1F9FB0F8"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-37.75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39BD7C5" w14:textId="4A1CD1B5"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7.73</w:t>
            </w:r>
          </w:p>
        </w:tc>
      </w:tr>
      <w:tr w:rsidR="00E12488" w:rsidRPr="00AF41A6" w14:paraId="35AF5965" w14:textId="77777777" w:rsidTr="00D85EDB">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87F2C5B" w14:textId="77777777" w:rsidR="00E12488" w:rsidRPr="00AF41A6" w:rsidRDefault="00E12488" w:rsidP="00F75A79">
            <w:pPr>
              <w:spacing w:after="0" w:line="240" w:lineRule="auto"/>
              <w:jc w:val="center"/>
              <w:rPr>
                <w:sz w:val="20"/>
                <w:szCs w:val="20"/>
                <w:lang w:eastAsia="zh-CN"/>
              </w:rPr>
            </w:pPr>
            <w:r>
              <w:rPr>
                <w:b/>
                <w:bCs/>
                <w:color w:val="000000" w:themeColor="text1"/>
                <w:sz w:val="20"/>
                <w:szCs w:val="20"/>
                <w:lang w:eastAsia="zh-CN"/>
              </w:rPr>
              <w:t>PDS3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1D54C9D" w14:textId="4F24994D"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81.29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EE90DA8" w14:textId="5466E33F" w:rsidR="00E12488" w:rsidRPr="00AF41A6" w:rsidRDefault="00D530C4"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81.29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DBDD214" w14:textId="5B0C922D" w:rsidR="00E12488" w:rsidRPr="00AF41A6" w:rsidRDefault="00E12488" w:rsidP="00D530C4">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w:t>
            </w:r>
            <w:r w:rsidR="00D530C4">
              <w:rPr>
                <w:rFonts w:eastAsia="Times New Roman" w:cstheme="minorHAnsi"/>
                <w:sz w:val="20"/>
                <w:szCs w:val="20"/>
                <w:lang w:eastAsia="zh-CN"/>
              </w:rPr>
              <w:t>45.12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6312042" w14:textId="1050503D" w:rsidR="00E12488" w:rsidRPr="00AF41A6" w:rsidRDefault="00E12488" w:rsidP="00F75A79">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w:t>
            </w:r>
            <w:r w:rsidR="00D530C4">
              <w:rPr>
                <w:rFonts w:eastAsia="Times New Roman" w:cstheme="minorHAnsi"/>
                <w:sz w:val="20"/>
                <w:szCs w:val="20"/>
                <w:lang w:eastAsia="zh-CN"/>
              </w:rPr>
              <w:t>.73</w:t>
            </w:r>
          </w:p>
        </w:tc>
      </w:tr>
    </w:tbl>
    <w:p w14:paraId="4D8C6F30" w14:textId="77777777" w:rsidR="00E12488" w:rsidRPr="000974C1" w:rsidRDefault="00E12488" w:rsidP="000974C1"/>
    <w:p w14:paraId="7A5C0514" w14:textId="77777777" w:rsidR="006B675D" w:rsidRPr="00AF41A6" w:rsidRDefault="006B675D" w:rsidP="006B675D"/>
    <w:p w14:paraId="638C27B6" w14:textId="23C260E0" w:rsidR="00F52595" w:rsidRDefault="551A77D0" w:rsidP="00D910B7">
      <w:pPr>
        <w:pStyle w:val="Heading1"/>
        <w:numPr>
          <w:ilvl w:val="0"/>
          <w:numId w:val="6"/>
        </w:numPr>
      </w:pPr>
      <w:bookmarkStart w:id="92" w:name="_Toc75953822"/>
      <w:bookmarkEnd w:id="85"/>
      <w:r w:rsidRPr="00AF41A6">
        <w:t>Discussion</w:t>
      </w:r>
      <w:bookmarkEnd w:id="92"/>
    </w:p>
    <w:p w14:paraId="4869E9DF" w14:textId="0C84EDB8" w:rsidR="00B20C7D" w:rsidRDefault="00B20C7D" w:rsidP="00B20C7D">
      <w:r>
        <w:t xml:space="preserve">Some general characteristics of our modeling approach and the abatement </w:t>
      </w:r>
      <w:r w:rsidR="007C067F">
        <w:t xml:space="preserve">opportunity in this </w:t>
      </w:r>
      <w:r>
        <w:t>sector are immediat</w:t>
      </w:r>
      <w:r w:rsidR="00F16CA3">
        <w:t xml:space="preserve">ely apparent from the results. </w:t>
      </w:r>
      <w:r>
        <w:t xml:space="preserve">As we have modeled it, this is a transition measure, i.e., the abatement opportunity eventually </w:t>
      </w:r>
      <w:r w:rsidR="00F16CA3">
        <w:t>declines</w:t>
      </w:r>
      <w:r>
        <w:t xml:space="preserve"> with time and will likely approach zero as the world increases climate ambition and reduces fossil fuel consumption. The exact trajectory of the oil and gas sector, and by extension methane emissions from his sector, is unknown. The TAMs presented in our main modeling scenarios represent three possible pathways (</w:t>
      </w:r>
      <w:r>
        <w:fldChar w:fldCharType="begin"/>
      </w:r>
      <w:r>
        <w:instrText xml:space="preserve"> REF _Ref75866677 \h </w:instrText>
      </w:r>
      <w:r>
        <w:fldChar w:fldCharType="separate"/>
      </w:r>
      <w:r w:rsidR="003D1925">
        <w:t xml:space="preserve">Figure </w:t>
      </w:r>
      <w:r w:rsidR="003D1925">
        <w:rPr>
          <w:noProof/>
        </w:rPr>
        <w:t>14</w:t>
      </w:r>
      <w:r>
        <w:fldChar w:fldCharType="end"/>
      </w:r>
      <w:r>
        <w:t xml:space="preserve">). TAM1 is noticeable in that the role of natural gas increases significantly until about 2030, then declines sharply. TAM2 is, unexpectedly, lower than TAM3. This aberrance is a result of integration among Project Drawdown’s solution models, wherein the </w:t>
      </w:r>
      <w:r w:rsidR="006A79CD">
        <w:t>share of</w:t>
      </w:r>
      <w:r>
        <w:t xml:space="preserve"> natural gas was calculated by subtraction after </w:t>
      </w:r>
      <w:r w:rsidR="006A79CD">
        <w:t xml:space="preserve">adoption of </w:t>
      </w:r>
      <w:r>
        <w:t>all other solutions. All three TAMs decline to zero in 2050.</w:t>
      </w:r>
      <w:r w:rsidR="00F75A79">
        <w:t xml:space="preserve"> When combined pairwise with increasing ambition scenarios PDS1, PDS2, and PDS3, the overall emissions savings range from 5-21 Gt CO</w:t>
      </w:r>
      <w:r w:rsidR="00F75A79">
        <w:rPr>
          <w:vertAlign w:val="subscript"/>
        </w:rPr>
        <w:t>2</w:t>
      </w:r>
      <w:r w:rsidR="00F75A79">
        <w:t>e over the period 20</w:t>
      </w:r>
      <w:r w:rsidR="00F16CA3">
        <w:t>20-2050. It</w:t>
      </w:r>
      <w:r w:rsidR="00F75A79">
        <w:t xml:space="preserve"> is evident from the annual emissi</w:t>
      </w:r>
      <w:r w:rsidR="00F16CA3">
        <w:t>ons reduction over this period (</w:t>
      </w:r>
      <w:r w:rsidR="00F16CA3">
        <w:fldChar w:fldCharType="begin"/>
      </w:r>
      <w:r w:rsidR="00F16CA3">
        <w:instrText xml:space="preserve"> REF _Ref75951559 \h </w:instrText>
      </w:r>
      <w:r w:rsidR="00F16CA3">
        <w:fldChar w:fldCharType="separate"/>
      </w:r>
      <w:r w:rsidR="00F16CA3">
        <w:t xml:space="preserve">Figure </w:t>
      </w:r>
      <w:r w:rsidR="00F16CA3">
        <w:rPr>
          <w:noProof/>
        </w:rPr>
        <w:t>15</w:t>
      </w:r>
      <w:r w:rsidR="00F16CA3">
        <w:fldChar w:fldCharType="end"/>
      </w:r>
      <w:r w:rsidR="00F16CA3">
        <w:t xml:space="preserve">) </w:t>
      </w:r>
      <w:r w:rsidR="00F75A79">
        <w:t>that quick</w:t>
      </w:r>
      <w:r w:rsidR="006A79CD">
        <w:t xml:space="preserve"> initial</w:t>
      </w:r>
      <w:r w:rsidR="00F75A79">
        <w:t xml:space="preserve"> action yields higher cumulative emissions savings. </w:t>
      </w:r>
    </w:p>
    <w:p w14:paraId="424211CD" w14:textId="75BC4A00" w:rsidR="00F75A79" w:rsidRDefault="00F75A79" w:rsidP="00B20C7D">
      <w:r>
        <w:t>Alternative scenarios 1 and 2 attempt to correct for the aberrance in TAM values that appears in the primary model results. Alternative s</w:t>
      </w:r>
      <w:r w:rsidR="006A79CD">
        <w:t>cenario 2 additionally uses</w:t>
      </w:r>
      <w:r>
        <w:t xml:space="preserve"> an exogenous trajectory for the oil and gas sector, which we have modified and scaled to correlate to sector methane emissions, that does not reach zero in 2050. In such a scenario, some oil and gas remain in the economy for use in materials and hard-to-abate sectors (e.g., aviation, industrial heat processes, dis</w:t>
      </w:r>
      <w:r w:rsidR="006A79CD">
        <w:t xml:space="preserve">tributed residential heating) </w:t>
      </w:r>
      <w:r w:rsidR="006A79CD">
        <w:fldChar w:fldCharType="begin"/>
      </w:r>
      <w:r w:rsidR="006A79CD">
        <w:instrText xml:space="preserve"> ADDIN ZOTERO_ITEM CSL_CITATION {"citationID":"WvGNn442","properties":{"formattedCitation":"(IEA, 2021c)","plainCitation":"(IEA, 2021c)","noteIndex":0},"citationItems":[{"id":1627,"uris":["http://zotero.org/users/7422708/items/HXUT4QW7"],"uri":["http://zotero.org/users/7422708/items/HXUT4QW7"],"itemData":{"id":1627,"type":"article","publisher":"International Energy Agency","title":"Net Zero by 2050","URL":"https://www.iea.org/reports/net-zero-by-2050","author":[{"family":"IEA","given":""}],"issued":{"date-parts":[["2021"]]}}}],"schema":"https://github.com/citation-style-language/schema/raw/master/csl-citation.json"} </w:instrText>
      </w:r>
      <w:r w:rsidR="006A79CD">
        <w:fldChar w:fldCharType="separate"/>
      </w:r>
      <w:r w:rsidR="006A79CD" w:rsidRPr="006A79CD">
        <w:rPr>
          <w:rFonts w:cs="Times New Roman"/>
        </w:rPr>
        <w:t>(IEA, 2021c)</w:t>
      </w:r>
      <w:r w:rsidR="006A79CD">
        <w:fldChar w:fldCharType="end"/>
      </w:r>
      <w:r w:rsidR="006A79CD">
        <w:t>.</w:t>
      </w:r>
      <w:r w:rsidR="00B637D3">
        <w:t xml:space="preserve"> Cumulative emissions savings from this alternative scenario </w:t>
      </w:r>
      <w:r w:rsidR="00FE709F">
        <w:t xml:space="preserve">are </w:t>
      </w:r>
      <w:r w:rsidR="00B637D3">
        <w:t xml:space="preserve">broadly comparable to PDS1 and PDS3 in the primary results. </w:t>
      </w:r>
    </w:p>
    <w:p w14:paraId="34080ED0" w14:textId="1038E5CC" w:rsidR="00B637D3" w:rsidRPr="00BD3D8F" w:rsidRDefault="00132B50" w:rsidP="00BD3D8F">
      <w:r>
        <w:t xml:space="preserve">The negative operating savings </w:t>
      </w:r>
      <w:r w:rsidR="00F75A79">
        <w:t xml:space="preserve">indicated for each scenario </w:t>
      </w:r>
      <w:r>
        <w:t xml:space="preserve">is equivalent to a net operating cost for this solution. </w:t>
      </w:r>
      <w:r w:rsidR="00FE709F">
        <w:t xml:space="preserve">This already includes a credit applied for the value of natural gas saved ($4/mcf) during methane abatement processes, where applicable. </w:t>
      </w:r>
      <w:r w:rsidR="005D623B">
        <w:t xml:space="preserve">The lifetime operating cost and average abatement cost are highly sensitive to this input. For illustration: running scenario PDS1 without the natural gas credit yields a 67% increase in lifetime operational costs and an 85% increase in average abatement cost. </w:t>
      </w:r>
      <w:r w:rsidR="007457F0">
        <w:t xml:space="preserve">Modeling with a fixed $4/mcf gas credit is consistent with other studies </w:t>
      </w:r>
      <w:r w:rsidR="007457F0">
        <w:fldChar w:fldCharType="begin"/>
      </w:r>
      <w:r w:rsidR="00D9263F">
        <w:instrText xml:space="preserve"> ADDIN ZOTERO_ITEM CSL_CITATION {"citationID":"472DGnuH","properties":{"formattedCitation":"(ICF International, 2014; US EPA, 2019a)","plainCitation":"(ICF International, 2014; US EPA, 2019a)","noteIndex":0},"citationItems":[{"id":1621,"uris":["http://zotero.org/users/7422708/items/LALFKW5R"],"uri":["http://zotero.org/users/7422708/items/LALFKW5R"],"itemData":{"id":1621,"type":"article","publisher":"US Environmental Protection Agency Office of Atmospheric Programs","title":"Non-CO2 Methodology Report","URL":"https://www.epa.gov/global-mitigation-non-co2-greenhouse-gases/global-non-co2-greenhouse-gas-emission-projections","author":[{"family":"US EPA","given":""}],"issued":{"date-parts":[["2019"]]}}},{"id":1519,"uris":["http://zotero.org/users/7422708/items/6YJ7L5CP"],"uri":["http://zotero.org/users/7422708/items/6YJ7L5CP"],"itemData":{"id":1519,"type":"article","publisher":"Prepared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rsidR="007457F0">
        <w:fldChar w:fldCharType="separate"/>
      </w:r>
      <w:r w:rsidR="00D9263F" w:rsidRPr="00D9263F">
        <w:rPr>
          <w:rFonts w:cs="Times New Roman"/>
        </w:rPr>
        <w:t>(ICF International, 2014; US EPA, 2019a)</w:t>
      </w:r>
      <w:r w:rsidR="007457F0">
        <w:fldChar w:fldCharType="end"/>
      </w:r>
      <w:r w:rsidR="007457F0">
        <w:t xml:space="preserve"> but may not be representative over a multi-decade period where significant changes to the sector are expected. The IEA’s marginal abatement cost curves, which are annually updated, reinforce how significant an effect the gas price can have: at 2019 gas prices, almost half of sector abatement would have been possible at no net cost or less; at 2020 gas prices, this dropped to only 11% </w:t>
      </w:r>
      <w:r w:rsidR="007457F0">
        <w:fldChar w:fldCharType="begin"/>
      </w:r>
      <w:r w:rsidR="007457F0">
        <w:instrText xml:space="preserve"> ADDIN ZOTERO_ITEM CSL_CITATION {"citationID":"bVdvD1Ip","properties":{"formattedCitation":"(IEA, 2020a, 2021b)","plainCitation":"(IEA, 2020a, 2021b)","noteIndex":0},"citationItems":[{"id":1531,"uris":["http://zotero.org/users/7422708/items/EVVLRHKB"],"uri":["http://zotero.org/users/7422708/items/EVVLRHKB"],"itemData":{"id":1531,"type":"article","publisher":"International Energy Agency","title":"Methane Tracker 2020","URL":"https://www.iea.org/reports/methane-tracker-2020","author":[{"family":"IEA","given":""}],"issued":{"date-parts":[["2020"]]}}},{"id":1532,"uris":["http://zotero.org/users/7422708/items/W2Z5J56I"],"uri":["http://zotero.org/users/7422708/items/W2Z5J56I"],"itemData":{"id":1532,"type":"article","publisher":"International Energy Agency","title":"Methane Tracker Database","URL":"https://www.iea.org/articles/methane-tracker-database","author":[{"family":"IEA","given":""}],"issued":{"date-parts":[["2021"]]}}}],"schema":"https://github.com/citation-style-language/schema/raw/master/csl-citation.json"} </w:instrText>
      </w:r>
      <w:r w:rsidR="007457F0">
        <w:fldChar w:fldCharType="separate"/>
      </w:r>
      <w:r w:rsidR="007457F0" w:rsidRPr="007457F0">
        <w:rPr>
          <w:rFonts w:cs="Times New Roman"/>
        </w:rPr>
        <w:t>(IEA, 2020a, 2021b)</w:t>
      </w:r>
      <w:r w:rsidR="007457F0">
        <w:fldChar w:fldCharType="end"/>
      </w:r>
      <w:r w:rsidR="007457F0">
        <w:t xml:space="preserve">. </w:t>
      </w:r>
      <w:r w:rsidR="000D3763">
        <w:t xml:space="preserve">In any case, average abatement costs are relatively cheap compared to solutions in other sectors. Combined with the comparatively short, intense radiative forcing from methane emissions, this seems to make a compelling case for a quick climate fix. </w:t>
      </w:r>
    </w:p>
    <w:p w14:paraId="34520C6D" w14:textId="01852B42" w:rsidR="00D66AB0" w:rsidRPr="00AF41A6" w:rsidRDefault="000D3763" w:rsidP="00D66AB0">
      <w:r>
        <w:t>There are a few more complications that seem under-represented in the literature, however. Our TAM is defined as the amount of methane technically abatable in the sector and therefore does not illuminate the magnitude of non-abata</w:t>
      </w:r>
      <w:r w:rsidR="00D9263F">
        <w:t>ble methane emissions, which is</w:t>
      </w:r>
      <w:r>
        <w:t xml:space="preserve"> actually quite significant. </w:t>
      </w:r>
      <w:r w:rsidR="00B45123">
        <w:t xml:space="preserve">The technically abatable portion may currently be between 34% and 70% </w:t>
      </w:r>
      <w:r w:rsidR="00B45123">
        <w:fldChar w:fldCharType="begin"/>
      </w:r>
      <w:r w:rsidR="00B45123">
        <w:instrText xml:space="preserve"> ADDIN ZOTERO_ITEM CSL_CITATION {"citationID":"ix4g7x02","properties":{"formattedCitation":"(IEA, 2021b; US EPA, 2019b)","plainCitation":"(IEA, 2021b; US EPA, 2019b)","noteIndex":0},"citationItems":[{"id":1532,"uris":["http://zotero.org/users/7422708/items/W2Z5J56I"],"uri":["http://zotero.org/users/7422708/items/W2Z5J56I"],"itemData":{"id":1532,"type":"article","publisher":"International Energy Agency","title":"Methane Tracker Database","URL":"https://www.iea.org/articles/methane-tracker-database","author":[{"family":"IEA","given":""}],"issued":{"date-parts":[["2021"]]}}},{"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00B45123">
        <w:fldChar w:fldCharType="separate"/>
      </w:r>
      <w:r w:rsidR="00B45123" w:rsidRPr="00B45123">
        <w:rPr>
          <w:rFonts w:cs="Times New Roman"/>
        </w:rPr>
        <w:t>(IEA, 2021b; US EPA, 2019b)</w:t>
      </w:r>
      <w:r w:rsidR="00B45123">
        <w:fldChar w:fldCharType="end"/>
      </w:r>
      <w:r w:rsidR="00B45123">
        <w:t xml:space="preserve">. Though the technical abatement potential may increase in the future, it is not expected to do so significantly </w:t>
      </w:r>
      <w:r w:rsidR="00B45123">
        <w:fldChar w:fldCharType="begin"/>
      </w:r>
      <w:r w:rsidR="00B45123">
        <w:instrText xml:space="preserve"> ADDIN ZOTERO_ITEM CSL_CITATION {"citationID":"zOqbBe6i","properties":{"formattedCitation":"(US EPA, 2019a)","plainCitation":"(US EPA, 2019a)","noteIndex":0},"citationItems":[{"id":1621,"uris":["http://zotero.org/users/7422708/items/LALFKW5R"],"uri":["http://zotero.org/users/7422708/items/LALFKW5R"],"itemData":{"id":1621,"type":"article","publisher":"US Environmental Protection Agency Office of Atmospheric Programs","title":"Non-CO2 Methodology Report","URL":"https://www.epa.gov/global-mitigation-non-co2-greenhouse-gases/global-non-co2-greenhouse-gas-emission-projections","author":[{"family":"US EPA","given":""}],"issued":{"date-parts":[["2019"]]}}}],"schema":"https://github.com/citation-style-language/schema/raw/master/csl-citation.json"} </w:instrText>
      </w:r>
      <w:r w:rsidR="00B45123">
        <w:fldChar w:fldCharType="separate"/>
      </w:r>
      <w:r w:rsidR="00B45123" w:rsidRPr="00B45123">
        <w:rPr>
          <w:rFonts w:cs="Times New Roman"/>
        </w:rPr>
        <w:t>(US EPA, 2019a)</w:t>
      </w:r>
      <w:r w:rsidR="00B45123">
        <w:fldChar w:fldCharType="end"/>
      </w:r>
      <w:r w:rsidR="00B45123">
        <w:t xml:space="preserve">, meaning that a significant portion could remain unabated, even with technology improvement and high mitigation ambition. If these factors mean that maintaining </w:t>
      </w:r>
      <w:r w:rsidR="00A649A5">
        <w:t>abatement</w:t>
      </w:r>
      <w:r w:rsidR="00B45123">
        <w:t xml:space="preserve"> comes at a significant operational cost, then questions are raised about the economic efficiency of these solutions versus </w:t>
      </w:r>
      <w:r w:rsidR="00245465">
        <w:t>phasing out this infrastructure in favor of low-carbon energy sources that operate cleanly without additional</w:t>
      </w:r>
      <w:r w:rsidR="00A649A5">
        <w:t xml:space="preserve"> abatement</w:t>
      </w:r>
      <w:r w:rsidR="00245465">
        <w:t xml:space="preserve"> cost. </w:t>
      </w:r>
      <w:r w:rsidR="00B45123">
        <w:t xml:space="preserve">  </w:t>
      </w:r>
    </w:p>
    <w:p w14:paraId="319DCBD8" w14:textId="337C8FDD" w:rsidR="006745FF" w:rsidRDefault="006745FF" w:rsidP="00D910B7">
      <w:pPr>
        <w:pStyle w:val="Heading2"/>
        <w:numPr>
          <w:ilvl w:val="1"/>
          <w:numId w:val="6"/>
        </w:numPr>
      </w:pPr>
      <w:bookmarkStart w:id="93" w:name="_Ref75794537"/>
      <w:bookmarkStart w:id="94" w:name="_Toc75953823"/>
      <w:r w:rsidRPr="00AF41A6">
        <w:t>Limitations</w:t>
      </w:r>
      <w:bookmarkEnd w:id="93"/>
      <w:bookmarkEnd w:id="94"/>
    </w:p>
    <w:p w14:paraId="668E1282" w14:textId="56AEFFC7" w:rsidR="00B637D3" w:rsidRDefault="00D9263F" w:rsidP="00B637D3">
      <w:r>
        <w:t>The most apparent</w:t>
      </w:r>
      <w:r w:rsidR="0083657E">
        <w:t xml:space="preserve"> limitation of our modeling method in the results is the average abatement cost. The generic abatement device modeling approach fails to capture what marginal abatement cost curves for the sector show very well – that increased ambition </w:t>
      </w:r>
      <w:r w:rsidR="00027069">
        <w:t xml:space="preserve">generally </w:t>
      </w:r>
      <w:r w:rsidR="0083657E">
        <w:t xml:space="preserve">comes at increasing cost, due to the distribution of abatement opportunities with diverse costs and effectiveness. Results in </w:t>
      </w:r>
      <w:r w:rsidR="0083657E">
        <w:fldChar w:fldCharType="begin"/>
      </w:r>
      <w:r w:rsidR="0083657E">
        <w:instrText xml:space="preserve"> REF _Ref75865890 \h </w:instrText>
      </w:r>
      <w:r w:rsidR="0083657E">
        <w:fldChar w:fldCharType="separate"/>
      </w:r>
      <w:r w:rsidR="003D1925">
        <w:t xml:space="preserve">Table </w:t>
      </w:r>
      <w:r w:rsidR="003D1925">
        <w:rPr>
          <w:noProof/>
        </w:rPr>
        <w:t>6</w:t>
      </w:r>
      <w:r w:rsidR="0083657E">
        <w:fldChar w:fldCharType="end"/>
      </w:r>
      <w:r w:rsidR="0083657E">
        <w:t xml:space="preserve"> indicate that the average marginal abatement cost varies little among PDS1, PDS2,</w:t>
      </w:r>
      <w:r w:rsidR="00027069">
        <w:t xml:space="preserve"> and PDS3, whereas</w:t>
      </w:r>
      <w:r w:rsidR="0083657E">
        <w:t xml:space="preserve"> marginal abatement cost curves from the IEA and EPA would indicate a pronounced increase in average abatement cost at higher</w:t>
      </w:r>
      <w:r w:rsidR="00027069">
        <w:t xml:space="preserve"> levels of ambition</w:t>
      </w:r>
      <w:r w:rsidR="0083657E">
        <w:t xml:space="preserve">. </w:t>
      </w:r>
    </w:p>
    <w:p w14:paraId="08750B7C" w14:textId="1979B096" w:rsidR="00027069" w:rsidRDefault="00027069" w:rsidP="00B637D3">
      <w:r>
        <w:t xml:space="preserve">Despite the limitations of the generic abatement device approach, a benefit of this method is that it allows modeling of capital costs. This is chronically </w:t>
      </w:r>
      <w:r w:rsidR="00D9263F">
        <w:t>obfuscated</w:t>
      </w:r>
      <w:r>
        <w:t xml:space="preserve"> by marginal abatement cost curves, where the </w:t>
      </w:r>
      <w:r w:rsidR="007C067F">
        <w:t>presentation</w:t>
      </w:r>
      <w:r>
        <w:t xml:space="preserve"> of </w:t>
      </w:r>
      <w:r w:rsidR="00102A16">
        <w:t xml:space="preserve">certain </w:t>
      </w:r>
      <w:r>
        <w:t xml:space="preserve">abatement measures at no lifetime cost </w:t>
      </w:r>
      <w:r w:rsidR="00102A16">
        <w:t xml:space="preserve">suggests to some </w:t>
      </w:r>
      <w:r>
        <w:t xml:space="preserve">that they can occur for free. The IEA even identifies capital constraints as a barrier to adoption of this solution </w:t>
      </w:r>
      <w:r>
        <w:fldChar w:fldCharType="begin"/>
      </w:r>
      <w:r>
        <w:instrText xml:space="preserve"> ADDIN ZOTERO_ITEM CSL_CITATION {"citationID":"w0jchzfn","properties":{"formattedCitation":"(IEA, 2021a)","plainCitation":"(IEA, 2021a)","noteIndex":0},"citationItems":[{"id":1527,"uris":["http://zotero.org/users/7422708/items/RT9ADG7J"],"uri":["http://zotero.org/users/7422708/items/RT9ADG7J"],"itemData":{"id":1527,"type":"article","publisher":"International Energy Agency","title":"Methane Tracker 2021","URL":"https://www.iea.org/reports/methane-tracker-2021","author":[{"family":"IEA","given":""}],"issued":{"date-parts":[["2021"]]}}}],"schema":"https://github.com/citation-style-language/schema/raw/master/csl-citation.json"} </w:instrText>
      </w:r>
      <w:r>
        <w:fldChar w:fldCharType="separate"/>
      </w:r>
      <w:r w:rsidRPr="00027069">
        <w:rPr>
          <w:rFonts w:cs="Times New Roman"/>
        </w:rPr>
        <w:t>(IEA, 2021a)</w:t>
      </w:r>
      <w:r>
        <w:fldChar w:fldCharType="end"/>
      </w:r>
      <w:r>
        <w:t>, yet none of the sources we surveyed provided aggregate capital costs</w:t>
      </w:r>
      <w:r w:rsidR="00D9263F">
        <w:t xml:space="preserve"> for global datasets</w:t>
      </w:r>
      <w:r>
        <w:t>. Capital costs are a necessary input into the development of these marginal abatement cost curves, so it would be beneficial if in future versions these values would be reported alongside</w:t>
      </w:r>
      <w:r w:rsidR="007C067F">
        <w:t xml:space="preserve"> the main results of agency studies</w:t>
      </w:r>
      <w:r>
        <w:t>.</w:t>
      </w:r>
      <w:r w:rsidR="00102A16">
        <w:t xml:space="preserve"> The IEA and EPA marginal abatement cost curve studies include an incredible amount of technical and geographic detail that we had to exclude in favor of elucidating the capital cost component in a transparent manner. </w:t>
      </w:r>
      <w:r w:rsidR="00503180">
        <w:t xml:space="preserve">Some studies </w:t>
      </w:r>
      <w:r w:rsidR="00503180">
        <w:fldChar w:fldCharType="begin"/>
      </w:r>
      <w:r w:rsidR="00503180">
        <w:instrText xml:space="preserve"> ADDIN ZOTERO_ITEM CSL_CITATION {"citationID":"T5sN7Qmk","properties":{"formattedCitation":"(ICF International, 2014, 2015)","plainCitation":"(ICF International, 2014, 2015)","noteIndex":0},"citationItems":[{"id":1519,"uris":["http://zotero.org/users/7422708/items/6YJ7L5CP"],"uri":["http://zotero.org/users/7422708/items/6YJ7L5CP"],"itemData":{"id":1519,"type":"article","publisher":"Prepared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International","given":""}],"issued":{"date-parts":[["2014"]]}}},{"id":5499,"uris":["http://zotero.org/users/7422708/items/JTCUEVSA"],"uri":["http://zotero.org/users/7422708/items/JTCUEVSA"],"itemData":{"id":5499,"type":"article","publisher":"Prepared for Environmental Defense Fund","title":"Economic Analysis of Methane Emission Reduction Opportunities in the Mexican Oil and Natural Gas Industries","URL":"https://www.edf.org/sites/default/files/mexico_methane_cost_curve_report.pdf","author":[{"family":"ICF International","given":""}],"issued":{"date-parts":[["2015"]]}}}],"schema":"https://github.com/citation-style-language/schema/raw/master/csl-citation.json"} </w:instrText>
      </w:r>
      <w:r w:rsidR="00503180">
        <w:fldChar w:fldCharType="separate"/>
      </w:r>
      <w:r w:rsidR="00503180" w:rsidRPr="00503180">
        <w:rPr>
          <w:rFonts w:cs="Times New Roman"/>
        </w:rPr>
        <w:t>(ICF International, 2014, 2015)</w:t>
      </w:r>
      <w:r w:rsidR="00503180">
        <w:fldChar w:fldCharType="end"/>
      </w:r>
      <w:r w:rsidR="00503180">
        <w:t xml:space="preserve"> effectively report capital costs alongside the marginal abatement cost curves, but lack global data. </w:t>
      </w:r>
    </w:p>
    <w:p w14:paraId="7E43C6D0" w14:textId="6C783797" w:rsidR="00027069" w:rsidRPr="00B504DF" w:rsidRDefault="00027069" w:rsidP="00B637D3">
      <w:r>
        <w:t>Another chief limitation of our model is the lack of an integrated trajectory for the methane emissions from the oil and gas sector. Our use of the natural gas share in electricity</w:t>
      </w:r>
      <w:r w:rsidR="007C067F">
        <w:t xml:space="preserve"> generation</w:t>
      </w:r>
      <w:r>
        <w:t xml:space="preserve"> as a proxy for the trajectory of sector emissions as a whole is likely not representative. It could be improved by accounting for the use of natural gas and oil across the entire Project Drawdown framework. It could furthermore be informed by exogenous trajectories, like we attempted in alternative scenario 2. </w:t>
      </w:r>
      <w:r w:rsidR="00102A16">
        <w:t xml:space="preserve">An issue in some studies in the literature is that baseline emissions for the sector are assumed to increase in all cases, which seems increasingly unlikely given a global acknowledgment of policy aims like net-zero, and risks leading to overestimates of emissions savings. Accounting in absolute emissions, not savings, may overcome this. </w:t>
      </w:r>
      <w:r>
        <w:t xml:space="preserve"> </w:t>
      </w:r>
    </w:p>
    <w:p w14:paraId="41B449C8" w14:textId="5E3DE1A6" w:rsidR="00120B7B" w:rsidRPr="00AF41A6" w:rsidRDefault="00120B7B" w:rsidP="00102A16"/>
    <w:p w14:paraId="2139E8E7" w14:textId="07008F29" w:rsidR="006745FF" w:rsidRDefault="006745FF" w:rsidP="00D910B7">
      <w:pPr>
        <w:pStyle w:val="Heading2"/>
        <w:numPr>
          <w:ilvl w:val="1"/>
          <w:numId w:val="6"/>
        </w:numPr>
      </w:pPr>
      <w:bookmarkStart w:id="95" w:name="_Toc75953824"/>
      <w:r w:rsidRPr="00AF41A6">
        <w:t>Benchmarks</w:t>
      </w:r>
      <w:bookmarkEnd w:id="95"/>
    </w:p>
    <w:p w14:paraId="1EE76EAD" w14:textId="2CA8B099" w:rsidR="00102A16" w:rsidRDefault="00102A16" w:rsidP="00102A16">
      <w:r w:rsidRPr="00AF41A6">
        <w:t xml:space="preserve">The two main </w:t>
      </w:r>
      <w:r>
        <w:t xml:space="preserve">data </w:t>
      </w:r>
      <w:r w:rsidRPr="00AF41A6">
        <w:t xml:space="preserve">sources </w:t>
      </w:r>
      <w:r>
        <w:t xml:space="preserve">compiled in our analysis </w:t>
      </w:r>
      <w:r w:rsidRPr="00AF41A6">
        <w:t>– EPA and IEA – present very disparate views of the issue. The</w:t>
      </w:r>
      <w:r w:rsidR="000B6B25">
        <w:t xml:space="preserve">y differ significantly in </w:t>
      </w:r>
      <w:r w:rsidRPr="00AF41A6">
        <w:t xml:space="preserve">the total abatement opportunity, the costs to achieve it, the amount that </w:t>
      </w:r>
      <w:r w:rsidR="000B6B25">
        <w:t>can be done at no lifetime cost, and the amount of abatement that is technically feasible. We have attempted below to extract some comparable indicators from the</w:t>
      </w:r>
      <w:r w:rsidR="00D9263F">
        <w:t>se</w:t>
      </w:r>
      <w:r w:rsidR="000B6B25">
        <w:t xml:space="preserve"> datasets</w:t>
      </w:r>
      <w:r w:rsidR="00D9263F">
        <w:t xml:space="preserve"> and others</w:t>
      </w:r>
      <w:r w:rsidR="000B6B25">
        <w:t>, based on our own calculations, in order to contextualize our own findings.</w:t>
      </w:r>
      <w:r w:rsidRPr="00AF41A6">
        <w:t xml:space="preserve"> </w:t>
      </w:r>
    </w:p>
    <w:p w14:paraId="07067C9E" w14:textId="1259F513" w:rsidR="00102A16" w:rsidRPr="00102A16" w:rsidRDefault="00852296" w:rsidP="00852296">
      <w:pPr>
        <w:pStyle w:val="Caption"/>
      </w:pPr>
      <w:bookmarkStart w:id="96" w:name="_Toc75940752"/>
      <w:r>
        <w:t xml:space="preserve">Figure </w:t>
      </w:r>
      <w:fldSimple w:instr=" SEQ Figure \* ARABIC ">
        <w:r w:rsidR="003D1925">
          <w:rPr>
            <w:noProof/>
          </w:rPr>
          <w:t>18</w:t>
        </w:r>
      </w:fldSimple>
      <w:r w:rsidR="00B1596A">
        <w:t>:</w:t>
      </w:r>
      <w:r>
        <w:t xml:space="preserve"> Benchmarking comparison of some key indicator results</w:t>
      </w:r>
      <w:bookmarkEnd w:id="96"/>
    </w:p>
    <w:tbl>
      <w:tblPr>
        <w:tblStyle w:val="TableGrid"/>
        <w:tblW w:w="0" w:type="auto"/>
        <w:tblLook w:val="04A0" w:firstRow="1" w:lastRow="0" w:firstColumn="1" w:lastColumn="0" w:noHBand="0" w:noVBand="1"/>
      </w:tblPr>
      <w:tblGrid>
        <w:gridCol w:w="1892"/>
        <w:gridCol w:w="1933"/>
        <w:gridCol w:w="1934"/>
        <w:gridCol w:w="1933"/>
        <w:gridCol w:w="1658"/>
      </w:tblGrid>
      <w:tr w:rsidR="00B105BC" w:rsidRPr="00AF41A6" w14:paraId="4DB8488D" w14:textId="4CD88983" w:rsidTr="000B6B25">
        <w:tc>
          <w:tcPr>
            <w:tcW w:w="1892" w:type="dxa"/>
            <w:shd w:val="clear" w:color="auto" w:fill="4F81BD" w:themeFill="accent1"/>
          </w:tcPr>
          <w:p w14:paraId="08221673" w14:textId="31C4363F" w:rsidR="00B105BC" w:rsidRPr="000B6B25" w:rsidRDefault="00B105BC" w:rsidP="009D2D96">
            <w:pPr>
              <w:rPr>
                <w:color w:val="FFFFFF" w:themeColor="background1"/>
              </w:rPr>
            </w:pPr>
            <w:r w:rsidRPr="000B6B25">
              <w:rPr>
                <w:color w:val="FFFFFF" w:themeColor="background1"/>
              </w:rPr>
              <w:t>Source</w:t>
            </w:r>
          </w:p>
        </w:tc>
        <w:tc>
          <w:tcPr>
            <w:tcW w:w="1933" w:type="dxa"/>
            <w:shd w:val="clear" w:color="auto" w:fill="4F81BD" w:themeFill="accent1"/>
          </w:tcPr>
          <w:p w14:paraId="5973BC36" w14:textId="7659A009" w:rsidR="00B105BC" w:rsidRPr="000B6B25" w:rsidRDefault="003C7B93" w:rsidP="009D2D96">
            <w:pPr>
              <w:rPr>
                <w:color w:val="FFFFFF" w:themeColor="background1"/>
              </w:rPr>
            </w:pPr>
            <w:r w:rsidRPr="000B6B25">
              <w:rPr>
                <w:color w:val="FFFFFF" w:themeColor="background1"/>
              </w:rPr>
              <w:t>Technical mitigation possible in</w:t>
            </w:r>
            <w:r w:rsidR="00B105BC" w:rsidRPr="000B6B25">
              <w:rPr>
                <w:color w:val="FFFFFF" w:themeColor="background1"/>
              </w:rPr>
              <w:t xml:space="preserve"> </w:t>
            </w:r>
            <w:r w:rsidR="003B2E39" w:rsidRPr="000B6B25">
              <w:rPr>
                <w:color w:val="FFFFFF" w:themeColor="background1"/>
              </w:rPr>
              <w:t>2020</w:t>
            </w:r>
          </w:p>
          <w:p w14:paraId="1EC3FBDE" w14:textId="1A4AE661" w:rsidR="00B105BC" w:rsidRPr="000B6B25" w:rsidRDefault="00B105BC" w:rsidP="009D2D96">
            <w:pPr>
              <w:rPr>
                <w:color w:val="FFFFFF" w:themeColor="background1"/>
              </w:rPr>
            </w:pPr>
            <w:r w:rsidRPr="000B6B25">
              <w:rPr>
                <w:color w:val="FFFFFF" w:themeColor="background1"/>
              </w:rPr>
              <w:t>(Mt CH</w:t>
            </w:r>
            <w:r w:rsidRPr="000B6B25">
              <w:rPr>
                <w:color w:val="FFFFFF" w:themeColor="background1"/>
                <w:vertAlign w:val="subscript"/>
              </w:rPr>
              <w:t>4</w:t>
            </w:r>
            <w:r w:rsidRPr="000B6B25">
              <w:rPr>
                <w:color w:val="FFFFFF" w:themeColor="background1"/>
              </w:rPr>
              <w:t>)</w:t>
            </w:r>
          </w:p>
        </w:tc>
        <w:tc>
          <w:tcPr>
            <w:tcW w:w="1934" w:type="dxa"/>
            <w:shd w:val="clear" w:color="auto" w:fill="4F81BD" w:themeFill="accent1"/>
          </w:tcPr>
          <w:p w14:paraId="5FA2460F" w14:textId="6341BB39" w:rsidR="00B105BC" w:rsidRPr="000B6B25" w:rsidRDefault="00B105BC" w:rsidP="009D2D96">
            <w:pPr>
              <w:rPr>
                <w:color w:val="FFFFFF" w:themeColor="background1"/>
              </w:rPr>
            </w:pPr>
            <w:r w:rsidRPr="000B6B25">
              <w:rPr>
                <w:color w:val="FFFFFF" w:themeColor="background1"/>
              </w:rPr>
              <w:t>Annual</w:t>
            </w:r>
            <w:r w:rsidR="003E3D27" w:rsidRPr="000B6B25">
              <w:rPr>
                <w:color w:val="FFFFFF" w:themeColor="background1"/>
              </w:rPr>
              <w:t>ized</w:t>
            </w:r>
            <w:r w:rsidRPr="000B6B25">
              <w:rPr>
                <w:color w:val="FFFFFF" w:themeColor="background1"/>
              </w:rPr>
              <w:t xml:space="preserve"> cost of achieving total possible mitigation (USD)</w:t>
            </w:r>
          </w:p>
        </w:tc>
        <w:tc>
          <w:tcPr>
            <w:tcW w:w="1933" w:type="dxa"/>
            <w:shd w:val="clear" w:color="auto" w:fill="4F81BD" w:themeFill="accent1"/>
          </w:tcPr>
          <w:p w14:paraId="6F6696E9" w14:textId="04560F91" w:rsidR="00B105BC" w:rsidRPr="000B6B25" w:rsidRDefault="00B105BC" w:rsidP="009D2D96">
            <w:pPr>
              <w:rPr>
                <w:color w:val="FFFFFF" w:themeColor="background1"/>
              </w:rPr>
            </w:pPr>
            <w:r w:rsidRPr="000B6B25">
              <w:rPr>
                <w:color w:val="FFFFFF" w:themeColor="background1"/>
              </w:rPr>
              <w:t xml:space="preserve">Average </w:t>
            </w:r>
            <w:r w:rsidR="00B67389" w:rsidRPr="000B6B25">
              <w:rPr>
                <w:color w:val="FFFFFF" w:themeColor="background1"/>
              </w:rPr>
              <w:t xml:space="preserve">annualized </w:t>
            </w:r>
            <w:r w:rsidRPr="000B6B25">
              <w:rPr>
                <w:color w:val="FFFFFF" w:themeColor="background1"/>
              </w:rPr>
              <w:t>abatement cost (USD / t CH</w:t>
            </w:r>
            <w:r w:rsidRPr="000B6B25">
              <w:rPr>
                <w:color w:val="FFFFFF" w:themeColor="background1"/>
                <w:vertAlign w:val="subscript"/>
              </w:rPr>
              <w:t>4</w:t>
            </w:r>
            <w:r w:rsidRPr="000B6B25">
              <w:rPr>
                <w:color w:val="FFFFFF" w:themeColor="background1"/>
              </w:rPr>
              <w:t>)</w:t>
            </w:r>
          </w:p>
        </w:tc>
        <w:tc>
          <w:tcPr>
            <w:tcW w:w="1658" w:type="dxa"/>
            <w:shd w:val="clear" w:color="auto" w:fill="4F81BD" w:themeFill="accent1"/>
          </w:tcPr>
          <w:p w14:paraId="2A204D65" w14:textId="749FD875" w:rsidR="00B105BC" w:rsidRPr="000B6B25" w:rsidRDefault="00B67389" w:rsidP="009D2D96">
            <w:pPr>
              <w:rPr>
                <w:color w:val="FFFFFF" w:themeColor="background1"/>
              </w:rPr>
            </w:pPr>
            <w:r w:rsidRPr="000B6B25">
              <w:rPr>
                <w:color w:val="FFFFFF" w:themeColor="background1"/>
              </w:rPr>
              <w:t>Average annualized abatement cost (USD / t CO</w:t>
            </w:r>
            <w:r w:rsidRPr="000B6B25">
              <w:rPr>
                <w:color w:val="FFFFFF" w:themeColor="background1"/>
                <w:vertAlign w:val="subscript"/>
              </w:rPr>
              <w:t>2</w:t>
            </w:r>
            <w:r w:rsidRPr="000B6B25">
              <w:rPr>
                <w:color w:val="FFFFFF" w:themeColor="background1"/>
              </w:rPr>
              <w:t>e)</w:t>
            </w:r>
          </w:p>
        </w:tc>
      </w:tr>
      <w:tr w:rsidR="00D96538" w:rsidRPr="00AF41A6" w14:paraId="0E68F567" w14:textId="77777777" w:rsidTr="00B105BC">
        <w:tc>
          <w:tcPr>
            <w:tcW w:w="1892" w:type="dxa"/>
          </w:tcPr>
          <w:p w14:paraId="58FE7309" w14:textId="1385501C" w:rsidR="00D96538" w:rsidRPr="00AF41A6" w:rsidRDefault="00D96538" w:rsidP="009D2D96">
            <w:r>
              <w:t>This study – PDS2 scenario</w:t>
            </w:r>
          </w:p>
        </w:tc>
        <w:tc>
          <w:tcPr>
            <w:tcW w:w="1933" w:type="dxa"/>
          </w:tcPr>
          <w:p w14:paraId="34900ECA" w14:textId="7C5EF173" w:rsidR="00D96538" w:rsidRPr="00AF41A6" w:rsidRDefault="00D96538" w:rsidP="009D2D96">
            <w:r>
              <w:t>36.53</w:t>
            </w:r>
          </w:p>
        </w:tc>
        <w:tc>
          <w:tcPr>
            <w:tcW w:w="1934" w:type="dxa"/>
          </w:tcPr>
          <w:p w14:paraId="15943227" w14:textId="6161BA38" w:rsidR="00D96538" w:rsidRPr="00AF41A6" w:rsidRDefault="00D96538" w:rsidP="009D2D96">
            <w:r>
              <w:t>(Not calculated)</w:t>
            </w:r>
          </w:p>
        </w:tc>
        <w:tc>
          <w:tcPr>
            <w:tcW w:w="1933" w:type="dxa"/>
          </w:tcPr>
          <w:p w14:paraId="7154C2AE" w14:textId="7B17EC3A" w:rsidR="00D96538" w:rsidRPr="00AF41A6" w:rsidRDefault="00D96538" w:rsidP="009D2D96">
            <w:r>
              <w:t>339.36</w:t>
            </w:r>
          </w:p>
        </w:tc>
        <w:tc>
          <w:tcPr>
            <w:tcW w:w="1658" w:type="dxa"/>
          </w:tcPr>
          <w:p w14:paraId="5BBD761C" w14:textId="7D31D07B" w:rsidR="00D96538" w:rsidRPr="00AF41A6" w:rsidRDefault="00D96538" w:rsidP="009D2D96">
            <w:r>
              <w:t>12.12</w:t>
            </w:r>
          </w:p>
        </w:tc>
      </w:tr>
      <w:tr w:rsidR="00B105BC" w:rsidRPr="00AF41A6" w14:paraId="6CD73C71" w14:textId="3445D743" w:rsidTr="00B105BC">
        <w:tc>
          <w:tcPr>
            <w:tcW w:w="1892" w:type="dxa"/>
          </w:tcPr>
          <w:p w14:paraId="5DC157AD" w14:textId="480858E1" w:rsidR="00B105BC" w:rsidRPr="00AF41A6" w:rsidRDefault="00B105BC" w:rsidP="009D2D96">
            <w:r w:rsidRPr="00AF41A6">
              <w:fldChar w:fldCharType="begin"/>
            </w:r>
            <w:r w:rsidRPr="00AF41A6">
              <w:instrText xml:space="preserve"> ADDIN ZOTERO_ITEM CSL_CITATION {"citationID":"ty5wMlEB","properties":{"formattedCitation":"(IEA, 2021b)","plainCitation":"(IEA, 2021b)","noteIndex":0},"citationItems":[{"id":1532,"uris":["http://zotero.org/users/7422708/items/W2Z5J56I"],"uri":["http://zotero.org/users/7422708/items/W2Z5J56I"],"itemData":{"id":1532,"type":"article","publisher":"International Energy Agency","title":"Methane Tracker Database","URL":"https://www.iea.org/articles/methane-tracker-database","author":[{"family":"IEA","given":""}],"issued":{"date-parts":[["2021"]]}}}],"schema":"https://github.com/citation-style-language/schema/raw/master/csl-citation.json"} </w:instrText>
            </w:r>
            <w:r w:rsidRPr="00AF41A6">
              <w:fldChar w:fldCharType="separate"/>
            </w:r>
            <w:r w:rsidRPr="00AF41A6">
              <w:rPr>
                <w:rFonts w:cs="Times New Roman"/>
              </w:rPr>
              <w:t>(IEA, 2021b)</w:t>
            </w:r>
            <w:r w:rsidRPr="00AF41A6">
              <w:fldChar w:fldCharType="end"/>
            </w:r>
            <w:r w:rsidRPr="00AF41A6">
              <w:rPr>
                <w:rStyle w:val="FootnoteReference"/>
              </w:rPr>
              <w:footnoteReference w:id="15"/>
            </w:r>
          </w:p>
        </w:tc>
        <w:tc>
          <w:tcPr>
            <w:tcW w:w="1933" w:type="dxa"/>
          </w:tcPr>
          <w:p w14:paraId="5D4D6AAD" w14:textId="512F742C" w:rsidR="00B105BC" w:rsidRPr="00AF41A6" w:rsidRDefault="003E3D27" w:rsidP="009D2D96">
            <w:r w:rsidRPr="00AF41A6">
              <w:t>50.57</w:t>
            </w:r>
          </w:p>
        </w:tc>
        <w:tc>
          <w:tcPr>
            <w:tcW w:w="1934" w:type="dxa"/>
          </w:tcPr>
          <w:p w14:paraId="7E025F16" w14:textId="6876BDC7" w:rsidR="003B2E39" w:rsidRPr="00AF41A6" w:rsidRDefault="003B2E39" w:rsidP="009D2D96">
            <w:r w:rsidRPr="00AF41A6">
              <w:t>8.48 billion</w:t>
            </w:r>
            <w:r w:rsidR="00BA30AC" w:rsidRPr="00AF41A6">
              <w:rPr>
                <w:vertAlign w:val="superscript"/>
              </w:rPr>
              <w:t>b</w:t>
            </w:r>
            <w:r w:rsidRPr="00AF41A6">
              <w:t xml:space="preserve"> </w:t>
            </w:r>
          </w:p>
        </w:tc>
        <w:tc>
          <w:tcPr>
            <w:tcW w:w="1933" w:type="dxa"/>
          </w:tcPr>
          <w:p w14:paraId="3C06D2F1" w14:textId="0ABF0526" w:rsidR="00B105BC" w:rsidRPr="00AF41A6" w:rsidRDefault="00D96538" w:rsidP="009D2D96">
            <w:r>
              <w:t>187.88</w:t>
            </w:r>
          </w:p>
        </w:tc>
        <w:tc>
          <w:tcPr>
            <w:tcW w:w="1658" w:type="dxa"/>
          </w:tcPr>
          <w:p w14:paraId="765FE853" w14:textId="33BBE02E" w:rsidR="00B105BC" w:rsidRPr="00AF41A6" w:rsidRDefault="006F79B3" w:rsidP="009D2D96">
            <w:r w:rsidRPr="00AF41A6">
              <w:t>6.71</w:t>
            </w:r>
          </w:p>
        </w:tc>
      </w:tr>
      <w:tr w:rsidR="00B105BC" w:rsidRPr="00AF41A6" w14:paraId="6043AEC2" w14:textId="5860A0D3" w:rsidTr="00B105BC">
        <w:tc>
          <w:tcPr>
            <w:tcW w:w="1892" w:type="dxa"/>
          </w:tcPr>
          <w:p w14:paraId="1836B38A" w14:textId="00B6E482" w:rsidR="00B105BC" w:rsidRPr="00AF41A6" w:rsidRDefault="00B105BC" w:rsidP="009D2D96">
            <w:r w:rsidRPr="00AF41A6">
              <w:fldChar w:fldCharType="begin"/>
            </w:r>
            <w:r w:rsidRPr="00AF41A6">
              <w:instrText xml:space="preserve"> ADDIN ZOTERO_ITEM CSL_CITATION {"citationID":"m772JMC1","properties":{"formattedCitation":"(US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Pr="00AF41A6">
              <w:fldChar w:fldCharType="separate"/>
            </w:r>
            <w:r w:rsidRPr="00AF41A6">
              <w:rPr>
                <w:rFonts w:cs="Times New Roman"/>
              </w:rPr>
              <w:t>(US EPA, 2019b)</w:t>
            </w:r>
            <w:r w:rsidRPr="00AF41A6">
              <w:fldChar w:fldCharType="end"/>
            </w:r>
            <w:r w:rsidRPr="00AF41A6">
              <w:rPr>
                <w:rStyle w:val="FootnoteReference"/>
              </w:rPr>
              <w:footnoteReference w:id="16"/>
            </w:r>
          </w:p>
        </w:tc>
        <w:tc>
          <w:tcPr>
            <w:tcW w:w="1933" w:type="dxa"/>
          </w:tcPr>
          <w:p w14:paraId="05926B9C" w14:textId="26D7521A" w:rsidR="00B105BC" w:rsidRPr="00AF41A6" w:rsidRDefault="003E3D27" w:rsidP="009D2D96">
            <w:r w:rsidRPr="00AF41A6">
              <w:t>22.51</w:t>
            </w:r>
            <w:r w:rsidRPr="00AF41A6">
              <w:rPr>
                <w:vertAlign w:val="superscript"/>
              </w:rPr>
              <w:t>a</w:t>
            </w:r>
          </w:p>
        </w:tc>
        <w:tc>
          <w:tcPr>
            <w:tcW w:w="1934" w:type="dxa"/>
          </w:tcPr>
          <w:p w14:paraId="5D36F52B" w14:textId="49941DF3" w:rsidR="00B105BC" w:rsidRPr="00AF41A6" w:rsidRDefault="006F79B3" w:rsidP="009D2D96">
            <w:r w:rsidRPr="00AF41A6">
              <w:t xml:space="preserve">1.49 trillion </w:t>
            </w:r>
          </w:p>
        </w:tc>
        <w:tc>
          <w:tcPr>
            <w:tcW w:w="1933" w:type="dxa"/>
          </w:tcPr>
          <w:p w14:paraId="206866FD" w14:textId="34B7F573" w:rsidR="006F79B3" w:rsidRPr="00D96538" w:rsidRDefault="006F79B3" w:rsidP="009D2D96">
            <w:pPr>
              <w:rPr>
                <w:vertAlign w:val="superscript"/>
              </w:rPr>
            </w:pPr>
            <w:r w:rsidRPr="00AF41A6">
              <w:t>66193.80</w:t>
            </w:r>
            <w:r w:rsidR="00592BF2">
              <w:rPr>
                <w:vertAlign w:val="superscript"/>
              </w:rPr>
              <w:t>a</w:t>
            </w:r>
          </w:p>
        </w:tc>
        <w:tc>
          <w:tcPr>
            <w:tcW w:w="1658" w:type="dxa"/>
          </w:tcPr>
          <w:p w14:paraId="0E06B56B" w14:textId="1B86CA97" w:rsidR="00B105BC" w:rsidRPr="00AF41A6" w:rsidRDefault="006F79B3" w:rsidP="009D2D96">
            <w:r w:rsidRPr="00AF41A6">
              <w:t>2647.71</w:t>
            </w:r>
          </w:p>
        </w:tc>
      </w:tr>
      <w:tr w:rsidR="003B2E39" w:rsidRPr="00AF41A6" w14:paraId="4007A327" w14:textId="77777777" w:rsidTr="00B105BC">
        <w:tc>
          <w:tcPr>
            <w:tcW w:w="1892" w:type="dxa"/>
          </w:tcPr>
          <w:p w14:paraId="70055C52" w14:textId="0FAE5375" w:rsidR="003B2E39" w:rsidRPr="00AF41A6" w:rsidRDefault="003B2E39" w:rsidP="009D2D96">
            <w:r w:rsidRPr="00AF41A6">
              <w:fldChar w:fldCharType="begin"/>
            </w:r>
            <w:r w:rsidRPr="00AF41A6">
              <w:instrText xml:space="preserve"> ADDIN ZOTERO_ITEM CSL_CITATION {"citationID":"CBNvkJhd","properties":{"formattedCitation":"(US EPA, 2019b)","plainCitation":"(US EPA, 2019b)","noteIndex":0},"citationItems":[{"id":1534,"uris":["http://zotero.org/users/7422708/items/53M6XKDZ"],"uri":["http://zotero.org/users/7422708/items/53M6XKDZ"],"itemData":{"id":1534,"type":"article","publisher":"US Environmental Protection Agency Office of Atmospheric Programs","title":"Global Non-CO2 Greenhouse Gas Emissions Projections &amp; Mitigation 2015-2050","URL":"https://www.epa.gov/global-mitigation-non-co2-greenhouse-gases","author":[{"family":"US EPA","given":""}],"issued":{"date-parts":[["2019",10]]}}}],"schema":"https://github.com/citation-style-language/schema/raw/master/csl-citation.json"} </w:instrText>
            </w:r>
            <w:r w:rsidRPr="00AF41A6">
              <w:fldChar w:fldCharType="separate"/>
            </w:r>
            <w:r w:rsidRPr="00AF41A6">
              <w:rPr>
                <w:rFonts w:cs="Times New Roman"/>
              </w:rPr>
              <w:t>(US EPA, 2019b)</w:t>
            </w:r>
            <w:r w:rsidRPr="00AF41A6">
              <w:fldChar w:fldCharType="end"/>
            </w:r>
            <w:r w:rsidRPr="00AF41A6">
              <w:rPr>
                <w:rStyle w:val="FootnoteReference"/>
              </w:rPr>
              <w:footnoteReference w:id="17"/>
            </w:r>
            <w:r w:rsidRPr="00AF41A6">
              <w:t xml:space="preserve"> – excluding measures above $500/t CO</w:t>
            </w:r>
            <w:r w:rsidRPr="00AF41A6">
              <w:rPr>
                <w:vertAlign w:val="subscript"/>
              </w:rPr>
              <w:t>2</w:t>
            </w:r>
            <w:r w:rsidRPr="00AF41A6">
              <w:t>e</w:t>
            </w:r>
          </w:p>
        </w:tc>
        <w:tc>
          <w:tcPr>
            <w:tcW w:w="1933" w:type="dxa"/>
          </w:tcPr>
          <w:p w14:paraId="18B3B35F" w14:textId="21B7C56E" w:rsidR="003B2E39" w:rsidRPr="00AF41A6" w:rsidRDefault="006F79B3" w:rsidP="009D2D96">
            <w:r w:rsidRPr="00AF41A6">
              <w:t>17.52</w:t>
            </w:r>
            <w:r w:rsidRPr="00AF41A6">
              <w:rPr>
                <w:vertAlign w:val="superscript"/>
              </w:rPr>
              <w:t>a</w:t>
            </w:r>
          </w:p>
        </w:tc>
        <w:tc>
          <w:tcPr>
            <w:tcW w:w="1934" w:type="dxa"/>
          </w:tcPr>
          <w:p w14:paraId="40F50779" w14:textId="69FE4289" w:rsidR="003B2E39" w:rsidRPr="00AF41A6" w:rsidRDefault="00BA30AC" w:rsidP="009D2D96">
            <w:r w:rsidRPr="00AF41A6">
              <w:t xml:space="preserve">27.3 billion </w:t>
            </w:r>
          </w:p>
        </w:tc>
        <w:tc>
          <w:tcPr>
            <w:tcW w:w="1933" w:type="dxa"/>
          </w:tcPr>
          <w:p w14:paraId="132C7D22" w14:textId="0CB56A6A" w:rsidR="003B2E39" w:rsidRPr="00D96538" w:rsidRDefault="006F79B3" w:rsidP="009D2D96">
            <w:pPr>
              <w:rPr>
                <w:vertAlign w:val="superscript"/>
              </w:rPr>
            </w:pPr>
            <w:r w:rsidRPr="00AF41A6">
              <w:t>1558.21</w:t>
            </w:r>
            <w:r w:rsidR="00592BF2">
              <w:rPr>
                <w:vertAlign w:val="superscript"/>
              </w:rPr>
              <w:t>a</w:t>
            </w:r>
          </w:p>
        </w:tc>
        <w:tc>
          <w:tcPr>
            <w:tcW w:w="1658" w:type="dxa"/>
          </w:tcPr>
          <w:p w14:paraId="2CC94277" w14:textId="6C0A47BC" w:rsidR="003B2E39" w:rsidRPr="00AF41A6" w:rsidRDefault="006F79B3" w:rsidP="009D2D96">
            <w:r w:rsidRPr="00AF41A6">
              <w:t>62.32</w:t>
            </w:r>
          </w:p>
        </w:tc>
      </w:tr>
      <w:tr w:rsidR="000B6B25" w:rsidRPr="00AF41A6" w14:paraId="6C38259C" w14:textId="77777777" w:rsidTr="00B105BC">
        <w:tc>
          <w:tcPr>
            <w:tcW w:w="1892" w:type="dxa"/>
          </w:tcPr>
          <w:p w14:paraId="7FD5BD55" w14:textId="0CD6CE34" w:rsidR="000B6B25" w:rsidRPr="00AF41A6" w:rsidRDefault="000B6B25" w:rsidP="009D2D96">
            <w:r>
              <w:fldChar w:fldCharType="begin"/>
            </w:r>
            <w:r>
              <w:instrText xml:space="preserve"> ADDIN ZOTERO_ITEM CSL_CITATION {"citationID":"LLfmKu4Y","properties":{"formattedCitation":"(Harmsen et al., 2019)","plainCitation":"(Harmsen et al., 2019)","noteIndex":0},"citationItems":[{"id":1594,"uris":["http://zotero.org/users/7422708/items/NWGE3NR4"],"uri":["http://zotero.org/users/7422708/items/NWGE3NR4"],"itemData":{"id":1594,"type":"article-journal","abstract":"This study presents a new comprehensive set of long-term Marginal Abatement Cost (MAC) curves of all major non-CO2 greenhouse gas emission sources. The work builds on existing short-term MAC curve datasets and recent literature on individual mitigation measures. The new MAC curves include current technology and costs information as well as estimates of technology development and removal of implementation barriers to capture long-term dynamics. Compared to earlier work, we find a higher projected maximum reduction potential (MRP) of nitrous oxide (N2O) and a lower MRP of methane (CH4). The combined MRP for all non-CO2 gases is similar but has been extended to also capture mitigation measures that can be realized at higher implementation costs. When applying the new MAC curves in a cost-optimal, integrated assessment model-based 2.6 W/m2 scenario, the total non-CO2 mitigation is projected to be 10.9 Mt CO2equivalents in 2050 (i.e. 58% reduction compared to baseline emissions) and 15.6 Mt CO2equivalents in 2100 (i.e. a 71% reduction). In applying the new MAC curves, we account for inertia in the implementation speed of mitigation measures. Although this does not strongly impact results in an optimal strategy, it means that the contribution of non-CO2 mitigation could be more limited if ambitious climate policy is delayed.","container-title":"Environmental Science &amp; Policy","DOI":"10.1016/j.envsci.2019.05.013","ISSN":"14629011","journalAbbreviation":"Environmental Science &amp; Policy","language":"en","page":"136-149","source":"DOI.org (Crossref)","title":"Long-term marginal abatement cost curves of non-CO2 greenhouse gases","volume":"99","author":[{"family":"Harmsen","given":"J.H.M."},{"family":"Vuuren","given":"Detlef P.","non-dropping-particle":"van"},{"family":"Nayak","given":"Dali R."},{"family":"Hof","given":"Andries F."},{"family":"Höglund-Isaksson","given":"Lena"},{"family":"Lucas","given":"Paul L."},{"family":"Nielsen","given":"Jens B."},{"family":"Smith","given":"Pete"},{"family":"Stehfest","given":"Elke"}],"issued":{"date-parts":[["2019",9]]}}}],"schema":"https://github.com/citation-style-language/schema/raw/master/csl-citation.json"} </w:instrText>
            </w:r>
            <w:r>
              <w:fldChar w:fldCharType="separate"/>
            </w:r>
            <w:r w:rsidRPr="000B6B25">
              <w:rPr>
                <w:rFonts w:cs="Times New Roman"/>
              </w:rPr>
              <w:t>(Harmsen et al., 2019)</w:t>
            </w:r>
            <w:r>
              <w:fldChar w:fldCharType="end"/>
            </w:r>
            <w:r w:rsidR="00503180">
              <w:t xml:space="preserve"> – Oil sector</w:t>
            </w:r>
            <w:r w:rsidR="00097911">
              <w:t xml:space="preserve"> in 2050</w:t>
            </w:r>
          </w:p>
        </w:tc>
        <w:tc>
          <w:tcPr>
            <w:tcW w:w="1933" w:type="dxa"/>
          </w:tcPr>
          <w:p w14:paraId="45CD75AB" w14:textId="6A8F2B18" w:rsidR="000B6B25" w:rsidRPr="00097911" w:rsidRDefault="00097911" w:rsidP="009D2D96">
            <w:pPr>
              <w:rPr>
                <w:vertAlign w:val="superscript"/>
              </w:rPr>
            </w:pPr>
            <w:r>
              <w:t>48</w:t>
            </w:r>
            <w:r w:rsidR="00592BF2">
              <w:rPr>
                <w:vertAlign w:val="superscript"/>
              </w:rPr>
              <w:t>a,c</w:t>
            </w:r>
          </w:p>
        </w:tc>
        <w:tc>
          <w:tcPr>
            <w:tcW w:w="1934" w:type="dxa"/>
          </w:tcPr>
          <w:p w14:paraId="7627EA79" w14:textId="2227EBDF" w:rsidR="000B6B25" w:rsidRPr="00AF41A6" w:rsidRDefault="00097911" w:rsidP="009D2D96">
            <w:r>
              <w:t xml:space="preserve">34 billion </w:t>
            </w:r>
          </w:p>
        </w:tc>
        <w:tc>
          <w:tcPr>
            <w:tcW w:w="1933" w:type="dxa"/>
          </w:tcPr>
          <w:p w14:paraId="745B1D7D" w14:textId="26436E00" w:rsidR="000B6B25" w:rsidRPr="00097911" w:rsidRDefault="00097911" w:rsidP="009D2D96">
            <w:r>
              <w:t>708</w:t>
            </w:r>
            <w:r w:rsidR="00592BF2">
              <w:rPr>
                <w:vertAlign w:val="superscript"/>
              </w:rPr>
              <w:t>a</w:t>
            </w:r>
          </w:p>
        </w:tc>
        <w:tc>
          <w:tcPr>
            <w:tcW w:w="1658" w:type="dxa"/>
          </w:tcPr>
          <w:p w14:paraId="66873639" w14:textId="2D7FCB3F" w:rsidR="000B6B25" w:rsidRPr="00AF41A6" w:rsidRDefault="00097911" w:rsidP="009D2D96">
            <w:r>
              <w:t>28.33</w:t>
            </w:r>
          </w:p>
        </w:tc>
      </w:tr>
      <w:tr w:rsidR="00503180" w:rsidRPr="00AF41A6" w14:paraId="6E6ACFF4" w14:textId="77777777" w:rsidTr="00B105BC">
        <w:tc>
          <w:tcPr>
            <w:tcW w:w="1892" w:type="dxa"/>
          </w:tcPr>
          <w:p w14:paraId="46FDC547" w14:textId="27B1612E" w:rsidR="00503180" w:rsidRDefault="00503180" w:rsidP="00503180">
            <w:r>
              <w:fldChar w:fldCharType="begin"/>
            </w:r>
            <w:r>
              <w:instrText xml:space="preserve"> ADDIN ZOTERO_ITEM CSL_CITATION {"citationID":"yapi9EhT","properties":{"formattedCitation":"(Harmsen et al., 2019)","plainCitation":"(Harmsen et al., 2019)","noteIndex":0},"citationItems":[{"id":1594,"uris":["http://zotero.org/users/7422708/items/NWGE3NR4"],"uri":["http://zotero.org/users/7422708/items/NWGE3NR4"],"itemData":{"id":1594,"type":"article-journal","abstract":"This study presents a new comprehensive set of long-term Marginal Abatement Cost (MAC) curves of all major non-CO2 greenhouse gas emission sources. The work builds on existing short-term MAC curve datasets and recent literature on individual mitigation measures. The new MAC curves include current technology and costs information as well as estimates of technology development and removal of implementation barriers to capture long-term dynamics. Compared to earlier work, we find a higher projected maximum reduction potential (MRP) of nitrous oxide (N2O) and a lower MRP of methane (CH4). The combined MRP for all non-CO2 gases is similar but has been extended to also capture mitigation measures that can be realized at higher implementation costs. When applying the new MAC curves in a cost-optimal, integrated assessment model-based 2.6 W/m2 scenario, the total non-CO2 mitigation is projected to be 10.9 Mt CO2equivalents in 2050 (i.e. 58% reduction compared to baseline emissions) and 15.6 Mt CO2equivalents in 2100 (i.e. a 71% reduction). In applying the new MAC curves, we account for inertia in the implementation speed of mitigation measures. Although this does not strongly impact results in an optimal strategy, it means that the contribution of non-CO2 mitigation could be more limited if ambitious climate policy is delayed.","container-title":"Environmental Science &amp; Policy","DOI":"10.1016/j.envsci.2019.05.013","ISSN":"14629011","journalAbbreviation":"Environmental Science &amp; Policy","language":"en","page":"136-149","source":"DOI.org (Crossref)","title":"Long-term marginal abatement cost curves of non-CO2 greenhouse gases","volume":"99","author":[{"family":"Harmsen","given":"J.H.M."},{"family":"Vuuren","given":"Detlef P.","non-dropping-particle":"van"},{"family":"Nayak","given":"Dali R."},{"family":"Hof","given":"Andries F."},{"family":"Höglund-Isaksson","given":"Lena"},{"family":"Lucas","given":"Paul L."},{"family":"Nielsen","given":"Jens B."},{"family":"Smith","given":"Pete"},{"family":"Stehfest","given":"Elke"}],"issued":{"date-parts":[["2019",9]]}}}],"schema":"https://github.com/citation-style-language/schema/raw/master/csl-citation.json"} </w:instrText>
            </w:r>
            <w:r>
              <w:fldChar w:fldCharType="separate"/>
            </w:r>
            <w:r w:rsidRPr="000B6B25">
              <w:rPr>
                <w:rFonts w:cs="Times New Roman"/>
              </w:rPr>
              <w:t>(Harmsen et al., 2019)</w:t>
            </w:r>
            <w:r>
              <w:fldChar w:fldCharType="end"/>
            </w:r>
            <w:r>
              <w:t xml:space="preserve"> – Gas sector</w:t>
            </w:r>
            <w:r w:rsidR="00097911">
              <w:t xml:space="preserve"> in 2050</w:t>
            </w:r>
          </w:p>
        </w:tc>
        <w:tc>
          <w:tcPr>
            <w:tcW w:w="1933" w:type="dxa"/>
          </w:tcPr>
          <w:p w14:paraId="1085FD67" w14:textId="05E99F52" w:rsidR="00503180" w:rsidRPr="00097911" w:rsidRDefault="00097911" w:rsidP="009D2D96">
            <w:r>
              <w:t>40</w:t>
            </w:r>
            <w:r w:rsidR="00592BF2">
              <w:rPr>
                <w:vertAlign w:val="superscript"/>
              </w:rPr>
              <w:t>a,c</w:t>
            </w:r>
          </w:p>
        </w:tc>
        <w:tc>
          <w:tcPr>
            <w:tcW w:w="1934" w:type="dxa"/>
          </w:tcPr>
          <w:p w14:paraId="7F570C44" w14:textId="398B16FA" w:rsidR="00503180" w:rsidRPr="00AF41A6" w:rsidRDefault="00592BF2" w:rsidP="009D2D96">
            <w:r>
              <w:t xml:space="preserve">9 billion </w:t>
            </w:r>
          </w:p>
        </w:tc>
        <w:tc>
          <w:tcPr>
            <w:tcW w:w="1933" w:type="dxa"/>
          </w:tcPr>
          <w:p w14:paraId="497E8137" w14:textId="745066F5" w:rsidR="00503180" w:rsidRPr="00592BF2" w:rsidRDefault="00592BF2" w:rsidP="009D2D96">
            <w:r>
              <w:t>225</w:t>
            </w:r>
            <w:r>
              <w:rPr>
                <w:vertAlign w:val="superscript"/>
              </w:rPr>
              <w:t>a</w:t>
            </w:r>
          </w:p>
        </w:tc>
        <w:tc>
          <w:tcPr>
            <w:tcW w:w="1658" w:type="dxa"/>
          </w:tcPr>
          <w:p w14:paraId="15300635" w14:textId="45FF1A6B" w:rsidR="00503180" w:rsidRPr="00AF41A6" w:rsidRDefault="00592BF2" w:rsidP="009D2D96">
            <w:r>
              <w:t>9.00</w:t>
            </w:r>
          </w:p>
        </w:tc>
      </w:tr>
      <w:tr w:rsidR="00097911" w:rsidRPr="00AF41A6" w14:paraId="36B5DA75" w14:textId="77777777" w:rsidTr="00B105BC">
        <w:tc>
          <w:tcPr>
            <w:tcW w:w="1892" w:type="dxa"/>
          </w:tcPr>
          <w:p w14:paraId="6A408607" w14:textId="5C3933BA" w:rsidR="00097911" w:rsidRDefault="00097911" w:rsidP="00097911">
            <w:r>
              <w:fldChar w:fldCharType="begin"/>
            </w:r>
            <w:r>
              <w:instrText xml:space="preserve"> ADDIN ZOTERO_ITEM CSL_CITATION {"citationID":"PGK5pSSS","properties":{"formattedCitation":"(ICF International, 2014)","plainCitation":"(ICF International, 2014)","noteIndex":0},"citationItems":[{"id":1519,"uris":["http://zotero.org/users/7422708/items/6YJ7L5CP"],"uri":["http://zotero.org/users/7422708/items/6YJ7L5CP"],"itemData":{"id":1519,"type":"article","publisher":"Prepared for Environmental Defense Fund","title":"Economic Analysis of Methane Emission Reduction Opportunities in the U.S. Onshore Oil and Natural Gas Industries","URL":"https://www.edf.org/sites/default/files/methane_cost_curve_report.pdf","author":[{"family":"ICF International","given":""}],"issued":{"date-parts":[["2014"]]}}}],"schema":"https://github.com/citation-style-language/schema/raw/master/csl-citation.json"} </w:instrText>
            </w:r>
            <w:r>
              <w:fldChar w:fldCharType="separate"/>
            </w:r>
            <w:r w:rsidRPr="00503180">
              <w:rPr>
                <w:rFonts w:cs="Times New Roman"/>
              </w:rPr>
              <w:t>(ICF International, 2014)</w:t>
            </w:r>
            <w:r>
              <w:fldChar w:fldCharType="end"/>
            </w:r>
            <w:r>
              <w:t xml:space="preserve"> – USA onshore oil and gas</w:t>
            </w:r>
          </w:p>
        </w:tc>
        <w:tc>
          <w:tcPr>
            <w:tcW w:w="1933" w:type="dxa"/>
          </w:tcPr>
          <w:p w14:paraId="4862B846" w14:textId="4693FE07" w:rsidR="00097911" w:rsidRDefault="00592BF2" w:rsidP="00097911">
            <w:r>
              <w:t>-</w:t>
            </w:r>
          </w:p>
        </w:tc>
        <w:tc>
          <w:tcPr>
            <w:tcW w:w="1934" w:type="dxa"/>
          </w:tcPr>
          <w:p w14:paraId="0E442754" w14:textId="3685306E" w:rsidR="00097911" w:rsidRPr="00AF41A6" w:rsidRDefault="00592BF2" w:rsidP="00097911">
            <w:r>
              <w:t>-</w:t>
            </w:r>
          </w:p>
        </w:tc>
        <w:tc>
          <w:tcPr>
            <w:tcW w:w="1933" w:type="dxa"/>
          </w:tcPr>
          <w:p w14:paraId="67A58972" w14:textId="71360AC2" w:rsidR="00097911" w:rsidRPr="00AF41A6" w:rsidRDefault="00097911" w:rsidP="00097911">
            <w:r>
              <w:t>34.5</w:t>
            </w:r>
            <w:r w:rsidR="00592BF2">
              <w:rPr>
                <w:vertAlign w:val="superscript"/>
              </w:rPr>
              <w:t>a</w:t>
            </w:r>
          </w:p>
        </w:tc>
        <w:tc>
          <w:tcPr>
            <w:tcW w:w="1658" w:type="dxa"/>
          </w:tcPr>
          <w:p w14:paraId="5496C2A3" w14:textId="4CF5CD6E" w:rsidR="00097911" w:rsidRPr="00AF41A6" w:rsidRDefault="00097911" w:rsidP="00097911">
            <w:r>
              <w:t>1.38</w:t>
            </w:r>
          </w:p>
        </w:tc>
      </w:tr>
      <w:tr w:rsidR="00592BF2" w:rsidRPr="00AF41A6" w14:paraId="75C0E203" w14:textId="77777777" w:rsidTr="00B105BC">
        <w:tc>
          <w:tcPr>
            <w:tcW w:w="1892" w:type="dxa"/>
          </w:tcPr>
          <w:p w14:paraId="502E8628" w14:textId="488C48DD" w:rsidR="00592BF2" w:rsidRDefault="00592BF2" w:rsidP="00097911">
            <w:r>
              <w:t>(Climate and Clean Air Coalition, 2021)</w:t>
            </w:r>
            <w:r>
              <w:rPr>
                <w:rStyle w:val="FootnoteReference"/>
              </w:rPr>
              <w:footnoteReference w:id="18"/>
            </w:r>
          </w:p>
        </w:tc>
        <w:tc>
          <w:tcPr>
            <w:tcW w:w="1933" w:type="dxa"/>
          </w:tcPr>
          <w:p w14:paraId="23DD895F" w14:textId="77777777" w:rsidR="00592BF2" w:rsidRDefault="00592BF2" w:rsidP="00097911"/>
        </w:tc>
        <w:tc>
          <w:tcPr>
            <w:tcW w:w="1934" w:type="dxa"/>
          </w:tcPr>
          <w:p w14:paraId="04EBB704" w14:textId="77777777" w:rsidR="00592BF2" w:rsidRDefault="00592BF2" w:rsidP="00097911"/>
        </w:tc>
        <w:tc>
          <w:tcPr>
            <w:tcW w:w="1933" w:type="dxa"/>
          </w:tcPr>
          <w:p w14:paraId="61D8BC17" w14:textId="4B032C77" w:rsidR="00592BF2" w:rsidRDefault="00592BF2" w:rsidP="00097911">
            <w:r>
              <w:t>520</w:t>
            </w:r>
          </w:p>
        </w:tc>
        <w:tc>
          <w:tcPr>
            <w:tcW w:w="1658" w:type="dxa"/>
          </w:tcPr>
          <w:p w14:paraId="52B49B91" w14:textId="53CDBF73" w:rsidR="00592BF2" w:rsidRDefault="00592BF2" w:rsidP="00097911">
            <w:r>
              <w:t>18.57</w:t>
            </w:r>
          </w:p>
        </w:tc>
      </w:tr>
    </w:tbl>
    <w:p w14:paraId="2F7E8FF8" w14:textId="22C752F0" w:rsidR="009D2D96" w:rsidRPr="00AF41A6" w:rsidRDefault="003E3D27" w:rsidP="009D2D96">
      <w:r w:rsidRPr="00AF41A6">
        <w:rPr>
          <w:vertAlign w:val="superscript"/>
        </w:rPr>
        <w:t>a</w:t>
      </w:r>
      <w:r w:rsidR="00592BF2">
        <w:t>Methane</w:t>
      </w:r>
      <w:r w:rsidRPr="00AF41A6">
        <w:t xml:space="preserve"> global warming potential of 25, for consistency with source. </w:t>
      </w:r>
    </w:p>
    <w:p w14:paraId="2E5B6877" w14:textId="5389AEBF" w:rsidR="00BA30AC" w:rsidRDefault="00BA30AC" w:rsidP="009D2D96">
      <w:r w:rsidRPr="00AF41A6">
        <w:rPr>
          <w:vertAlign w:val="superscript"/>
        </w:rPr>
        <w:t>b</w:t>
      </w:r>
      <w:r w:rsidRPr="00AF41A6">
        <w:t>All cost calculations and dependent values from this source are based on a conversion 52.7 MBTU/tCH</w:t>
      </w:r>
      <w:r w:rsidRPr="00AF41A6">
        <w:rPr>
          <w:vertAlign w:val="subscript"/>
        </w:rPr>
        <w:t>4</w:t>
      </w:r>
      <w:r w:rsidRPr="00AF41A6">
        <w:t>.</w:t>
      </w:r>
    </w:p>
    <w:p w14:paraId="593BDD89" w14:textId="5AC5BC29" w:rsidR="00097911" w:rsidRPr="00097911" w:rsidRDefault="00592BF2" w:rsidP="009D2D96">
      <w:r>
        <w:rPr>
          <w:vertAlign w:val="superscript"/>
        </w:rPr>
        <w:t>c</w:t>
      </w:r>
      <w:r w:rsidR="00097911">
        <w:t>For year 2050</w:t>
      </w:r>
    </w:p>
    <w:p w14:paraId="61CD5184" w14:textId="3A0BB971" w:rsidR="005751CE" w:rsidRPr="00AF41A6" w:rsidRDefault="00592BF2" w:rsidP="005751CE">
      <w:r>
        <w:t>The wide range of results represented in this benchmarking analysis gives insight into the challenge of arriving at a global estimate for emissions reductions and costs. Our central result (PDS2) is within the range of literature values for average abatement cost and technical mitigation possible. The comparison of data calculated out of marginal cost curve studies is a tenuous exercise, given the differing assumption</w:t>
      </w:r>
      <w:r w:rsidR="00D9263F">
        <w:t>s</w:t>
      </w:r>
      <w:r>
        <w:t xml:space="preserve"> upon which these studies rely. The lack of a central tendency for key indicators in the above benchmarking analysis indicate</w:t>
      </w:r>
      <w:r w:rsidR="00D9263F">
        <w:t>s</w:t>
      </w:r>
      <w:r w:rsidR="007D5AFC">
        <w:t xml:space="preserve"> that though there ostensibly is rich </w:t>
      </w:r>
      <w:r>
        <w:t xml:space="preserve">data about the technologies and practices to abate emissions in this sector, there is not agreement on how much can be realized and at what costs. </w:t>
      </w:r>
    </w:p>
    <w:p w14:paraId="7454D80C" w14:textId="24C3373C" w:rsidR="00434F61" w:rsidRPr="00AF41A6" w:rsidRDefault="551A77D0" w:rsidP="00D910B7">
      <w:pPr>
        <w:pStyle w:val="Heading1"/>
        <w:numPr>
          <w:ilvl w:val="0"/>
          <w:numId w:val="6"/>
        </w:numPr>
      </w:pPr>
      <w:bookmarkStart w:id="97" w:name="_Toc75953825"/>
      <w:r w:rsidRPr="00AF41A6">
        <w:t>References</w:t>
      </w:r>
      <w:bookmarkEnd w:id="97"/>
    </w:p>
    <w:p w14:paraId="41F6D5FA" w14:textId="77777777" w:rsidR="00E2235A" w:rsidRDefault="002A7A61" w:rsidP="00E2235A">
      <w:pPr>
        <w:pStyle w:val="Bibliography"/>
      </w:pPr>
      <w:r w:rsidRPr="00AF41A6">
        <w:fldChar w:fldCharType="begin"/>
      </w:r>
      <w:r w:rsidR="00E2235A">
        <w:instrText xml:space="preserve"> ADDIN ZOTERO_BIBL {"uncited":[],"omitted":[],"custom":[]} CSL_BIBLIOGRAPHY </w:instrText>
      </w:r>
      <w:r w:rsidRPr="00AF41A6">
        <w:fldChar w:fldCharType="separate"/>
      </w:r>
      <w:r w:rsidR="00E2235A">
        <w:t xml:space="preserve">American Gas Association. (2014). </w:t>
      </w:r>
      <w:r w:rsidR="00E2235A">
        <w:rPr>
          <w:i/>
          <w:iCs/>
        </w:rPr>
        <w:t>AGA Guidelines for Reducing Natural Gas Emissions From Distribution Systems</w:t>
      </w:r>
      <w:r w:rsidR="00E2235A">
        <w:t>. American Gas Association. https://www.aga.org/sites/default/files/aga_guidelines_for_natural_gas_emission_reduction_bd_approved_may_17_2014.pdf</w:t>
      </w:r>
    </w:p>
    <w:p w14:paraId="357B9FAD" w14:textId="77777777" w:rsidR="00E2235A" w:rsidRDefault="00E2235A" w:rsidP="00E2235A">
      <w:pPr>
        <w:pStyle w:val="Bibliography"/>
      </w:pPr>
      <w:r>
        <w:t xml:space="preserve">Blanton, E. M., Lott, D. M. C., &amp; Smith, K. N. (2021). </w:t>
      </w:r>
      <w:r>
        <w:rPr>
          <w:i/>
          <w:iCs/>
        </w:rPr>
        <w:t>Investing in the US Natural Gas Pipeline System to Support Net-Zero Targets</w:t>
      </w:r>
      <w:r>
        <w:t>. Columbia Center on Global Energy Policy.</w:t>
      </w:r>
    </w:p>
    <w:p w14:paraId="62A9911A" w14:textId="77777777" w:rsidR="00E2235A" w:rsidRDefault="00E2235A" w:rsidP="00E2235A">
      <w:pPr>
        <w:pStyle w:val="Bibliography"/>
      </w:pPr>
      <w:r>
        <w:t xml:space="preserve">Brandt, A. R., Heath, G. A., &amp; Cooley, D. (2016). Methane Leaks from Natural Gas Systems Follow Extreme Distributions. </w:t>
      </w:r>
      <w:r>
        <w:rPr>
          <w:i/>
          <w:iCs/>
        </w:rPr>
        <w:t>Environmental Science &amp; Technology</w:t>
      </w:r>
      <w:r>
        <w:t xml:space="preserve">, </w:t>
      </w:r>
      <w:r>
        <w:rPr>
          <w:i/>
          <w:iCs/>
        </w:rPr>
        <w:t>50</w:t>
      </w:r>
      <w:r>
        <w:t>(22), 12512–12520. https://doi.org/10.1021/acs.est.6b04303</w:t>
      </w:r>
    </w:p>
    <w:p w14:paraId="1E3089CF" w14:textId="77777777" w:rsidR="00E2235A" w:rsidRDefault="00E2235A" w:rsidP="00E2235A">
      <w:pPr>
        <w:pStyle w:val="Bibliography"/>
      </w:pPr>
      <w:r>
        <w:t xml:space="preserve">CCAC and UNEP. (2021). </w:t>
      </w:r>
      <w:r>
        <w:rPr>
          <w:i/>
          <w:iCs/>
        </w:rPr>
        <w:t>Global Methane Assessment</w:t>
      </w:r>
      <w:r>
        <w:t>. Climate and Clean Air Coalition and United Nations Environment Programme. https://www.ccacoalition.org/en/resources/global-methane-assessment-full-report</w:t>
      </w:r>
    </w:p>
    <w:p w14:paraId="47238B3D" w14:textId="77777777" w:rsidR="00E2235A" w:rsidRDefault="00E2235A" w:rsidP="00E2235A">
      <w:pPr>
        <w:pStyle w:val="Bibliography"/>
      </w:pPr>
      <w:r>
        <w:t xml:space="preserve">Datu Research. (2017). </w:t>
      </w:r>
      <w:r>
        <w:rPr>
          <w:i/>
          <w:iCs/>
        </w:rPr>
        <w:t>Find and Fix: Job Creation in the Emerging Methane Leak Detection and Repair Industry</w:t>
      </w:r>
      <w:r>
        <w:t>. Environmental Defense Fund. https://storage.googleapis.com/edfbiz_website/Oil%20Gas%20Methane/find-and-fix-datu-research.pdf</w:t>
      </w:r>
    </w:p>
    <w:p w14:paraId="39A1701D" w14:textId="77777777" w:rsidR="00E2235A" w:rsidRDefault="00E2235A" w:rsidP="00E2235A">
      <w:pPr>
        <w:pStyle w:val="Bibliography"/>
      </w:pPr>
      <w:r>
        <w:t xml:space="preserve">Dodds, P. E., &amp; Demoullin, S. (2013). Conversion of the UK gas system to transport hydrogen. </w:t>
      </w:r>
      <w:r>
        <w:rPr>
          <w:i/>
          <w:iCs/>
        </w:rPr>
        <w:t>International Journal of Hydrogen Energy</w:t>
      </w:r>
      <w:r>
        <w:t xml:space="preserve">, </w:t>
      </w:r>
      <w:r>
        <w:rPr>
          <w:i/>
          <w:iCs/>
        </w:rPr>
        <w:t>38</w:t>
      </w:r>
      <w:r>
        <w:t>(18), 7189–7200. https://doi.org/10.1016/j.ijhydene.2013.03.070</w:t>
      </w:r>
    </w:p>
    <w:p w14:paraId="0156D0EC" w14:textId="77777777" w:rsidR="00E2235A" w:rsidRDefault="00E2235A" w:rsidP="00E2235A">
      <w:pPr>
        <w:pStyle w:val="Bibliography"/>
      </w:pPr>
      <w:r>
        <w:t xml:space="preserve">Erickson, P., Kartha, S., Lazarus, M., &amp; Tempest, K. (2015). Assessing carbon lock-in. </w:t>
      </w:r>
      <w:r>
        <w:rPr>
          <w:i/>
          <w:iCs/>
        </w:rPr>
        <w:t>Environmental Research Letters</w:t>
      </w:r>
      <w:r>
        <w:t xml:space="preserve">, </w:t>
      </w:r>
      <w:r>
        <w:rPr>
          <w:i/>
          <w:iCs/>
        </w:rPr>
        <w:t>10</w:t>
      </w:r>
      <w:r>
        <w:t>(8), 084023. https://doi.org/10.1088/1748-9326/10/8/084023</w:t>
      </w:r>
    </w:p>
    <w:p w14:paraId="7A998CAD" w14:textId="77777777" w:rsidR="00E2235A" w:rsidRDefault="00E2235A" w:rsidP="00E2235A">
      <w:pPr>
        <w:pStyle w:val="Bibliography"/>
      </w:pPr>
      <w:r>
        <w:t xml:space="preserve">Fox, T. A., Ravikumar, A. P., Hugenholtz, C. H., Zimmerle, D., Barchyn, T. E., Johnson, M. R., Lyon, D., &amp; Taylor, T. (2019). A methane emissions reduction equivalence framework for alternative leak detection and repair programs. </w:t>
      </w:r>
      <w:r>
        <w:rPr>
          <w:i/>
          <w:iCs/>
        </w:rPr>
        <w:t>Elementa: Science of the Anthropocene</w:t>
      </w:r>
      <w:r>
        <w:t xml:space="preserve">, </w:t>
      </w:r>
      <w:r>
        <w:rPr>
          <w:i/>
          <w:iCs/>
        </w:rPr>
        <w:t>7</w:t>
      </w:r>
      <w:r>
        <w:t>, 30. https://doi.org/10.1525/elementa.369</w:t>
      </w:r>
    </w:p>
    <w:p w14:paraId="6FB6C9B9" w14:textId="77777777" w:rsidR="00E2235A" w:rsidRDefault="00E2235A" w:rsidP="00E2235A">
      <w:pPr>
        <w:pStyle w:val="Bibliography"/>
      </w:pPr>
      <w:r>
        <w:t xml:space="preserve">Gallagher, M. E., Down, A., Ackley, R. C., Zhao, K., Phillips, N., &amp; Jackson, R. B. (2015). Natural Gas Pipeline Replacement Programs Reduce Methane Leaks and Improve Consumer Safety. </w:t>
      </w:r>
      <w:r>
        <w:rPr>
          <w:i/>
          <w:iCs/>
        </w:rPr>
        <w:t>Environmental Science &amp; Technology Letters</w:t>
      </w:r>
      <w:r>
        <w:t xml:space="preserve">, </w:t>
      </w:r>
      <w:r>
        <w:rPr>
          <w:i/>
          <w:iCs/>
        </w:rPr>
        <w:t>2</w:t>
      </w:r>
      <w:r>
        <w:t>(10), 286–291. https://doi.org/10.1021/acs.estlett.5b00213</w:t>
      </w:r>
    </w:p>
    <w:p w14:paraId="5265B3C5" w14:textId="77777777" w:rsidR="00E2235A" w:rsidRDefault="00E2235A" w:rsidP="00E2235A">
      <w:pPr>
        <w:pStyle w:val="Bibliography"/>
      </w:pPr>
      <w:r>
        <w:t xml:space="preserve">Grubert, E. (2020). At scale, renewable natural gas systems could be climate intensive: The influence of methane feedstock and leakage rates. </w:t>
      </w:r>
      <w:r>
        <w:rPr>
          <w:i/>
          <w:iCs/>
        </w:rPr>
        <w:t>Environmental Research Letters</w:t>
      </w:r>
      <w:r>
        <w:t xml:space="preserve">, </w:t>
      </w:r>
      <w:r>
        <w:rPr>
          <w:i/>
          <w:iCs/>
        </w:rPr>
        <w:t>15</w:t>
      </w:r>
      <w:r>
        <w:t>(8), 084041. https://doi.org/10.1088/1748-9326/ab9335</w:t>
      </w:r>
    </w:p>
    <w:p w14:paraId="22AE6642" w14:textId="77777777" w:rsidR="00E2235A" w:rsidRDefault="00E2235A" w:rsidP="00E2235A">
      <w:pPr>
        <w:pStyle w:val="Bibliography"/>
      </w:pPr>
      <w:r>
        <w:t xml:space="preserve">Harmsen, J. H. M., van Vuuren, D. P., Nayak, D. R., Hof, A. F., Höglund-Isaksson, L., Lucas, P. L., Nielsen, J. B., Smith, P., &amp; Stehfest, E. (2019). Long-term marginal abatement cost curves of non-CO2 greenhouse gases. </w:t>
      </w:r>
      <w:r>
        <w:rPr>
          <w:i/>
          <w:iCs/>
        </w:rPr>
        <w:t>Environmental Science &amp; Policy</w:t>
      </w:r>
      <w:r>
        <w:t xml:space="preserve">, </w:t>
      </w:r>
      <w:r>
        <w:rPr>
          <w:i/>
          <w:iCs/>
        </w:rPr>
        <w:t>99</w:t>
      </w:r>
      <w:r>
        <w:t>, 136–149. https://doi.org/10.1016/j.envsci.2019.05.013</w:t>
      </w:r>
    </w:p>
    <w:p w14:paraId="1795B5B7" w14:textId="77777777" w:rsidR="00E2235A" w:rsidRDefault="00E2235A" w:rsidP="00E2235A">
      <w:pPr>
        <w:pStyle w:val="Bibliography"/>
      </w:pPr>
      <w:r>
        <w:t xml:space="preserve">Höglund-Isaksson, L., Gómez-Sanabria, A., Klimont, Z., Rafaj, P., &amp; Schöpp, W. (2020). Technical potentials and costs for reducing global anthropogenic methane emissions in the 2050 timeframe –results from the GAINS model. </w:t>
      </w:r>
      <w:r>
        <w:rPr>
          <w:i/>
          <w:iCs/>
        </w:rPr>
        <w:t>Environmental Research Communications</w:t>
      </w:r>
      <w:r>
        <w:t xml:space="preserve">, </w:t>
      </w:r>
      <w:r>
        <w:rPr>
          <w:i/>
          <w:iCs/>
        </w:rPr>
        <w:t>2</w:t>
      </w:r>
      <w:r>
        <w:t>(2), 025004. https://doi.org/10.1088/2515-7620/ab7457</w:t>
      </w:r>
    </w:p>
    <w:p w14:paraId="6568E8BF" w14:textId="77777777" w:rsidR="00E2235A" w:rsidRDefault="00E2235A" w:rsidP="00E2235A">
      <w:pPr>
        <w:pStyle w:val="Bibliography"/>
      </w:pPr>
      <w:r>
        <w:t xml:space="preserve">ICF International. (2014). </w:t>
      </w:r>
      <w:r>
        <w:rPr>
          <w:i/>
          <w:iCs/>
        </w:rPr>
        <w:t>Economic Analysis of Methane Emission Reduction Opportunities in the U.S. Onshore Oil and Natural Gas Industries</w:t>
      </w:r>
      <w:r>
        <w:t>. Prepared for Environmental Defense Fund. https://www.edf.org/sites/default/files/methane_cost_curve_report.pdf</w:t>
      </w:r>
    </w:p>
    <w:p w14:paraId="04B5DB3B" w14:textId="77777777" w:rsidR="00E2235A" w:rsidRDefault="00E2235A" w:rsidP="00E2235A">
      <w:pPr>
        <w:pStyle w:val="Bibliography"/>
      </w:pPr>
      <w:r>
        <w:t xml:space="preserve">ICF International. (2015). </w:t>
      </w:r>
      <w:r>
        <w:rPr>
          <w:i/>
          <w:iCs/>
        </w:rPr>
        <w:t>Economic Analysis of Methane Emission Reduction Opportunities in the Mexican Oil and Natural Gas Industries</w:t>
      </w:r>
      <w:r>
        <w:t>. Prepared for Environmental Defense Fund. https://www.edf.org/sites/default/files/mexico_methane_cost_curve_report.pdf</w:t>
      </w:r>
    </w:p>
    <w:p w14:paraId="4FA812DE" w14:textId="77777777" w:rsidR="00E2235A" w:rsidRDefault="00E2235A" w:rsidP="00E2235A">
      <w:pPr>
        <w:pStyle w:val="Bibliography"/>
      </w:pPr>
      <w:r>
        <w:t xml:space="preserve">IEA. (2019). </w:t>
      </w:r>
      <w:r>
        <w:rPr>
          <w:i/>
          <w:iCs/>
        </w:rPr>
        <w:t>The Future of Hydrogen</w:t>
      </w:r>
      <w:r>
        <w:t>. International Energy Agency. https://www.iea.org/reports/the-future-of-hydrogen</w:t>
      </w:r>
    </w:p>
    <w:p w14:paraId="7DE89D78" w14:textId="77777777" w:rsidR="00E2235A" w:rsidRDefault="00E2235A" w:rsidP="00E2235A">
      <w:pPr>
        <w:pStyle w:val="Bibliography"/>
      </w:pPr>
      <w:r>
        <w:t xml:space="preserve">IEA. (2020a). </w:t>
      </w:r>
      <w:r>
        <w:rPr>
          <w:i/>
          <w:iCs/>
        </w:rPr>
        <w:t>Methane Tracker 2020</w:t>
      </w:r>
      <w:r>
        <w:t>. International Energy Agency. https://www.iea.org/reports/methane-tracker-2020</w:t>
      </w:r>
    </w:p>
    <w:p w14:paraId="5FEE0817" w14:textId="77777777" w:rsidR="00E2235A" w:rsidRDefault="00E2235A" w:rsidP="00E2235A">
      <w:pPr>
        <w:pStyle w:val="Bibliography"/>
      </w:pPr>
      <w:r>
        <w:t xml:space="preserve">IEA. (2020b). World Energy Outlook 2020. </w:t>
      </w:r>
      <w:r>
        <w:rPr>
          <w:i/>
          <w:iCs/>
        </w:rPr>
        <w:t>International Energy Agency</w:t>
      </w:r>
      <w:r>
        <w:t>. https://www.iea.org/reports/world-energy-outlook-2020</w:t>
      </w:r>
    </w:p>
    <w:p w14:paraId="49B9522A" w14:textId="77777777" w:rsidR="00E2235A" w:rsidRDefault="00E2235A" w:rsidP="00E2235A">
      <w:pPr>
        <w:pStyle w:val="Bibliography"/>
      </w:pPr>
      <w:r>
        <w:t xml:space="preserve">IEA. (2021a). </w:t>
      </w:r>
      <w:r>
        <w:rPr>
          <w:i/>
          <w:iCs/>
        </w:rPr>
        <w:t>Methane Tracker 2021</w:t>
      </w:r>
      <w:r>
        <w:t>. International Energy Agency. https://www.iea.org/reports/methane-tracker-2021</w:t>
      </w:r>
    </w:p>
    <w:p w14:paraId="6592001B" w14:textId="77777777" w:rsidR="00E2235A" w:rsidRDefault="00E2235A" w:rsidP="00E2235A">
      <w:pPr>
        <w:pStyle w:val="Bibliography"/>
      </w:pPr>
      <w:r>
        <w:t xml:space="preserve">IEA. (2021b). </w:t>
      </w:r>
      <w:r>
        <w:rPr>
          <w:i/>
          <w:iCs/>
        </w:rPr>
        <w:t>Methane Tracker Database</w:t>
      </w:r>
      <w:r>
        <w:t>. International Energy Agency. https://www.iea.org/articles/methane-tracker-database</w:t>
      </w:r>
    </w:p>
    <w:p w14:paraId="2D1AE666" w14:textId="77777777" w:rsidR="00E2235A" w:rsidRDefault="00E2235A" w:rsidP="00E2235A">
      <w:pPr>
        <w:pStyle w:val="Bibliography"/>
      </w:pPr>
      <w:r>
        <w:t xml:space="preserve">IEA. (2021c). </w:t>
      </w:r>
      <w:r>
        <w:rPr>
          <w:i/>
          <w:iCs/>
        </w:rPr>
        <w:t>Net Zero by 2050</w:t>
      </w:r>
      <w:r>
        <w:t>. International Energy Agency. https://www.iea.org/reports/net-zero-by-2050</w:t>
      </w:r>
    </w:p>
    <w:p w14:paraId="7C05A1AE" w14:textId="77777777" w:rsidR="00E2235A" w:rsidRDefault="00E2235A" w:rsidP="00E2235A">
      <w:pPr>
        <w:pStyle w:val="Bibliography"/>
      </w:pPr>
      <w:r>
        <w:t xml:space="preserve">Kang, M., Christian, S., Celia, M. A., Mauzerall, D. L., Bill, M., Miller, A. R., Chen, Y., Conrad, M. E., Darrah, T. H., &amp; Jackson, R. B. (2016). Identification and characterization of high methane-emitting abandoned oil and gas wells. </w:t>
      </w:r>
      <w:r>
        <w:rPr>
          <w:i/>
          <w:iCs/>
        </w:rPr>
        <w:t>Proceedings of the National Academy of Sciences</w:t>
      </w:r>
      <w:r>
        <w:t xml:space="preserve">, </w:t>
      </w:r>
      <w:r>
        <w:rPr>
          <w:i/>
          <w:iCs/>
        </w:rPr>
        <w:t>113</w:t>
      </w:r>
      <w:r>
        <w:t>(48), 13636–13641. https://doi.org/10.1073/pnas.1605913113</w:t>
      </w:r>
    </w:p>
    <w:p w14:paraId="7F188D1D" w14:textId="77777777" w:rsidR="00E2235A" w:rsidRDefault="00E2235A" w:rsidP="00E2235A">
      <w:pPr>
        <w:pStyle w:val="Bibliography"/>
      </w:pPr>
      <w:r>
        <w:t xml:space="preserve">Kang, M., Mauzerall, D. L., Ma, D. Z., &amp; Celia, M. A. (2019). Reducing methane emissions from abandoned oil and gas wells: Strategies and costs. </w:t>
      </w:r>
      <w:r>
        <w:rPr>
          <w:i/>
          <w:iCs/>
        </w:rPr>
        <w:t>Energy Policy</w:t>
      </w:r>
      <w:r>
        <w:t xml:space="preserve">, </w:t>
      </w:r>
      <w:r>
        <w:rPr>
          <w:i/>
          <w:iCs/>
        </w:rPr>
        <w:t>132</w:t>
      </w:r>
      <w:r>
        <w:t>, 594–601. https://doi.org/10.1016/j.enpol.2019.05.045</w:t>
      </w:r>
    </w:p>
    <w:p w14:paraId="6BEA89F1" w14:textId="77777777" w:rsidR="00E2235A" w:rsidRDefault="00E2235A" w:rsidP="00E2235A">
      <w:pPr>
        <w:pStyle w:val="Bibliography"/>
      </w:pPr>
      <w:r>
        <w:t xml:space="preserve">Kemp, C. E., Ravikumar, A. P., &amp; Brandt, A. R. (2016). Comparing Natural Gas Leakage Detection Technologies Using an Open-Source “Virtual Gas Field” Simulator. </w:t>
      </w:r>
      <w:r>
        <w:rPr>
          <w:i/>
          <w:iCs/>
        </w:rPr>
        <w:t>Environmental Science &amp; Technology</w:t>
      </w:r>
      <w:r>
        <w:t xml:space="preserve">, </w:t>
      </w:r>
      <w:r>
        <w:rPr>
          <w:i/>
          <w:iCs/>
        </w:rPr>
        <w:t>50</w:t>
      </w:r>
      <w:r>
        <w:t>(8), 4546–4553. https://doi.org/10.1021/acs.est.5b06068</w:t>
      </w:r>
    </w:p>
    <w:p w14:paraId="1FBADEDC" w14:textId="77777777" w:rsidR="00E2235A" w:rsidRDefault="00E2235A" w:rsidP="00E2235A">
      <w:pPr>
        <w:pStyle w:val="Bibliography"/>
      </w:pPr>
      <w:r>
        <w:t xml:space="preserve">Lazarus, M., Tempest, K., Klevnäs, P., &amp; Korsbakken, J. I. (2015). </w:t>
      </w:r>
      <w:r>
        <w:rPr>
          <w:i/>
          <w:iCs/>
        </w:rPr>
        <w:t>Natural Gas: Guardrails for a potential climate bridge</w:t>
      </w:r>
      <w:r>
        <w:t>. The New Climate Economy; Stockholm Environment Institute.</w:t>
      </w:r>
    </w:p>
    <w:p w14:paraId="5F045E95" w14:textId="77777777" w:rsidR="00E2235A" w:rsidRDefault="00E2235A" w:rsidP="00E2235A">
      <w:pPr>
        <w:pStyle w:val="Bibliography"/>
      </w:pPr>
      <w:r>
        <w:t xml:space="preserve">Mac Kinnon, M. A., Brouwer, J., &amp; Samuelsen, S. (2018). The role of natural gas and its infrastructure in mitigating greenhouse gas emissions, improving regional air quality, and renewable resource integration. </w:t>
      </w:r>
      <w:r>
        <w:rPr>
          <w:i/>
          <w:iCs/>
        </w:rPr>
        <w:t>Progress in Energy and Combustion Science</w:t>
      </w:r>
      <w:r>
        <w:t xml:space="preserve">, </w:t>
      </w:r>
      <w:r>
        <w:rPr>
          <w:i/>
          <w:iCs/>
        </w:rPr>
        <w:t>64</w:t>
      </w:r>
      <w:r>
        <w:t>, 62–92. https://doi.org/10.1016/j.pecs.2017.10.002</w:t>
      </w:r>
    </w:p>
    <w:p w14:paraId="45AD70F7" w14:textId="77777777" w:rsidR="00E2235A" w:rsidRDefault="00E2235A" w:rsidP="00E2235A">
      <w:pPr>
        <w:pStyle w:val="Bibliography"/>
      </w:pPr>
      <w:r>
        <w:t xml:space="preserve">Marchese, A. J., &amp; Zimmerle, D. (2019, September 4). Why methane emissions matter to climate change: 5 questions answered. </w:t>
      </w:r>
      <w:r>
        <w:rPr>
          <w:i/>
          <w:iCs/>
        </w:rPr>
        <w:t>The Conversation</w:t>
      </w:r>
      <w:r>
        <w:t>. https://theconversation.com/why-methane-emissions-matter-to-climate-change-5-questions-answered-122684</w:t>
      </w:r>
    </w:p>
    <w:p w14:paraId="29D390B8" w14:textId="77777777" w:rsidR="00E2235A" w:rsidRDefault="00E2235A" w:rsidP="00E2235A">
      <w:pPr>
        <w:pStyle w:val="Bibliography"/>
      </w:pPr>
      <w:r>
        <w:t xml:space="preserve">Mayfield, E. N., Robinson, A. L., &amp; Cohon, J. L. (2017). System-wide and Superemitter Policy Options for the Abatement of Methane Emissions from the U.S. Natural Gas System. </w:t>
      </w:r>
      <w:r>
        <w:rPr>
          <w:i/>
          <w:iCs/>
        </w:rPr>
        <w:t>Environmental Science &amp; Technology</w:t>
      </w:r>
      <w:r>
        <w:t xml:space="preserve">, </w:t>
      </w:r>
      <w:r>
        <w:rPr>
          <w:i/>
          <w:iCs/>
        </w:rPr>
        <w:t>51</w:t>
      </w:r>
      <w:r>
        <w:t>(9), 4772–4780. https://doi.org/10.1021/acs.est.6b05052</w:t>
      </w:r>
    </w:p>
    <w:p w14:paraId="3463A648" w14:textId="77777777" w:rsidR="00E2235A" w:rsidRDefault="00E2235A" w:rsidP="00E2235A">
      <w:pPr>
        <w:pStyle w:val="Bibliography"/>
      </w:pPr>
      <w:r>
        <w:t xml:space="preserve">McGlade, C., Pye, S., Ekins, P., Bradshaw, M., &amp; Watson, J. (2018). The future role of natural gas in the UK: A bridge to nowhere? </w:t>
      </w:r>
      <w:r>
        <w:rPr>
          <w:i/>
          <w:iCs/>
        </w:rPr>
        <w:t>Energy Policy</w:t>
      </w:r>
      <w:r>
        <w:t xml:space="preserve">, </w:t>
      </w:r>
      <w:r>
        <w:rPr>
          <w:i/>
          <w:iCs/>
        </w:rPr>
        <w:t>113</w:t>
      </w:r>
      <w:r>
        <w:t>, 454–465. https://doi.org/10.1016/j.enpol.2017.11.022</w:t>
      </w:r>
    </w:p>
    <w:p w14:paraId="6DEEDDE9" w14:textId="77777777" w:rsidR="00E2235A" w:rsidRDefault="00E2235A" w:rsidP="00E2235A">
      <w:pPr>
        <w:pStyle w:val="Bibliography"/>
      </w:pPr>
      <w:r>
        <w:t xml:space="preserve">Melaina, M. W., Antonia, O., &amp; Penev, M. (2013). Blending Hydrogen into Natural Gas Pipeline Networks: A Review of Key Issues. </w:t>
      </w:r>
      <w:r>
        <w:rPr>
          <w:i/>
          <w:iCs/>
        </w:rPr>
        <w:t>Renewable Energy</w:t>
      </w:r>
      <w:r>
        <w:t>, 131.</w:t>
      </w:r>
    </w:p>
    <w:p w14:paraId="7FC437F7" w14:textId="77777777" w:rsidR="00E2235A" w:rsidRDefault="00E2235A" w:rsidP="00E2235A">
      <w:pPr>
        <w:pStyle w:val="Bibliography"/>
      </w:pPr>
      <w:r>
        <w:t xml:space="preserve">Munnings, C., &amp; Krupnick, A. (2017). </w:t>
      </w:r>
      <w:r>
        <w:rPr>
          <w:i/>
          <w:iCs/>
        </w:rPr>
        <w:t>Comparing Policies to Reduce Methane Emissions in the Natural Gas Sector</w:t>
      </w:r>
      <w:r>
        <w:t>. Resources for the Future.</w:t>
      </w:r>
    </w:p>
    <w:p w14:paraId="25A3F68B" w14:textId="77777777" w:rsidR="00E2235A" w:rsidRDefault="00E2235A" w:rsidP="00E2235A">
      <w:pPr>
        <w:pStyle w:val="Bibliography"/>
      </w:pPr>
      <w:r>
        <w:t xml:space="preserve">Ocko, I. B., Sun, T., Shindell, D., Oppenheimer, M., Hristov, A. N., Pacala, S. W., Mauzerall, D. L., Xu, Y., &amp; Hamburg, S. P. (2021). Acting rapidly to deploy readily available methane mitigation measures by sector can immediately slow global warming. </w:t>
      </w:r>
      <w:r>
        <w:rPr>
          <w:i/>
          <w:iCs/>
        </w:rPr>
        <w:t>Environ. Res. Lett.</w:t>
      </w:r>
      <w:r>
        <w:t>, 12.</w:t>
      </w:r>
    </w:p>
    <w:p w14:paraId="1E35F70F" w14:textId="77777777" w:rsidR="00E2235A" w:rsidRDefault="00E2235A" w:rsidP="00E2235A">
      <w:pPr>
        <w:pStyle w:val="Bibliography"/>
      </w:pPr>
      <w:r>
        <w:t xml:space="preserve">Ravikumar, A. P., &amp; Brandt, A. R. (2017). Designing better methane mitigation policies: The challenge of distributed small sources in the natural gas sector. </w:t>
      </w:r>
      <w:r>
        <w:rPr>
          <w:i/>
          <w:iCs/>
        </w:rPr>
        <w:t>Environmental Research Letters</w:t>
      </w:r>
      <w:r>
        <w:t xml:space="preserve">, </w:t>
      </w:r>
      <w:r>
        <w:rPr>
          <w:i/>
          <w:iCs/>
        </w:rPr>
        <w:t>12</w:t>
      </w:r>
      <w:r>
        <w:t>(4), 044023. https://doi.org/10.1088/1748-9326/aa6791</w:t>
      </w:r>
    </w:p>
    <w:p w14:paraId="1753B5A5" w14:textId="77777777" w:rsidR="00E2235A" w:rsidRDefault="00E2235A" w:rsidP="00E2235A">
      <w:pPr>
        <w:pStyle w:val="Bibliography"/>
      </w:pPr>
      <w:r>
        <w:t xml:space="preserve">Ravikumar, A. P., Roda-Stuart, D., Liu, R., Bradley, A., Bergerson, J., Nie, Y., Zhang, S., Bi, X., &amp; Brandt, A. R. (2020). Repeated leak detection and repair surveys reduce methane emissions over scale of years. </w:t>
      </w:r>
      <w:r>
        <w:rPr>
          <w:i/>
          <w:iCs/>
        </w:rPr>
        <w:t>Environmental Research Letters</w:t>
      </w:r>
      <w:r>
        <w:t xml:space="preserve">, </w:t>
      </w:r>
      <w:r>
        <w:rPr>
          <w:i/>
          <w:iCs/>
        </w:rPr>
        <w:t>15</w:t>
      </w:r>
      <w:r>
        <w:t>(3), 034029. https://doi.org/10.1088/1748-9326/ab6ae1</w:t>
      </w:r>
    </w:p>
    <w:p w14:paraId="016C4174" w14:textId="77777777" w:rsidR="00E2235A" w:rsidRDefault="00E2235A" w:rsidP="00E2235A">
      <w:pPr>
        <w:pStyle w:val="Bibliography"/>
      </w:pPr>
      <w:r>
        <w:t xml:space="preserve">Rogelj, J., Geden, O., Cowie, A., &amp; Reisinger, A. (2021). Three ways to improve net-zero emissions targets. </w:t>
      </w:r>
      <w:r>
        <w:rPr>
          <w:i/>
          <w:iCs/>
        </w:rPr>
        <w:t>Nature</w:t>
      </w:r>
      <w:r>
        <w:t xml:space="preserve">, </w:t>
      </w:r>
      <w:r>
        <w:rPr>
          <w:i/>
          <w:iCs/>
        </w:rPr>
        <w:t>591</w:t>
      </w:r>
      <w:r>
        <w:t>, 4.</w:t>
      </w:r>
    </w:p>
    <w:p w14:paraId="3117AFB2" w14:textId="77777777" w:rsidR="00E2235A" w:rsidRDefault="00E2235A" w:rsidP="00E2235A">
      <w:pPr>
        <w:pStyle w:val="Bibliography"/>
      </w:pPr>
      <w:r>
        <w:t xml:space="preserve">Saunois, M., Stavert, A. R., Poulter, B., Bousquet, P., Canadell, J. G., Jackson, R. B., Raymond, P. A., Dlugokencky, E. J., Houweling, S., Patra, P. K., Ciais, P., Arora, V. K., Bastviken, D., Bergamaschi, P., Blake, D. R., Brailsford, G., Bruhwiler, L., Carlson, K. M., Carrol, M., … Zhuang, Q. (2020). The Global Methane Budget 2000–2017. </w:t>
      </w:r>
      <w:r>
        <w:rPr>
          <w:i/>
          <w:iCs/>
        </w:rPr>
        <w:t>Earth System Science Data</w:t>
      </w:r>
      <w:r>
        <w:t xml:space="preserve">, </w:t>
      </w:r>
      <w:r>
        <w:rPr>
          <w:i/>
          <w:iCs/>
        </w:rPr>
        <w:t>12</w:t>
      </w:r>
      <w:r>
        <w:t>(3), 1561–1623. https://doi.org/10.5194/essd-12-1561-2020</w:t>
      </w:r>
    </w:p>
    <w:p w14:paraId="74BC0E1D" w14:textId="77777777" w:rsidR="00E2235A" w:rsidRDefault="00E2235A" w:rsidP="00E2235A">
      <w:pPr>
        <w:pStyle w:val="Bibliography"/>
      </w:pPr>
      <w:r>
        <w:t xml:space="preserve">Shoemaker, J. K., Schrag, D. P., Molina, M. J., &amp; Ramanathan, V. (2013). What Role for Short-Lived Climate Pollutants in Mitigation Policy? </w:t>
      </w:r>
      <w:r>
        <w:rPr>
          <w:i/>
          <w:iCs/>
        </w:rPr>
        <w:t>Science</w:t>
      </w:r>
      <w:r>
        <w:t xml:space="preserve">, </w:t>
      </w:r>
      <w:r>
        <w:rPr>
          <w:i/>
          <w:iCs/>
        </w:rPr>
        <w:t>342</w:t>
      </w:r>
      <w:r>
        <w:t>(6164), 1323–1324. https://doi.org/10.1126/science.1240162</w:t>
      </w:r>
    </w:p>
    <w:p w14:paraId="6D765AB1" w14:textId="77777777" w:rsidR="00E2235A" w:rsidRDefault="00E2235A" w:rsidP="00E2235A">
      <w:pPr>
        <w:pStyle w:val="Bibliography"/>
      </w:pPr>
      <w:r>
        <w:t xml:space="preserve">UK Committee on Climate Change. (2019). </w:t>
      </w:r>
      <w:r>
        <w:rPr>
          <w:i/>
          <w:iCs/>
        </w:rPr>
        <w:t>Net Zero: The UK’s contribution to stopping global warming</w:t>
      </w:r>
      <w:r>
        <w:t>. https://www.theccc.org.uk/wp-content/uploads/2019/05/Net-Zero-The-UKs-contribution-to-stopping-global-warming.pdf</w:t>
      </w:r>
    </w:p>
    <w:p w14:paraId="70822CF6" w14:textId="77777777" w:rsidR="00E2235A" w:rsidRDefault="00E2235A" w:rsidP="00E2235A">
      <w:pPr>
        <w:pStyle w:val="Bibliography"/>
      </w:pPr>
      <w:r>
        <w:t xml:space="preserve">US EPA. (2007). </w:t>
      </w:r>
      <w:r>
        <w:rPr>
          <w:i/>
          <w:iCs/>
        </w:rPr>
        <w:t>Leak Detection and Repair: A best practices guide</w:t>
      </w:r>
      <w:r>
        <w:t>. US Environmental Protection Agency. https://www.epa.gov/sites/production/files/2014-02/documents/ldarguide.pdf</w:t>
      </w:r>
    </w:p>
    <w:p w14:paraId="4D03D287" w14:textId="77777777" w:rsidR="00E2235A" w:rsidRDefault="00E2235A" w:rsidP="00E2235A">
      <w:pPr>
        <w:pStyle w:val="Bibliography"/>
      </w:pPr>
      <w:r>
        <w:t xml:space="preserve">US EPA. (2019a). </w:t>
      </w:r>
      <w:r>
        <w:rPr>
          <w:i/>
          <w:iCs/>
        </w:rPr>
        <w:t>Non-CO2 Methodology Report</w:t>
      </w:r>
      <w:r>
        <w:t>. US Environmental Protection Agency Office of Atmospheric Programs. https://www.epa.gov/global-mitigation-non-co2-greenhouse-gases/global-non-co2-greenhouse-gas-emission-projections</w:t>
      </w:r>
    </w:p>
    <w:p w14:paraId="26B053F2" w14:textId="77777777" w:rsidR="00E2235A" w:rsidRDefault="00E2235A" w:rsidP="00E2235A">
      <w:pPr>
        <w:pStyle w:val="Bibliography"/>
      </w:pPr>
      <w:r>
        <w:t xml:space="preserve">US EPA. (2019b). </w:t>
      </w:r>
      <w:r>
        <w:rPr>
          <w:i/>
          <w:iCs/>
        </w:rPr>
        <w:t>Global Non-CO2 Greenhouse Gas Emissions Projections &amp; Mitigation 2015-2050</w:t>
      </w:r>
      <w:r>
        <w:t>. US Environmental Protection Agency Office of Atmospheric Programs. https://www.epa.gov/global-mitigation-non-co2-greenhouse-gases</w:t>
      </w:r>
    </w:p>
    <w:p w14:paraId="559128A7" w14:textId="77777777" w:rsidR="00E2235A" w:rsidRDefault="00E2235A" w:rsidP="00E2235A">
      <w:pPr>
        <w:pStyle w:val="Bibliography"/>
      </w:pPr>
      <w:r>
        <w:t xml:space="preserve">Van de Graaf, T., Overland, I., Scholten, D., &amp; Westphal, K. (2020). The new oil? The geopolitics and international governance of hydrogen. </w:t>
      </w:r>
      <w:r>
        <w:rPr>
          <w:i/>
          <w:iCs/>
        </w:rPr>
        <w:t>Energy Research &amp; Social Science</w:t>
      </w:r>
      <w:r>
        <w:t xml:space="preserve">, </w:t>
      </w:r>
      <w:r>
        <w:rPr>
          <w:i/>
          <w:iCs/>
        </w:rPr>
        <w:t>70</w:t>
      </w:r>
      <w:r>
        <w:t>, 101667. https://doi.org/10.1016/j.erss.2020.101667</w:t>
      </w:r>
    </w:p>
    <w:p w14:paraId="3CD18248" w14:textId="77777777" w:rsidR="00E2235A" w:rsidRDefault="00E2235A" w:rsidP="00E2235A">
      <w:pPr>
        <w:pStyle w:val="Bibliography"/>
      </w:pPr>
      <w:r>
        <w:t xml:space="preserve">Waxman, A. R., Khomaini, A., Leibowicz, B. D., &amp; Olmstead, S. M. (2020). Emissions in the stream: Estimating the greenhouse gas impacts of an oil and gas boom. </w:t>
      </w:r>
      <w:r>
        <w:rPr>
          <w:i/>
          <w:iCs/>
        </w:rPr>
        <w:t>Environmental Research Letters</w:t>
      </w:r>
      <w:r>
        <w:t xml:space="preserve">, </w:t>
      </w:r>
      <w:r>
        <w:rPr>
          <w:i/>
          <w:iCs/>
        </w:rPr>
        <w:t>15</w:t>
      </w:r>
      <w:r>
        <w:t>(1), 014004. https://doi.org/10.1088/1748-9326/ab5e6f</w:t>
      </w:r>
    </w:p>
    <w:p w14:paraId="4C7FE869" w14:textId="77777777" w:rsidR="00E2235A" w:rsidRDefault="00E2235A" w:rsidP="00E2235A">
      <w:pPr>
        <w:pStyle w:val="Bibliography"/>
      </w:pPr>
      <w:r>
        <w:t xml:space="preserve">Webb, R. M. (2015). Lost But Not Forgotten: The Hidden Environmental Costs of Compensating Pipelines for Natural Gas Losses. </w:t>
      </w:r>
      <w:r>
        <w:rPr>
          <w:i/>
          <w:iCs/>
        </w:rPr>
        <w:t>SSRN Electronic Journal</w:t>
      </w:r>
      <w:r>
        <w:t>. https://doi.org/10.2139/ssrn.2597846</w:t>
      </w:r>
    </w:p>
    <w:p w14:paraId="6203DF55" w14:textId="77777777" w:rsidR="00E2235A" w:rsidRDefault="00E2235A" w:rsidP="00E2235A">
      <w:pPr>
        <w:pStyle w:val="Bibliography"/>
      </w:pPr>
      <w:r>
        <w:t xml:space="preserve">Weller, Z. D., Hamburg, S. P., &amp; von Fischer, J. C. (2020). A National Estimate of Methane Leakage from Pipeline Mains in Natural Gas Local Distribution Systems. </w:t>
      </w:r>
      <w:r>
        <w:rPr>
          <w:i/>
          <w:iCs/>
        </w:rPr>
        <w:t>Environmental Science &amp; Technology</w:t>
      </w:r>
      <w:r>
        <w:t xml:space="preserve">, </w:t>
      </w:r>
      <w:r>
        <w:rPr>
          <w:i/>
          <w:iCs/>
        </w:rPr>
        <w:t>54</w:t>
      </w:r>
      <w:r>
        <w:t>(14), 8958–8967. https://doi.org/10.1021/acs.est.0c00437</w:t>
      </w:r>
    </w:p>
    <w:p w14:paraId="499B9BE4" w14:textId="77777777" w:rsidR="00E2235A" w:rsidRDefault="00E2235A" w:rsidP="00E2235A">
      <w:pPr>
        <w:pStyle w:val="Bibliography"/>
      </w:pPr>
      <w:r>
        <w:t xml:space="preserve">Wigley, T. M. L. (2011). Coal to gas: The influence of methane leakage. </w:t>
      </w:r>
      <w:r>
        <w:rPr>
          <w:i/>
          <w:iCs/>
        </w:rPr>
        <w:t>Climatic Change</w:t>
      </w:r>
      <w:r>
        <w:t xml:space="preserve">, </w:t>
      </w:r>
      <w:r>
        <w:rPr>
          <w:i/>
          <w:iCs/>
        </w:rPr>
        <w:t>108</w:t>
      </w:r>
      <w:r>
        <w:t>(3), 601–608. https://doi.org/10.1007/s10584-011-0217-3</w:t>
      </w:r>
    </w:p>
    <w:p w14:paraId="71B855C3" w14:textId="77777777" w:rsidR="00E2235A" w:rsidRDefault="00E2235A" w:rsidP="00E2235A">
      <w:pPr>
        <w:pStyle w:val="Bibliography"/>
      </w:pPr>
      <w:r>
        <w:t xml:space="preserve">Williams, J. H., Jones, R. A., Haley, B., Kwok, G., Hargreaves, J., Farbes, J., &amp; Torn, M. S. (2021). Carbon‐Neutral Pathways for the United States. </w:t>
      </w:r>
      <w:r>
        <w:rPr>
          <w:i/>
          <w:iCs/>
        </w:rPr>
        <w:t>AGU Advances</w:t>
      </w:r>
      <w:r>
        <w:t xml:space="preserve">, </w:t>
      </w:r>
      <w:r>
        <w:rPr>
          <w:i/>
          <w:iCs/>
        </w:rPr>
        <w:t>2</w:t>
      </w:r>
      <w:r>
        <w:t>(1). https://doi.org/10.1029/2020AV000284</w:t>
      </w:r>
    </w:p>
    <w:p w14:paraId="47BF152C" w14:textId="77777777" w:rsidR="00E2235A" w:rsidRDefault="00E2235A" w:rsidP="00E2235A">
      <w:pPr>
        <w:pStyle w:val="Bibliography"/>
      </w:pPr>
      <w:r>
        <w:t xml:space="preserve">Williams, J. P., Regehr, A., &amp; Kang, M. (2021). Methane Emissions from Abandoned Oil and Gas Wells in Canada and the United States. </w:t>
      </w:r>
      <w:r>
        <w:rPr>
          <w:i/>
          <w:iCs/>
        </w:rPr>
        <w:t>Environmental Science &amp; Technology</w:t>
      </w:r>
      <w:r>
        <w:t xml:space="preserve">, </w:t>
      </w:r>
      <w:r>
        <w:rPr>
          <w:i/>
          <w:iCs/>
        </w:rPr>
        <w:t>55</w:t>
      </w:r>
      <w:r>
        <w:t>(1).</w:t>
      </w:r>
    </w:p>
    <w:p w14:paraId="089C123A" w14:textId="77777777" w:rsidR="00E2235A" w:rsidRDefault="00E2235A" w:rsidP="00E2235A">
      <w:pPr>
        <w:pStyle w:val="Bibliography"/>
      </w:pPr>
      <w:r>
        <w:t xml:space="preserve">World Bank. (2020). </w:t>
      </w:r>
      <w:r>
        <w:rPr>
          <w:i/>
          <w:iCs/>
        </w:rPr>
        <w:t>State and Trends of Carbon Pricing 2020</w:t>
      </w:r>
      <w:r>
        <w:t>. https://openknowledge.worldbank.org/handle/10986/33809</w:t>
      </w:r>
    </w:p>
    <w:p w14:paraId="6673FB5B" w14:textId="77777777" w:rsidR="00E2235A" w:rsidRDefault="00E2235A" w:rsidP="00E2235A">
      <w:pPr>
        <w:pStyle w:val="Bibliography"/>
      </w:pPr>
      <w:r>
        <w:t xml:space="preserve">World Bank. (2021). </w:t>
      </w:r>
      <w:r>
        <w:rPr>
          <w:i/>
          <w:iCs/>
        </w:rPr>
        <w:t>State and Trends of Carbon Pricing 2021</w:t>
      </w:r>
      <w:r>
        <w:t>. World Bank Partnership for Market Implementation. https://pmiclimate.org/pmi-report</w:t>
      </w:r>
    </w:p>
    <w:p w14:paraId="0A7ECC6C" w14:textId="77777777" w:rsidR="00E2235A" w:rsidRDefault="00E2235A" w:rsidP="00E2235A">
      <w:pPr>
        <w:pStyle w:val="Bibliography"/>
      </w:pPr>
      <w:r>
        <w:t xml:space="preserve">Wright, H., Dimsdale, T., Healy, C., Orozco, D., Williamson, S., &amp; Mabey, N. (2018). Sustainable infrastructure and the multilateral development banks: Changing the narrative. </w:t>
      </w:r>
      <w:r>
        <w:rPr>
          <w:i/>
          <w:iCs/>
        </w:rPr>
        <w:t>Briefing Paper, Third Generation Environmentalism Ltd (E3G), London, June</w:t>
      </w:r>
      <w:r>
        <w:t>.</w:t>
      </w:r>
    </w:p>
    <w:p w14:paraId="3D74F019" w14:textId="77777777" w:rsidR="00E2235A" w:rsidRDefault="00E2235A" w:rsidP="00E2235A">
      <w:pPr>
        <w:pStyle w:val="Bibliography"/>
      </w:pPr>
      <w:r>
        <w:t xml:space="preserve">Zavala-Araiza, D., Lyon, D., Alvarez, R. A., Palacios, V., Harriss, R., Lan, X., Talbot, R., &amp; Hamburg, S. P. (2015). Toward a Functional Definition of Methane Super-Emitters: Application to Natural Gas Production Sites. </w:t>
      </w:r>
      <w:r>
        <w:rPr>
          <w:i/>
          <w:iCs/>
        </w:rPr>
        <w:t>Environmental Science &amp; Technology</w:t>
      </w:r>
      <w:r>
        <w:t xml:space="preserve">, </w:t>
      </w:r>
      <w:r>
        <w:rPr>
          <w:i/>
          <w:iCs/>
        </w:rPr>
        <w:t>49</w:t>
      </w:r>
      <w:r>
        <w:t>(13), 8167–8174. https://doi.org/10.1021/acs.est.5b00133</w:t>
      </w:r>
    </w:p>
    <w:p w14:paraId="4A2BD702" w14:textId="77777777" w:rsidR="00E2235A" w:rsidRDefault="00E2235A" w:rsidP="00E2235A">
      <w:pPr>
        <w:pStyle w:val="Bibliography"/>
      </w:pPr>
      <w:r>
        <w:t xml:space="preserve">Zimmerle, D. J., Williams, L. L., Vaughn, T. L., Quinn, C., Subramanian, R., Duggan, G. P., Willson, B., Opsomer, J. D., Marchese, A. J., Martinez, D. M., &amp; Robinson, A. L. (2015). Methane Emissions from the Natural Gas Transmission and Storage System in the United States. </w:t>
      </w:r>
      <w:r>
        <w:rPr>
          <w:i/>
          <w:iCs/>
        </w:rPr>
        <w:t>Environmental Science &amp; Technology</w:t>
      </w:r>
      <w:r>
        <w:t xml:space="preserve">, </w:t>
      </w:r>
      <w:r>
        <w:rPr>
          <w:i/>
          <w:iCs/>
        </w:rPr>
        <w:t>49</w:t>
      </w:r>
      <w:r>
        <w:t>(15), 9374–9383. https://doi.org/10.1021/acs.est.5b01669</w:t>
      </w:r>
    </w:p>
    <w:p w14:paraId="356B668A" w14:textId="0EE43F19" w:rsidR="002A7A61" w:rsidRPr="00AF41A6" w:rsidRDefault="002A7A61" w:rsidP="002A7A61">
      <w:r w:rsidRPr="00AF41A6">
        <w:fldChar w:fldCharType="end"/>
      </w:r>
    </w:p>
    <w:p w14:paraId="02EABFF3" w14:textId="6B44D342" w:rsidR="006745FF" w:rsidRPr="00AF41A6" w:rsidRDefault="006745FF" w:rsidP="00D910B7">
      <w:pPr>
        <w:pStyle w:val="Heading1"/>
        <w:numPr>
          <w:ilvl w:val="0"/>
          <w:numId w:val="6"/>
        </w:numPr>
      </w:pPr>
      <w:bookmarkStart w:id="98" w:name="_Toc75953826"/>
      <w:r w:rsidRPr="00AF41A6">
        <w:t>Glossary</w:t>
      </w:r>
      <w:bookmarkEnd w:id="98"/>
    </w:p>
    <w:p w14:paraId="02D27B4A" w14:textId="77777777" w:rsidR="006745FF" w:rsidRPr="00AF41A6" w:rsidRDefault="006745FF" w:rsidP="00996E91">
      <w:r w:rsidRPr="00AF41A6">
        <w:rPr>
          <w:b/>
        </w:rPr>
        <w:t>Adoption Scenario</w:t>
      </w:r>
      <w:r w:rsidRPr="00AF41A6">
        <w:t xml:space="preserve"> – the predicted annual adoption over the period 2015 to 2060, which is usually measured in </w:t>
      </w:r>
      <w:r w:rsidRPr="00AF41A6">
        <w:rPr>
          <w:b/>
        </w:rPr>
        <w:t>Functional Units</w:t>
      </w:r>
      <w:r w:rsidRPr="00AF41A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AF41A6">
        <w:rPr>
          <w:b/>
        </w:rPr>
        <w:t>Reference (REF)</w:t>
      </w:r>
      <w:r w:rsidRPr="00AF41A6">
        <w:t xml:space="preserve"> where global adoption remains mostly constant, and </w:t>
      </w:r>
      <w:r w:rsidRPr="00AF41A6">
        <w:rPr>
          <w:b/>
        </w:rPr>
        <w:t>Project Drawdown Scenarios (PDS)</w:t>
      </w:r>
      <w:r w:rsidRPr="00AF41A6">
        <w:t xml:space="preserve"> which illustrate high growth of the solution.</w:t>
      </w:r>
    </w:p>
    <w:p w14:paraId="5FD0673A" w14:textId="77777777" w:rsidR="006745FF" w:rsidRPr="00AF41A6" w:rsidRDefault="006745FF" w:rsidP="00996E91">
      <w:r w:rsidRPr="00AF41A6">
        <w:rPr>
          <w:b/>
        </w:rPr>
        <w:t>Approximate PPM Equivalent</w:t>
      </w:r>
      <w:r w:rsidRPr="00AF41A6">
        <w:t xml:space="preserve"> – the reduction in atmospheric concentration of CO</w:t>
      </w:r>
      <w:r w:rsidRPr="00AF41A6">
        <w:rPr>
          <w:vertAlign w:val="subscript"/>
        </w:rPr>
        <w:t>2</w:t>
      </w:r>
      <w:r w:rsidRPr="00AF41A6">
        <w:t xml:space="preserve"> (in </w:t>
      </w:r>
      <w:r w:rsidRPr="00AF41A6">
        <w:rPr>
          <w:b/>
        </w:rPr>
        <w:t>PPM</w:t>
      </w:r>
      <w:r w:rsidRPr="00AF41A6">
        <w:t xml:space="preserve">) that is expected to result if the </w:t>
      </w:r>
      <w:r w:rsidRPr="00AF41A6">
        <w:rPr>
          <w:b/>
        </w:rPr>
        <w:t>PDS Scenario</w:t>
      </w:r>
      <w:r w:rsidRPr="00AF41A6">
        <w:t xml:space="preserve"> occurs. This assumes a discrete avoided pulse model based on the Bern Carbon Cycle model.</w:t>
      </w:r>
    </w:p>
    <w:p w14:paraId="59150663" w14:textId="77777777" w:rsidR="006745FF" w:rsidRPr="00AF41A6" w:rsidRDefault="006745FF" w:rsidP="00996E91">
      <w:r w:rsidRPr="00AF41A6">
        <w:rPr>
          <w:b/>
        </w:rPr>
        <w:t>Average Abatement Cost</w:t>
      </w:r>
      <w:r w:rsidRPr="00AF41A6">
        <w:t xml:space="preserve"> – the ratio of the present value of the solution (</w:t>
      </w:r>
      <w:r w:rsidRPr="00AF41A6">
        <w:rPr>
          <w:b/>
        </w:rPr>
        <w:t>Net</w:t>
      </w:r>
      <w:r w:rsidRPr="00AF41A6">
        <w:t xml:space="preserve"> </w:t>
      </w:r>
      <w:r w:rsidRPr="00AF41A6">
        <w:rPr>
          <w:b/>
        </w:rPr>
        <w:t xml:space="preserve">Operating Savings </w:t>
      </w:r>
      <w:r w:rsidRPr="00AF41A6">
        <w:t>minus</w:t>
      </w:r>
      <w:r w:rsidRPr="00AF41A6">
        <w:rPr>
          <w:b/>
        </w:rPr>
        <w:t xml:space="preserve"> Marginal First Costs</w:t>
      </w:r>
      <w:r w:rsidRPr="00AF41A6">
        <w:t xml:space="preserve">) and the </w:t>
      </w:r>
      <w:r w:rsidRPr="00AF41A6">
        <w:rPr>
          <w:b/>
        </w:rPr>
        <w:t>Total Emissions Reduction</w:t>
      </w:r>
      <w:r w:rsidRPr="00AF41A6">
        <w:t xml:space="preserve">. This is a single value for each solution for each </w:t>
      </w:r>
      <w:r w:rsidRPr="00AF41A6">
        <w:rPr>
          <w:b/>
        </w:rPr>
        <w:t>PDS Scenario</w:t>
      </w:r>
      <w:r w:rsidRPr="00AF41A6">
        <w:t>, and is used to build the characteristic “</w:t>
      </w:r>
      <w:r w:rsidRPr="00AF41A6">
        <w:rPr>
          <w:i/>
        </w:rPr>
        <w:t>Marginal Abatement Cost</w:t>
      </w:r>
      <w:r w:rsidRPr="00AF41A6">
        <w:t>” curves when Average Abatement Cost values for each solution are ordered and graphed.</w:t>
      </w:r>
    </w:p>
    <w:p w14:paraId="16A2F2DD" w14:textId="77777777" w:rsidR="006745FF" w:rsidRPr="00AF41A6" w:rsidRDefault="006745FF" w:rsidP="00996E91">
      <w:r w:rsidRPr="00AF41A6">
        <w:rPr>
          <w:b/>
        </w:rPr>
        <w:t>Average Annual Use</w:t>
      </w:r>
      <w:r w:rsidRPr="00AF41A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AF41A6">
        <w:rPr>
          <w:b/>
        </w:rPr>
        <w:t>Replacement Time</w:t>
      </w:r>
      <w:r w:rsidRPr="00AF41A6">
        <w:t>.</w:t>
      </w:r>
    </w:p>
    <w:p w14:paraId="044BB52C" w14:textId="77777777" w:rsidR="006745FF" w:rsidRPr="00AF41A6" w:rsidRDefault="006745FF" w:rsidP="00996E91">
      <w:r w:rsidRPr="00AF41A6">
        <w:rPr>
          <w:b/>
        </w:rPr>
        <w:t>Cumulative First Cost</w:t>
      </w:r>
      <w:r w:rsidRPr="00AF41A6">
        <w:t xml:space="preserve"> – the total </w:t>
      </w:r>
      <w:r w:rsidRPr="00AF41A6">
        <w:rPr>
          <w:b/>
        </w:rPr>
        <w:t>First Cost</w:t>
      </w:r>
      <w:r w:rsidRPr="00AF41A6">
        <w:t xml:space="preserve"> of solution </w:t>
      </w:r>
      <w:r w:rsidRPr="00AF41A6">
        <w:rPr>
          <w:b/>
        </w:rPr>
        <w:t>Implementation Units</w:t>
      </w:r>
      <w:r w:rsidRPr="00AF41A6">
        <w:t xml:space="preserve"> purchased in the </w:t>
      </w:r>
      <w:r w:rsidRPr="00AF41A6">
        <w:rPr>
          <w:b/>
        </w:rPr>
        <w:t>PDS Scenario</w:t>
      </w:r>
      <w:r w:rsidRPr="00AF41A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AF41A6" w:rsidRDefault="006745FF" w:rsidP="00996E91">
      <w:r w:rsidRPr="00AF41A6">
        <w:rPr>
          <w:b/>
        </w:rPr>
        <w:t>Direct Emissions</w:t>
      </w:r>
      <w:r w:rsidRPr="00AF41A6">
        <w:t xml:space="preserve"> – emissions caused by the operation of the solution, which are typically caused over the lifetime of the solution. They should be entered into the model normalized per functional unit.</w:t>
      </w:r>
    </w:p>
    <w:p w14:paraId="1C32899A" w14:textId="77777777" w:rsidR="006745FF" w:rsidRPr="00AF41A6" w:rsidRDefault="006745FF" w:rsidP="00996E91">
      <w:r w:rsidRPr="00AF41A6">
        <w:rPr>
          <w:b/>
        </w:rPr>
        <w:t>Discount Rate</w:t>
      </w:r>
      <w:r w:rsidRPr="00AF41A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AF41A6" w:rsidRDefault="006745FF" w:rsidP="00996E91">
      <w:r w:rsidRPr="00AF41A6">
        <w:rPr>
          <w:b/>
        </w:rPr>
        <w:t>Emissions</w:t>
      </w:r>
      <w:r w:rsidRPr="00AF41A6">
        <w:t xml:space="preserve"> </w:t>
      </w:r>
      <w:r w:rsidRPr="00AF41A6">
        <w:rPr>
          <w:b/>
        </w:rPr>
        <w:t>Factor</w:t>
      </w:r>
      <w:r w:rsidRPr="00AF41A6">
        <w:t>– the average normalized emissions resulting from consumption of a unit of electricity across the global grid. Typical units are kg CO</w:t>
      </w:r>
      <w:r w:rsidRPr="00AF41A6">
        <w:rPr>
          <w:vertAlign w:val="subscript"/>
        </w:rPr>
        <w:t>2</w:t>
      </w:r>
      <w:r w:rsidRPr="00AF41A6">
        <w:t>e/kWh.</w:t>
      </w:r>
    </w:p>
    <w:p w14:paraId="754A056C" w14:textId="77777777" w:rsidR="006745FF" w:rsidRPr="00AF41A6" w:rsidRDefault="006745FF" w:rsidP="00996E91">
      <w:r w:rsidRPr="00AF41A6">
        <w:rPr>
          <w:b/>
        </w:rPr>
        <w:t>First Cost</w:t>
      </w:r>
      <w:r w:rsidRPr="00AF41A6">
        <w:t xml:space="preserve">- the investment cost per </w:t>
      </w:r>
      <w:r w:rsidRPr="00AF41A6">
        <w:rPr>
          <w:b/>
        </w:rPr>
        <w:t>Implementation Unit</w:t>
      </w:r>
      <w:r w:rsidRPr="00AF41A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AF41A6" w:rsidRDefault="006745FF" w:rsidP="00996E91">
      <w:r w:rsidRPr="00AF41A6">
        <w:rPr>
          <w:b/>
        </w:rPr>
        <w:t>Functional Unit</w:t>
      </w:r>
      <w:r w:rsidRPr="00AF41A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AF41A6" w:rsidRDefault="006745FF" w:rsidP="00996E91">
      <w:r w:rsidRPr="00AF41A6">
        <w:rPr>
          <w:b/>
        </w:rPr>
        <w:t>Grid Emissions</w:t>
      </w:r>
      <w:r w:rsidRPr="00AF41A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AF41A6" w:rsidRDefault="006745FF" w:rsidP="00996E91">
      <w:r w:rsidRPr="00AF41A6">
        <w:rPr>
          <w:b/>
        </w:rPr>
        <w:t>Implementation Unit</w:t>
      </w:r>
      <w:r w:rsidRPr="00AF41A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AF41A6" w:rsidRDefault="006745FF" w:rsidP="00996E91">
      <w:r w:rsidRPr="00AF41A6">
        <w:rPr>
          <w:b/>
        </w:rPr>
        <w:t>Indirect Emissions</w:t>
      </w:r>
      <w:r w:rsidRPr="00AF41A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AF41A6" w:rsidRDefault="006745FF" w:rsidP="00996E91">
      <w:r w:rsidRPr="00AF41A6">
        <w:rPr>
          <w:b/>
        </w:rPr>
        <w:t>Learning Rate/Learning Curve</w:t>
      </w:r>
      <w:r w:rsidRPr="00AF41A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AF41A6">
        <w:rPr>
          <w:i/>
        </w:rPr>
        <w:t>good</w:t>
      </w:r>
      <w:r w:rsidRPr="00AF41A6">
        <w:t xml:space="preserve"> drops by 2% every time total production doubles.</w:t>
      </w:r>
    </w:p>
    <w:p w14:paraId="77507D03" w14:textId="77777777" w:rsidR="006745FF" w:rsidRPr="00AF41A6" w:rsidRDefault="006745FF" w:rsidP="00996E91">
      <w:r w:rsidRPr="00AF41A6">
        <w:rPr>
          <w:b/>
        </w:rPr>
        <w:t>Lifetime Capacity</w:t>
      </w:r>
      <w:r w:rsidRPr="00AF41A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AF41A6">
        <w:rPr>
          <w:b/>
        </w:rPr>
        <w:t>Replacement Time</w:t>
      </w:r>
      <w:r w:rsidRPr="00AF41A6">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AF41A6" w:rsidRDefault="006745FF" w:rsidP="00996E91">
      <w:r w:rsidRPr="00AF41A6">
        <w:rPr>
          <w:b/>
        </w:rPr>
        <w:t>Lifetime Operating Savings</w:t>
      </w:r>
      <w:r w:rsidRPr="00AF41A6">
        <w:t>–the operating cost in the PDS versus the REF scenarios over the lifetime of the implementation units purchased during the model period regardless of when their useful life ends.</w:t>
      </w:r>
    </w:p>
    <w:p w14:paraId="49E72DD2" w14:textId="77777777" w:rsidR="006745FF" w:rsidRPr="00AF41A6" w:rsidRDefault="006745FF" w:rsidP="00996E91">
      <w:r w:rsidRPr="00AF41A6">
        <w:rPr>
          <w:b/>
        </w:rPr>
        <w:t>Lifetime Cashflow NPV</w:t>
      </w:r>
      <w:r w:rsidRPr="00AF41A6">
        <w:t xml:space="preserve">-the present value (PV) of the net cash flows (PDS versus REF) in each year of the model period (2015-2060). The net cash flows include net operating costs and first costs. There are two results in the model: Lifetime Cashflow NPV for a Single </w:t>
      </w:r>
      <w:r w:rsidRPr="00AF41A6">
        <w:rPr>
          <w:b/>
        </w:rPr>
        <w:t>Implementation Unit</w:t>
      </w:r>
      <w:r w:rsidRPr="00AF41A6">
        <w:t xml:space="preserve">, which refers to the installation of one </w:t>
      </w:r>
      <w:r w:rsidRPr="00AF41A6">
        <w:rPr>
          <w:b/>
        </w:rPr>
        <w:t>Implementation Unit</w:t>
      </w:r>
      <w:r w:rsidRPr="00AF41A6">
        <w:t xml:space="preserve">, and Lifetime Cashflow NPV of All Units, which refers to all </w:t>
      </w:r>
      <w:r w:rsidRPr="00AF41A6">
        <w:rPr>
          <w:b/>
        </w:rPr>
        <w:t>Implementation Units</w:t>
      </w:r>
      <w:r w:rsidRPr="00AF41A6">
        <w:t xml:space="preserve"> installed in a particular scenario. These calculations are also available using profit inputs instead of operating costs.</w:t>
      </w:r>
    </w:p>
    <w:p w14:paraId="44D5A85B" w14:textId="77777777" w:rsidR="006745FF" w:rsidRPr="00AF41A6" w:rsidRDefault="006745FF" w:rsidP="00996E91">
      <w:r w:rsidRPr="00AF41A6">
        <w:rPr>
          <w:b/>
        </w:rPr>
        <w:t>Marginal First Cost</w:t>
      </w:r>
      <w:r w:rsidRPr="00AF41A6">
        <w:t xml:space="preserve"> – the difference between the </w:t>
      </w:r>
      <w:r w:rsidRPr="00AF41A6">
        <w:rPr>
          <w:b/>
        </w:rPr>
        <w:t>First Cost</w:t>
      </w:r>
      <w:r w:rsidRPr="00AF41A6">
        <w:t xml:space="preserve"> of all units (solution and conventional) installed in the </w:t>
      </w:r>
      <w:r w:rsidRPr="00AF41A6">
        <w:rPr>
          <w:b/>
        </w:rPr>
        <w:t>PDS Scenario</w:t>
      </w:r>
      <w:r w:rsidRPr="00AF41A6">
        <w:t xml:space="preserve"> and the </w:t>
      </w:r>
      <w:r w:rsidRPr="00AF41A6">
        <w:rPr>
          <w:b/>
        </w:rPr>
        <w:t>First Cost</w:t>
      </w:r>
      <w:r w:rsidRPr="00AF41A6">
        <w:t xml:space="preserve"> of all units installed in the </w:t>
      </w:r>
      <w:r w:rsidRPr="00AF41A6">
        <w:rPr>
          <w:b/>
        </w:rPr>
        <w:t>REF Scenario</w:t>
      </w:r>
      <w:r w:rsidRPr="00AF41A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AF41A6" w:rsidRDefault="006745FF" w:rsidP="00996E91">
      <w:r w:rsidRPr="00AF41A6">
        <w:rPr>
          <w:b/>
        </w:rPr>
        <w:t>Net Annual Functional Units (NAFU)</w:t>
      </w:r>
      <w:r w:rsidRPr="00AF41A6">
        <w:t xml:space="preserve"> – the adoption in the PDS minus the adoption in the REF in each year of analysis. In the model, this represents the additional annual functional demand captured either by the solution in the </w:t>
      </w:r>
      <w:r w:rsidRPr="00AF41A6">
        <w:rPr>
          <w:b/>
        </w:rPr>
        <w:t>PDS Scenario</w:t>
      </w:r>
      <w:r w:rsidRPr="00AF41A6">
        <w:t xml:space="preserve"> or the conventional in the </w:t>
      </w:r>
      <w:r w:rsidRPr="00AF41A6">
        <w:rPr>
          <w:b/>
        </w:rPr>
        <w:t>REF Scenario</w:t>
      </w:r>
      <w:r w:rsidRPr="00AF41A6">
        <w:t>.</w:t>
      </w:r>
    </w:p>
    <w:p w14:paraId="0360F8D5" w14:textId="77777777" w:rsidR="006745FF" w:rsidRPr="00AF41A6" w:rsidRDefault="006745FF" w:rsidP="00996E91">
      <w:r w:rsidRPr="00AF41A6">
        <w:rPr>
          <w:b/>
        </w:rPr>
        <w:t>Net Annual Implementation Units (NAIU)</w:t>
      </w:r>
      <w:r w:rsidRPr="00AF41A6">
        <w:t xml:space="preserve"> – the number of </w:t>
      </w:r>
      <w:r w:rsidRPr="00AF41A6">
        <w:rPr>
          <w:b/>
        </w:rPr>
        <w:t>Implementation Units</w:t>
      </w:r>
      <w:r w:rsidRPr="00AF41A6">
        <w:t xml:space="preserve"> of the solution that are needed in the PDS to supply the </w:t>
      </w:r>
      <w:r w:rsidRPr="00AF41A6">
        <w:rPr>
          <w:b/>
        </w:rPr>
        <w:t>Net Annual Functional Units (NAFU).</w:t>
      </w:r>
      <w:r w:rsidRPr="00AF41A6">
        <w:t xml:space="preserve"> This equals the adoption in the PDS minus the adoption in the REF in each year of analysis divided by the average annual use.</w:t>
      </w:r>
    </w:p>
    <w:p w14:paraId="3A36C3BE" w14:textId="77777777" w:rsidR="006745FF" w:rsidRPr="00AF41A6" w:rsidRDefault="006745FF" w:rsidP="00996E91">
      <w:r w:rsidRPr="00AF41A6">
        <w:rPr>
          <w:b/>
        </w:rPr>
        <w:t>Net Operating Savings</w:t>
      </w:r>
      <w:r w:rsidRPr="00AF41A6">
        <w:t xml:space="preserve"> – The undiscounted difference between the operating cost of all units (solution and conventional) in the </w:t>
      </w:r>
      <w:r w:rsidRPr="00AF41A6">
        <w:rPr>
          <w:b/>
        </w:rPr>
        <w:t>PDS Scenario</w:t>
      </w:r>
      <w:r w:rsidRPr="00AF41A6">
        <w:t xml:space="preserve"> minus that of all units in the </w:t>
      </w:r>
      <w:r w:rsidRPr="00AF41A6">
        <w:rPr>
          <w:b/>
        </w:rPr>
        <w:t>REF Scenario</w:t>
      </w:r>
      <w:r w:rsidRPr="00AF41A6">
        <w:t>.</w:t>
      </w:r>
    </w:p>
    <w:p w14:paraId="62002AFC" w14:textId="77777777" w:rsidR="006745FF" w:rsidRPr="00AF41A6" w:rsidRDefault="006745FF" w:rsidP="00996E91">
      <w:r w:rsidRPr="00AF41A6">
        <w:rPr>
          <w:b/>
        </w:rPr>
        <w:t xml:space="preserve">Operating Costs </w:t>
      </w:r>
      <w:r w:rsidRPr="00AF41A6">
        <w:t>– the average cost to ensure operation of an activity (conventional or solution) which is measured in 2014$US/</w:t>
      </w:r>
      <w:r w:rsidRPr="00AF41A6">
        <w:rPr>
          <w:b/>
        </w:rPr>
        <w:t>Functional Unit</w:t>
      </w:r>
      <w:r w:rsidRPr="00AF41A6">
        <w:t xml:space="preserve">.  This is needed to estimate how much it would cost to achieve the adoption projected when compared to the </w:t>
      </w:r>
      <w:r w:rsidRPr="00AF41A6">
        <w:rPr>
          <w:b/>
        </w:rPr>
        <w:t>REF Case</w:t>
      </w:r>
      <w:r w:rsidRPr="00AF41A6">
        <w:t xml:space="preserve">. Note that this excludes </w:t>
      </w:r>
      <w:r w:rsidRPr="00AF41A6">
        <w:rPr>
          <w:b/>
        </w:rPr>
        <w:t>First Costs</w:t>
      </w:r>
      <w:r w:rsidRPr="00AF41A6">
        <w:t xml:space="preserve"> for implementing the solution.</w:t>
      </w:r>
    </w:p>
    <w:p w14:paraId="3B7DF305" w14:textId="77777777" w:rsidR="006745FF" w:rsidRPr="00AF41A6" w:rsidRDefault="006745FF" w:rsidP="00996E91">
      <w:r w:rsidRPr="00AF41A6">
        <w:rPr>
          <w:b/>
        </w:rPr>
        <w:t>Payback Period</w:t>
      </w:r>
      <w:r w:rsidRPr="00AF41A6">
        <w:t xml:space="preserve"> – the number of years required to pay all the </w:t>
      </w:r>
      <w:r w:rsidRPr="00AF41A6">
        <w:rPr>
          <w:b/>
        </w:rPr>
        <w:t>First Costs</w:t>
      </w:r>
      <w:r w:rsidRPr="00AF41A6">
        <w:t xml:space="preserve"> of the solution using </w:t>
      </w:r>
      <w:r w:rsidRPr="00AF41A6">
        <w:rPr>
          <w:b/>
        </w:rPr>
        <w:t>Net Operating Savings</w:t>
      </w:r>
      <w:r w:rsidRPr="00AF41A6">
        <w:t xml:space="preserve">. There are four specific metrics each with one of </w:t>
      </w:r>
      <w:r w:rsidRPr="00AF41A6">
        <w:rPr>
          <w:b/>
        </w:rPr>
        <w:t>Marginal First Costs</w:t>
      </w:r>
      <w:r w:rsidRPr="00AF41A6">
        <w:t xml:space="preserve"> or </w:t>
      </w:r>
      <w:r w:rsidRPr="00AF41A6">
        <w:rPr>
          <w:b/>
        </w:rPr>
        <w:t>First Costs</w:t>
      </w:r>
      <w:r w:rsidRPr="00AF41A6">
        <w:t xml:space="preserve"> of the solution only combined with either discounted or non-discounted values. All four are in the model. Additionally, the four outputs are calculated using the increased profit estimation instead of </w:t>
      </w:r>
      <w:r w:rsidRPr="00AF41A6">
        <w:rPr>
          <w:b/>
        </w:rPr>
        <w:t>Net Operating Savings</w:t>
      </w:r>
      <w:r w:rsidRPr="00AF41A6">
        <w:t>.</w:t>
      </w:r>
    </w:p>
    <w:p w14:paraId="69E0C8C0" w14:textId="77777777" w:rsidR="006745FF" w:rsidRPr="00AF41A6" w:rsidRDefault="006745FF" w:rsidP="00996E91">
      <w:r w:rsidRPr="00AF41A6">
        <w:rPr>
          <w:b/>
        </w:rPr>
        <w:t>PDS/ Project Drawdown Scenario</w:t>
      </w:r>
      <w:r w:rsidRPr="00AF41A6">
        <w:t xml:space="preserve"> – this is the high growth scenario for adoption of the solution</w:t>
      </w:r>
    </w:p>
    <w:p w14:paraId="6F8267F5" w14:textId="77777777" w:rsidR="006745FF" w:rsidRPr="00AF41A6" w:rsidRDefault="006745FF" w:rsidP="00996E91">
      <w:r w:rsidRPr="00AF41A6">
        <w:rPr>
          <w:b/>
        </w:rPr>
        <w:t>PPB/ Parts per Billion</w:t>
      </w:r>
      <w:r w:rsidRPr="00AF41A6">
        <w:t xml:space="preserve"> – a measure of concentration for atmospheric gases. 10 million PPB = 1%.</w:t>
      </w:r>
    </w:p>
    <w:p w14:paraId="78DB05A8" w14:textId="77777777" w:rsidR="006745FF" w:rsidRPr="00AF41A6" w:rsidRDefault="006745FF" w:rsidP="00996E91">
      <w:r w:rsidRPr="00AF41A6">
        <w:rPr>
          <w:b/>
        </w:rPr>
        <w:t>PPM/ Parts per Million</w:t>
      </w:r>
      <w:r w:rsidRPr="00AF41A6">
        <w:t xml:space="preserve"> – a measure of concentration for atmospheric gases. 10 thousand PPM = 1%.</w:t>
      </w:r>
    </w:p>
    <w:p w14:paraId="0574EE5A" w14:textId="77777777" w:rsidR="006745FF" w:rsidRPr="00AF41A6" w:rsidRDefault="006745FF" w:rsidP="00996E91">
      <w:r w:rsidRPr="00AF41A6">
        <w:rPr>
          <w:b/>
        </w:rPr>
        <w:t>REF/ Reference Scenario</w:t>
      </w:r>
      <w:r w:rsidRPr="00AF41A6">
        <w:t xml:space="preserve"> – this is the low growth scenario for adoption of the solution against which all </w:t>
      </w:r>
      <w:r w:rsidRPr="00AF41A6">
        <w:rPr>
          <w:b/>
        </w:rPr>
        <w:t>PDS scenarios</w:t>
      </w:r>
      <w:r w:rsidRPr="00AF41A6">
        <w:t xml:space="preserve"> are compared.</w:t>
      </w:r>
    </w:p>
    <w:p w14:paraId="333AF401" w14:textId="7C332B53" w:rsidR="001759D2" w:rsidRPr="00AF41A6" w:rsidRDefault="001759D2" w:rsidP="00996E91">
      <w:pPr>
        <w:rPr>
          <w:rFonts w:cstheme="minorHAnsi"/>
        </w:rPr>
      </w:pPr>
      <w:r w:rsidRPr="00AF41A6">
        <w:rPr>
          <w:rFonts w:cstheme="minorHAnsi"/>
          <w:b/>
        </w:rPr>
        <w:t>Regrets solution</w:t>
      </w:r>
      <w:r w:rsidRPr="00AF41A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AF41A6" w:rsidRDefault="006745FF" w:rsidP="00996E91">
      <w:r w:rsidRPr="00AF41A6">
        <w:rPr>
          <w:b/>
        </w:rPr>
        <w:t>Replacement Time</w:t>
      </w:r>
      <w:r w:rsidRPr="00AF41A6">
        <w:t xml:space="preserve">- the length of time in years, from installation/acquisition/setup of the solution through usage until a new installation/acquisition/setup is required to replace the earlier one.  This is calculated as the ratio of </w:t>
      </w:r>
      <w:r w:rsidRPr="00AF41A6">
        <w:rPr>
          <w:b/>
        </w:rPr>
        <w:t>Lifetime Capacity</w:t>
      </w:r>
      <w:r w:rsidRPr="00AF41A6">
        <w:t xml:space="preserve"> and the </w:t>
      </w:r>
      <w:r w:rsidRPr="00AF41A6">
        <w:rPr>
          <w:b/>
        </w:rPr>
        <w:t>Average Annual Use</w:t>
      </w:r>
      <w:r w:rsidRPr="00AF41A6">
        <w:t>.</w:t>
      </w:r>
    </w:p>
    <w:p w14:paraId="7F5BB871" w14:textId="72C4543A" w:rsidR="001759D2" w:rsidRPr="00AF41A6" w:rsidRDefault="001759D2" w:rsidP="00996E91">
      <w:r w:rsidRPr="00AF41A6">
        <w:rPr>
          <w:b/>
        </w:rPr>
        <w:t xml:space="preserve">TAM/ Total Addressable Market </w:t>
      </w:r>
      <w:r w:rsidRPr="00AF41A6">
        <w:t>–</w:t>
      </w:r>
      <w:r w:rsidR="00D25FC7" w:rsidRPr="00AF41A6">
        <w:t xml:space="preserve"> represents the total potential market of functional demand provided by the technologies and practices under investigation, adjusting for estimated economic and population growth. For this solutions sector, it represents </w:t>
      </w:r>
      <w:r w:rsidRPr="00AF41A6">
        <w:t>world and regional total addressable markets for electricity generation technologies in which the solutions are considered.</w:t>
      </w:r>
    </w:p>
    <w:p w14:paraId="013DD235" w14:textId="77777777" w:rsidR="00D25FC7" w:rsidRPr="00AF41A6" w:rsidRDefault="00D25FC7" w:rsidP="00996E91"/>
    <w:p w14:paraId="06D9A50A" w14:textId="7CBFC779" w:rsidR="006745FF" w:rsidRPr="00AF41A6" w:rsidRDefault="006745FF" w:rsidP="00996E91">
      <w:r w:rsidRPr="00AF41A6">
        <w:rPr>
          <w:b/>
        </w:rPr>
        <w:t>Total Emissions Reduction</w:t>
      </w:r>
      <w:r w:rsidRPr="00AF41A6">
        <w:t xml:space="preserve"> – the sum of grid, fuel, indirect, and other direct emissions reductions over the analysis period. The emissions reduction of each of these is the difference between the emissions that would have resulted in the </w:t>
      </w:r>
      <w:r w:rsidRPr="00AF41A6">
        <w:rPr>
          <w:b/>
        </w:rPr>
        <w:t>REF Scenario</w:t>
      </w:r>
      <w:r w:rsidRPr="00AF41A6">
        <w:t xml:space="preserve"> (from both solution and conventional) and the emissions that would result in the </w:t>
      </w:r>
      <w:r w:rsidRPr="00AF41A6">
        <w:rPr>
          <w:b/>
        </w:rPr>
        <w:t>PDS Scenario</w:t>
      </w:r>
      <w:r w:rsidRPr="00AF41A6">
        <w:t>. These may also be considered as “emissions avoided” as they may have occurred in the REF Scenario, but not in the PDS Scenario.</w:t>
      </w:r>
    </w:p>
    <w:p w14:paraId="512C529B" w14:textId="7D1A7CD0" w:rsidR="001759D2" w:rsidRPr="00AF41A6" w:rsidRDefault="001759D2" w:rsidP="00996E91">
      <w:pPr>
        <w:rPr>
          <w:rFonts w:cstheme="minorHAnsi"/>
          <w:highlight w:val="green"/>
        </w:rPr>
      </w:pPr>
      <w:r w:rsidRPr="00AF41A6">
        <w:rPr>
          <w:rFonts w:cstheme="minorHAnsi"/>
          <w:b/>
        </w:rPr>
        <w:t>Transition solutions</w:t>
      </w:r>
      <w:r w:rsidRPr="00AF41A6">
        <w:rPr>
          <w:rFonts w:cstheme="minorHAnsi"/>
        </w:rPr>
        <w:t xml:space="preserve"> are considered till better technologies and less impactful are more cost effective and mature. </w:t>
      </w:r>
    </w:p>
    <w:p w14:paraId="57B3845F" w14:textId="34BA5614" w:rsidR="006745FF" w:rsidRPr="00AF41A6" w:rsidRDefault="006745FF" w:rsidP="00EB247F">
      <w:r w:rsidRPr="00AF41A6">
        <w:rPr>
          <w:b/>
        </w:rPr>
        <w:t>TWh/ Terawatt-hour</w:t>
      </w:r>
      <w:r w:rsidRPr="00AF41A6">
        <w:t xml:space="preserve"> – A unit of energy equal to 1 billion kilowatt-hours</w:t>
      </w:r>
    </w:p>
    <w:sectPr w:rsidR="006745FF" w:rsidRPr="00AF41A6">
      <w:foot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35389" w14:textId="77777777" w:rsidR="00351600" w:rsidRDefault="00351600" w:rsidP="00D26F59">
      <w:pPr>
        <w:spacing w:after="0"/>
      </w:pPr>
      <w:r>
        <w:separator/>
      </w:r>
    </w:p>
  </w:endnote>
  <w:endnote w:type="continuationSeparator" w:id="0">
    <w:p w14:paraId="54BAE5FB" w14:textId="77777777" w:rsidR="00351600" w:rsidRDefault="00351600"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00000000"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Times New Roman">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8C45A8" w:rsidRPr="00F26176" w:rsidRDefault="008C45A8"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7D5AFC">
      <w:rPr>
        <w:caps/>
        <w:noProof/>
        <w:color w:val="4F81BD" w:themeColor="accent1"/>
      </w:rPr>
      <w:t>55</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9C086" w14:textId="77777777" w:rsidR="00351600" w:rsidRDefault="00351600" w:rsidP="00D26F59">
      <w:pPr>
        <w:spacing w:after="0"/>
      </w:pPr>
      <w:r>
        <w:separator/>
      </w:r>
    </w:p>
  </w:footnote>
  <w:footnote w:type="continuationSeparator" w:id="0">
    <w:p w14:paraId="5CE09CE6" w14:textId="77777777" w:rsidR="00351600" w:rsidRDefault="00351600" w:rsidP="00D26F59">
      <w:pPr>
        <w:spacing w:after="0"/>
      </w:pPr>
      <w:r>
        <w:continuationSeparator/>
      </w:r>
    </w:p>
  </w:footnote>
  <w:footnote w:id="1">
    <w:p w14:paraId="69A773D8" w14:textId="77777777" w:rsidR="008C45A8" w:rsidRDefault="008C45A8" w:rsidP="0035019B">
      <w:pPr>
        <w:pStyle w:val="FootnoteText"/>
      </w:pPr>
      <w:r>
        <w:rPr>
          <w:rStyle w:val="FootnoteReference"/>
        </w:rPr>
        <w:footnoteRef/>
      </w:r>
      <w:r>
        <w:t xml:space="preserve"> The Intergovernmental Panel on Climate Change’s Fifth Assessment Report calculates that a tonne of methane has the global warming potential of 28 tonnes of carbon dioxide over a 100-year period, or 84 tonnes of carbon dioxide over a 20-year period. </w:t>
      </w:r>
    </w:p>
  </w:footnote>
  <w:footnote w:id="2">
    <w:p w14:paraId="0EC87130" w14:textId="1FE9A17C" w:rsidR="008C45A8" w:rsidRDefault="008C45A8">
      <w:pPr>
        <w:pStyle w:val="FootnoteText"/>
      </w:pPr>
      <w:r>
        <w:rPr>
          <w:rStyle w:val="FootnoteReference"/>
        </w:rPr>
        <w:footnoteRef/>
      </w:r>
      <w:r>
        <w:t xml:space="preserve"> </w:t>
      </w:r>
      <w:r w:rsidRPr="00F6202B">
        <w:t>https://www.epa.gov/natural-gas-star-program/recommended-technologies-reduce-methane-emissions</w:t>
      </w:r>
    </w:p>
  </w:footnote>
  <w:footnote w:id="3">
    <w:p w14:paraId="5F3946F9" w14:textId="0D02641E" w:rsidR="008C45A8" w:rsidRDefault="008C45A8">
      <w:pPr>
        <w:pStyle w:val="FootnoteText"/>
      </w:pPr>
      <w:r>
        <w:rPr>
          <w:rStyle w:val="FootnoteReference"/>
        </w:rPr>
        <w:footnoteRef/>
      </w:r>
      <w:r>
        <w:t xml:space="preserve"> For example: </w:t>
      </w:r>
      <w:r w:rsidRPr="00A60EB9">
        <w:t>https://www.epa.gov/natural-gas-star-program/convert-gas-pneumatic-controls-instrument-air</w:t>
      </w:r>
    </w:p>
  </w:footnote>
  <w:footnote w:id="4">
    <w:p w14:paraId="4CF9105C" w14:textId="13774DF4" w:rsidR="008C45A8" w:rsidRDefault="008C45A8">
      <w:pPr>
        <w:pStyle w:val="FootnoteText"/>
      </w:pPr>
      <w:r>
        <w:rPr>
          <w:rStyle w:val="FootnoteReference"/>
        </w:rPr>
        <w:footnoteRef/>
      </w:r>
      <w:r>
        <w:t xml:space="preserve"> </w:t>
      </w:r>
      <w:r w:rsidRPr="006F0AB8">
        <w:t>https://www.the-sniffers.com/pipeline-integrity/field-surveys-and-services/leak-detection-with-sniffing-dogs/</w:t>
      </w:r>
    </w:p>
  </w:footnote>
  <w:footnote w:id="5">
    <w:p w14:paraId="42039EC7" w14:textId="77777777" w:rsidR="008C45A8" w:rsidRDefault="008C45A8" w:rsidP="00954C15">
      <w:r>
        <w:rPr>
          <w:rStyle w:val="FootnoteReference"/>
        </w:rPr>
        <w:footnoteRef/>
      </w:r>
      <w:r>
        <w:t xml:space="preserve"> </w:t>
      </w:r>
      <w:hyperlink r:id="rId1" w:anchor="img2" w:history="1">
        <w:r w:rsidRPr="008241F1">
          <w:rPr>
            <w:rStyle w:val="Hyperlink"/>
          </w:rPr>
          <w:t>https://news.engin.umich.edu/2016/08/methane-leaks-a-new-way-to-find-and-fix-in-real-time/#img2</w:t>
        </w:r>
      </w:hyperlink>
    </w:p>
    <w:p w14:paraId="1624E900" w14:textId="4CBB2191" w:rsidR="008C45A8" w:rsidRDefault="008C45A8">
      <w:pPr>
        <w:pStyle w:val="FootnoteText"/>
      </w:pPr>
    </w:p>
  </w:footnote>
  <w:footnote w:id="6">
    <w:p w14:paraId="4A3B2289" w14:textId="77777777" w:rsidR="008C45A8" w:rsidRDefault="008C45A8" w:rsidP="008550D1">
      <w:pPr>
        <w:pStyle w:val="FootnoteText"/>
      </w:pPr>
      <w:r>
        <w:rPr>
          <w:rStyle w:val="FootnoteReference"/>
        </w:rPr>
        <w:footnoteRef/>
      </w:r>
      <w:r>
        <w:t xml:space="preserve"> We focus on natural gas infrastructure, with the discussion assumed to apply to the portions of oil infrastructure that also generate methane emissions. </w:t>
      </w:r>
    </w:p>
  </w:footnote>
  <w:footnote w:id="7">
    <w:p w14:paraId="582DA9DE" w14:textId="77777777" w:rsidR="008C45A8" w:rsidRDefault="008C45A8" w:rsidP="00095986">
      <w:pPr>
        <w:pStyle w:val="FootnoteText"/>
      </w:pPr>
      <w:r>
        <w:rPr>
          <w:rStyle w:val="FootnoteReference"/>
        </w:rPr>
        <w:footnoteRef/>
      </w:r>
      <w:r>
        <w:t xml:space="preserve"> For example: </w:t>
      </w:r>
      <w:r w:rsidRPr="00C10D25">
        <w:t>https://www.theguardian.com/environment/2020/jan/24/hydrogen-uk-gas-grid-keele-university</w:t>
      </w:r>
    </w:p>
  </w:footnote>
  <w:footnote w:id="8">
    <w:p w14:paraId="1C88EA95" w14:textId="77777777" w:rsidR="008C45A8" w:rsidRPr="00BB4155" w:rsidRDefault="008C45A8" w:rsidP="007231C4">
      <w:pPr>
        <w:pStyle w:val="FootnoteText"/>
      </w:pPr>
      <w:r>
        <w:rPr>
          <w:rStyle w:val="FootnoteReference"/>
        </w:rPr>
        <w:footnoteRef/>
      </w:r>
      <w:r>
        <w:t xml:space="preserve"> Based on 5.19x10</w:t>
      </w:r>
      <w:r>
        <w:rPr>
          <w:vertAlign w:val="superscript"/>
        </w:rPr>
        <w:t>4</w:t>
      </w:r>
      <w:r>
        <w:t xml:space="preserve"> cf/t methane and global warming potential of 25, for consistency with EPA’s data</w:t>
      </w:r>
    </w:p>
  </w:footnote>
  <w:footnote w:id="9">
    <w:p w14:paraId="1DAD25F3" w14:textId="6D3407F6" w:rsidR="008C45A8" w:rsidRDefault="008C45A8">
      <w:pPr>
        <w:pStyle w:val="FootnoteText"/>
      </w:pPr>
      <w:r>
        <w:rPr>
          <w:rStyle w:val="FootnoteReference"/>
        </w:rPr>
        <w:footnoteRef/>
      </w:r>
      <w:r>
        <w:t xml:space="preserve"> </w:t>
      </w:r>
      <w:hyperlink r:id="rId2" w:history="1">
        <w:r w:rsidRPr="005C603F">
          <w:rPr>
            <w:rStyle w:val="Hyperlink"/>
          </w:rPr>
          <w:t>https://www.iea.org/policies?topic=Methane</w:t>
        </w:r>
      </w:hyperlink>
    </w:p>
  </w:footnote>
  <w:footnote w:id="10">
    <w:p w14:paraId="3CA7079C" w14:textId="5CAAF382" w:rsidR="008C45A8" w:rsidRDefault="008C45A8">
      <w:pPr>
        <w:pStyle w:val="FootnoteText"/>
      </w:pPr>
      <w:r>
        <w:rPr>
          <w:rStyle w:val="FootnoteReference"/>
        </w:rPr>
        <w:footnoteRef/>
      </w:r>
      <w:r>
        <w:t xml:space="preserve"> </w:t>
      </w:r>
      <w:r w:rsidRPr="00545016">
        <w:t>https://ec.europa.eu/energy/topics/oil-gas-and-coal/methane-emissions_en</w:t>
      </w:r>
    </w:p>
  </w:footnote>
  <w:footnote w:id="11">
    <w:p w14:paraId="6389B216" w14:textId="5BBE3E37" w:rsidR="008C45A8" w:rsidRDefault="008C45A8">
      <w:pPr>
        <w:pStyle w:val="FootnoteText"/>
      </w:pPr>
      <w:r>
        <w:rPr>
          <w:rStyle w:val="FootnoteReference"/>
        </w:rPr>
        <w:footnoteRef/>
      </w:r>
      <w:r>
        <w:t xml:space="preserve"> </w:t>
      </w:r>
      <w:r w:rsidRPr="009A043C">
        <w:t>https://www.energy.gov/articles/joint-statement-establishing-net-zero-producers-forum-between-energy-ministries-canada</w:t>
      </w:r>
    </w:p>
  </w:footnote>
  <w:footnote w:id="12">
    <w:p w14:paraId="19FA0F6B" w14:textId="429F76E6" w:rsidR="008C45A8" w:rsidRDefault="008C45A8">
      <w:pPr>
        <w:pStyle w:val="FootnoteText"/>
      </w:pPr>
      <w:r>
        <w:rPr>
          <w:rStyle w:val="FootnoteReference"/>
        </w:rPr>
        <w:footnoteRef/>
      </w:r>
      <w:r>
        <w:t xml:space="preserve"> </w:t>
      </w:r>
      <w:r w:rsidRPr="00E11B9A">
        <w:t>https://www.epa.gov/sites/production/files/2016-06/documents/installflares.pdf</w:t>
      </w:r>
    </w:p>
  </w:footnote>
  <w:footnote w:id="13">
    <w:p w14:paraId="4D66CD75" w14:textId="77777777" w:rsidR="008C45A8" w:rsidRDefault="008C45A8" w:rsidP="00BA5068">
      <w:pPr>
        <w:pStyle w:val="FootnoteText"/>
      </w:pPr>
      <w:r>
        <w:rPr>
          <w:rStyle w:val="FootnoteReference"/>
        </w:rPr>
        <w:footnoteRef/>
      </w:r>
      <w:r>
        <w:t xml:space="preserve"> </w:t>
      </w:r>
      <w:r w:rsidRPr="007E5DEE">
        <w:t>https://ec.europa.eu/energy/topics/oil-gas-and-coal/methane-emissions_en</w:t>
      </w:r>
    </w:p>
  </w:footnote>
  <w:footnote w:id="14">
    <w:p w14:paraId="444BDBC7" w14:textId="4E3296F9" w:rsidR="008C45A8" w:rsidRDefault="008C45A8">
      <w:pPr>
        <w:pStyle w:val="FootnoteText"/>
      </w:pPr>
      <w:r>
        <w:rPr>
          <w:rStyle w:val="FootnoteReference"/>
        </w:rPr>
        <w:footnoteRef/>
      </w:r>
      <w:r>
        <w:t xml:space="preserve"> Based on data from International Energy Agency (2021) Net Zero by 2050 – Data product – IEA; as modified by Project Drawdown from data for figure 3.2 in source. </w:t>
      </w:r>
    </w:p>
  </w:footnote>
  <w:footnote w:id="15">
    <w:p w14:paraId="223F53C3" w14:textId="748089D6" w:rsidR="008C45A8" w:rsidRDefault="008C45A8">
      <w:pPr>
        <w:pStyle w:val="FootnoteText"/>
      </w:pPr>
      <w:r>
        <w:rPr>
          <w:rStyle w:val="FootnoteReference"/>
        </w:rPr>
        <w:footnoteRef/>
      </w:r>
      <w:r>
        <w:t xml:space="preserve"> Based on data from International Energy Agency (2021) Methane Tracker Database – Data product – IEA; as modified by Project Drawdown.  </w:t>
      </w:r>
    </w:p>
  </w:footnote>
  <w:footnote w:id="16">
    <w:p w14:paraId="406BD08F" w14:textId="0B33B357" w:rsidR="008C45A8" w:rsidRDefault="008C45A8">
      <w:pPr>
        <w:pStyle w:val="FootnoteText"/>
      </w:pPr>
      <w:r>
        <w:rPr>
          <w:rStyle w:val="FootnoteReference"/>
        </w:rPr>
        <w:footnoteRef/>
      </w:r>
      <w:r>
        <w:t xml:space="preserve"> Based on data from US Environmental Protection Agency (2019) </w:t>
      </w:r>
      <w:r w:rsidRPr="00B105BC">
        <w:t>Global Non-CO2 Greenhouse Gas Emissions Projections &amp; Mitigation 2015-2050</w:t>
      </w:r>
      <w:r>
        <w:t xml:space="preserve"> – Data product – EPA; as modified by Project Drawdown. </w:t>
      </w:r>
    </w:p>
  </w:footnote>
  <w:footnote w:id="17">
    <w:p w14:paraId="03EBAADC" w14:textId="44B183B8" w:rsidR="008C45A8" w:rsidRPr="003B2E39" w:rsidRDefault="008C45A8">
      <w:pPr>
        <w:pStyle w:val="FootnoteText"/>
      </w:pPr>
      <w:r>
        <w:rPr>
          <w:rStyle w:val="FootnoteReference"/>
        </w:rPr>
        <w:footnoteRef/>
      </w:r>
      <w:r>
        <w:t xml:space="preserve"> Same as above; as modified by Project Drawdown to exclude measures exceeding $500/tCO</w:t>
      </w:r>
      <w:r>
        <w:rPr>
          <w:vertAlign w:val="subscript"/>
        </w:rPr>
        <w:t>2</w:t>
      </w:r>
      <w:r>
        <w:t>e</w:t>
      </w:r>
    </w:p>
  </w:footnote>
  <w:footnote w:id="18">
    <w:p w14:paraId="48D429DD" w14:textId="601CC6CA" w:rsidR="008C45A8" w:rsidRDefault="008C45A8">
      <w:pPr>
        <w:pStyle w:val="FootnoteText"/>
      </w:pPr>
      <w:r>
        <w:rPr>
          <w:rStyle w:val="FootnoteReference"/>
        </w:rPr>
        <w:footnoteRef/>
      </w:r>
      <w:r>
        <w:t xml:space="preserve"> </w:t>
      </w:r>
      <w:r w:rsidRPr="00592BF2">
        <w:t>https://www.ccacoalition.org/en/content/benefits-and-costs-mitigating-methane-emissions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B6AC8D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F202CEF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2EA0751"/>
    <w:multiLevelType w:val="hybridMultilevel"/>
    <w:tmpl w:val="A1AA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C861BA"/>
    <w:multiLevelType w:val="hybridMultilevel"/>
    <w:tmpl w:val="BE08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294BD6"/>
    <w:multiLevelType w:val="hybridMultilevel"/>
    <w:tmpl w:val="B0789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11" w15:restartNumberingAfterBreak="0">
    <w:nsid w:val="23164257"/>
    <w:multiLevelType w:val="hybridMultilevel"/>
    <w:tmpl w:val="485E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81CF4"/>
    <w:multiLevelType w:val="hybridMultilevel"/>
    <w:tmpl w:val="519E8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07E95"/>
    <w:multiLevelType w:val="hybridMultilevel"/>
    <w:tmpl w:val="F9224EA0"/>
    <w:lvl w:ilvl="0" w:tplc="2DF470A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DD74BB"/>
    <w:multiLevelType w:val="hybridMultilevel"/>
    <w:tmpl w:val="A2EE24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17588"/>
    <w:multiLevelType w:val="hybridMultilevel"/>
    <w:tmpl w:val="6AF6E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17" w15:restartNumberingAfterBreak="0">
    <w:nsid w:val="2E135091"/>
    <w:multiLevelType w:val="hybridMultilevel"/>
    <w:tmpl w:val="35E04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006F3"/>
    <w:multiLevelType w:val="hybridMultilevel"/>
    <w:tmpl w:val="A6E41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E426E"/>
    <w:multiLevelType w:val="hybridMultilevel"/>
    <w:tmpl w:val="6F7EB872"/>
    <w:lvl w:ilvl="0" w:tplc="85302C3C">
      <w:start w:val="1"/>
      <w:numFmt w:val="bullet"/>
      <w:lvlText w:val=""/>
      <w:lvlJc w:val="left"/>
      <w:pPr>
        <w:ind w:left="360" w:hanging="360"/>
      </w:pPr>
      <w:rPr>
        <w:rFonts w:ascii="Symbol" w:hAnsi="Symbol" w:hint="default"/>
      </w:rPr>
    </w:lvl>
    <w:lvl w:ilvl="1" w:tplc="68CCF554">
      <w:start w:val="1"/>
      <w:numFmt w:val="bullet"/>
      <w:lvlText w:val="o"/>
      <w:lvlJc w:val="left"/>
      <w:pPr>
        <w:ind w:left="1080" w:hanging="360"/>
      </w:pPr>
      <w:rPr>
        <w:rFonts w:ascii="Courier New" w:hAnsi="Courier New" w:hint="default"/>
      </w:rPr>
    </w:lvl>
    <w:lvl w:ilvl="2" w:tplc="56E04FB8">
      <w:start w:val="1"/>
      <w:numFmt w:val="bullet"/>
      <w:lvlText w:val=""/>
      <w:lvlJc w:val="left"/>
      <w:pPr>
        <w:ind w:left="1800" w:hanging="360"/>
      </w:pPr>
      <w:rPr>
        <w:rFonts w:ascii="Wingdings" w:hAnsi="Wingdings" w:hint="default"/>
      </w:rPr>
    </w:lvl>
    <w:lvl w:ilvl="3" w:tplc="A6A465D8">
      <w:start w:val="1"/>
      <w:numFmt w:val="bullet"/>
      <w:lvlText w:val=""/>
      <w:lvlJc w:val="left"/>
      <w:pPr>
        <w:ind w:left="2520" w:hanging="360"/>
      </w:pPr>
      <w:rPr>
        <w:rFonts w:ascii="Symbol" w:hAnsi="Symbol" w:hint="default"/>
      </w:rPr>
    </w:lvl>
    <w:lvl w:ilvl="4" w:tplc="656AF4D2">
      <w:start w:val="1"/>
      <w:numFmt w:val="bullet"/>
      <w:lvlText w:val="o"/>
      <w:lvlJc w:val="left"/>
      <w:pPr>
        <w:ind w:left="3240" w:hanging="360"/>
      </w:pPr>
      <w:rPr>
        <w:rFonts w:ascii="Courier New" w:hAnsi="Courier New" w:hint="default"/>
      </w:rPr>
    </w:lvl>
    <w:lvl w:ilvl="5" w:tplc="BAA24B62">
      <w:start w:val="1"/>
      <w:numFmt w:val="bullet"/>
      <w:lvlText w:val=""/>
      <w:lvlJc w:val="left"/>
      <w:pPr>
        <w:ind w:left="3960" w:hanging="360"/>
      </w:pPr>
      <w:rPr>
        <w:rFonts w:ascii="Wingdings" w:hAnsi="Wingdings" w:hint="default"/>
      </w:rPr>
    </w:lvl>
    <w:lvl w:ilvl="6" w:tplc="6B8C587C">
      <w:start w:val="1"/>
      <w:numFmt w:val="bullet"/>
      <w:lvlText w:val=""/>
      <w:lvlJc w:val="left"/>
      <w:pPr>
        <w:ind w:left="4680" w:hanging="360"/>
      </w:pPr>
      <w:rPr>
        <w:rFonts w:ascii="Symbol" w:hAnsi="Symbol" w:hint="default"/>
      </w:rPr>
    </w:lvl>
    <w:lvl w:ilvl="7" w:tplc="FF0CF9E8">
      <w:start w:val="1"/>
      <w:numFmt w:val="bullet"/>
      <w:lvlText w:val="o"/>
      <w:lvlJc w:val="left"/>
      <w:pPr>
        <w:ind w:left="5400" w:hanging="360"/>
      </w:pPr>
      <w:rPr>
        <w:rFonts w:ascii="Courier New" w:hAnsi="Courier New" w:hint="default"/>
      </w:rPr>
    </w:lvl>
    <w:lvl w:ilvl="8" w:tplc="D968E95A">
      <w:start w:val="1"/>
      <w:numFmt w:val="bullet"/>
      <w:lvlText w:val=""/>
      <w:lvlJc w:val="left"/>
      <w:pPr>
        <w:ind w:left="6120" w:hanging="360"/>
      </w:pPr>
      <w:rPr>
        <w:rFonts w:ascii="Wingdings" w:hAnsi="Wingdings" w:hint="default"/>
      </w:rPr>
    </w:lvl>
  </w:abstractNum>
  <w:abstractNum w:abstractNumId="21" w15:restartNumberingAfterBreak="0">
    <w:nsid w:val="3B5E45E9"/>
    <w:multiLevelType w:val="hybridMultilevel"/>
    <w:tmpl w:val="784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5E4AB3"/>
    <w:multiLevelType w:val="multilevel"/>
    <w:tmpl w:val="97CAB304"/>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C622985"/>
    <w:multiLevelType w:val="hybridMultilevel"/>
    <w:tmpl w:val="3A949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4073E"/>
    <w:multiLevelType w:val="multilevel"/>
    <w:tmpl w:val="5AEED49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EA15FEF"/>
    <w:multiLevelType w:val="hybridMultilevel"/>
    <w:tmpl w:val="05A4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150D89"/>
    <w:multiLevelType w:val="hybridMultilevel"/>
    <w:tmpl w:val="DB84D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3C5FE9"/>
    <w:multiLevelType w:val="hybridMultilevel"/>
    <w:tmpl w:val="770C9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15:restartNumberingAfterBreak="0">
    <w:nsid w:val="424E7C7D"/>
    <w:multiLevelType w:val="hybridMultilevel"/>
    <w:tmpl w:val="5E2AD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93C36"/>
    <w:multiLevelType w:val="hybridMultilevel"/>
    <w:tmpl w:val="6CECF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C403E3"/>
    <w:multiLevelType w:val="hybridMultilevel"/>
    <w:tmpl w:val="8FA8B6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E1CF7"/>
    <w:multiLevelType w:val="hybridMultilevel"/>
    <w:tmpl w:val="F056B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25050A"/>
    <w:multiLevelType w:val="hybridMultilevel"/>
    <w:tmpl w:val="002A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147543"/>
    <w:multiLevelType w:val="hybridMultilevel"/>
    <w:tmpl w:val="D5D00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37"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A77DF"/>
    <w:multiLevelType w:val="hybridMultilevel"/>
    <w:tmpl w:val="07DA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CA70A2"/>
    <w:multiLevelType w:val="hybridMultilevel"/>
    <w:tmpl w:val="85B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C6C15"/>
    <w:multiLevelType w:val="hybridMultilevel"/>
    <w:tmpl w:val="3AD8EB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8"/>
  </w:num>
  <w:num w:numId="3">
    <w:abstractNumId w:val="19"/>
  </w:num>
  <w:num w:numId="4">
    <w:abstractNumId w:val="37"/>
  </w:num>
  <w:num w:numId="5">
    <w:abstractNumId w:val="22"/>
  </w:num>
  <w:num w:numId="6">
    <w:abstractNumId w:val="24"/>
  </w:num>
  <w:num w:numId="7">
    <w:abstractNumId w:val="24"/>
    <w:lvlOverride w:ilvl="0">
      <w:startOverride w:val="2"/>
    </w:lvlOverride>
    <w:lvlOverride w:ilvl="1">
      <w:startOverride w:val="1"/>
    </w:lvlOverride>
  </w:num>
  <w:num w:numId="8">
    <w:abstractNumId w:val="5"/>
  </w:num>
  <w:num w:numId="9">
    <w:abstractNumId w:val="10"/>
  </w:num>
  <w:num w:numId="10">
    <w:abstractNumId w:val="20"/>
  </w:num>
  <w:num w:numId="11">
    <w:abstractNumId w:val="34"/>
  </w:num>
  <w:num w:numId="12">
    <w:abstractNumId w:val="9"/>
  </w:num>
  <w:num w:numId="13">
    <w:abstractNumId w:val="16"/>
  </w:num>
  <w:num w:numId="14">
    <w:abstractNumId w:val="36"/>
  </w:num>
  <w:num w:numId="15">
    <w:abstractNumId w:val="15"/>
  </w:num>
  <w:num w:numId="16">
    <w:abstractNumId w:val="30"/>
  </w:num>
  <w:num w:numId="17">
    <w:abstractNumId w:val="13"/>
  </w:num>
  <w:num w:numId="18">
    <w:abstractNumId w:val="33"/>
  </w:num>
  <w:num w:numId="19">
    <w:abstractNumId w:val="26"/>
  </w:num>
  <w:num w:numId="20">
    <w:abstractNumId w:val="39"/>
  </w:num>
  <w:num w:numId="21">
    <w:abstractNumId w:val="17"/>
  </w:num>
  <w:num w:numId="22">
    <w:abstractNumId w:val="38"/>
  </w:num>
  <w:num w:numId="23">
    <w:abstractNumId w:val="23"/>
  </w:num>
  <w:num w:numId="24">
    <w:abstractNumId w:val="8"/>
  </w:num>
  <w:num w:numId="25">
    <w:abstractNumId w:val="25"/>
  </w:num>
  <w:num w:numId="26">
    <w:abstractNumId w:val="18"/>
  </w:num>
  <w:num w:numId="27">
    <w:abstractNumId w:val="12"/>
  </w:num>
  <w:num w:numId="28">
    <w:abstractNumId w:val="11"/>
  </w:num>
  <w:num w:numId="29">
    <w:abstractNumId w:val="21"/>
  </w:num>
  <w:num w:numId="30">
    <w:abstractNumId w:val="35"/>
  </w:num>
  <w:num w:numId="31">
    <w:abstractNumId w:val="31"/>
  </w:num>
  <w:num w:numId="32">
    <w:abstractNumId w:val="32"/>
  </w:num>
  <w:num w:numId="33">
    <w:abstractNumId w:val="27"/>
  </w:num>
  <w:num w:numId="34">
    <w:abstractNumId w:val="1"/>
  </w:num>
  <w:num w:numId="35">
    <w:abstractNumId w:val="0"/>
  </w:num>
  <w:num w:numId="36">
    <w:abstractNumId w:val="29"/>
  </w:num>
  <w:num w:numId="37">
    <w:abstractNumId w:val="14"/>
  </w:num>
  <w:num w:numId="38">
    <w:abstractNumId w:val="40"/>
  </w:num>
  <w:num w:numId="39">
    <w:abstractNumId w:val="7"/>
  </w:num>
  <w:num w:numId="40">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E71"/>
    <w:rsid w:val="0000143C"/>
    <w:rsid w:val="0001029C"/>
    <w:rsid w:val="0001289B"/>
    <w:rsid w:val="00014CE5"/>
    <w:rsid w:val="000178CE"/>
    <w:rsid w:val="00024F11"/>
    <w:rsid w:val="00025558"/>
    <w:rsid w:val="00027069"/>
    <w:rsid w:val="000277C6"/>
    <w:rsid w:val="00027B88"/>
    <w:rsid w:val="00031AA5"/>
    <w:rsid w:val="000330C6"/>
    <w:rsid w:val="000379A9"/>
    <w:rsid w:val="00042017"/>
    <w:rsid w:val="0004216F"/>
    <w:rsid w:val="00042FBC"/>
    <w:rsid w:val="00054158"/>
    <w:rsid w:val="00056ED1"/>
    <w:rsid w:val="00057050"/>
    <w:rsid w:val="00057C21"/>
    <w:rsid w:val="00062704"/>
    <w:rsid w:val="00065328"/>
    <w:rsid w:val="000663BB"/>
    <w:rsid w:val="00075F31"/>
    <w:rsid w:val="00081F00"/>
    <w:rsid w:val="000828F9"/>
    <w:rsid w:val="000829DC"/>
    <w:rsid w:val="0008310E"/>
    <w:rsid w:val="000856B7"/>
    <w:rsid w:val="000875B5"/>
    <w:rsid w:val="00087D3B"/>
    <w:rsid w:val="0009232E"/>
    <w:rsid w:val="0009271D"/>
    <w:rsid w:val="0009541F"/>
    <w:rsid w:val="0009549E"/>
    <w:rsid w:val="00095986"/>
    <w:rsid w:val="000971F9"/>
    <w:rsid w:val="000974C1"/>
    <w:rsid w:val="00097911"/>
    <w:rsid w:val="00097C40"/>
    <w:rsid w:val="000A6F40"/>
    <w:rsid w:val="000B1609"/>
    <w:rsid w:val="000B1918"/>
    <w:rsid w:val="000B3EE3"/>
    <w:rsid w:val="000B6B25"/>
    <w:rsid w:val="000C3205"/>
    <w:rsid w:val="000C3F49"/>
    <w:rsid w:val="000C4264"/>
    <w:rsid w:val="000C7A55"/>
    <w:rsid w:val="000D2CB0"/>
    <w:rsid w:val="000D30DE"/>
    <w:rsid w:val="000D3763"/>
    <w:rsid w:val="000D3855"/>
    <w:rsid w:val="000D7BC5"/>
    <w:rsid w:val="000E0E58"/>
    <w:rsid w:val="000E594F"/>
    <w:rsid w:val="000F131E"/>
    <w:rsid w:val="000F2C3C"/>
    <w:rsid w:val="000F31CA"/>
    <w:rsid w:val="000F4DE7"/>
    <w:rsid w:val="000F7247"/>
    <w:rsid w:val="00101408"/>
    <w:rsid w:val="00102A16"/>
    <w:rsid w:val="001073C8"/>
    <w:rsid w:val="00112479"/>
    <w:rsid w:val="00112D63"/>
    <w:rsid w:val="00115FDB"/>
    <w:rsid w:val="00120B7B"/>
    <w:rsid w:val="00123A28"/>
    <w:rsid w:val="00124262"/>
    <w:rsid w:val="00124C49"/>
    <w:rsid w:val="00125434"/>
    <w:rsid w:val="00125B80"/>
    <w:rsid w:val="001300D0"/>
    <w:rsid w:val="00132B50"/>
    <w:rsid w:val="00136093"/>
    <w:rsid w:val="00137B82"/>
    <w:rsid w:val="00140F1E"/>
    <w:rsid w:val="0015141C"/>
    <w:rsid w:val="00152E5D"/>
    <w:rsid w:val="0017085D"/>
    <w:rsid w:val="001759D2"/>
    <w:rsid w:val="00176B3E"/>
    <w:rsid w:val="001A1AB8"/>
    <w:rsid w:val="001A6EB0"/>
    <w:rsid w:val="001B1300"/>
    <w:rsid w:val="001B1CB4"/>
    <w:rsid w:val="001B3003"/>
    <w:rsid w:val="001B39DD"/>
    <w:rsid w:val="001B4003"/>
    <w:rsid w:val="001B58F5"/>
    <w:rsid w:val="001B6745"/>
    <w:rsid w:val="001C2B6F"/>
    <w:rsid w:val="001C3DC0"/>
    <w:rsid w:val="001C49CB"/>
    <w:rsid w:val="001C5872"/>
    <w:rsid w:val="001D17E8"/>
    <w:rsid w:val="001D3A03"/>
    <w:rsid w:val="001D6EAB"/>
    <w:rsid w:val="001E0FF2"/>
    <w:rsid w:val="001E2895"/>
    <w:rsid w:val="001E6296"/>
    <w:rsid w:val="001F2EFC"/>
    <w:rsid w:val="001F6FB0"/>
    <w:rsid w:val="001F714A"/>
    <w:rsid w:val="00202788"/>
    <w:rsid w:val="002054FC"/>
    <w:rsid w:val="0021082B"/>
    <w:rsid w:val="00215F04"/>
    <w:rsid w:val="00216B08"/>
    <w:rsid w:val="0022038E"/>
    <w:rsid w:val="00221954"/>
    <w:rsid w:val="002242F8"/>
    <w:rsid w:val="00227F5E"/>
    <w:rsid w:val="0023178B"/>
    <w:rsid w:val="00232AAA"/>
    <w:rsid w:val="00233C0E"/>
    <w:rsid w:val="0023619C"/>
    <w:rsid w:val="00236D0A"/>
    <w:rsid w:val="0024231A"/>
    <w:rsid w:val="00245465"/>
    <w:rsid w:val="002476A8"/>
    <w:rsid w:val="002521D7"/>
    <w:rsid w:val="00255D19"/>
    <w:rsid w:val="00260326"/>
    <w:rsid w:val="002603E9"/>
    <w:rsid w:val="0026327C"/>
    <w:rsid w:val="00264D1A"/>
    <w:rsid w:val="00266635"/>
    <w:rsid w:val="00270442"/>
    <w:rsid w:val="00272912"/>
    <w:rsid w:val="00274819"/>
    <w:rsid w:val="00274B56"/>
    <w:rsid w:val="002770E0"/>
    <w:rsid w:val="002815AD"/>
    <w:rsid w:val="002874EC"/>
    <w:rsid w:val="00290D71"/>
    <w:rsid w:val="00291D3C"/>
    <w:rsid w:val="002930AE"/>
    <w:rsid w:val="002968C2"/>
    <w:rsid w:val="002A4E84"/>
    <w:rsid w:val="002A62C7"/>
    <w:rsid w:val="002A7A61"/>
    <w:rsid w:val="002B1255"/>
    <w:rsid w:val="002B4471"/>
    <w:rsid w:val="002B4806"/>
    <w:rsid w:val="002B4E23"/>
    <w:rsid w:val="002C0282"/>
    <w:rsid w:val="002C1ADB"/>
    <w:rsid w:val="002D0D83"/>
    <w:rsid w:val="002D14C0"/>
    <w:rsid w:val="002D402C"/>
    <w:rsid w:val="002D43DF"/>
    <w:rsid w:val="002D4B9E"/>
    <w:rsid w:val="002D5226"/>
    <w:rsid w:val="002D5C14"/>
    <w:rsid w:val="002D630D"/>
    <w:rsid w:val="002D6588"/>
    <w:rsid w:val="002E31A4"/>
    <w:rsid w:val="002E49AA"/>
    <w:rsid w:val="002E69FF"/>
    <w:rsid w:val="0030099E"/>
    <w:rsid w:val="00300CEE"/>
    <w:rsid w:val="00303670"/>
    <w:rsid w:val="003069EE"/>
    <w:rsid w:val="00311E14"/>
    <w:rsid w:val="0032184F"/>
    <w:rsid w:val="0032353F"/>
    <w:rsid w:val="00325AF7"/>
    <w:rsid w:val="003260E9"/>
    <w:rsid w:val="00327B08"/>
    <w:rsid w:val="00333492"/>
    <w:rsid w:val="00333748"/>
    <w:rsid w:val="003338F1"/>
    <w:rsid w:val="00337669"/>
    <w:rsid w:val="00344262"/>
    <w:rsid w:val="0034746E"/>
    <w:rsid w:val="0035019B"/>
    <w:rsid w:val="003502FC"/>
    <w:rsid w:val="00351600"/>
    <w:rsid w:val="00367667"/>
    <w:rsid w:val="00367A03"/>
    <w:rsid w:val="0037089C"/>
    <w:rsid w:val="003727F8"/>
    <w:rsid w:val="00373485"/>
    <w:rsid w:val="00374564"/>
    <w:rsid w:val="0038334F"/>
    <w:rsid w:val="00387B4F"/>
    <w:rsid w:val="003922A1"/>
    <w:rsid w:val="00395692"/>
    <w:rsid w:val="00395868"/>
    <w:rsid w:val="003A0234"/>
    <w:rsid w:val="003A2697"/>
    <w:rsid w:val="003A48CE"/>
    <w:rsid w:val="003A4C51"/>
    <w:rsid w:val="003A4CBC"/>
    <w:rsid w:val="003A4D1E"/>
    <w:rsid w:val="003A6675"/>
    <w:rsid w:val="003A7929"/>
    <w:rsid w:val="003A7FE2"/>
    <w:rsid w:val="003B2BDF"/>
    <w:rsid w:val="003B2E39"/>
    <w:rsid w:val="003B4C27"/>
    <w:rsid w:val="003C025A"/>
    <w:rsid w:val="003C04AF"/>
    <w:rsid w:val="003C0A36"/>
    <w:rsid w:val="003C3271"/>
    <w:rsid w:val="003C5890"/>
    <w:rsid w:val="003C68C1"/>
    <w:rsid w:val="003C69B0"/>
    <w:rsid w:val="003C7B93"/>
    <w:rsid w:val="003D0644"/>
    <w:rsid w:val="003D1925"/>
    <w:rsid w:val="003D4E80"/>
    <w:rsid w:val="003E0AE3"/>
    <w:rsid w:val="003E3D27"/>
    <w:rsid w:val="003F3552"/>
    <w:rsid w:val="003F49F4"/>
    <w:rsid w:val="003F4D0E"/>
    <w:rsid w:val="004057C8"/>
    <w:rsid w:val="00416A4B"/>
    <w:rsid w:val="00417162"/>
    <w:rsid w:val="00433358"/>
    <w:rsid w:val="00434F61"/>
    <w:rsid w:val="0044137C"/>
    <w:rsid w:val="00442F4B"/>
    <w:rsid w:val="00451486"/>
    <w:rsid w:val="004535B7"/>
    <w:rsid w:val="0045676A"/>
    <w:rsid w:val="004575C6"/>
    <w:rsid w:val="00457E38"/>
    <w:rsid w:val="0046385F"/>
    <w:rsid w:val="00463921"/>
    <w:rsid w:val="00467C30"/>
    <w:rsid w:val="00473633"/>
    <w:rsid w:val="00476DAA"/>
    <w:rsid w:val="00481F8C"/>
    <w:rsid w:val="00483FFA"/>
    <w:rsid w:val="0048525C"/>
    <w:rsid w:val="004858E0"/>
    <w:rsid w:val="00486C75"/>
    <w:rsid w:val="00487017"/>
    <w:rsid w:val="00490F36"/>
    <w:rsid w:val="00492F5E"/>
    <w:rsid w:val="00496526"/>
    <w:rsid w:val="004A4DFA"/>
    <w:rsid w:val="004A4E8A"/>
    <w:rsid w:val="004A6074"/>
    <w:rsid w:val="004B1A0B"/>
    <w:rsid w:val="004B45D0"/>
    <w:rsid w:val="004B4859"/>
    <w:rsid w:val="004B4939"/>
    <w:rsid w:val="004B75B7"/>
    <w:rsid w:val="004C1461"/>
    <w:rsid w:val="004C247E"/>
    <w:rsid w:val="004C2EA3"/>
    <w:rsid w:val="004D345F"/>
    <w:rsid w:val="004D5520"/>
    <w:rsid w:val="004E4047"/>
    <w:rsid w:val="004E4194"/>
    <w:rsid w:val="004F1696"/>
    <w:rsid w:val="004F4507"/>
    <w:rsid w:val="004F5425"/>
    <w:rsid w:val="0050056E"/>
    <w:rsid w:val="00503180"/>
    <w:rsid w:val="00503F11"/>
    <w:rsid w:val="00505378"/>
    <w:rsid w:val="00507B83"/>
    <w:rsid w:val="0051714A"/>
    <w:rsid w:val="005251A9"/>
    <w:rsid w:val="0053240D"/>
    <w:rsid w:val="005341AC"/>
    <w:rsid w:val="00535AC0"/>
    <w:rsid w:val="0053615E"/>
    <w:rsid w:val="00540434"/>
    <w:rsid w:val="00540530"/>
    <w:rsid w:val="00540CD2"/>
    <w:rsid w:val="00541027"/>
    <w:rsid w:val="00541D39"/>
    <w:rsid w:val="00542221"/>
    <w:rsid w:val="00545016"/>
    <w:rsid w:val="00551A8E"/>
    <w:rsid w:val="00557A3B"/>
    <w:rsid w:val="00561650"/>
    <w:rsid w:val="00564C96"/>
    <w:rsid w:val="0057095B"/>
    <w:rsid w:val="00570C51"/>
    <w:rsid w:val="0057136C"/>
    <w:rsid w:val="00571C64"/>
    <w:rsid w:val="005751CE"/>
    <w:rsid w:val="00584CBD"/>
    <w:rsid w:val="00584ECC"/>
    <w:rsid w:val="00586AA5"/>
    <w:rsid w:val="005919BB"/>
    <w:rsid w:val="00592BF2"/>
    <w:rsid w:val="00592C39"/>
    <w:rsid w:val="00592D80"/>
    <w:rsid w:val="00592E70"/>
    <w:rsid w:val="005A0AE6"/>
    <w:rsid w:val="005A6986"/>
    <w:rsid w:val="005A74A6"/>
    <w:rsid w:val="005B1EEA"/>
    <w:rsid w:val="005B6B71"/>
    <w:rsid w:val="005B7A11"/>
    <w:rsid w:val="005C4BF0"/>
    <w:rsid w:val="005C6EC2"/>
    <w:rsid w:val="005C77F5"/>
    <w:rsid w:val="005D026A"/>
    <w:rsid w:val="005D0D09"/>
    <w:rsid w:val="005D2C9C"/>
    <w:rsid w:val="005D2F2A"/>
    <w:rsid w:val="005D48A8"/>
    <w:rsid w:val="005D49A8"/>
    <w:rsid w:val="005D623B"/>
    <w:rsid w:val="005E18F1"/>
    <w:rsid w:val="005E40E9"/>
    <w:rsid w:val="005F1E2F"/>
    <w:rsid w:val="005F38E3"/>
    <w:rsid w:val="005F6F5D"/>
    <w:rsid w:val="00602995"/>
    <w:rsid w:val="00602DF7"/>
    <w:rsid w:val="0060329D"/>
    <w:rsid w:val="006035E9"/>
    <w:rsid w:val="0060672D"/>
    <w:rsid w:val="0061178E"/>
    <w:rsid w:val="00612B47"/>
    <w:rsid w:val="00612E41"/>
    <w:rsid w:val="00617F18"/>
    <w:rsid w:val="006236F5"/>
    <w:rsid w:val="006243DB"/>
    <w:rsid w:val="006261A5"/>
    <w:rsid w:val="006305D7"/>
    <w:rsid w:val="00630C74"/>
    <w:rsid w:val="00630CD1"/>
    <w:rsid w:val="00631D39"/>
    <w:rsid w:val="00635618"/>
    <w:rsid w:val="0064040C"/>
    <w:rsid w:val="00640665"/>
    <w:rsid w:val="00642DB7"/>
    <w:rsid w:val="00644907"/>
    <w:rsid w:val="006454B9"/>
    <w:rsid w:val="00645923"/>
    <w:rsid w:val="00652B00"/>
    <w:rsid w:val="00654D87"/>
    <w:rsid w:val="0065579A"/>
    <w:rsid w:val="0066663F"/>
    <w:rsid w:val="00666AAB"/>
    <w:rsid w:val="0066753A"/>
    <w:rsid w:val="0066787A"/>
    <w:rsid w:val="006745FF"/>
    <w:rsid w:val="0067565A"/>
    <w:rsid w:val="00677D7D"/>
    <w:rsid w:val="00677E39"/>
    <w:rsid w:val="00682877"/>
    <w:rsid w:val="00683100"/>
    <w:rsid w:val="00685229"/>
    <w:rsid w:val="00686965"/>
    <w:rsid w:val="0069014F"/>
    <w:rsid w:val="00691D31"/>
    <w:rsid w:val="0069370D"/>
    <w:rsid w:val="00694449"/>
    <w:rsid w:val="00695682"/>
    <w:rsid w:val="00695E13"/>
    <w:rsid w:val="006A106E"/>
    <w:rsid w:val="006A3CEE"/>
    <w:rsid w:val="006A4A08"/>
    <w:rsid w:val="006A525F"/>
    <w:rsid w:val="006A7503"/>
    <w:rsid w:val="006A79CD"/>
    <w:rsid w:val="006B14FF"/>
    <w:rsid w:val="006B1B4B"/>
    <w:rsid w:val="006B267A"/>
    <w:rsid w:val="006B47C4"/>
    <w:rsid w:val="006B675D"/>
    <w:rsid w:val="006C0B55"/>
    <w:rsid w:val="006C273F"/>
    <w:rsid w:val="006D2B35"/>
    <w:rsid w:val="006D6012"/>
    <w:rsid w:val="006D6758"/>
    <w:rsid w:val="006D6FEF"/>
    <w:rsid w:val="006E2B2F"/>
    <w:rsid w:val="006E32FC"/>
    <w:rsid w:val="006E5107"/>
    <w:rsid w:val="006E6C65"/>
    <w:rsid w:val="006F0AB8"/>
    <w:rsid w:val="006F128D"/>
    <w:rsid w:val="006F2600"/>
    <w:rsid w:val="006F505C"/>
    <w:rsid w:val="006F6334"/>
    <w:rsid w:val="006F79B3"/>
    <w:rsid w:val="00703F21"/>
    <w:rsid w:val="007102BE"/>
    <w:rsid w:val="00717861"/>
    <w:rsid w:val="00720F3A"/>
    <w:rsid w:val="007231C4"/>
    <w:rsid w:val="0072606A"/>
    <w:rsid w:val="00726CDC"/>
    <w:rsid w:val="00730559"/>
    <w:rsid w:val="00736D2D"/>
    <w:rsid w:val="00737DBD"/>
    <w:rsid w:val="00740504"/>
    <w:rsid w:val="007405B7"/>
    <w:rsid w:val="007448DA"/>
    <w:rsid w:val="007457F0"/>
    <w:rsid w:val="007500D3"/>
    <w:rsid w:val="00750721"/>
    <w:rsid w:val="007523F5"/>
    <w:rsid w:val="00752BEE"/>
    <w:rsid w:val="00753F11"/>
    <w:rsid w:val="007546AE"/>
    <w:rsid w:val="007546C9"/>
    <w:rsid w:val="007576C6"/>
    <w:rsid w:val="00761959"/>
    <w:rsid w:val="00762827"/>
    <w:rsid w:val="00762877"/>
    <w:rsid w:val="00763931"/>
    <w:rsid w:val="00763EBD"/>
    <w:rsid w:val="00764282"/>
    <w:rsid w:val="00764B5C"/>
    <w:rsid w:val="00764C8A"/>
    <w:rsid w:val="00765908"/>
    <w:rsid w:val="00767F96"/>
    <w:rsid w:val="00771D82"/>
    <w:rsid w:val="00785787"/>
    <w:rsid w:val="007864AB"/>
    <w:rsid w:val="00791571"/>
    <w:rsid w:val="0079350D"/>
    <w:rsid w:val="007A1D7C"/>
    <w:rsid w:val="007A54EE"/>
    <w:rsid w:val="007A58F9"/>
    <w:rsid w:val="007B1EDF"/>
    <w:rsid w:val="007B662B"/>
    <w:rsid w:val="007B6910"/>
    <w:rsid w:val="007B7E09"/>
    <w:rsid w:val="007C067F"/>
    <w:rsid w:val="007C273F"/>
    <w:rsid w:val="007C28E3"/>
    <w:rsid w:val="007C645A"/>
    <w:rsid w:val="007D1608"/>
    <w:rsid w:val="007D2977"/>
    <w:rsid w:val="007D2C50"/>
    <w:rsid w:val="007D2C6A"/>
    <w:rsid w:val="007D30A6"/>
    <w:rsid w:val="007D4C43"/>
    <w:rsid w:val="007D5AFC"/>
    <w:rsid w:val="007D66FD"/>
    <w:rsid w:val="007D6AD3"/>
    <w:rsid w:val="007D6E13"/>
    <w:rsid w:val="007E5B97"/>
    <w:rsid w:val="007E5DEE"/>
    <w:rsid w:val="007E7D58"/>
    <w:rsid w:val="007F110D"/>
    <w:rsid w:val="007F1A54"/>
    <w:rsid w:val="007F218C"/>
    <w:rsid w:val="007F5C6F"/>
    <w:rsid w:val="008006D0"/>
    <w:rsid w:val="00801004"/>
    <w:rsid w:val="00804877"/>
    <w:rsid w:val="00807D37"/>
    <w:rsid w:val="008113FA"/>
    <w:rsid w:val="00814EF4"/>
    <w:rsid w:val="008203FB"/>
    <w:rsid w:val="00821F7D"/>
    <w:rsid w:val="00826C41"/>
    <w:rsid w:val="008274C2"/>
    <w:rsid w:val="008324D7"/>
    <w:rsid w:val="008332CA"/>
    <w:rsid w:val="0083647A"/>
    <w:rsid w:val="0083657E"/>
    <w:rsid w:val="008368CA"/>
    <w:rsid w:val="00837784"/>
    <w:rsid w:val="00843F48"/>
    <w:rsid w:val="0084641A"/>
    <w:rsid w:val="00847D79"/>
    <w:rsid w:val="00852296"/>
    <w:rsid w:val="0085286D"/>
    <w:rsid w:val="008550D1"/>
    <w:rsid w:val="008573CA"/>
    <w:rsid w:val="008613BB"/>
    <w:rsid w:val="00861FE7"/>
    <w:rsid w:val="008627CC"/>
    <w:rsid w:val="008663C7"/>
    <w:rsid w:val="00866459"/>
    <w:rsid w:val="00876220"/>
    <w:rsid w:val="008806DE"/>
    <w:rsid w:val="008866F5"/>
    <w:rsid w:val="00895C12"/>
    <w:rsid w:val="008979E3"/>
    <w:rsid w:val="008A5E70"/>
    <w:rsid w:val="008A6A82"/>
    <w:rsid w:val="008A6BBE"/>
    <w:rsid w:val="008A7600"/>
    <w:rsid w:val="008A7CCD"/>
    <w:rsid w:val="008B5F99"/>
    <w:rsid w:val="008C45A8"/>
    <w:rsid w:val="008C6A1A"/>
    <w:rsid w:val="008D1491"/>
    <w:rsid w:val="008D6163"/>
    <w:rsid w:val="008D6D1A"/>
    <w:rsid w:val="008E4E25"/>
    <w:rsid w:val="008E6094"/>
    <w:rsid w:val="008E6B1D"/>
    <w:rsid w:val="008F2ACC"/>
    <w:rsid w:val="008F62B6"/>
    <w:rsid w:val="009031EB"/>
    <w:rsid w:val="00905FBB"/>
    <w:rsid w:val="00907858"/>
    <w:rsid w:val="00907B1B"/>
    <w:rsid w:val="00910DE0"/>
    <w:rsid w:val="00914271"/>
    <w:rsid w:val="0091496E"/>
    <w:rsid w:val="00920F50"/>
    <w:rsid w:val="00923F5D"/>
    <w:rsid w:val="00926C81"/>
    <w:rsid w:val="00927722"/>
    <w:rsid w:val="0093067B"/>
    <w:rsid w:val="00930DE7"/>
    <w:rsid w:val="009323F1"/>
    <w:rsid w:val="00933FD7"/>
    <w:rsid w:val="00936B09"/>
    <w:rsid w:val="00937CEB"/>
    <w:rsid w:val="00941CE1"/>
    <w:rsid w:val="0094349E"/>
    <w:rsid w:val="009441AE"/>
    <w:rsid w:val="009470AC"/>
    <w:rsid w:val="00951B63"/>
    <w:rsid w:val="00953CD9"/>
    <w:rsid w:val="00954872"/>
    <w:rsid w:val="00954C15"/>
    <w:rsid w:val="00954CF1"/>
    <w:rsid w:val="009613C9"/>
    <w:rsid w:val="0096211B"/>
    <w:rsid w:val="00962201"/>
    <w:rsid w:val="00966563"/>
    <w:rsid w:val="00967E71"/>
    <w:rsid w:val="009736D7"/>
    <w:rsid w:val="00975091"/>
    <w:rsid w:val="009777E1"/>
    <w:rsid w:val="00977F6D"/>
    <w:rsid w:val="00981A95"/>
    <w:rsid w:val="00981D02"/>
    <w:rsid w:val="00982379"/>
    <w:rsid w:val="00983E39"/>
    <w:rsid w:val="00983F0F"/>
    <w:rsid w:val="0099025D"/>
    <w:rsid w:val="00990505"/>
    <w:rsid w:val="00991BBA"/>
    <w:rsid w:val="00992B8D"/>
    <w:rsid w:val="00996E91"/>
    <w:rsid w:val="009A043C"/>
    <w:rsid w:val="009A4537"/>
    <w:rsid w:val="009B088E"/>
    <w:rsid w:val="009B472D"/>
    <w:rsid w:val="009B4926"/>
    <w:rsid w:val="009B5924"/>
    <w:rsid w:val="009B66C4"/>
    <w:rsid w:val="009B7C4C"/>
    <w:rsid w:val="009C0F77"/>
    <w:rsid w:val="009C30D4"/>
    <w:rsid w:val="009C4880"/>
    <w:rsid w:val="009C57FB"/>
    <w:rsid w:val="009D118F"/>
    <w:rsid w:val="009D2D96"/>
    <w:rsid w:val="009D35CB"/>
    <w:rsid w:val="009D3B78"/>
    <w:rsid w:val="009D3D66"/>
    <w:rsid w:val="009D5797"/>
    <w:rsid w:val="009D75E1"/>
    <w:rsid w:val="009E474D"/>
    <w:rsid w:val="009E6074"/>
    <w:rsid w:val="009E6E89"/>
    <w:rsid w:val="009F306A"/>
    <w:rsid w:val="009F4361"/>
    <w:rsid w:val="009F5599"/>
    <w:rsid w:val="00A0321D"/>
    <w:rsid w:val="00A0399A"/>
    <w:rsid w:val="00A07B5E"/>
    <w:rsid w:val="00A15761"/>
    <w:rsid w:val="00A21995"/>
    <w:rsid w:val="00A2204D"/>
    <w:rsid w:val="00A30010"/>
    <w:rsid w:val="00A31A09"/>
    <w:rsid w:val="00A34C76"/>
    <w:rsid w:val="00A35BB5"/>
    <w:rsid w:val="00A44819"/>
    <w:rsid w:val="00A460A0"/>
    <w:rsid w:val="00A508A7"/>
    <w:rsid w:val="00A52B89"/>
    <w:rsid w:val="00A52E22"/>
    <w:rsid w:val="00A53CDF"/>
    <w:rsid w:val="00A5758D"/>
    <w:rsid w:val="00A60EB9"/>
    <w:rsid w:val="00A63C99"/>
    <w:rsid w:val="00A649A5"/>
    <w:rsid w:val="00A64DF3"/>
    <w:rsid w:val="00A65656"/>
    <w:rsid w:val="00A67518"/>
    <w:rsid w:val="00A7030F"/>
    <w:rsid w:val="00A70D18"/>
    <w:rsid w:val="00A73C6C"/>
    <w:rsid w:val="00A8560C"/>
    <w:rsid w:val="00A859B1"/>
    <w:rsid w:val="00A86874"/>
    <w:rsid w:val="00A86F5F"/>
    <w:rsid w:val="00A87030"/>
    <w:rsid w:val="00A87D0F"/>
    <w:rsid w:val="00A91FDF"/>
    <w:rsid w:val="00A94F33"/>
    <w:rsid w:val="00A95567"/>
    <w:rsid w:val="00A957B7"/>
    <w:rsid w:val="00AA1AA4"/>
    <w:rsid w:val="00AA228F"/>
    <w:rsid w:val="00AA55A5"/>
    <w:rsid w:val="00AB01A1"/>
    <w:rsid w:val="00AB71E0"/>
    <w:rsid w:val="00AB783D"/>
    <w:rsid w:val="00AC07CF"/>
    <w:rsid w:val="00AC3D4D"/>
    <w:rsid w:val="00AC493E"/>
    <w:rsid w:val="00AC4E95"/>
    <w:rsid w:val="00AC628D"/>
    <w:rsid w:val="00AC7A65"/>
    <w:rsid w:val="00AD3ABE"/>
    <w:rsid w:val="00AD42E3"/>
    <w:rsid w:val="00AD4CF8"/>
    <w:rsid w:val="00AD585C"/>
    <w:rsid w:val="00AE1C1F"/>
    <w:rsid w:val="00AE3F8B"/>
    <w:rsid w:val="00AE749D"/>
    <w:rsid w:val="00AE7A86"/>
    <w:rsid w:val="00AF0AA6"/>
    <w:rsid w:val="00AF1049"/>
    <w:rsid w:val="00AF41A6"/>
    <w:rsid w:val="00AF60A8"/>
    <w:rsid w:val="00AF78D3"/>
    <w:rsid w:val="00AF7DA5"/>
    <w:rsid w:val="00B01181"/>
    <w:rsid w:val="00B02C76"/>
    <w:rsid w:val="00B06304"/>
    <w:rsid w:val="00B105BC"/>
    <w:rsid w:val="00B144E5"/>
    <w:rsid w:val="00B1596A"/>
    <w:rsid w:val="00B166B9"/>
    <w:rsid w:val="00B20C7D"/>
    <w:rsid w:val="00B24F59"/>
    <w:rsid w:val="00B251A2"/>
    <w:rsid w:val="00B261E0"/>
    <w:rsid w:val="00B305BE"/>
    <w:rsid w:val="00B32095"/>
    <w:rsid w:val="00B33B52"/>
    <w:rsid w:val="00B36063"/>
    <w:rsid w:val="00B404A4"/>
    <w:rsid w:val="00B438A8"/>
    <w:rsid w:val="00B43EF7"/>
    <w:rsid w:val="00B45123"/>
    <w:rsid w:val="00B453BB"/>
    <w:rsid w:val="00B502A3"/>
    <w:rsid w:val="00B504DF"/>
    <w:rsid w:val="00B51ACB"/>
    <w:rsid w:val="00B5320C"/>
    <w:rsid w:val="00B6183A"/>
    <w:rsid w:val="00B6274D"/>
    <w:rsid w:val="00B637D3"/>
    <w:rsid w:val="00B65A3B"/>
    <w:rsid w:val="00B67389"/>
    <w:rsid w:val="00B7202B"/>
    <w:rsid w:val="00B76D3C"/>
    <w:rsid w:val="00B807F6"/>
    <w:rsid w:val="00B81036"/>
    <w:rsid w:val="00B826D7"/>
    <w:rsid w:val="00B86FEF"/>
    <w:rsid w:val="00B91535"/>
    <w:rsid w:val="00B91C4E"/>
    <w:rsid w:val="00B932B4"/>
    <w:rsid w:val="00B945AD"/>
    <w:rsid w:val="00B94F2A"/>
    <w:rsid w:val="00B952BF"/>
    <w:rsid w:val="00B96AE0"/>
    <w:rsid w:val="00B96E8F"/>
    <w:rsid w:val="00BA30AC"/>
    <w:rsid w:val="00BA3DEF"/>
    <w:rsid w:val="00BA5068"/>
    <w:rsid w:val="00BA5C16"/>
    <w:rsid w:val="00BA67FA"/>
    <w:rsid w:val="00BB4155"/>
    <w:rsid w:val="00BB79D6"/>
    <w:rsid w:val="00BC03A4"/>
    <w:rsid w:val="00BC39EF"/>
    <w:rsid w:val="00BC673E"/>
    <w:rsid w:val="00BD136D"/>
    <w:rsid w:val="00BD3003"/>
    <w:rsid w:val="00BD3D8F"/>
    <w:rsid w:val="00BD4917"/>
    <w:rsid w:val="00BD5090"/>
    <w:rsid w:val="00BD662B"/>
    <w:rsid w:val="00BE2EE4"/>
    <w:rsid w:val="00BE4B6C"/>
    <w:rsid w:val="00BF093E"/>
    <w:rsid w:val="00BF48A7"/>
    <w:rsid w:val="00C002D1"/>
    <w:rsid w:val="00C03CE8"/>
    <w:rsid w:val="00C04501"/>
    <w:rsid w:val="00C057BF"/>
    <w:rsid w:val="00C10D25"/>
    <w:rsid w:val="00C110B5"/>
    <w:rsid w:val="00C15067"/>
    <w:rsid w:val="00C17FB9"/>
    <w:rsid w:val="00C23CAC"/>
    <w:rsid w:val="00C2682A"/>
    <w:rsid w:val="00C30B70"/>
    <w:rsid w:val="00C44058"/>
    <w:rsid w:val="00C50CC7"/>
    <w:rsid w:val="00C524A7"/>
    <w:rsid w:val="00C53A13"/>
    <w:rsid w:val="00C57FAA"/>
    <w:rsid w:val="00C70809"/>
    <w:rsid w:val="00C81D94"/>
    <w:rsid w:val="00C904CD"/>
    <w:rsid w:val="00C918C0"/>
    <w:rsid w:val="00C9387E"/>
    <w:rsid w:val="00CA2EB1"/>
    <w:rsid w:val="00CB603A"/>
    <w:rsid w:val="00CC1088"/>
    <w:rsid w:val="00CC3B2F"/>
    <w:rsid w:val="00CD1855"/>
    <w:rsid w:val="00CD1975"/>
    <w:rsid w:val="00CD7C68"/>
    <w:rsid w:val="00CE0691"/>
    <w:rsid w:val="00CE2FEA"/>
    <w:rsid w:val="00CE38A3"/>
    <w:rsid w:val="00CE62EF"/>
    <w:rsid w:val="00CE6EC0"/>
    <w:rsid w:val="00CF402E"/>
    <w:rsid w:val="00CF6B3C"/>
    <w:rsid w:val="00D044E5"/>
    <w:rsid w:val="00D06D0F"/>
    <w:rsid w:val="00D1007B"/>
    <w:rsid w:val="00D1204A"/>
    <w:rsid w:val="00D14B14"/>
    <w:rsid w:val="00D1508C"/>
    <w:rsid w:val="00D15290"/>
    <w:rsid w:val="00D158BC"/>
    <w:rsid w:val="00D201BF"/>
    <w:rsid w:val="00D2050B"/>
    <w:rsid w:val="00D20DA1"/>
    <w:rsid w:val="00D25FC7"/>
    <w:rsid w:val="00D262FE"/>
    <w:rsid w:val="00D26F59"/>
    <w:rsid w:val="00D27C35"/>
    <w:rsid w:val="00D30E16"/>
    <w:rsid w:val="00D34DF6"/>
    <w:rsid w:val="00D35237"/>
    <w:rsid w:val="00D35569"/>
    <w:rsid w:val="00D35A05"/>
    <w:rsid w:val="00D44A4E"/>
    <w:rsid w:val="00D4582D"/>
    <w:rsid w:val="00D515F6"/>
    <w:rsid w:val="00D51971"/>
    <w:rsid w:val="00D530C4"/>
    <w:rsid w:val="00D541B8"/>
    <w:rsid w:val="00D579E6"/>
    <w:rsid w:val="00D57DEE"/>
    <w:rsid w:val="00D604B3"/>
    <w:rsid w:val="00D622B5"/>
    <w:rsid w:val="00D6471D"/>
    <w:rsid w:val="00D66AB0"/>
    <w:rsid w:val="00D67184"/>
    <w:rsid w:val="00D70CE4"/>
    <w:rsid w:val="00D712DB"/>
    <w:rsid w:val="00D72D0B"/>
    <w:rsid w:val="00D7419F"/>
    <w:rsid w:val="00D81CE2"/>
    <w:rsid w:val="00D85366"/>
    <w:rsid w:val="00D85EDB"/>
    <w:rsid w:val="00D9073E"/>
    <w:rsid w:val="00D910B7"/>
    <w:rsid w:val="00D9263F"/>
    <w:rsid w:val="00D93BC3"/>
    <w:rsid w:val="00D96538"/>
    <w:rsid w:val="00DA04E4"/>
    <w:rsid w:val="00DA06FE"/>
    <w:rsid w:val="00DA1392"/>
    <w:rsid w:val="00DA3F8A"/>
    <w:rsid w:val="00DA4165"/>
    <w:rsid w:val="00DA44EB"/>
    <w:rsid w:val="00DA57F1"/>
    <w:rsid w:val="00DC14EC"/>
    <w:rsid w:val="00DC1888"/>
    <w:rsid w:val="00DC2F0A"/>
    <w:rsid w:val="00DC3E28"/>
    <w:rsid w:val="00DD2BFC"/>
    <w:rsid w:val="00DD34C2"/>
    <w:rsid w:val="00DD43B9"/>
    <w:rsid w:val="00DE149E"/>
    <w:rsid w:val="00DE2C4A"/>
    <w:rsid w:val="00DE5011"/>
    <w:rsid w:val="00DE5A7B"/>
    <w:rsid w:val="00DF0D64"/>
    <w:rsid w:val="00DF4089"/>
    <w:rsid w:val="00DF4904"/>
    <w:rsid w:val="00DF5D64"/>
    <w:rsid w:val="00DF7E98"/>
    <w:rsid w:val="00E00F4C"/>
    <w:rsid w:val="00E07FCB"/>
    <w:rsid w:val="00E116B4"/>
    <w:rsid w:val="00E11B9A"/>
    <w:rsid w:val="00E11CD2"/>
    <w:rsid w:val="00E12488"/>
    <w:rsid w:val="00E131B4"/>
    <w:rsid w:val="00E14F94"/>
    <w:rsid w:val="00E16B8F"/>
    <w:rsid w:val="00E2235A"/>
    <w:rsid w:val="00E23241"/>
    <w:rsid w:val="00E250FD"/>
    <w:rsid w:val="00E2663F"/>
    <w:rsid w:val="00E2775F"/>
    <w:rsid w:val="00E30692"/>
    <w:rsid w:val="00E31BC5"/>
    <w:rsid w:val="00E33621"/>
    <w:rsid w:val="00E36AAB"/>
    <w:rsid w:val="00E439FB"/>
    <w:rsid w:val="00E43DEA"/>
    <w:rsid w:val="00E460FE"/>
    <w:rsid w:val="00E56DCB"/>
    <w:rsid w:val="00E62158"/>
    <w:rsid w:val="00E62D9D"/>
    <w:rsid w:val="00E638AB"/>
    <w:rsid w:val="00E640CE"/>
    <w:rsid w:val="00E6531F"/>
    <w:rsid w:val="00E65CF7"/>
    <w:rsid w:val="00E66DAA"/>
    <w:rsid w:val="00E74BD5"/>
    <w:rsid w:val="00E76265"/>
    <w:rsid w:val="00E805A1"/>
    <w:rsid w:val="00E815C8"/>
    <w:rsid w:val="00E82D62"/>
    <w:rsid w:val="00E8320F"/>
    <w:rsid w:val="00E844EA"/>
    <w:rsid w:val="00E9747D"/>
    <w:rsid w:val="00E9782A"/>
    <w:rsid w:val="00E978D4"/>
    <w:rsid w:val="00E97B6E"/>
    <w:rsid w:val="00EA096A"/>
    <w:rsid w:val="00EA34EF"/>
    <w:rsid w:val="00EA43B7"/>
    <w:rsid w:val="00EA6283"/>
    <w:rsid w:val="00EB247F"/>
    <w:rsid w:val="00EB46C1"/>
    <w:rsid w:val="00EB5847"/>
    <w:rsid w:val="00EC0B0C"/>
    <w:rsid w:val="00EC28AE"/>
    <w:rsid w:val="00EC57B8"/>
    <w:rsid w:val="00ED3CE6"/>
    <w:rsid w:val="00ED5284"/>
    <w:rsid w:val="00ED7489"/>
    <w:rsid w:val="00EE0272"/>
    <w:rsid w:val="00EE1111"/>
    <w:rsid w:val="00EE274A"/>
    <w:rsid w:val="00EF21F4"/>
    <w:rsid w:val="00EF2247"/>
    <w:rsid w:val="00EF4FA2"/>
    <w:rsid w:val="00F05491"/>
    <w:rsid w:val="00F0595F"/>
    <w:rsid w:val="00F0598F"/>
    <w:rsid w:val="00F06C38"/>
    <w:rsid w:val="00F06EF6"/>
    <w:rsid w:val="00F06F88"/>
    <w:rsid w:val="00F132CC"/>
    <w:rsid w:val="00F15AEE"/>
    <w:rsid w:val="00F16CA3"/>
    <w:rsid w:val="00F17628"/>
    <w:rsid w:val="00F26176"/>
    <w:rsid w:val="00F30F25"/>
    <w:rsid w:val="00F346F2"/>
    <w:rsid w:val="00F3796E"/>
    <w:rsid w:val="00F40275"/>
    <w:rsid w:val="00F4393C"/>
    <w:rsid w:val="00F43A7E"/>
    <w:rsid w:val="00F46737"/>
    <w:rsid w:val="00F46B0A"/>
    <w:rsid w:val="00F52595"/>
    <w:rsid w:val="00F53092"/>
    <w:rsid w:val="00F530FC"/>
    <w:rsid w:val="00F61DCA"/>
    <w:rsid w:val="00F6202B"/>
    <w:rsid w:val="00F66D25"/>
    <w:rsid w:val="00F70807"/>
    <w:rsid w:val="00F73235"/>
    <w:rsid w:val="00F74517"/>
    <w:rsid w:val="00F75A79"/>
    <w:rsid w:val="00F75FBB"/>
    <w:rsid w:val="00F8211C"/>
    <w:rsid w:val="00F84DB6"/>
    <w:rsid w:val="00F85FFB"/>
    <w:rsid w:val="00F8742B"/>
    <w:rsid w:val="00F905E0"/>
    <w:rsid w:val="00F90D56"/>
    <w:rsid w:val="00FA2194"/>
    <w:rsid w:val="00FA40FD"/>
    <w:rsid w:val="00FA4322"/>
    <w:rsid w:val="00FA5114"/>
    <w:rsid w:val="00FA5641"/>
    <w:rsid w:val="00FA60FD"/>
    <w:rsid w:val="00FA6897"/>
    <w:rsid w:val="00FA7C26"/>
    <w:rsid w:val="00FB2C53"/>
    <w:rsid w:val="00FB2DC0"/>
    <w:rsid w:val="00FB3AB3"/>
    <w:rsid w:val="00FB649C"/>
    <w:rsid w:val="00FC103E"/>
    <w:rsid w:val="00FC11EB"/>
    <w:rsid w:val="00FC2C8B"/>
    <w:rsid w:val="00FC38D5"/>
    <w:rsid w:val="00FC4975"/>
    <w:rsid w:val="00FC6479"/>
    <w:rsid w:val="00FD2203"/>
    <w:rsid w:val="00FD2788"/>
    <w:rsid w:val="00FD6365"/>
    <w:rsid w:val="00FD77AF"/>
    <w:rsid w:val="00FE03C6"/>
    <w:rsid w:val="00FE4B74"/>
    <w:rsid w:val="00FE53D4"/>
    <w:rsid w:val="00FE5AA1"/>
    <w:rsid w:val="00FE709F"/>
    <w:rsid w:val="00FF038A"/>
    <w:rsid w:val="00FF47F5"/>
    <w:rsid w:val="00FF5986"/>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CC90185-9EF4-44B9-9E78-942A5E6E4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B247F"/>
    <w:pPr>
      <w:keepNext/>
      <w:keepLines/>
      <w:numPr>
        <w:numId w:val="5"/>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5"/>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B247F"/>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customStyle="1" w:styleId="UnresolvedMention1">
    <w:name w:val="Unresolved Mention1"/>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612E41"/>
  </w:style>
  <w:style w:type="paragraph" w:styleId="List">
    <w:name w:val="List"/>
    <w:basedOn w:val="Normal"/>
    <w:uiPriority w:val="99"/>
    <w:unhideWhenUsed/>
    <w:rsid w:val="00D81CE2"/>
    <w:pPr>
      <w:ind w:left="360" w:hanging="360"/>
      <w:contextualSpacing/>
    </w:pPr>
  </w:style>
  <w:style w:type="paragraph" w:styleId="ListBullet">
    <w:name w:val="List Bullet"/>
    <w:basedOn w:val="Normal"/>
    <w:uiPriority w:val="99"/>
    <w:unhideWhenUsed/>
    <w:rsid w:val="00D81CE2"/>
    <w:pPr>
      <w:numPr>
        <w:numId w:val="34"/>
      </w:numPr>
      <w:contextualSpacing/>
    </w:pPr>
  </w:style>
  <w:style w:type="paragraph" w:styleId="ListBullet2">
    <w:name w:val="List Bullet 2"/>
    <w:basedOn w:val="Normal"/>
    <w:uiPriority w:val="99"/>
    <w:unhideWhenUsed/>
    <w:rsid w:val="00D81CE2"/>
    <w:pPr>
      <w:numPr>
        <w:numId w:val="35"/>
      </w:numPr>
      <w:contextualSpacing/>
    </w:pPr>
  </w:style>
  <w:style w:type="paragraph" w:styleId="ListContinue">
    <w:name w:val="List Continue"/>
    <w:basedOn w:val="Normal"/>
    <w:uiPriority w:val="99"/>
    <w:unhideWhenUsed/>
    <w:rsid w:val="00D81CE2"/>
    <w:pPr>
      <w:ind w:left="360"/>
      <w:contextualSpacing/>
    </w:pPr>
  </w:style>
  <w:style w:type="paragraph" w:styleId="BodyTextIndent">
    <w:name w:val="Body Text Indent"/>
    <w:basedOn w:val="Normal"/>
    <w:link w:val="BodyTextIndentChar"/>
    <w:uiPriority w:val="99"/>
    <w:unhideWhenUsed/>
    <w:rsid w:val="00D81CE2"/>
    <w:pPr>
      <w:ind w:left="360"/>
    </w:pPr>
  </w:style>
  <w:style w:type="character" w:customStyle="1" w:styleId="BodyTextIndentChar">
    <w:name w:val="Body Text Indent Char"/>
    <w:basedOn w:val="DefaultParagraphFont"/>
    <w:link w:val="BodyTextIndent"/>
    <w:uiPriority w:val="99"/>
    <w:rsid w:val="00D81CE2"/>
    <w:rPr>
      <w:rFonts w:ascii="Times New Roman" w:hAnsi="Times New Roman"/>
    </w:rPr>
  </w:style>
  <w:style w:type="paragraph" w:styleId="BodyTextFirstIndent2">
    <w:name w:val="Body Text First Indent 2"/>
    <w:basedOn w:val="BodyTextIndent"/>
    <w:link w:val="BodyTextFirstIndent2Char"/>
    <w:uiPriority w:val="99"/>
    <w:unhideWhenUsed/>
    <w:rsid w:val="00D81CE2"/>
    <w:pPr>
      <w:ind w:firstLine="360"/>
    </w:pPr>
  </w:style>
  <w:style w:type="character" w:customStyle="1" w:styleId="BodyTextFirstIndent2Char">
    <w:name w:val="Body Text First Indent 2 Char"/>
    <w:basedOn w:val="BodyTextIndentChar"/>
    <w:link w:val="BodyTextFirstIndent2"/>
    <w:uiPriority w:val="99"/>
    <w:rsid w:val="00D81CE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drawdown.org"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chart" Target="charts/chart6.xml"/><Relationship Id="rId7" Type="http://schemas.openxmlformats.org/officeDocument/2006/relationships/footnotes" Target="footnotes.xml"/><Relationship Id="rId12" Type="http://schemas.openxmlformats.org/officeDocument/2006/relationships/image" Target="media/image10.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image" Target="media/image11.png"/><Relationship Id="rId32" Type="http://schemas.openxmlformats.org/officeDocument/2006/relationships/chart" Target="charts/chart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drawdown.org" TargetMode="External"/><Relationship Id="rId36" Type="http://schemas.openxmlformats.org/officeDocument/2006/relationships/fontTable" Target="fontTable.xml"/><Relationship Id="rId10" Type="http://schemas.openxmlformats.org/officeDocument/2006/relationships/hyperlink" Target="mailto:info@drawdown.org" TargetMode="External"/><Relationship Id="rId19" Type="http://schemas.openxmlformats.org/officeDocument/2006/relationships/image" Target="media/image6.pn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www.iea.org/policies?topic=Methane" TargetMode="External"/><Relationship Id="rId1" Type="http://schemas.openxmlformats.org/officeDocument/2006/relationships/hyperlink" Target="https://news.engin.umich.edu/2016/08/methane-leaks-a-new-way-to-find-and-fix-in-real-ti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B\Documents\Work\Drawdown\Drawdown_RRS_Model_methane%20leaks%20v11%20updated%20adoption%20scenarios%20-%20minz.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B\Documents\Work\Drawdown\Drawdown_RRS_Model_methane%20leaks%20v11%20updated%20adoption%20scenarios%20-%20minz.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B\Documents\Work\Drawdown\Drawdown_RRS_Model_methane%20leaks%20v11%20updated%20adoption%20scenarios%20-%20minz.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B\Documents\Work\Drawdown\Drawdown_RRS_Model_methane%20leaks%20v11%20updated%20adoption%20scenarios%20-%20minz.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B\Documents\Work\Drawdown\Drawdown_RRS_Model_methane%20leaks%20v11%20updated%20adoption%20scenarios%20-%20minz.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B\Documents\Work\Drawdown\Drawdown_RRS_Model_methane%20leaks%20v11%20updated%20adoption%20scenarios%20-%20minz.xlsm"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PDS1</a:t>
            </a:r>
            <a:r>
              <a:rPr lang="en-US" sz="1200" baseline="0"/>
              <a:t> x TAM1</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 Figures'!$C$7</c:f>
              <c:strCache>
                <c:ptCount val="1"/>
                <c:pt idx="0">
                  <c:v>PDS1</c:v>
                </c:pt>
              </c:strCache>
            </c:strRef>
          </c:tx>
          <c:spPr>
            <a:ln w="19050" cap="rnd">
              <a:solidFill>
                <a:schemeClr val="accent1">
                  <a:lumMod val="75000"/>
                </a:scheme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Figures'!$C$8:$C$38</c:f>
              <c:numCache>
                <c:formatCode>General</c:formatCode>
                <c:ptCount val="31"/>
                <c:pt idx="0">
                  <c:v>9.9999999999999995E-7</c:v>
                </c:pt>
                <c:pt idx="1">
                  <c:v>2.4992442484068764</c:v>
                </c:pt>
                <c:pt idx="2">
                  <c:v>4.9984884968137528</c:v>
                </c:pt>
                <c:pt idx="3">
                  <c:v>7.4977327452206275</c:v>
                </c:pt>
                <c:pt idx="4">
                  <c:v>9.9969769936275057</c:v>
                </c:pt>
                <c:pt idx="5">
                  <c:v>12.49622124203438</c:v>
                </c:pt>
                <c:pt idx="6">
                  <c:v>14.995465490441255</c:v>
                </c:pt>
                <c:pt idx="7">
                  <c:v>17.49470973884813</c:v>
                </c:pt>
                <c:pt idx="8">
                  <c:v>19.993953987255011</c:v>
                </c:pt>
                <c:pt idx="9">
                  <c:v>22.493198235661886</c:v>
                </c:pt>
                <c:pt idx="10">
                  <c:v>24.992442484068761</c:v>
                </c:pt>
                <c:pt idx="11">
                  <c:v>27.491686732475639</c:v>
                </c:pt>
                <c:pt idx="12">
                  <c:v>29.99093098088251</c:v>
                </c:pt>
                <c:pt idx="13">
                  <c:v>32.490175229289392</c:v>
                </c:pt>
                <c:pt idx="14">
                  <c:v>34.989419477696259</c:v>
                </c:pt>
                <c:pt idx="15">
                  <c:v>37.488663726103141</c:v>
                </c:pt>
                <c:pt idx="16">
                  <c:v>39.987907974510023</c:v>
                </c:pt>
                <c:pt idx="17">
                  <c:v>42.48715222291689</c:v>
                </c:pt>
                <c:pt idx="18">
                  <c:v>44.986396471323772</c:v>
                </c:pt>
                <c:pt idx="19">
                  <c:v>45.825629175136278</c:v>
                </c:pt>
                <c:pt idx="20">
                  <c:v>44.277369590268933</c:v>
                </c:pt>
                <c:pt idx="21">
                  <c:v>41.86784105717625</c:v>
                </c:pt>
                <c:pt idx="22">
                  <c:v>39.501930642614724</c:v>
                </c:pt>
                <c:pt idx="23">
                  <c:v>38.884605324649918</c:v>
                </c:pt>
                <c:pt idx="24">
                  <c:v>34.206367653491441</c:v>
                </c:pt>
                <c:pt idx="25">
                  <c:v>29.611590360336489</c:v>
                </c:pt>
                <c:pt idx="26">
                  <c:v>24.024398573976164</c:v>
                </c:pt>
                <c:pt idx="27">
                  <c:v>18.509650449724244</c:v>
                </c:pt>
                <c:pt idx="28">
                  <c:v>12.735442109400243</c:v>
                </c:pt>
                <c:pt idx="29">
                  <c:v>6.6771716764158038</c:v>
                </c:pt>
                <c:pt idx="30">
                  <c:v>0.52286846566689549</c:v>
                </c:pt>
              </c:numCache>
            </c:numRef>
          </c:val>
          <c:smooth val="0"/>
          <c:extLst>
            <c:ext xmlns:c16="http://schemas.microsoft.com/office/drawing/2014/chart" uri="{C3380CC4-5D6E-409C-BE32-E72D297353CC}">
              <c16:uniqueId val="{00000000-32D4-4B54-B838-9226A516CAFF}"/>
            </c:ext>
          </c:extLst>
        </c:ser>
        <c:ser>
          <c:idx val="1"/>
          <c:order val="1"/>
          <c:tx>
            <c:strRef>
              <c:f>'Results + Figures'!$D$7</c:f>
              <c:strCache>
                <c:ptCount val="1"/>
                <c:pt idx="0">
                  <c:v>TAM1</c:v>
                </c:pt>
              </c:strCache>
            </c:strRef>
          </c:tx>
          <c:spPr>
            <a:ln w="19050" cap="rnd">
              <a:solidFill>
                <a:schemeClr val="tx1">
                  <a:alpha val="75000"/>
                </a:schemeClr>
              </a:solidFill>
              <a:prstDash val="sysDash"/>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Figures'!$D$8:$D$38</c:f>
              <c:numCache>
                <c:formatCode>General</c:formatCode>
                <c:ptCount val="31"/>
                <c:pt idx="0">
                  <c:v>36.535800000000002</c:v>
                </c:pt>
                <c:pt idx="1">
                  <c:v>38.513991284654878</c:v>
                </c:pt>
                <c:pt idx="2">
                  <c:v>40.481996039016032</c:v>
                </c:pt>
                <c:pt idx="3">
                  <c:v>42.299538788867572</c:v>
                </c:pt>
                <c:pt idx="4">
                  <c:v>43.96201365515693</c:v>
                </c:pt>
                <c:pt idx="5">
                  <c:v>45.229951081961978</c:v>
                </c:pt>
                <c:pt idx="6">
                  <c:v>46.793608670501634</c:v>
                </c:pt>
                <c:pt idx="7">
                  <c:v>47.950206827417674</c:v>
                </c:pt>
                <c:pt idx="8">
                  <c:v>48.925641581403497</c:v>
                </c:pt>
                <c:pt idx="9">
                  <c:v>49.713660209137302</c:v>
                </c:pt>
                <c:pt idx="10">
                  <c:v>49.984884968137521</c:v>
                </c:pt>
                <c:pt idx="11">
                  <c:v>50.713278675405213</c:v>
                </c:pt>
                <c:pt idx="12">
                  <c:v>50.912452055899124</c:v>
                </c:pt>
                <c:pt idx="13">
                  <c:v>50.902652931841168</c:v>
                </c:pt>
                <c:pt idx="14">
                  <c:v>50.687888267983517</c:v>
                </c:pt>
                <c:pt idx="15">
                  <c:v>50.213862118671976</c:v>
                </c:pt>
                <c:pt idx="16">
                  <c:v>49.607453125247609</c:v>
                </c:pt>
                <c:pt idx="17">
                  <c:v>48.721092018895277</c:v>
                </c:pt>
                <c:pt idx="18">
                  <c:v>47.427604970830529</c:v>
                </c:pt>
                <c:pt idx="19">
                  <c:v>45.825629175136278</c:v>
                </c:pt>
                <c:pt idx="20">
                  <c:v>44.277369590268933</c:v>
                </c:pt>
                <c:pt idx="21">
                  <c:v>41.86784105717625</c:v>
                </c:pt>
                <c:pt idx="22">
                  <c:v>39.501930642614724</c:v>
                </c:pt>
                <c:pt idx="23">
                  <c:v>38.884605324649918</c:v>
                </c:pt>
                <c:pt idx="24">
                  <c:v>34.206367653491441</c:v>
                </c:pt>
                <c:pt idx="25">
                  <c:v>29.611590360336489</c:v>
                </c:pt>
                <c:pt idx="26">
                  <c:v>24.024398573976164</c:v>
                </c:pt>
                <c:pt idx="27">
                  <c:v>18.509650449724244</c:v>
                </c:pt>
                <c:pt idx="28">
                  <c:v>12.735442109400243</c:v>
                </c:pt>
                <c:pt idx="29">
                  <c:v>6.6771716764158038</c:v>
                </c:pt>
                <c:pt idx="30">
                  <c:v>0.52286846566689549</c:v>
                </c:pt>
              </c:numCache>
            </c:numRef>
          </c:val>
          <c:smooth val="0"/>
          <c:extLst>
            <c:ext xmlns:c16="http://schemas.microsoft.com/office/drawing/2014/chart" uri="{C3380CC4-5D6E-409C-BE32-E72D297353CC}">
              <c16:uniqueId val="{00000001-32D4-4B54-B838-9226A516CAFF}"/>
            </c:ext>
          </c:extLst>
        </c:ser>
        <c:dLbls>
          <c:showLegendKey val="0"/>
          <c:showVal val="0"/>
          <c:showCatName val="0"/>
          <c:showSerName val="0"/>
          <c:showPercent val="0"/>
          <c:showBubbleSize val="0"/>
        </c:dLbls>
        <c:smooth val="0"/>
        <c:axId val="523629880"/>
        <c:axId val="523627136"/>
      </c:lineChart>
      <c:catAx>
        <c:axId val="523629880"/>
        <c:scaling>
          <c:orientation val="minMax"/>
        </c:scaling>
        <c:delete val="0"/>
        <c:axPos val="b"/>
        <c:numFmt formatCode="General" sourceLinked="1"/>
        <c:majorTickMark val="in"/>
        <c:minorTickMark val="none"/>
        <c:tickLblPos val="nextTo"/>
        <c:spPr>
          <a:noFill/>
          <a:ln w="9525" cap="flat" cmpd="sng" algn="ctr">
            <a:solidFill>
              <a:schemeClr val="bg2">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27136"/>
        <c:crosses val="autoZero"/>
        <c:auto val="1"/>
        <c:lblAlgn val="ctr"/>
        <c:lblOffset val="100"/>
        <c:noMultiLvlLbl val="0"/>
      </c:catAx>
      <c:valAx>
        <c:axId val="5236271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Abatemet (Mt CH4)</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a:solidFill>
              <a:schemeClr val="bg2">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29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PDS2</a:t>
            </a:r>
            <a:r>
              <a:rPr lang="en-US" sz="1200" baseline="0"/>
              <a:t> x TAM2</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 Figures'!$E$7</c:f>
              <c:strCache>
                <c:ptCount val="1"/>
                <c:pt idx="0">
                  <c:v>PDS2</c:v>
                </c:pt>
              </c:strCache>
            </c:strRef>
          </c:tx>
          <c:spPr>
            <a:ln w="19050" cap="rnd">
              <a:solidFill>
                <a:schemeClr val="accent1">
                  <a:lumMod val="75000"/>
                </a:scheme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Figures'!$E$8:$E$38</c:f>
              <c:numCache>
                <c:formatCode>General</c:formatCode>
                <c:ptCount val="31"/>
                <c:pt idx="0">
                  <c:v>9.9999999999999995E-7</c:v>
                </c:pt>
                <c:pt idx="1">
                  <c:v>1.0300994766084146</c:v>
                </c:pt>
                <c:pt idx="2">
                  <c:v>2.0601989532168292</c:v>
                </c:pt>
                <c:pt idx="3">
                  <c:v>3.0902984298252441</c:v>
                </c:pt>
                <c:pt idx="4">
                  <c:v>4.1203979064336584</c:v>
                </c:pt>
                <c:pt idx="5">
                  <c:v>5.1504973830420733</c:v>
                </c:pt>
                <c:pt idx="6">
                  <c:v>6.1805968596504881</c:v>
                </c:pt>
                <c:pt idx="7">
                  <c:v>7.2106963362589021</c:v>
                </c:pt>
                <c:pt idx="8">
                  <c:v>8.2407958128673169</c:v>
                </c:pt>
                <c:pt idx="9">
                  <c:v>9.2708952894757317</c:v>
                </c:pt>
                <c:pt idx="10">
                  <c:v>10.300994766084147</c:v>
                </c:pt>
                <c:pt idx="11">
                  <c:v>10.85758524550736</c:v>
                </c:pt>
                <c:pt idx="12">
                  <c:v>11.561744554387552</c:v>
                </c:pt>
                <c:pt idx="13">
                  <c:v>9.6058074036996874</c:v>
                </c:pt>
                <c:pt idx="14">
                  <c:v>7.6027527113925686</c:v>
                </c:pt>
                <c:pt idx="15">
                  <c:v>5.5604962753569511</c:v>
                </c:pt>
                <c:pt idx="16">
                  <c:v>7.032214957399388</c:v>
                </c:pt>
                <c:pt idx="17">
                  <c:v>5.7102487550097552</c:v>
                </c:pt>
                <c:pt idx="18">
                  <c:v>4.2312264965005042</c:v>
                </c:pt>
                <c:pt idx="19">
                  <c:v>3.6212659303468677</c:v>
                </c:pt>
                <c:pt idx="20">
                  <c:v>3.2511110649678252</c:v>
                </c:pt>
                <c:pt idx="21">
                  <c:v>4.6827550553352975</c:v>
                </c:pt>
                <c:pt idx="22">
                  <c:v>4.6279469487402505</c:v>
                </c:pt>
                <c:pt idx="23">
                  <c:v>6.3174728333403145</c:v>
                </c:pt>
                <c:pt idx="24">
                  <c:v>11.084326612290026</c:v>
                </c:pt>
                <c:pt idx="25">
                  <c:v>9.9827026004177455</c:v>
                </c:pt>
                <c:pt idx="26">
                  <c:v>7.3223117570975553</c:v>
                </c:pt>
                <c:pt idx="27">
                  <c:v>7.6195303896609232</c:v>
                </c:pt>
                <c:pt idx="28">
                  <c:v>5.2623742550905934</c:v>
                </c:pt>
                <c:pt idx="29">
                  <c:v>2.4406544942393449</c:v>
                </c:pt>
                <c:pt idx="30">
                  <c:v>3.6535800000000003E-5</c:v>
                </c:pt>
              </c:numCache>
            </c:numRef>
          </c:val>
          <c:smooth val="0"/>
          <c:extLst>
            <c:ext xmlns:c16="http://schemas.microsoft.com/office/drawing/2014/chart" uri="{C3380CC4-5D6E-409C-BE32-E72D297353CC}">
              <c16:uniqueId val="{00000000-B9B3-4B54-B21E-C9D54722FE83}"/>
            </c:ext>
          </c:extLst>
        </c:ser>
        <c:ser>
          <c:idx val="1"/>
          <c:order val="1"/>
          <c:tx>
            <c:strRef>
              <c:f>'Results + Figures'!$F$7</c:f>
              <c:strCache>
                <c:ptCount val="1"/>
                <c:pt idx="0">
                  <c:v>TAM2</c:v>
                </c:pt>
              </c:strCache>
            </c:strRef>
          </c:tx>
          <c:spPr>
            <a:ln w="19050" cap="rnd">
              <a:solidFill>
                <a:schemeClr val="tx1">
                  <a:alpha val="75000"/>
                </a:schemeClr>
              </a:solidFill>
              <a:prstDash val="sysDash"/>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Figures'!$F$8:$F$38</c:f>
              <c:numCache>
                <c:formatCode>General</c:formatCode>
                <c:ptCount val="31"/>
                <c:pt idx="0">
                  <c:v>36.535800000000002</c:v>
                </c:pt>
                <c:pt idx="1">
                  <c:v>36.282424775678081</c:v>
                </c:pt>
                <c:pt idx="2">
                  <c:v>30.648935663502726</c:v>
                </c:pt>
                <c:pt idx="3">
                  <c:v>26.524176002780923</c:v>
                </c:pt>
                <c:pt idx="4">
                  <c:v>25.158508952371179</c:v>
                </c:pt>
                <c:pt idx="5">
                  <c:v>23.633811966817312</c:v>
                </c:pt>
                <c:pt idx="6">
                  <c:v>21.358746172813312</c:v>
                </c:pt>
                <c:pt idx="7">
                  <c:v>20.238384278319685</c:v>
                </c:pt>
                <c:pt idx="8">
                  <c:v>18.334831843753314</c:v>
                </c:pt>
                <c:pt idx="9">
                  <c:v>16.304168019013421</c:v>
                </c:pt>
                <c:pt idx="10">
                  <c:v>13.734659688112195</c:v>
                </c:pt>
                <c:pt idx="11">
                  <c:v>10.85758524550736</c:v>
                </c:pt>
                <c:pt idx="12">
                  <c:v>11.561744554387552</c:v>
                </c:pt>
                <c:pt idx="13">
                  <c:v>9.6058074036996874</c:v>
                </c:pt>
                <c:pt idx="14">
                  <c:v>7.6027527113925686</c:v>
                </c:pt>
                <c:pt idx="15">
                  <c:v>5.5604962753569511</c:v>
                </c:pt>
                <c:pt idx="16">
                  <c:v>7.032214957399388</c:v>
                </c:pt>
                <c:pt idx="17">
                  <c:v>5.7102487550097552</c:v>
                </c:pt>
                <c:pt idx="18">
                  <c:v>4.2312264965005042</c:v>
                </c:pt>
                <c:pt idx="19">
                  <c:v>3.6212659303468677</c:v>
                </c:pt>
                <c:pt idx="20">
                  <c:v>3.2511110649678252</c:v>
                </c:pt>
                <c:pt idx="21">
                  <c:v>4.6827550553352975</c:v>
                </c:pt>
                <c:pt idx="22">
                  <c:v>4.6279469487402505</c:v>
                </c:pt>
                <c:pt idx="23">
                  <c:v>6.3174728333403145</c:v>
                </c:pt>
                <c:pt idx="24">
                  <c:v>11.084326612290026</c:v>
                </c:pt>
                <c:pt idx="25">
                  <c:v>9.9827026004177455</c:v>
                </c:pt>
                <c:pt idx="26">
                  <c:v>7.3223117570975553</c:v>
                </c:pt>
                <c:pt idx="27">
                  <c:v>7.6195303896609232</c:v>
                </c:pt>
                <c:pt idx="28">
                  <c:v>5.2623742550905934</c:v>
                </c:pt>
                <c:pt idx="29">
                  <c:v>2.4406544942393449</c:v>
                </c:pt>
                <c:pt idx="30">
                  <c:v>3.6535800000000003E-5</c:v>
                </c:pt>
              </c:numCache>
            </c:numRef>
          </c:val>
          <c:smooth val="0"/>
          <c:extLst>
            <c:ext xmlns:c16="http://schemas.microsoft.com/office/drawing/2014/chart" uri="{C3380CC4-5D6E-409C-BE32-E72D297353CC}">
              <c16:uniqueId val="{00000001-B9B3-4B54-B21E-C9D54722FE83}"/>
            </c:ext>
          </c:extLst>
        </c:ser>
        <c:dLbls>
          <c:showLegendKey val="0"/>
          <c:showVal val="0"/>
          <c:showCatName val="0"/>
          <c:showSerName val="0"/>
          <c:showPercent val="0"/>
          <c:showBubbleSize val="0"/>
        </c:dLbls>
        <c:smooth val="0"/>
        <c:axId val="523626744"/>
        <c:axId val="524875384"/>
      </c:lineChart>
      <c:catAx>
        <c:axId val="523626744"/>
        <c:scaling>
          <c:orientation val="minMax"/>
        </c:scaling>
        <c:delete val="0"/>
        <c:axPos val="b"/>
        <c:numFmt formatCode="General" sourceLinked="1"/>
        <c:majorTickMark val="in"/>
        <c:minorTickMark val="none"/>
        <c:tickLblPos val="nextTo"/>
        <c:spPr>
          <a:noFill/>
          <a:ln w="9525" cap="flat" cmpd="sng" algn="ctr">
            <a:solidFill>
              <a:schemeClr val="bg2">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875384"/>
        <c:crosses val="autoZero"/>
        <c:auto val="1"/>
        <c:lblAlgn val="ctr"/>
        <c:lblOffset val="100"/>
        <c:noMultiLvlLbl val="0"/>
      </c:catAx>
      <c:valAx>
        <c:axId val="5248753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Abatement (Mt CH4)</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a:solidFill>
              <a:schemeClr val="bg2">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2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PDS3</a:t>
            </a:r>
            <a:r>
              <a:rPr lang="en-US" sz="1200" baseline="0"/>
              <a:t> x TAM3</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 Figures'!$G$7</c:f>
              <c:strCache>
                <c:ptCount val="1"/>
                <c:pt idx="0">
                  <c:v>PDS3</c:v>
                </c:pt>
              </c:strCache>
            </c:strRef>
          </c:tx>
          <c:spPr>
            <a:ln w="19050" cap="rnd">
              <a:solidFill>
                <a:schemeClr val="accent1">
                  <a:lumMod val="75000"/>
                </a:scheme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Figures'!$G$8:$G$38</c:f>
              <c:numCache>
                <c:formatCode>General</c:formatCode>
                <c:ptCount val="31"/>
                <c:pt idx="0">
                  <c:v>9.9999999999999995E-7</c:v>
                </c:pt>
                <c:pt idx="1">
                  <c:v>3.2779902690688161</c:v>
                </c:pt>
                <c:pt idx="2">
                  <c:v>6.0548613211387901</c:v>
                </c:pt>
                <c:pt idx="3">
                  <c:v>9.022481028967583</c:v>
                </c:pt>
                <c:pt idx="4">
                  <c:v>11.892495162961836</c:v>
                </c:pt>
                <c:pt idx="5">
                  <c:v>14.346483281120259</c:v>
                </c:pt>
                <c:pt idx="6">
                  <c:v>17.07141910658974</c:v>
                </c:pt>
                <c:pt idx="7">
                  <c:v>19.297704169464712</c:v>
                </c:pt>
                <c:pt idx="8">
                  <c:v>21.203701142849813</c:v>
                </c:pt>
                <c:pt idx="9">
                  <c:v>22.406633427923474</c:v>
                </c:pt>
                <c:pt idx="10">
                  <c:v>22.879713632069404</c:v>
                </c:pt>
                <c:pt idx="11">
                  <c:v>23.811639183561191</c:v>
                </c:pt>
                <c:pt idx="12">
                  <c:v>22.358985350833919</c:v>
                </c:pt>
                <c:pt idx="13">
                  <c:v>21.092559857732141</c:v>
                </c:pt>
                <c:pt idx="14">
                  <c:v>19.617093839156759</c:v>
                </c:pt>
                <c:pt idx="15">
                  <c:v>20.91835574038371</c:v>
                </c:pt>
                <c:pt idx="16">
                  <c:v>20.038846705112945</c:v>
                </c:pt>
                <c:pt idx="17">
                  <c:v>19.122417815330103</c:v>
                </c:pt>
                <c:pt idx="18">
                  <c:v>18.887542892542506</c:v>
                </c:pt>
                <c:pt idx="19">
                  <c:v>18.644142270678913</c:v>
                </c:pt>
                <c:pt idx="20">
                  <c:v>20.58123708033871</c:v>
                </c:pt>
                <c:pt idx="21">
                  <c:v>20.716305896152218</c:v>
                </c:pt>
                <c:pt idx="22">
                  <c:v>22.058900064804718</c:v>
                </c:pt>
                <c:pt idx="23">
                  <c:v>25.596487994906411</c:v>
                </c:pt>
                <c:pt idx="24">
                  <c:v>24.209995572030969</c:v>
                </c:pt>
                <c:pt idx="25">
                  <c:v>21.739501756306765</c:v>
                </c:pt>
                <c:pt idx="26">
                  <c:v>21.486154367207231</c:v>
                </c:pt>
                <c:pt idx="27">
                  <c:v>18.858836659259548</c:v>
                </c:pt>
                <c:pt idx="28">
                  <c:v>15.855691099618433</c:v>
                </c:pt>
                <c:pt idx="29">
                  <c:v>7.9278455498092164</c:v>
                </c:pt>
                <c:pt idx="30">
                  <c:v>3.6535800000000003E-5</c:v>
                </c:pt>
              </c:numCache>
            </c:numRef>
          </c:val>
          <c:smooth val="0"/>
          <c:extLst>
            <c:ext xmlns:c16="http://schemas.microsoft.com/office/drawing/2014/chart" uri="{C3380CC4-5D6E-409C-BE32-E72D297353CC}">
              <c16:uniqueId val="{00000000-9FE3-4D9C-885F-C0D292C21A01}"/>
            </c:ext>
          </c:extLst>
        </c:ser>
        <c:ser>
          <c:idx val="1"/>
          <c:order val="1"/>
          <c:tx>
            <c:strRef>
              <c:f>'Results + Figures'!$H$7</c:f>
              <c:strCache>
                <c:ptCount val="1"/>
                <c:pt idx="0">
                  <c:v>TAM3</c:v>
                </c:pt>
              </c:strCache>
            </c:strRef>
          </c:tx>
          <c:spPr>
            <a:ln w="19050" cap="rnd">
              <a:solidFill>
                <a:schemeClr val="tx1">
                  <a:alpha val="75000"/>
                </a:schemeClr>
              </a:solidFill>
              <a:prstDash val="sysDash"/>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Figures'!$H$8:$H$38</c:f>
              <c:numCache>
                <c:formatCode>General</c:formatCode>
                <c:ptCount val="31"/>
                <c:pt idx="0">
                  <c:v>36.535800000000002</c:v>
                </c:pt>
                <c:pt idx="1">
                  <c:v>32.779902690688161</c:v>
                </c:pt>
                <c:pt idx="2">
                  <c:v>30.274306605693948</c:v>
                </c:pt>
                <c:pt idx="3">
                  <c:v>30.074936763225278</c:v>
                </c:pt>
                <c:pt idx="4">
                  <c:v>29.731237907404587</c:v>
                </c:pt>
                <c:pt idx="5">
                  <c:v>28.692966562240517</c:v>
                </c:pt>
                <c:pt idx="6">
                  <c:v>28.452365177649568</c:v>
                </c:pt>
                <c:pt idx="7">
                  <c:v>27.568148813521017</c:v>
                </c:pt>
                <c:pt idx="8">
                  <c:v>26.504626428562265</c:v>
                </c:pt>
                <c:pt idx="9">
                  <c:v>24.896259364359416</c:v>
                </c:pt>
                <c:pt idx="10">
                  <c:v>22.879713632069404</c:v>
                </c:pt>
                <c:pt idx="11">
                  <c:v>23.811639183561191</c:v>
                </c:pt>
                <c:pt idx="12">
                  <c:v>22.358985350833919</c:v>
                </c:pt>
                <c:pt idx="13">
                  <c:v>21.092559857732141</c:v>
                </c:pt>
                <c:pt idx="14">
                  <c:v>19.617093839156759</c:v>
                </c:pt>
                <c:pt idx="15">
                  <c:v>20.91835574038371</c:v>
                </c:pt>
                <c:pt idx="16">
                  <c:v>20.038846705112945</c:v>
                </c:pt>
                <c:pt idx="17">
                  <c:v>19.122417815330103</c:v>
                </c:pt>
                <c:pt idx="18">
                  <c:v>18.887542892542506</c:v>
                </c:pt>
                <c:pt idx="19">
                  <c:v>18.644142270678913</c:v>
                </c:pt>
                <c:pt idx="20">
                  <c:v>20.58123708033871</c:v>
                </c:pt>
                <c:pt idx="21">
                  <c:v>20.716305896152218</c:v>
                </c:pt>
                <c:pt idx="22">
                  <c:v>22.058900064804718</c:v>
                </c:pt>
                <c:pt idx="23">
                  <c:v>25.596487994906411</c:v>
                </c:pt>
                <c:pt idx="24">
                  <c:v>24.209995572030969</c:v>
                </c:pt>
                <c:pt idx="25">
                  <c:v>21.739501756306765</c:v>
                </c:pt>
                <c:pt idx="26">
                  <c:v>21.486154367207231</c:v>
                </c:pt>
                <c:pt idx="27">
                  <c:v>18.858836659259548</c:v>
                </c:pt>
                <c:pt idx="28">
                  <c:v>15.855691099618433</c:v>
                </c:pt>
                <c:pt idx="29">
                  <c:v>7.9278455498092164</c:v>
                </c:pt>
                <c:pt idx="30">
                  <c:v>3.6535800000000003E-5</c:v>
                </c:pt>
              </c:numCache>
            </c:numRef>
          </c:val>
          <c:smooth val="0"/>
          <c:extLst>
            <c:ext xmlns:c16="http://schemas.microsoft.com/office/drawing/2014/chart" uri="{C3380CC4-5D6E-409C-BE32-E72D297353CC}">
              <c16:uniqueId val="{00000001-9FE3-4D9C-885F-C0D292C21A01}"/>
            </c:ext>
          </c:extLst>
        </c:ser>
        <c:dLbls>
          <c:showLegendKey val="0"/>
          <c:showVal val="0"/>
          <c:showCatName val="0"/>
          <c:showSerName val="0"/>
          <c:showPercent val="0"/>
          <c:showBubbleSize val="0"/>
        </c:dLbls>
        <c:smooth val="0"/>
        <c:axId val="524875776"/>
        <c:axId val="372949928"/>
      </c:lineChart>
      <c:catAx>
        <c:axId val="524875776"/>
        <c:scaling>
          <c:orientation val="minMax"/>
        </c:scaling>
        <c:delete val="0"/>
        <c:axPos val="b"/>
        <c:numFmt formatCode="General" sourceLinked="1"/>
        <c:majorTickMark val="in"/>
        <c:minorTickMark val="none"/>
        <c:tickLblPos val="nextTo"/>
        <c:spPr>
          <a:noFill/>
          <a:ln w="9525" cap="flat" cmpd="sng" algn="ctr">
            <a:solidFill>
              <a:schemeClr val="bg2">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949928"/>
        <c:crosses val="autoZero"/>
        <c:auto val="1"/>
        <c:lblAlgn val="ctr"/>
        <c:lblOffset val="100"/>
        <c:noMultiLvlLbl val="0"/>
      </c:catAx>
      <c:valAx>
        <c:axId val="37294992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Abatement (Mt CH4)</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a:solidFill>
              <a:schemeClr val="bg2">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87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1380511741195"/>
          <c:y val="7.4775482901131979E-2"/>
          <c:w val="0.6936935254634673"/>
          <c:h val="0.6135125957184584"/>
        </c:manualLayout>
      </c:layout>
      <c:lineChart>
        <c:grouping val="standard"/>
        <c:varyColors val="0"/>
        <c:ser>
          <c:idx val="1"/>
          <c:order val="0"/>
          <c:tx>
            <c:strRef>
              <c:f>'Results + Figures'!$C$7</c:f>
              <c:strCache>
                <c:ptCount val="1"/>
                <c:pt idx="0">
                  <c:v>PDS1</c:v>
                </c:pt>
              </c:strCache>
            </c:strRef>
          </c:tx>
          <c:spPr>
            <a:ln w="19050" cap="rnd">
              <a:solidFill>
                <a:schemeClr val="accent1">
                  <a:lumMod val="75000"/>
                </a:scheme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Figures'!$C$8:$C$38</c:f>
              <c:numCache>
                <c:formatCode>General</c:formatCode>
                <c:ptCount val="31"/>
                <c:pt idx="0">
                  <c:v>9.9999999999999995E-7</c:v>
                </c:pt>
                <c:pt idx="1">
                  <c:v>2.4992442484068764</c:v>
                </c:pt>
                <c:pt idx="2">
                  <c:v>4.9984884968137528</c:v>
                </c:pt>
                <c:pt idx="3">
                  <c:v>7.4977327452206275</c:v>
                </c:pt>
                <c:pt idx="4">
                  <c:v>9.9969769936275057</c:v>
                </c:pt>
                <c:pt idx="5">
                  <c:v>12.49622124203438</c:v>
                </c:pt>
                <c:pt idx="6">
                  <c:v>14.995465490441255</c:v>
                </c:pt>
                <c:pt idx="7">
                  <c:v>17.49470973884813</c:v>
                </c:pt>
                <c:pt idx="8">
                  <c:v>19.993953987255011</c:v>
                </c:pt>
                <c:pt idx="9">
                  <c:v>22.493198235661886</c:v>
                </c:pt>
                <c:pt idx="10">
                  <c:v>24.992442484068761</c:v>
                </c:pt>
                <c:pt idx="11">
                  <c:v>27.491686732475639</c:v>
                </c:pt>
                <c:pt idx="12">
                  <c:v>29.99093098088251</c:v>
                </c:pt>
                <c:pt idx="13">
                  <c:v>32.490175229289392</c:v>
                </c:pt>
                <c:pt idx="14">
                  <c:v>34.989419477696259</c:v>
                </c:pt>
                <c:pt idx="15">
                  <c:v>37.488663726103141</c:v>
                </c:pt>
                <c:pt idx="16">
                  <c:v>39.987907974510023</c:v>
                </c:pt>
                <c:pt idx="17">
                  <c:v>42.48715222291689</c:v>
                </c:pt>
                <c:pt idx="18">
                  <c:v>44.986396471323772</c:v>
                </c:pt>
                <c:pt idx="19">
                  <c:v>45.825629175136278</c:v>
                </c:pt>
                <c:pt idx="20">
                  <c:v>44.277369590268933</c:v>
                </c:pt>
                <c:pt idx="21">
                  <c:v>41.86784105717625</c:v>
                </c:pt>
                <c:pt idx="22">
                  <c:v>39.501930642614724</c:v>
                </c:pt>
                <c:pt idx="23">
                  <c:v>38.884605324649918</c:v>
                </c:pt>
                <c:pt idx="24">
                  <c:v>34.206367653491441</c:v>
                </c:pt>
                <c:pt idx="25">
                  <c:v>29.611590360336489</c:v>
                </c:pt>
                <c:pt idx="26">
                  <c:v>24.024398573976164</c:v>
                </c:pt>
                <c:pt idx="27">
                  <c:v>18.509650449724244</c:v>
                </c:pt>
                <c:pt idx="28">
                  <c:v>12.735442109400243</c:v>
                </c:pt>
                <c:pt idx="29">
                  <c:v>6.6771716764158038</c:v>
                </c:pt>
                <c:pt idx="30">
                  <c:v>0.52286846566689549</c:v>
                </c:pt>
              </c:numCache>
            </c:numRef>
          </c:val>
          <c:smooth val="0"/>
          <c:extLst>
            <c:ext xmlns:c16="http://schemas.microsoft.com/office/drawing/2014/chart" uri="{C3380CC4-5D6E-409C-BE32-E72D297353CC}">
              <c16:uniqueId val="{00000000-7D4D-472F-BC4C-619EDFBCC33F}"/>
            </c:ext>
          </c:extLst>
        </c:ser>
        <c:ser>
          <c:idx val="4"/>
          <c:order val="2"/>
          <c:tx>
            <c:strRef>
              <c:f>'Results + Figures'!$E$7</c:f>
              <c:strCache>
                <c:ptCount val="1"/>
                <c:pt idx="0">
                  <c:v>PDS2</c:v>
                </c:pt>
              </c:strCache>
            </c:strRef>
          </c:tx>
          <c:spPr>
            <a:ln w="19050" cap="rnd">
              <a:solidFill>
                <a:schemeClr val="accent5"/>
              </a:solidFill>
              <a:prstDash val="solid"/>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Figures'!$E$8:$E$38</c:f>
              <c:numCache>
                <c:formatCode>General</c:formatCode>
                <c:ptCount val="31"/>
                <c:pt idx="0">
                  <c:v>9.9999999999999995E-7</c:v>
                </c:pt>
                <c:pt idx="1">
                  <c:v>1.0300994766084146</c:v>
                </c:pt>
                <c:pt idx="2">
                  <c:v>2.0601989532168292</c:v>
                </c:pt>
                <c:pt idx="3">
                  <c:v>3.0902984298252441</c:v>
                </c:pt>
                <c:pt idx="4">
                  <c:v>4.1203979064336584</c:v>
                </c:pt>
                <c:pt idx="5">
                  <c:v>5.1504973830420733</c:v>
                </c:pt>
                <c:pt idx="6">
                  <c:v>6.1805968596504881</c:v>
                </c:pt>
                <c:pt idx="7">
                  <c:v>7.2106963362589021</c:v>
                </c:pt>
                <c:pt idx="8">
                  <c:v>8.2407958128673169</c:v>
                </c:pt>
                <c:pt idx="9">
                  <c:v>9.2708952894757317</c:v>
                </c:pt>
                <c:pt idx="10">
                  <c:v>10.300994766084147</c:v>
                </c:pt>
                <c:pt idx="11">
                  <c:v>10.85758524550736</c:v>
                </c:pt>
                <c:pt idx="12">
                  <c:v>11.561744554387552</c:v>
                </c:pt>
                <c:pt idx="13">
                  <c:v>9.6058074036996874</c:v>
                </c:pt>
                <c:pt idx="14">
                  <c:v>7.6027527113925686</c:v>
                </c:pt>
                <c:pt idx="15">
                  <c:v>5.5604962753569511</c:v>
                </c:pt>
                <c:pt idx="16">
                  <c:v>7.032214957399388</c:v>
                </c:pt>
                <c:pt idx="17">
                  <c:v>5.7102487550097552</c:v>
                </c:pt>
                <c:pt idx="18">
                  <c:v>4.2312264965005042</c:v>
                </c:pt>
                <c:pt idx="19">
                  <c:v>3.6212659303468677</c:v>
                </c:pt>
                <c:pt idx="20">
                  <c:v>3.2511110649678252</c:v>
                </c:pt>
                <c:pt idx="21">
                  <c:v>4.6827550553352975</c:v>
                </c:pt>
                <c:pt idx="22">
                  <c:v>4.6279469487402505</c:v>
                </c:pt>
                <c:pt idx="23">
                  <c:v>6.3174728333403145</c:v>
                </c:pt>
                <c:pt idx="24">
                  <c:v>11.084326612290026</c:v>
                </c:pt>
                <c:pt idx="25">
                  <c:v>9.9827026004177455</c:v>
                </c:pt>
                <c:pt idx="26">
                  <c:v>7.3223117570975553</c:v>
                </c:pt>
                <c:pt idx="27">
                  <c:v>7.6195303896609232</c:v>
                </c:pt>
                <c:pt idx="28">
                  <c:v>5.2623742550905934</c:v>
                </c:pt>
                <c:pt idx="29">
                  <c:v>2.4406544942393449</c:v>
                </c:pt>
                <c:pt idx="30">
                  <c:v>3.6535800000000003E-5</c:v>
                </c:pt>
              </c:numCache>
            </c:numRef>
          </c:val>
          <c:smooth val="0"/>
          <c:extLst>
            <c:ext xmlns:c16="http://schemas.microsoft.com/office/drawing/2014/chart" uri="{C3380CC4-5D6E-409C-BE32-E72D297353CC}">
              <c16:uniqueId val="{00000001-7D4D-472F-BC4C-619EDFBCC33F}"/>
            </c:ext>
          </c:extLst>
        </c:ser>
        <c:ser>
          <c:idx val="5"/>
          <c:order val="3"/>
          <c:tx>
            <c:strRef>
              <c:f>'Results + Figures'!$G$7</c:f>
              <c:strCache>
                <c:ptCount val="1"/>
                <c:pt idx="0">
                  <c:v>PDS3</c:v>
                </c:pt>
              </c:strCache>
            </c:strRef>
          </c:tx>
          <c:spPr>
            <a:ln w="19050" cap="rnd">
              <a:solidFill>
                <a:schemeClr val="accent1">
                  <a:lumMod val="75000"/>
                </a:scheme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Figures'!$G$8:$G$38</c:f>
              <c:numCache>
                <c:formatCode>General</c:formatCode>
                <c:ptCount val="31"/>
                <c:pt idx="0">
                  <c:v>9.9999999999999995E-7</c:v>
                </c:pt>
                <c:pt idx="1">
                  <c:v>3.2779902690688161</c:v>
                </c:pt>
                <c:pt idx="2">
                  <c:v>6.0548613211387901</c:v>
                </c:pt>
                <c:pt idx="3">
                  <c:v>9.022481028967583</c:v>
                </c:pt>
                <c:pt idx="4">
                  <c:v>11.892495162961836</c:v>
                </c:pt>
                <c:pt idx="5">
                  <c:v>14.346483281120259</c:v>
                </c:pt>
                <c:pt idx="6">
                  <c:v>17.07141910658974</c:v>
                </c:pt>
                <c:pt idx="7">
                  <c:v>19.297704169464712</c:v>
                </c:pt>
                <c:pt idx="8">
                  <c:v>21.203701142849813</c:v>
                </c:pt>
                <c:pt idx="9">
                  <c:v>22.406633427923474</c:v>
                </c:pt>
                <c:pt idx="10">
                  <c:v>22.879713632069404</c:v>
                </c:pt>
                <c:pt idx="11">
                  <c:v>23.811639183561191</c:v>
                </c:pt>
                <c:pt idx="12">
                  <c:v>22.358985350833919</c:v>
                </c:pt>
                <c:pt idx="13">
                  <c:v>21.092559857732141</c:v>
                </c:pt>
                <c:pt idx="14">
                  <c:v>19.617093839156759</c:v>
                </c:pt>
                <c:pt idx="15">
                  <c:v>20.91835574038371</c:v>
                </c:pt>
                <c:pt idx="16">
                  <c:v>20.038846705112945</c:v>
                </c:pt>
                <c:pt idx="17">
                  <c:v>19.122417815330103</c:v>
                </c:pt>
                <c:pt idx="18">
                  <c:v>18.887542892542506</c:v>
                </c:pt>
                <c:pt idx="19">
                  <c:v>18.644142270678913</c:v>
                </c:pt>
                <c:pt idx="20">
                  <c:v>20.58123708033871</c:v>
                </c:pt>
                <c:pt idx="21">
                  <c:v>20.716305896152218</c:v>
                </c:pt>
                <c:pt idx="22">
                  <c:v>22.058900064804718</c:v>
                </c:pt>
                <c:pt idx="23">
                  <c:v>25.596487994906411</c:v>
                </c:pt>
                <c:pt idx="24">
                  <c:v>24.209995572030969</c:v>
                </c:pt>
                <c:pt idx="25">
                  <c:v>21.739501756306765</c:v>
                </c:pt>
                <c:pt idx="26">
                  <c:v>21.486154367207231</c:v>
                </c:pt>
                <c:pt idx="27">
                  <c:v>18.858836659259548</c:v>
                </c:pt>
                <c:pt idx="28">
                  <c:v>15.855691099618433</c:v>
                </c:pt>
                <c:pt idx="29">
                  <c:v>7.9278455498092164</c:v>
                </c:pt>
                <c:pt idx="30">
                  <c:v>3.6535800000000003E-5</c:v>
                </c:pt>
              </c:numCache>
            </c:numRef>
          </c:val>
          <c:smooth val="0"/>
          <c:extLst>
            <c:ext xmlns:c16="http://schemas.microsoft.com/office/drawing/2014/chart" uri="{C3380CC4-5D6E-409C-BE32-E72D297353CC}">
              <c16:uniqueId val="{00000002-7D4D-472F-BC4C-619EDFBCC33F}"/>
            </c:ext>
          </c:extLst>
        </c:ser>
        <c:ser>
          <c:idx val="2"/>
          <c:order val="4"/>
          <c:tx>
            <c:strRef>
              <c:f>'Results + Figures'!$G$7</c:f>
              <c:strCache>
                <c:ptCount val="1"/>
                <c:pt idx="0">
                  <c:v>PDS3</c:v>
                </c:pt>
              </c:strCache>
            </c:strRef>
          </c:tx>
          <c:spPr>
            <a:ln w="19050" cap="rnd">
              <a:solidFill>
                <a:schemeClr val="accent5">
                  <a:lumMod val="20000"/>
                  <a:lumOff val="80000"/>
                </a:scheme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Figures'!$G$8:$G$38</c:f>
              <c:numCache>
                <c:formatCode>General</c:formatCode>
                <c:ptCount val="31"/>
                <c:pt idx="0">
                  <c:v>9.9999999999999995E-7</c:v>
                </c:pt>
                <c:pt idx="1">
                  <c:v>3.2779902690688161</c:v>
                </c:pt>
                <c:pt idx="2">
                  <c:v>6.0548613211387901</c:v>
                </c:pt>
                <c:pt idx="3">
                  <c:v>9.022481028967583</c:v>
                </c:pt>
                <c:pt idx="4">
                  <c:v>11.892495162961836</c:v>
                </c:pt>
                <c:pt idx="5">
                  <c:v>14.346483281120259</c:v>
                </c:pt>
                <c:pt idx="6">
                  <c:v>17.07141910658974</c:v>
                </c:pt>
                <c:pt idx="7">
                  <c:v>19.297704169464712</c:v>
                </c:pt>
                <c:pt idx="8">
                  <c:v>21.203701142849813</c:v>
                </c:pt>
                <c:pt idx="9">
                  <c:v>22.406633427923474</c:v>
                </c:pt>
                <c:pt idx="10">
                  <c:v>22.879713632069404</c:v>
                </c:pt>
                <c:pt idx="11">
                  <c:v>23.811639183561191</c:v>
                </c:pt>
                <c:pt idx="12">
                  <c:v>22.358985350833919</c:v>
                </c:pt>
                <c:pt idx="13">
                  <c:v>21.092559857732141</c:v>
                </c:pt>
                <c:pt idx="14">
                  <c:v>19.617093839156759</c:v>
                </c:pt>
                <c:pt idx="15">
                  <c:v>20.91835574038371</c:v>
                </c:pt>
                <c:pt idx="16">
                  <c:v>20.038846705112945</c:v>
                </c:pt>
                <c:pt idx="17">
                  <c:v>19.122417815330103</c:v>
                </c:pt>
                <c:pt idx="18">
                  <c:v>18.887542892542506</c:v>
                </c:pt>
                <c:pt idx="19">
                  <c:v>18.644142270678913</c:v>
                </c:pt>
                <c:pt idx="20">
                  <c:v>20.58123708033871</c:v>
                </c:pt>
                <c:pt idx="21">
                  <c:v>20.716305896152218</c:v>
                </c:pt>
                <c:pt idx="22">
                  <c:v>22.058900064804718</c:v>
                </c:pt>
                <c:pt idx="23">
                  <c:v>25.596487994906411</c:v>
                </c:pt>
                <c:pt idx="24">
                  <c:v>24.209995572030969</c:v>
                </c:pt>
                <c:pt idx="25">
                  <c:v>21.739501756306765</c:v>
                </c:pt>
                <c:pt idx="26">
                  <c:v>21.486154367207231</c:v>
                </c:pt>
                <c:pt idx="27">
                  <c:v>18.858836659259548</c:v>
                </c:pt>
                <c:pt idx="28">
                  <c:v>15.855691099618433</c:v>
                </c:pt>
                <c:pt idx="29">
                  <c:v>7.9278455498092164</c:v>
                </c:pt>
                <c:pt idx="30">
                  <c:v>3.6535800000000003E-5</c:v>
                </c:pt>
              </c:numCache>
            </c:numRef>
          </c:val>
          <c:smooth val="0"/>
          <c:extLst>
            <c:ext xmlns:c16="http://schemas.microsoft.com/office/drawing/2014/chart" uri="{C3380CC4-5D6E-409C-BE32-E72D297353CC}">
              <c16:uniqueId val="{00000003-7D4D-472F-BC4C-619EDFBCC33F}"/>
            </c:ext>
          </c:extLst>
        </c:ser>
        <c:dLbls>
          <c:showLegendKey val="0"/>
          <c:showVal val="0"/>
          <c:showCatName val="0"/>
          <c:showSerName val="0"/>
          <c:showPercent val="0"/>
          <c:showBubbleSize val="0"/>
        </c:dLbls>
        <c:marker val="1"/>
        <c:smooth val="0"/>
        <c:axId val="372951104"/>
        <c:axId val="452030496"/>
      </c:lineChart>
      <c:lineChart>
        <c:grouping val="standard"/>
        <c:varyColors val="0"/>
        <c:ser>
          <c:idx val="0"/>
          <c:order val="1"/>
          <c:tx>
            <c:strRef>
              <c:f>'Results + Figures'!$C$7</c:f>
              <c:strCache>
                <c:ptCount val="1"/>
                <c:pt idx="0">
                  <c:v>PDS1</c:v>
                </c:pt>
              </c:strCache>
            </c:strRef>
          </c:tx>
          <c:spPr>
            <a:ln w="19050" cap="rnd">
              <a:solidFill>
                <a:schemeClr val="accent5">
                  <a:lumMod val="50000"/>
                </a:scheme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Figures'!$C$43:$C$73</c:f>
              <c:numCache>
                <c:formatCode>General</c:formatCode>
                <c:ptCount val="31"/>
                <c:pt idx="0">
                  <c:v>2.8E-5</c:v>
                </c:pt>
                <c:pt idx="1">
                  <c:v>69.978838955392547</c:v>
                </c:pt>
                <c:pt idx="2">
                  <c:v>139.95767791078509</c:v>
                </c:pt>
                <c:pt idx="3">
                  <c:v>209.93651686617756</c:v>
                </c:pt>
                <c:pt idx="4">
                  <c:v>279.91535582157019</c:v>
                </c:pt>
                <c:pt idx="5">
                  <c:v>349.89419477696265</c:v>
                </c:pt>
                <c:pt idx="6">
                  <c:v>419.87303373235511</c:v>
                </c:pt>
                <c:pt idx="7">
                  <c:v>489.85187268774763</c:v>
                </c:pt>
                <c:pt idx="8">
                  <c:v>559.83071164314038</c:v>
                </c:pt>
                <c:pt idx="9">
                  <c:v>629.80955059853284</c:v>
                </c:pt>
                <c:pt idx="10">
                  <c:v>699.7883895539253</c:v>
                </c:pt>
                <c:pt idx="11">
                  <c:v>769.76722850931787</c:v>
                </c:pt>
                <c:pt idx="12">
                  <c:v>839.74606746471022</c:v>
                </c:pt>
                <c:pt idx="13">
                  <c:v>909.72490642010303</c:v>
                </c:pt>
                <c:pt idx="14">
                  <c:v>979.70374537549526</c:v>
                </c:pt>
                <c:pt idx="15">
                  <c:v>1049.6825843308879</c:v>
                </c:pt>
                <c:pt idx="16">
                  <c:v>1119.6614232862808</c:v>
                </c:pt>
                <c:pt idx="17">
                  <c:v>1189.6402622416729</c:v>
                </c:pt>
                <c:pt idx="18">
                  <c:v>1259.6191011970657</c:v>
                </c:pt>
                <c:pt idx="19">
                  <c:v>1283.1176169038158</c:v>
                </c:pt>
                <c:pt idx="20">
                  <c:v>1239.7663485275302</c:v>
                </c:pt>
                <c:pt idx="21">
                  <c:v>1172.2995496009351</c:v>
                </c:pt>
                <c:pt idx="22">
                  <c:v>1106.0540579932122</c:v>
                </c:pt>
                <c:pt idx="23">
                  <c:v>1088.7689490901978</c:v>
                </c:pt>
                <c:pt idx="24">
                  <c:v>957.77829429776034</c:v>
                </c:pt>
                <c:pt idx="25">
                  <c:v>829.12453008942168</c:v>
                </c:pt>
                <c:pt idx="26">
                  <c:v>672.68316007133262</c:v>
                </c:pt>
                <c:pt idx="27">
                  <c:v>518.27021259227888</c:v>
                </c:pt>
                <c:pt idx="28">
                  <c:v>356.59237906320681</c:v>
                </c:pt>
                <c:pt idx="29">
                  <c:v>186.96080693964251</c:v>
                </c:pt>
                <c:pt idx="30">
                  <c:v>14.640317038673073</c:v>
                </c:pt>
              </c:numCache>
            </c:numRef>
          </c:val>
          <c:smooth val="0"/>
          <c:extLst>
            <c:ext xmlns:c16="http://schemas.microsoft.com/office/drawing/2014/chart" uri="{C3380CC4-5D6E-409C-BE32-E72D297353CC}">
              <c16:uniqueId val="{00000004-7D4D-472F-BC4C-619EDFBCC33F}"/>
            </c:ext>
          </c:extLst>
        </c:ser>
        <c:dLbls>
          <c:showLegendKey val="0"/>
          <c:showVal val="0"/>
          <c:showCatName val="0"/>
          <c:showSerName val="0"/>
          <c:showPercent val="0"/>
          <c:showBubbleSize val="0"/>
        </c:dLbls>
        <c:marker val="1"/>
        <c:smooth val="0"/>
        <c:axId val="534603768"/>
        <c:axId val="452033632"/>
      </c:lineChart>
      <c:catAx>
        <c:axId val="372951104"/>
        <c:scaling>
          <c:orientation val="minMax"/>
        </c:scaling>
        <c:delete val="0"/>
        <c:axPos val="b"/>
        <c:numFmt formatCode="General" sourceLinked="1"/>
        <c:majorTickMark val="in"/>
        <c:minorTickMark val="none"/>
        <c:tickLblPos val="nextTo"/>
        <c:spPr>
          <a:noFill/>
          <a:ln w="9525" cap="flat" cmpd="sng" algn="ctr">
            <a:solidFill>
              <a:schemeClr val="bg2">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030496"/>
        <c:crosses val="autoZero"/>
        <c:auto val="1"/>
        <c:lblAlgn val="ctr"/>
        <c:lblOffset val="100"/>
        <c:noMultiLvlLbl val="0"/>
      </c:catAx>
      <c:valAx>
        <c:axId val="4520304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Abatement (Mt CH4)</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a:solidFill>
              <a:schemeClr val="bg2">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951104"/>
        <c:crosses val="autoZero"/>
        <c:crossBetween val="between"/>
      </c:valAx>
      <c:valAx>
        <c:axId val="4520336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reductions (Gt CO2e)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a:solidFill>
              <a:schemeClr val="bg2">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603768"/>
        <c:crosses val="max"/>
        <c:crossBetween val="between"/>
        <c:dispUnits>
          <c:builtInUnit val="thousands"/>
        </c:dispUnits>
      </c:valAx>
      <c:catAx>
        <c:axId val="534603768"/>
        <c:scaling>
          <c:orientation val="minMax"/>
        </c:scaling>
        <c:delete val="1"/>
        <c:axPos val="b"/>
        <c:numFmt formatCode="General" sourceLinked="1"/>
        <c:majorTickMark val="out"/>
        <c:minorTickMark val="none"/>
        <c:tickLblPos val="nextTo"/>
        <c:crossAx val="452033632"/>
        <c:crosses val="autoZero"/>
        <c:auto val="1"/>
        <c:lblAlgn val="ctr"/>
        <c:lblOffset val="100"/>
        <c:noMultiLvlLbl val="0"/>
      </c:catAx>
      <c:spPr>
        <a:noFill/>
        <a:ln>
          <a:noFill/>
        </a:ln>
        <a:effectLst/>
      </c:spPr>
    </c:plotArea>
    <c:legend>
      <c:legendPos val="b"/>
      <c:legendEntry>
        <c:idx val="0"/>
        <c:delete val="1"/>
      </c:legendEntry>
      <c:legendEntry>
        <c:idx val="2"/>
        <c:delete val="1"/>
      </c:legendEntry>
      <c:layout>
        <c:manualLayout>
          <c:xMode val="edge"/>
          <c:yMode val="edge"/>
          <c:x val="0.14524208189391347"/>
          <c:y val="0.79682897819794896"/>
          <c:w val="0.70719533576089555"/>
          <c:h val="0.175387025238224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'Results + Figures'!$R$7</c:f>
              <c:strCache>
                <c:ptCount val="1"/>
                <c:pt idx="0">
                  <c:v>TAM1</c:v>
                </c:pt>
              </c:strCache>
            </c:strRef>
          </c:tx>
          <c:spPr>
            <a:ln w="19050" cap="rnd">
              <a:solidFill>
                <a:schemeClr val="tx1">
                  <a:lumMod val="50000"/>
                  <a:lumOff val="50000"/>
                </a:schemeClr>
              </a:solidFill>
              <a:prstDash val="sysDash"/>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Figures'!$R$8:$R$38</c:f>
              <c:numCache>
                <c:formatCode>General</c:formatCode>
                <c:ptCount val="31"/>
                <c:pt idx="0">
                  <c:v>36.535800000000002</c:v>
                </c:pt>
                <c:pt idx="1">
                  <c:v>38.513991284654878</c:v>
                </c:pt>
                <c:pt idx="2">
                  <c:v>40.481996039016032</c:v>
                </c:pt>
                <c:pt idx="3">
                  <c:v>42.299538788867572</c:v>
                </c:pt>
                <c:pt idx="4">
                  <c:v>43.96201365515693</c:v>
                </c:pt>
                <c:pt idx="5">
                  <c:v>45.229951081961978</c:v>
                </c:pt>
                <c:pt idx="6">
                  <c:v>46.793608670501634</c:v>
                </c:pt>
                <c:pt idx="7">
                  <c:v>47.950206827417674</c:v>
                </c:pt>
                <c:pt idx="8">
                  <c:v>48.925641581403497</c:v>
                </c:pt>
                <c:pt idx="9">
                  <c:v>49.713660209137302</c:v>
                </c:pt>
                <c:pt idx="10">
                  <c:v>49.984884968137521</c:v>
                </c:pt>
                <c:pt idx="11">
                  <c:v>50.713278675405213</c:v>
                </c:pt>
                <c:pt idx="12">
                  <c:v>50.912452055899124</c:v>
                </c:pt>
                <c:pt idx="13">
                  <c:v>50.902652931841168</c:v>
                </c:pt>
                <c:pt idx="14">
                  <c:v>50.687888267983517</c:v>
                </c:pt>
                <c:pt idx="15">
                  <c:v>50.213862118671976</c:v>
                </c:pt>
                <c:pt idx="16">
                  <c:v>49.607453125247609</c:v>
                </c:pt>
                <c:pt idx="17">
                  <c:v>48.721092018895277</c:v>
                </c:pt>
                <c:pt idx="18">
                  <c:v>47.427604970830529</c:v>
                </c:pt>
                <c:pt idx="19">
                  <c:v>45.825629175136278</c:v>
                </c:pt>
                <c:pt idx="20">
                  <c:v>44.277369590268933</c:v>
                </c:pt>
                <c:pt idx="21">
                  <c:v>41.86784105717625</c:v>
                </c:pt>
                <c:pt idx="22">
                  <c:v>39.501930642614724</c:v>
                </c:pt>
                <c:pt idx="23">
                  <c:v>38.884605324649918</c:v>
                </c:pt>
                <c:pt idx="24">
                  <c:v>34.206367653491441</c:v>
                </c:pt>
                <c:pt idx="25">
                  <c:v>29.611590360336489</c:v>
                </c:pt>
                <c:pt idx="26">
                  <c:v>24.024398573976164</c:v>
                </c:pt>
                <c:pt idx="27">
                  <c:v>18.509650449724244</c:v>
                </c:pt>
                <c:pt idx="28">
                  <c:v>12.735442109400243</c:v>
                </c:pt>
                <c:pt idx="29">
                  <c:v>6.6771716764158038</c:v>
                </c:pt>
                <c:pt idx="30">
                  <c:v>0.52286846566689549</c:v>
                </c:pt>
              </c:numCache>
            </c:numRef>
          </c:val>
          <c:smooth val="0"/>
          <c:extLst>
            <c:ext xmlns:c16="http://schemas.microsoft.com/office/drawing/2014/chart" uri="{C3380CC4-5D6E-409C-BE32-E72D297353CC}">
              <c16:uniqueId val="{00000000-0F21-485C-84F5-A43E5B281A61}"/>
            </c:ext>
          </c:extLst>
        </c:ser>
        <c:ser>
          <c:idx val="1"/>
          <c:order val="1"/>
          <c:tx>
            <c:strRef>
              <c:f>'Results + Figures'!$S$7</c:f>
              <c:strCache>
                <c:ptCount val="1"/>
                <c:pt idx="0">
                  <c:v>PDS1xTAM1</c:v>
                </c:pt>
              </c:strCache>
            </c:strRef>
          </c:tx>
          <c:spPr>
            <a:ln w="19050" cap="rnd">
              <a:solidFill>
                <a:schemeClr val="accent4">
                  <a:lumMod val="60000"/>
                  <a:lumOff val="40000"/>
                  <a:alpha val="50000"/>
                </a:schemeClr>
              </a:solidFill>
              <a:prstDash val="solid"/>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Figures'!$S$8:$S$38</c:f>
              <c:numCache>
                <c:formatCode>General</c:formatCode>
                <c:ptCount val="31"/>
                <c:pt idx="0">
                  <c:v>9.9999999999999995E-7</c:v>
                </c:pt>
                <c:pt idx="1">
                  <c:v>2.4992442484068764</c:v>
                </c:pt>
                <c:pt idx="2">
                  <c:v>4.9984884968137528</c:v>
                </c:pt>
                <c:pt idx="3">
                  <c:v>7.4977327452206275</c:v>
                </c:pt>
                <c:pt idx="4">
                  <c:v>9.9969769936275057</c:v>
                </c:pt>
                <c:pt idx="5">
                  <c:v>12.49622124203438</c:v>
                </c:pt>
                <c:pt idx="6">
                  <c:v>14.995465490441255</c:v>
                </c:pt>
                <c:pt idx="7">
                  <c:v>17.49470973884813</c:v>
                </c:pt>
                <c:pt idx="8">
                  <c:v>19.993953987255011</c:v>
                </c:pt>
                <c:pt idx="9">
                  <c:v>22.493198235661886</c:v>
                </c:pt>
                <c:pt idx="10">
                  <c:v>24.992442484068761</c:v>
                </c:pt>
                <c:pt idx="11">
                  <c:v>27.491686732475639</c:v>
                </c:pt>
                <c:pt idx="12">
                  <c:v>29.99093098088251</c:v>
                </c:pt>
                <c:pt idx="13">
                  <c:v>32.490175229289392</c:v>
                </c:pt>
                <c:pt idx="14">
                  <c:v>34.989419477696259</c:v>
                </c:pt>
                <c:pt idx="15">
                  <c:v>37.488663726103141</c:v>
                </c:pt>
                <c:pt idx="16">
                  <c:v>39.987907974510023</c:v>
                </c:pt>
                <c:pt idx="17">
                  <c:v>42.48715222291689</c:v>
                </c:pt>
                <c:pt idx="18">
                  <c:v>44.986396471323772</c:v>
                </c:pt>
                <c:pt idx="19">
                  <c:v>45.825629175136278</c:v>
                </c:pt>
                <c:pt idx="20">
                  <c:v>44.277369590268933</c:v>
                </c:pt>
                <c:pt idx="21">
                  <c:v>41.86784105717625</c:v>
                </c:pt>
                <c:pt idx="22">
                  <c:v>39.501930642614724</c:v>
                </c:pt>
                <c:pt idx="23">
                  <c:v>38.884605324649918</c:v>
                </c:pt>
                <c:pt idx="24">
                  <c:v>34.206367653491441</c:v>
                </c:pt>
                <c:pt idx="25">
                  <c:v>29.611590360336489</c:v>
                </c:pt>
                <c:pt idx="26">
                  <c:v>24.024398573976164</c:v>
                </c:pt>
                <c:pt idx="27">
                  <c:v>18.509650449724244</c:v>
                </c:pt>
                <c:pt idx="28">
                  <c:v>12.735442109400243</c:v>
                </c:pt>
                <c:pt idx="29">
                  <c:v>6.6771716764158038</c:v>
                </c:pt>
                <c:pt idx="30">
                  <c:v>0.52286846566689549</c:v>
                </c:pt>
              </c:numCache>
            </c:numRef>
          </c:val>
          <c:smooth val="0"/>
          <c:extLst>
            <c:ext xmlns:c16="http://schemas.microsoft.com/office/drawing/2014/chart" uri="{C3380CC4-5D6E-409C-BE32-E72D297353CC}">
              <c16:uniqueId val="{00000001-0F21-485C-84F5-A43E5B281A61}"/>
            </c:ext>
          </c:extLst>
        </c:ser>
        <c:ser>
          <c:idx val="2"/>
          <c:order val="2"/>
          <c:tx>
            <c:strRef>
              <c:f>'Results + Figures'!$T$7</c:f>
              <c:strCache>
                <c:ptCount val="1"/>
                <c:pt idx="0">
                  <c:v>PDS2xTAM1</c:v>
                </c:pt>
              </c:strCache>
            </c:strRef>
          </c:tx>
          <c:spPr>
            <a:ln w="19050" cap="rnd">
              <a:solidFill>
                <a:srgbClr val="7030A0">
                  <a:alpha val="75000"/>
                </a:srgb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Figures'!$T$8:$T$38</c:f>
              <c:numCache>
                <c:formatCode>General</c:formatCode>
                <c:ptCount val="31"/>
                <c:pt idx="0">
                  <c:v>9.9999999999999995E-7</c:v>
                </c:pt>
                <c:pt idx="1">
                  <c:v>3.7488663726103142</c:v>
                </c:pt>
                <c:pt idx="2">
                  <c:v>7.4977327452206284</c:v>
                </c:pt>
                <c:pt idx="3">
                  <c:v>11.246599117830941</c:v>
                </c:pt>
                <c:pt idx="4">
                  <c:v>14.995465490441257</c:v>
                </c:pt>
                <c:pt idx="5">
                  <c:v>18.744331863051571</c:v>
                </c:pt>
                <c:pt idx="6">
                  <c:v>22.493198235661882</c:v>
                </c:pt>
                <c:pt idx="7">
                  <c:v>26.242064608272198</c:v>
                </c:pt>
                <c:pt idx="8">
                  <c:v>29.990930980882514</c:v>
                </c:pt>
                <c:pt idx="9">
                  <c:v>33.739797353492825</c:v>
                </c:pt>
                <c:pt idx="10">
                  <c:v>37.488663726103141</c:v>
                </c:pt>
                <c:pt idx="11">
                  <c:v>41.237530098713457</c:v>
                </c:pt>
                <c:pt idx="12">
                  <c:v>44.986396471323765</c:v>
                </c:pt>
                <c:pt idx="13">
                  <c:v>48.735262843934088</c:v>
                </c:pt>
                <c:pt idx="14">
                  <c:v>50.687888267983517</c:v>
                </c:pt>
                <c:pt idx="15">
                  <c:v>50.213862118671976</c:v>
                </c:pt>
                <c:pt idx="16">
                  <c:v>49.607453125247609</c:v>
                </c:pt>
                <c:pt idx="17">
                  <c:v>48.721092018895277</c:v>
                </c:pt>
                <c:pt idx="18">
                  <c:v>47.427604970830529</c:v>
                </c:pt>
                <c:pt idx="19">
                  <c:v>45.825629175136278</c:v>
                </c:pt>
                <c:pt idx="20">
                  <c:v>44.277369590268933</c:v>
                </c:pt>
                <c:pt idx="21">
                  <c:v>41.86784105717625</c:v>
                </c:pt>
                <c:pt idx="22">
                  <c:v>39.501930642614724</c:v>
                </c:pt>
                <c:pt idx="23">
                  <c:v>38.884605324649918</c:v>
                </c:pt>
                <c:pt idx="24">
                  <c:v>34.206367653491441</c:v>
                </c:pt>
                <c:pt idx="25">
                  <c:v>29.611590360336489</c:v>
                </c:pt>
                <c:pt idx="26">
                  <c:v>24.024398573976164</c:v>
                </c:pt>
                <c:pt idx="27">
                  <c:v>18.509650449724244</c:v>
                </c:pt>
                <c:pt idx="28">
                  <c:v>12.735442109400243</c:v>
                </c:pt>
                <c:pt idx="29">
                  <c:v>6.6771716764158038</c:v>
                </c:pt>
                <c:pt idx="30">
                  <c:v>0.52286846566689549</c:v>
                </c:pt>
              </c:numCache>
            </c:numRef>
          </c:val>
          <c:smooth val="0"/>
          <c:extLst>
            <c:ext xmlns:c16="http://schemas.microsoft.com/office/drawing/2014/chart" uri="{C3380CC4-5D6E-409C-BE32-E72D297353CC}">
              <c16:uniqueId val="{00000002-0F21-485C-84F5-A43E5B281A61}"/>
            </c:ext>
          </c:extLst>
        </c:ser>
        <c:ser>
          <c:idx val="3"/>
          <c:order val="3"/>
          <c:tx>
            <c:strRef>
              <c:f>'Results + Figures'!$U$7</c:f>
              <c:strCache>
                <c:ptCount val="1"/>
                <c:pt idx="0">
                  <c:v>PDS3xTAM1</c:v>
                </c:pt>
              </c:strCache>
            </c:strRef>
          </c:tx>
          <c:spPr>
            <a:ln w="19050" cap="rnd">
              <a:solidFill>
                <a:srgbClr val="7030A0"/>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Figures'!$U$8:$U$38</c:f>
              <c:numCache>
                <c:formatCode>General</c:formatCode>
                <c:ptCount val="31"/>
                <c:pt idx="0">
                  <c:v>9.9999999999999995E-7</c:v>
                </c:pt>
                <c:pt idx="1">
                  <c:v>3.8513991284654878</c:v>
                </c:pt>
                <c:pt idx="2">
                  <c:v>8.0963992078032074</c:v>
                </c:pt>
                <c:pt idx="3">
                  <c:v>12.689861636660272</c:v>
                </c:pt>
                <c:pt idx="4">
                  <c:v>17.584805462062771</c:v>
                </c:pt>
                <c:pt idx="5">
                  <c:v>22.614975540980989</c:v>
                </c:pt>
                <c:pt idx="6">
                  <c:v>28.076165202300981</c:v>
                </c:pt>
                <c:pt idx="7">
                  <c:v>33.565144779192373</c:v>
                </c:pt>
                <c:pt idx="8">
                  <c:v>39.140513265122799</c:v>
                </c:pt>
                <c:pt idx="9">
                  <c:v>44.742294188223575</c:v>
                </c:pt>
                <c:pt idx="10">
                  <c:v>49.984884968137521</c:v>
                </c:pt>
                <c:pt idx="11">
                  <c:v>50.713278675405213</c:v>
                </c:pt>
                <c:pt idx="12">
                  <c:v>50.912452055899124</c:v>
                </c:pt>
                <c:pt idx="13">
                  <c:v>50.902652931841168</c:v>
                </c:pt>
                <c:pt idx="14">
                  <c:v>50.687888267983517</c:v>
                </c:pt>
                <c:pt idx="15">
                  <c:v>50.213862118671976</c:v>
                </c:pt>
                <c:pt idx="16">
                  <c:v>49.607453125247609</c:v>
                </c:pt>
                <c:pt idx="17">
                  <c:v>48.721092018895277</c:v>
                </c:pt>
                <c:pt idx="18">
                  <c:v>47.427604970830529</c:v>
                </c:pt>
                <c:pt idx="19">
                  <c:v>45.825629175136278</c:v>
                </c:pt>
                <c:pt idx="20">
                  <c:v>44.277369590268933</c:v>
                </c:pt>
                <c:pt idx="21">
                  <c:v>41.86784105717625</c:v>
                </c:pt>
                <c:pt idx="22">
                  <c:v>39.501930642614724</c:v>
                </c:pt>
                <c:pt idx="23">
                  <c:v>38.884605324649918</c:v>
                </c:pt>
                <c:pt idx="24">
                  <c:v>34.206367653491441</c:v>
                </c:pt>
                <c:pt idx="25">
                  <c:v>29.611590360336489</c:v>
                </c:pt>
                <c:pt idx="26">
                  <c:v>24.024398573976164</c:v>
                </c:pt>
                <c:pt idx="27">
                  <c:v>18.509650449724244</c:v>
                </c:pt>
                <c:pt idx="28">
                  <c:v>12.735442109400243</c:v>
                </c:pt>
                <c:pt idx="29">
                  <c:v>6.6771716764158038</c:v>
                </c:pt>
                <c:pt idx="30">
                  <c:v>0.52286846566689549</c:v>
                </c:pt>
              </c:numCache>
            </c:numRef>
          </c:val>
          <c:smooth val="0"/>
          <c:extLst>
            <c:ext xmlns:c16="http://schemas.microsoft.com/office/drawing/2014/chart" uri="{C3380CC4-5D6E-409C-BE32-E72D297353CC}">
              <c16:uniqueId val="{00000003-0F21-485C-84F5-A43E5B281A61}"/>
            </c:ext>
          </c:extLst>
        </c:ser>
        <c:dLbls>
          <c:showLegendKey val="0"/>
          <c:showVal val="0"/>
          <c:showCatName val="0"/>
          <c:showSerName val="0"/>
          <c:showPercent val="0"/>
          <c:showBubbleSize val="0"/>
        </c:dLbls>
        <c:smooth val="0"/>
        <c:axId val="534602200"/>
        <c:axId val="534601024"/>
      </c:lineChart>
      <c:catAx>
        <c:axId val="534602200"/>
        <c:scaling>
          <c:orientation val="minMax"/>
        </c:scaling>
        <c:delete val="0"/>
        <c:axPos val="b"/>
        <c:numFmt formatCode="General" sourceLinked="1"/>
        <c:majorTickMark val="in"/>
        <c:minorTickMark val="none"/>
        <c:tickLblPos val="nextTo"/>
        <c:spPr>
          <a:noFill/>
          <a:ln w="9525" cap="flat" cmpd="sng" algn="ctr">
            <a:solidFill>
              <a:schemeClr val="bg2">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601024"/>
        <c:crosses val="autoZero"/>
        <c:auto val="1"/>
        <c:lblAlgn val="ctr"/>
        <c:lblOffset val="100"/>
        <c:noMultiLvlLbl val="0"/>
      </c:catAx>
      <c:valAx>
        <c:axId val="5346010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Abatemet (Mt CH4)</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a:solidFill>
              <a:schemeClr val="bg2">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60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TAM</c:v>
          </c:tx>
          <c:spPr>
            <a:ln w="19050" cap="rnd">
              <a:solidFill>
                <a:schemeClr val="tx1">
                  <a:lumMod val="50000"/>
                  <a:lumOff val="50000"/>
                </a:schemeClr>
              </a:solidFill>
              <a:prstDash val="sysDash"/>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Figures'!$AI$8:$AI$38</c:f>
              <c:numCache>
                <c:formatCode>General</c:formatCode>
                <c:ptCount val="31"/>
                <c:pt idx="0">
                  <c:v>36.535800000000002</c:v>
                </c:pt>
                <c:pt idx="1">
                  <c:v>36.653657419354836</c:v>
                </c:pt>
                <c:pt idx="2">
                  <c:v>36.771514838709678</c:v>
                </c:pt>
                <c:pt idx="3">
                  <c:v>36.889372258064519</c:v>
                </c:pt>
                <c:pt idx="4">
                  <c:v>37.00722967741936</c:v>
                </c:pt>
                <c:pt idx="5">
                  <c:v>37.125087096774195</c:v>
                </c:pt>
                <c:pt idx="6">
                  <c:v>35.970084387096776</c:v>
                </c:pt>
                <c:pt idx="7">
                  <c:v>34.815081677419357</c:v>
                </c:pt>
                <c:pt idx="8">
                  <c:v>33.660078967741931</c:v>
                </c:pt>
                <c:pt idx="9">
                  <c:v>32.505076258064513</c:v>
                </c:pt>
                <c:pt idx="10">
                  <c:v>31.350073548387098</c:v>
                </c:pt>
                <c:pt idx="11">
                  <c:v>29.912213032258066</c:v>
                </c:pt>
                <c:pt idx="12">
                  <c:v>28.474352516129034</c:v>
                </c:pt>
                <c:pt idx="13">
                  <c:v>27.036492000000006</c:v>
                </c:pt>
                <c:pt idx="14">
                  <c:v>25.598631483870975</c:v>
                </c:pt>
                <c:pt idx="15">
                  <c:v>24.160770967741936</c:v>
                </c:pt>
                <c:pt idx="16">
                  <c:v>22.958625290322583</c:v>
                </c:pt>
                <c:pt idx="17">
                  <c:v>21.756479612903231</c:v>
                </c:pt>
                <c:pt idx="18">
                  <c:v>20.554333935483879</c:v>
                </c:pt>
                <c:pt idx="19">
                  <c:v>19.352188258064519</c:v>
                </c:pt>
                <c:pt idx="20">
                  <c:v>18.150042580645163</c:v>
                </c:pt>
                <c:pt idx="21">
                  <c:v>17.419326580645162</c:v>
                </c:pt>
                <c:pt idx="22">
                  <c:v>16.688610580645165</c:v>
                </c:pt>
                <c:pt idx="23">
                  <c:v>15.957894580645165</c:v>
                </c:pt>
                <c:pt idx="24">
                  <c:v>15.227178580645168</c:v>
                </c:pt>
                <c:pt idx="25">
                  <c:v>14.496462580645163</c:v>
                </c:pt>
                <c:pt idx="26">
                  <c:v>14.025032903225807</c:v>
                </c:pt>
                <c:pt idx="27">
                  <c:v>13.553603225806452</c:v>
                </c:pt>
                <c:pt idx="28">
                  <c:v>13.082173548387098</c:v>
                </c:pt>
                <c:pt idx="29">
                  <c:v>12.610743870967742</c:v>
                </c:pt>
                <c:pt idx="30">
                  <c:v>12.139314193548389</c:v>
                </c:pt>
              </c:numCache>
            </c:numRef>
          </c:val>
          <c:smooth val="0"/>
          <c:extLst>
            <c:ext xmlns:c16="http://schemas.microsoft.com/office/drawing/2014/chart" uri="{C3380CC4-5D6E-409C-BE32-E72D297353CC}">
              <c16:uniqueId val="{00000000-350C-49F9-8050-7A72745AC228}"/>
            </c:ext>
          </c:extLst>
        </c:ser>
        <c:ser>
          <c:idx val="1"/>
          <c:order val="1"/>
          <c:tx>
            <c:v>PDS1</c:v>
          </c:tx>
          <c:spPr>
            <a:ln w="19050" cap="rnd">
              <a:solidFill>
                <a:srgbClr val="E05955">
                  <a:alpha val="50000"/>
                </a:srgbClr>
              </a:solidFill>
              <a:prstDash val="solid"/>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Figures'!$AJ$8:$AJ$38</c:f>
              <c:numCache>
                <c:formatCode>General</c:formatCode>
                <c:ptCount val="31"/>
                <c:pt idx="0">
                  <c:v>9.9999999999999995E-7</c:v>
                </c:pt>
                <c:pt idx="1">
                  <c:v>1.5675036774193549</c:v>
                </c:pt>
                <c:pt idx="2">
                  <c:v>3.1350073548387098</c:v>
                </c:pt>
                <c:pt idx="3">
                  <c:v>4.7025110322580641</c:v>
                </c:pt>
                <c:pt idx="4">
                  <c:v>6.2700147096774197</c:v>
                </c:pt>
                <c:pt idx="5">
                  <c:v>7.8375183870967744</c:v>
                </c:pt>
                <c:pt idx="6">
                  <c:v>9.4050220645161282</c:v>
                </c:pt>
                <c:pt idx="7">
                  <c:v>10.972525741935483</c:v>
                </c:pt>
                <c:pt idx="8">
                  <c:v>12.540029419354839</c:v>
                </c:pt>
                <c:pt idx="9">
                  <c:v>14.107533096774194</c:v>
                </c:pt>
                <c:pt idx="10">
                  <c:v>15.675036774193549</c:v>
                </c:pt>
                <c:pt idx="11">
                  <c:v>17.242540451612903</c:v>
                </c:pt>
                <c:pt idx="12">
                  <c:v>18.810044129032256</c:v>
                </c:pt>
                <c:pt idx="13">
                  <c:v>20.377547806451613</c:v>
                </c:pt>
                <c:pt idx="14">
                  <c:v>21.945051483870966</c:v>
                </c:pt>
                <c:pt idx="15">
                  <c:v>23.512555161290322</c:v>
                </c:pt>
                <c:pt idx="16">
                  <c:v>22.958625290322583</c:v>
                </c:pt>
                <c:pt idx="17">
                  <c:v>21.756479612903231</c:v>
                </c:pt>
                <c:pt idx="18">
                  <c:v>20.554333935483879</c:v>
                </c:pt>
                <c:pt idx="19">
                  <c:v>19.352188258064519</c:v>
                </c:pt>
                <c:pt idx="20">
                  <c:v>18.150042580645163</c:v>
                </c:pt>
                <c:pt idx="21">
                  <c:v>17.419326580645162</c:v>
                </c:pt>
                <c:pt idx="22">
                  <c:v>16.688610580645165</c:v>
                </c:pt>
                <c:pt idx="23">
                  <c:v>15.957894580645165</c:v>
                </c:pt>
                <c:pt idx="24">
                  <c:v>15.227178580645168</c:v>
                </c:pt>
                <c:pt idx="25">
                  <c:v>14.496462580645163</c:v>
                </c:pt>
                <c:pt idx="26">
                  <c:v>14.025032903225807</c:v>
                </c:pt>
                <c:pt idx="27">
                  <c:v>13.553603225806452</c:v>
                </c:pt>
                <c:pt idx="28">
                  <c:v>13.082173548387098</c:v>
                </c:pt>
                <c:pt idx="29">
                  <c:v>12.610743870967742</c:v>
                </c:pt>
                <c:pt idx="30">
                  <c:v>12.139314193548389</c:v>
                </c:pt>
              </c:numCache>
            </c:numRef>
          </c:val>
          <c:smooth val="0"/>
          <c:extLst>
            <c:ext xmlns:c16="http://schemas.microsoft.com/office/drawing/2014/chart" uri="{C3380CC4-5D6E-409C-BE32-E72D297353CC}">
              <c16:uniqueId val="{00000001-350C-49F9-8050-7A72745AC228}"/>
            </c:ext>
          </c:extLst>
        </c:ser>
        <c:ser>
          <c:idx val="2"/>
          <c:order val="2"/>
          <c:tx>
            <c:v>PDS2</c:v>
          </c:tx>
          <c:spPr>
            <a:ln w="19050" cap="rnd">
              <a:solidFill>
                <a:srgbClr val="E05955">
                  <a:alpha val="75000"/>
                </a:srgbClr>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Figures'!$AK$8:$AK$38</c:f>
              <c:numCache>
                <c:formatCode>General</c:formatCode>
                <c:ptCount val="31"/>
                <c:pt idx="0">
                  <c:v>9.9999999999999995E-7</c:v>
                </c:pt>
                <c:pt idx="1">
                  <c:v>2.3512555161290325</c:v>
                </c:pt>
                <c:pt idx="2">
                  <c:v>4.702511032258065</c:v>
                </c:pt>
                <c:pt idx="3">
                  <c:v>7.0537665483870962</c:v>
                </c:pt>
                <c:pt idx="4">
                  <c:v>9.40502206451613</c:v>
                </c:pt>
                <c:pt idx="5">
                  <c:v>11.756277580645161</c:v>
                </c:pt>
                <c:pt idx="6">
                  <c:v>14.107533096774192</c:v>
                </c:pt>
                <c:pt idx="7">
                  <c:v>16.458788612903223</c:v>
                </c:pt>
                <c:pt idx="8">
                  <c:v>18.81004412903226</c:v>
                </c:pt>
                <c:pt idx="9">
                  <c:v>21.161299645161289</c:v>
                </c:pt>
                <c:pt idx="10">
                  <c:v>23.512555161290322</c:v>
                </c:pt>
                <c:pt idx="11">
                  <c:v>25.863810677419355</c:v>
                </c:pt>
                <c:pt idx="12">
                  <c:v>28.215066193548385</c:v>
                </c:pt>
                <c:pt idx="13">
                  <c:v>27.036492000000006</c:v>
                </c:pt>
                <c:pt idx="14">
                  <c:v>25.598631483870975</c:v>
                </c:pt>
                <c:pt idx="15">
                  <c:v>24.160770967741936</c:v>
                </c:pt>
                <c:pt idx="16">
                  <c:v>22.958625290322583</c:v>
                </c:pt>
                <c:pt idx="17">
                  <c:v>21.756479612903231</c:v>
                </c:pt>
                <c:pt idx="18">
                  <c:v>20.554333935483879</c:v>
                </c:pt>
                <c:pt idx="19">
                  <c:v>19.352188258064519</c:v>
                </c:pt>
                <c:pt idx="20">
                  <c:v>18.150042580645163</c:v>
                </c:pt>
                <c:pt idx="21">
                  <c:v>17.419326580645162</c:v>
                </c:pt>
                <c:pt idx="22">
                  <c:v>16.688610580645165</c:v>
                </c:pt>
                <c:pt idx="23">
                  <c:v>15.957894580645165</c:v>
                </c:pt>
                <c:pt idx="24">
                  <c:v>15.227178580645168</c:v>
                </c:pt>
                <c:pt idx="25">
                  <c:v>14.496462580645163</c:v>
                </c:pt>
                <c:pt idx="26">
                  <c:v>14.025032903225807</c:v>
                </c:pt>
                <c:pt idx="27">
                  <c:v>13.553603225806452</c:v>
                </c:pt>
                <c:pt idx="28">
                  <c:v>13.082173548387098</c:v>
                </c:pt>
                <c:pt idx="29">
                  <c:v>12.610743870967742</c:v>
                </c:pt>
                <c:pt idx="30">
                  <c:v>12.139314193548389</c:v>
                </c:pt>
              </c:numCache>
            </c:numRef>
          </c:val>
          <c:smooth val="0"/>
          <c:extLst>
            <c:ext xmlns:c16="http://schemas.microsoft.com/office/drawing/2014/chart" uri="{C3380CC4-5D6E-409C-BE32-E72D297353CC}">
              <c16:uniqueId val="{00000002-350C-49F9-8050-7A72745AC228}"/>
            </c:ext>
          </c:extLst>
        </c:ser>
        <c:ser>
          <c:idx val="3"/>
          <c:order val="3"/>
          <c:tx>
            <c:v>PDS3</c:v>
          </c:tx>
          <c:spPr>
            <a:ln w="19050" cap="rnd">
              <a:solidFill>
                <a:srgbClr val="E05955"/>
              </a:solidFill>
              <a:round/>
            </a:ln>
            <a:effectLst/>
          </c:spPr>
          <c:marker>
            <c:symbol val="none"/>
          </c:marker>
          <c:cat>
            <c:numRef>
              <c:f>'Results + Figures'!$B$8:$B$38</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numRef>
          </c:cat>
          <c:val>
            <c:numRef>
              <c:f>'Results + Figures'!$AL$8:$AL$38</c:f>
              <c:numCache>
                <c:formatCode>General</c:formatCode>
                <c:ptCount val="31"/>
                <c:pt idx="0">
                  <c:v>9.9999999999999995E-7</c:v>
                </c:pt>
                <c:pt idx="1">
                  <c:v>3.6653657419354837</c:v>
                </c:pt>
                <c:pt idx="2">
                  <c:v>7.354302967741936</c:v>
                </c:pt>
                <c:pt idx="3">
                  <c:v>11.066811677419356</c:v>
                </c:pt>
                <c:pt idx="4">
                  <c:v>14.802891870967745</c:v>
                </c:pt>
                <c:pt idx="5">
                  <c:v>18.562543548387097</c:v>
                </c:pt>
                <c:pt idx="6">
                  <c:v>21.582050632258063</c:v>
                </c:pt>
                <c:pt idx="7">
                  <c:v>24.37055717419355</c:v>
                </c:pt>
                <c:pt idx="8">
                  <c:v>26.928063174193547</c:v>
                </c:pt>
                <c:pt idx="9">
                  <c:v>29.254568632258064</c:v>
                </c:pt>
                <c:pt idx="10">
                  <c:v>31.350073548387098</c:v>
                </c:pt>
                <c:pt idx="11">
                  <c:v>29.912213032258066</c:v>
                </c:pt>
                <c:pt idx="12">
                  <c:v>28.474352516129034</c:v>
                </c:pt>
                <c:pt idx="13">
                  <c:v>27.036492000000006</c:v>
                </c:pt>
                <c:pt idx="14">
                  <c:v>25.598631483870975</c:v>
                </c:pt>
                <c:pt idx="15">
                  <c:v>24.160770967741936</c:v>
                </c:pt>
                <c:pt idx="16">
                  <c:v>22.958625290322583</c:v>
                </c:pt>
                <c:pt idx="17">
                  <c:v>21.756479612903231</c:v>
                </c:pt>
                <c:pt idx="18">
                  <c:v>20.554333935483879</c:v>
                </c:pt>
                <c:pt idx="19">
                  <c:v>19.352188258064519</c:v>
                </c:pt>
                <c:pt idx="20">
                  <c:v>18.150042580645163</c:v>
                </c:pt>
                <c:pt idx="21">
                  <c:v>17.419326580645162</c:v>
                </c:pt>
                <c:pt idx="22">
                  <c:v>16.688610580645165</c:v>
                </c:pt>
                <c:pt idx="23">
                  <c:v>15.957894580645165</c:v>
                </c:pt>
                <c:pt idx="24">
                  <c:v>15.227178580645168</c:v>
                </c:pt>
                <c:pt idx="25">
                  <c:v>14.496462580645163</c:v>
                </c:pt>
                <c:pt idx="26">
                  <c:v>14.025032903225807</c:v>
                </c:pt>
                <c:pt idx="27">
                  <c:v>13.553603225806452</c:v>
                </c:pt>
                <c:pt idx="28">
                  <c:v>13.082173548387098</c:v>
                </c:pt>
                <c:pt idx="29">
                  <c:v>12.610743870967742</c:v>
                </c:pt>
                <c:pt idx="30">
                  <c:v>12.139314193548389</c:v>
                </c:pt>
              </c:numCache>
            </c:numRef>
          </c:val>
          <c:smooth val="0"/>
          <c:extLst>
            <c:ext xmlns:c16="http://schemas.microsoft.com/office/drawing/2014/chart" uri="{C3380CC4-5D6E-409C-BE32-E72D297353CC}">
              <c16:uniqueId val="{00000003-350C-49F9-8050-7A72745AC228}"/>
            </c:ext>
          </c:extLst>
        </c:ser>
        <c:dLbls>
          <c:showLegendKey val="0"/>
          <c:showVal val="0"/>
          <c:showCatName val="0"/>
          <c:showSerName val="0"/>
          <c:showPercent val="0"/>
          <c:showBubbleSize val="0"/>
        </c:dLbls>
        <c:smooth val="0"/>
        <c:axId val="534600632"/>
        <c:axId val="534601416"/>
      </c:lineChart>
      <c:catAx>
        <c:axId val="534600632"/>
        <c:scaling>
          <c:orientation val="minMax"/>
        </c:scaling>
        <c:delete val="0"/>
        <c:axPos val="b"/>
        <c:numFmt formatCode="General" sourceLinked="1"/>
        <c:majorTickMark val="in"/>
        <c:minorTickMark val="none"/>
        <c:tickLblPos val="nextTo"/>
        <c:spPr>
          <a:noFill/>
          <a:ln w="9525" cap="flat" cmpd="sng" algn="ctr">
            <a:solidFill>
              <a:schemeClr val="bg2">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601416"/>
        <c:crosses val="autoZero"/>
        <c:auto val="1"/>
        <c:lblAlgn val="ctr"/>
        <c:lblOffset val="100"/>
        <c:noMultiLvlLbl val="0"/>
      </c:catAx>
      <c:valAx>
        <c:axId val="5346014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Abatement (Mt CH4)</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a:solidFill>
              <a:schemeClr val="bg2">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600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04EEA663-1F69-4302-BC7D-9A43DFB2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2</TotalTime>
  <Pages>12</Pages>
  <Words>38114</Words>
  <Characters>217256</Characters>
  <Application>Microsoft Office Word</Application>
  <DocSecurity>0</DocSecurity>
  <Lines>1810</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4</cp:revision>
  <cp:lastPrinted>2018-07-24T17:02:00Z</cp:lastPrinted>
  <dcterms:created xsi:type="dcterms:W3CDTF">2021-06-30T22:47:00Z</dcterms:created>
  <dcterms:modified xsi:type="dcterms:W3CDTF">2021-11-30T21:01:00Z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zotero-version="5.0.96.2"&gt;&lt;session id="Yxjnopjm"/&gt;&lt;style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 name="dontAskDelayCitationUpdates" value="true"/&gt;&lt;/prefs&gt;&lt;/data&gt;</vt:lpwstr>
  </property>
</Properties>
</file>