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1741806D">
                <wp:simplePos x="0" y="0"/>
                <wp:positionH relativeFrom="page">
                  <wp:posOffset>36214</wp:posOffset>
                </wp:positionH>
                <wp:positionV relativeFrom="page">
                  <wp:posOffset>1018515</wp:posOffset>
                </wp:positionV>
                <wp:extent cx="7671435" cy="8863342"/>
                <wp:effectExtent l="0" t="0" r="0" b="13970"/>
                <wp:wrapSquare wrapText="bothSides"/>
                <wp:docPr id="154" name="Text Box 154"/>
                <wp:cNvGraphicFramePr/>
                <a:graphic xmlns:a="http://schemas.openxmlformats.org/drawingml/2006/main">
                  <a:graphicData uri="http://schemas.microsoft.com/office/word/2010/wordprocessingShape">
                    <wps:wsp>
                      <wps:cNvSpPr txBox="1"/>
                      <wps:spPr>
                        <a:xfrm>
                          <a:off x="0" y="0"/>
                          <a:ext cx="7671435" cy="8863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9432C9" w:rsidRPr="00E91BE1" w:rsidRDefault="009432C9"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0E5B705C" w:rsidR="009432C9" w:rsidRPr="00E91BE1" w:rsidRDefault="009432C9"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Forest Protection</w:t>
                            </w:r>
                          </w:p>
                          <w:p w14:paraId="7651F643" w14:textId="77777777" w:rsidR="009432C9" w:rsidRDefault="009432C9" w:rsidP="00FB2C53">
                            <w:pPr>
                              <w:spacing w:line="240" w:lineRule="auto"/>
                              <w:jc w:val="center"/>
                              <w:rPr>
                                <w:rFonts w:cs="Times New Roman"/>
                                <w:smallCaps/>
                                <w:color w:val="404040" w:themeColor="text1" w:themeTint="BF"/>
                                <w:sz w:val="36"/>
                                <w:szCs w:val="36"/>
                              </w:rPr>
                            </w:pPr>
                          </w:p>
                          <w:p w14:paraId="3D78C005" w14:textId="77777777" w:rsidR="009432C9" w:rsidRDefault="009432C9" w:rsidP="00FB2C53">
                            <w:pPr>
                              <w:spacing w:line="240" w:lineRule="auto"/>
                              <w:jc w:val="center"/>
                              <w:rPr>
                                <w:rFonts w:cs="Times New Roman"/>
                                <w:smallCaps/>
                                <w:color w:val="404040" w:themeColor="text1" w:themeTint="BF"/>
                                <w:sz w:val="36"/>
                                <w:szCs w:val="36"/>
                              </w:rPr>
                            </w:pPr>
                          </w:p>
                          <w:p w14:paraId="6B453D8A" w14:textId="77777777" w:rsidR="009432C9" w:rsidRDefault="009432C9" w:rsidP="00FB2C53">
                            <w:pPr>
                              <w:spacing w:line="240" w:lineRule="auto"/>
                              <w:jc w:val="center"/>
                              <w:rPr>
                                <w:rFonts w:cs="Times New Roman"/>
                                <w:smallCaps/>
                                <w:color w:val="404040" w:themeColor="text1" w:themeTint="BF"/>
                                <w:sz w:val="36"/>
                                <w:szCs w:val="36"/>
                              </w:rPr>
                            </w:pPr>
                          </w:p>
                          <w:p w14:paraId="626C1E0A" w14:textId="77777777" w:rsidR="009432C9" w:rsidRDefault="009432C9" w:rsidP="00FB2C53">
                            <w:pPr>
                              <w:spacing w:line="240" w:lineRule="auto"/>
                              <w:jc w:val="center"/>
                              <w:rPr>
                                <w:rFonts w:cs="Times New Roman"/>
                                <w:smallCaps/>
                                <w:color w:val="404040" w:themeColor="text1" w:themeTint="BF"/>
                                <w:sz w:val="36"/>
                                <w:szCs w:val="36"/>
                              </w:rPr>
                            </w:pPr>
                          </w:p>
                          <w:p w14:paraId="4699D449" w14:textId="276612BB" w:rsidR="009432C9" w:rsidRPr="00E91BE1" w:rsidRDefault="009432C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06CE905C" w:rsidR="009432C9" w:rsidRPr="00E91BE1" w:rsidRDefault="009432C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Government</w:t>
                            </w:r>
                          </w:p>
                          <w:p w14:paraId="29D510C4" w14:textId="0F078856" w:rsidR="009432C9" w:rsidRPr="00E91BE1" w:rsidRDefault="009432C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Avoided Deforestation, Ecosystem Protection </w:t>
                            </w:r>
                          </w:p>
                          <w:p w14:paraId="6DF0E7C6" w14:textId="77777777" w:rsidR="009432C9" w:rsidRDefault="009432C9" w:rsidP="00FB2C53"/>
                          <w:p w14:paraId="4DF87617" w14:textId="77777777" w:rsidR="009432C9" w:rsidRDefault="009432C9" w:rsidP="00FB2C53"/>
                          <w:p w14:paraId="4FD71E35" w14:textId="77777777" w:rsidR="009432C9" w:rsidRDefault="009432C9" w:rsidP="00FB2C53"/>
                          <w:p w14:paraId="0AAEA688" w14:textId="77777777" w:rsidR="009432C9" w:rsidRDefault="009432C9" w:rsidP="00FB2C53"/>
                          <w:p w14:paraId="693769A0" w14:textId="753ABE67" w:rsidR="009432C9" w:rsidRPr="00E91BE1" w:rsidRDefault="009432C9"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9432C9" w:rsidRPr="000829DC" w:rsidRDefault="009432C9" w:rsidP="00FB2C53"/>
                          <w:p w14:paraId="4BB1447A" w14:textId="77777777" w:rsidR="009432C9" w:rsidRDefault="009432C9" w:rsidP="00FB2C53"/>
                          <w:p w14:paraId="19A46AA7" w14:textId="77777777" w:rsidR="009432C9" w:rsidRDefault="009432C9" w:rsidP="00FB2C53"/>
                          <w:p w14:paraId="2120AE6B" w14:textId="77777777" w:rsidR="009432C9" w:rsidRDefault="009432C9" w:rsidP="00FB2C53"/>
                          <w:p w14:paraId="1981D31A" w14:textId="77777777" w:rsidR="009432C9" w:rsidRPr="00E91BE1" w:rsidRDefault="009432C9"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F12646C" w14:textId="0773731E" w:rsidR="009432C9" w:rsidRDefault="009432C9"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 xml:space="preserve">Ryan </w:t>
                            </w:r>
                            <w:proofErr w:type="spellStart"/>
                            <w:r>
                              <w:rPr>
                                <w:rFonts w:cs="Times New Roman"/>
                                <w:smallCaps/>
                                <w:color w:val="404040" w:themeColor="text1" w:themeTint="BF"/>
                                <w:sz w:val="28"/>
                                <w:szCs w:val="28"/>
                              </w:rPr>
                              <w:t>Hottle</w:t>
                            </w:r>
                            <w:proofErr w:type="spellEnd"/>
                            <w:r>
                              <w:rPr>
                                <w:rFonts w:cs="Times New Roman"/>
                                <w:smallCaps/>
                                <w:color w:val="404040" w:themeColor="text1" w:themeTint="BF"/>
                                <w:sz w:val="28"/>
                                <w:szCs w:val="28"/>
                              </w:rPr>
                              <w:t>, Senior Fellow</w:t>
                            </w:r>
                          </w:p>
                          <w:p w14:paraId="108214F6" w14:textId="77777C6D" w:rsidR="009432C9" w:rsidRDefault="009432C9"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Mamta Mehra, Senior Fellow</w:t>
                            </w:r>
                          </w:p>
                          <w:p w14:paraId="375B0CD7" w14:textId="332E57D5" w:rsidR="009432C9" w:rsidRPr="00E91BE1" w:rsidRDefault="009432C9"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Jimena Alvarez, Research Fellow</w:t>
                            </w:r>
                          </w:p>
                          <w:p w14:paraId="6C4588F0" w14:textId="77777777" w:rsidR="009432C9" w:rsidRPr="00EB247F" w:rsidRDefault="009432C9" w:rsidP="000829DC">
                            <w:pPr>
                              <w:rPr>
                                <w:rFonts w:cs="Times New Roman"/>
                                <w:smallCaps/>
                                <w:color w:val="404040" w:themeColor="text1" w:themeTint="BF"/>
                              </w:rPr>
                            </w:pPr>
                          </w:p>
                          <w:p w14:paraId="4481356F" w14:textId="6C098178" w:rsidR="009432C9" w:rsidRPr="00EB247F" w:rsidRDefault="009432C9"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9432C9" w:rsidRPr="00E6531F" w:rsidRDefault="009432C9"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9432C9" w:rsidRPr="00E6531F" w:rsidRDefault="009432C9" w:rsidP="00C81D94">
                            <w:pPr>
                              <w:rPr>
                                <w:rFonts w:cs="Times New Roman"/>
                                <w:smallCaps/>
                                <w:color w:val="404040" w:themeColor="text1" w:themeTint="BF"/>
                                <w:sz w:val="36"/>
                                <w:szCs w:val="36"/>
                                <w:lang w:val="pt-PT"/>
                              </w:rPr>
                            </w:pPr>
                          </w:p>
                          <w:p w14:paraId="3D97FBF6" w14:textId="77777777" w:rsidR="009432C9" w:rsidRPr="00E6531F" w:rsidRDefault="009432C9"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2.85pt;margin-top:80.2pt;width:604.05pt;height:697.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" filled="f" stroked="f" strokeweight=".5pt">
                <v:textbox inset=",0,54pt,0">
                  <w:txbxContent>
                    <w:p w14:paraId="3A69A438" w14:textId="77777777" w:rsidR="009432C9" w:rsidRPr="00E91BE1" w:rsidRDefault="009432C9"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0E5B705C" w:rsidR="009432C9" w:rsidRPr="00E91BE1" w:rsidRDefault="009432C9"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Forest Protection</w:t>
                      </w:r>
                    </w:p>
                    <w:p w14:paraId="7651F643" w14:textId="77777777" w:rsidR="009432C9" w:rsidRDefault="009432C9" w:rsidP="00FB2C53">
                      <w:pPr>
                        <w:spacing w:line="240" w:lineRule="auto"/>
                        <w:jc w:val="center"/>
                        <w:rPr>
                          <w:rFonts w:cs="Times New Roman"/>
                          <w:smallCaps/>
                          <w:color w:val="404040" w:themeColor="text1" w:themeTint="BF"/>
                          <w:sz w:val="36"/>
                          <w:szCs w:val="36"/>
                        </w:rPr>
                      </w:pPr>
                    </w:p>
                    <w:p w14:paraId="3D78C005" w14:textId="77777777" w:rsidR="009432C9" w:rsidRDefault="009432C9" w:rsidP="00FB2C53">
                      <w:pPr>
                        <w:spacing w:line="240" w:lineRule="auto"/>
                        <w:jc w:val="center"/>
                        <w:rPr>
                          <w:rFonts w:cs="Times New Roman"/>
                          <w:smallCaps/>
                          <w:color w:val="404040" w:themeColor="text1" w:themeTint="BF"/>
                          <w:sz w:val="36"/>
                          <w:szCs w:val="36"/>
                        </w:rPr>
                      </w:pPr>
                    </w:p>
                    <w:p w14:paraId="6B453D8A" w14:textId="77777777" w:rsidR="009432C9" w:rsidRDefault="009432C9" w:rsidP="00FB2C53">
                      <w:pPr>
                        <w:spacing w:line="240" w:lineRule="auto"/>
                        <w:jc w:val="center"/>
                        <w:rPr>
                          <w:rFonts w:cs="Times New Roman"/>
                          <w:smallCaps/>
                          <w:color w:val="404040" w:themeColor="text1" w:themeTint="BF"/>
                          <w:sz w:val="36"/>
                          <w:szCs w:val="36"/>
                        </w:rPr>
                      </w:pPr>
                    </w:p>
                    <w:p w14:paraId="626C1E0A" w14:textId="77777777" w:rsidR="009432C9" w:rsidRDefault="009432C9" w:rsidP="00FB2C53">
                      <w:pPr>
                        <w:spacing w:line="240" w:lineRule="auto"/>
                        <w:jc w:val="center"/>
                        <w:rPr>
                          <w:rFonts w:cs="Times New Roman"/>
                          <w:smallCaps/>
                          <w:color w:val="404040" w:themeColor="text1" w:themeTint="BF"/>
                          <w:sz w:val="36"/>
                          <w:szCs w:val="36"/>
                        </w:rPr>
                      </w:pPr>
                    </w:p>
                    <w:p w14:paraId="4699D449" w14:textId="276612BB" w:rsidR="009432C9" w:rsidRPr="00E91BE1" w:rsidRDefault="009432C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06CE905C" w:rsidR="009432C9" w:rsidRPr="00E91BE1" w:rsidRDefault="009432C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Government</w:t>
                      </w:r>
                    </w:p>
                    <w:p w14:paraId="29D510C4" w14:textId="0F078856" w:rsidR="009432C9" w:rsidRPr="00E91BE1" w:rsidRDefault="009432C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Avoided Deforestation, Ecosystem Protection </w:t>
                      </w:r>
                    </w:p>
                    <w:p w14:paraId="6DF0E7C6" w14:textId="77777777" w:rsidR="009432C9" w:rsidRDefault="009432C9" w:rsidP="00FB2C53"/>
                    <w:p w14:paraId="4DF87617" w14:textId="77777777" w:rsidR="009432C9" w:rsidRDefault="009432C9" w:rsidP="00FB2C53"/>
                    <w:p w14:paraId="4FD71E35" w14:textId="77777777" w:rsidR="009432C9" w:rsidRDefault="009432C9" w:rsidP="00FB2C53"/>
                    <w:p w14:paraId="0AAEA688" w14:textId="77777777" w:rsidR="009432C9" w:rsidRDefault="009432C9" w:rsidP="00FB2C53"/>
                    <w:p w14:paraId="693769A0" w14:textId="753ABE67" w:rsidR="009432C9" w:rsidRPr="00E91BE1" w:rsidRDefault="009432C9"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9432C9" w:rsidRPr="000829DC" w:rsidRDefault="009432C9" w:rsidP="00FB2C53"/>
                    <w:p w14:paraId="4BB1447A" w14:textId="77777777" w:rsidR="009432C9" w:rsidRDefault="009432C9" w:rsidP="00FB2C53"/>
                    <w:p w14:paraId="19A46AA7" w14:textId="77777777" w:rsidR="009432C9" w:rsidRDefault="009432C9" w:rsidP="00FB2C53"/>
                    <w:p w14:paraId="2120AE6B" w14:textId="77777777" w:rsidR="009432C9" w:rsidRDefault="009432C9" w:rsidP="00FB2C53"/>
                    <w:p w14:paraId="1981D31A" w14:textId="77777777" w:rsidR="009432C9" w:rsidRPr="00E91BE1" w:rsidRDefault="009432C9"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F12646C" w14:textId="0773731E" w:rsidR="009432C9" w:rsidRDefault="009432C9"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 xml:space="preserve">Ryan </w:t>
                      </w:r>
                      <w:proofErr w:type="spellStart"/>
                      <w:r>
                        <w:rPr>
                          <w:rFonts w:cs="Times New Roman"/>
                          <w:smallCaps/>
                          <w:color w:val="404040" w:themeColor="text1" w:themeTint="BF"/>
                          <w:sz w:val="28"/>
                          <w:szCs w:val="28"/>
                        </w:rPr>
                        <w:t>Hottle</w:t>
                      </w:r>
                      <w:proofErr w:type="spellEnd"/>
                      <w:r>
                        <w:rPr>
                          <w:rFonts w:cs="Times New Roman"/>
                          <w:smallCaps/>
                          <w:color w:val="404040" w:themeColor="text1" w:themeTint="BF"/>
                          <w:sz w:val="28"/>
                          <w:szCs w:val="28"/>
                        </w:rPr>
                        <w:t>, Senior Fellow</w:t>
                      </w:r>
                    </w:p>
                    <w:p w14:paraId="108214F6" w14:textId="77777C6D" w:rsidR="009432C9" w:rsidRDefault="009432C9"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Mamta Mehra, Senior Fellow</w:t>
                      </w:r>
                    </w:p>
                    <w:p w14:paraId="375B0CD7" w14:textId="332E57D5" w:rsidR="009432C9" w:rsidRPr="00E91BE1" w:rsidRDefault="009432C9"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Jimena Alvarez, Research Fellow</w:t>
                      </w:r>
                    </w:p>
                    <w:p w14:paraId="6C4588F0" w14:textId="77777777" w:rsidR="009432C9" w:rsidRPr="00EB247F" w:rsidRDefault="009432C9" w:rsidP="000829DC">
                      <w:pPr>
                        <w:rPr>
                          <w:rFonts w:cs="Times New Roman"/>
                          <w:smallCaps/>
                          <w:color w:val="404040" w:themeColor="text1" w:themeTint="BF"/>
                        </w:rPr>
                      </w:pPr>
                    </w:p>
                    <w:p w14:paraId="4481356F" w14:textId="6C098178" w:rsidR="009432C9" w:rsidRPr="00EB247F" w:rsidRDefault="009432C9"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9432C9" w:rsidRPr="00E6531F" w:rsidRDefault="009432C9"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9432C9" w:rsidRPr="00E6531F" w:rsidRDefault="009432C9" w:rsidP="00C81D94">
                      <w:pPr>
                        <w:rPr>
                          <w:rFonts w:cs="Times New Roman"/>
                          <w:smallCaps/>
                          <w:color w:val="404040" w:themeColor="text1" w:themeTint="BF"/>
                          <w:sz w:val="36"/>
                          <w:szCs w:val="36"/>
                          <w:lang w:val="pt-PT"/>
                        </w:rPr>
                      </w:pPr>
                    </w:p>
                    <w:p w14:paraId="3D97FBF6" w14:textId="77777777" w:rsidR="009432C9" w:rsidRPr="00E6531F" w:rsidRDefault="009432C9"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imes New Roman" w:eastAsiaTheme="minorEastAsia" w:hAnsi="Times New Roman" w:cstheme="minorBidi"/>
          <w:color w:val="auto"/>
          <w:sz w:val="22"/>
          <w:szCs w:val="22"/>
        </w:rPr>
        <w:id w:val="289562643"/>
        <w:docPartObj>
          <w:docPartGallery w:val="Table of Contents"/>
          <w:docPartUnique/>
        </w:docPartObj>
      </w:sdtPr>
      <w:sdtEndPr>
        <w:rPr>
          <w:b w:val="0"/>
          <w:bCs w:val="0"/>
          <w:smallCaps w:val="0"/>
          <w:noProof/>
        </w:rPr>
      </w:sdtEndPr>
      <w:sdtContent>
        <w:p w14:paraId="5B84F07F" w14:textId="6C86C0DA" w:rsidR="0048018A" w:rsidRDefault="0048018A" w:rsidP="009432C9">
          <w:pPr>
            <w:pStyle w:val="Heading1"/>
            <w:numPr>
              <w:ilvl w:val="0"/>
              <w:numId w:val="0"/>
            </w:numPr>
            <w:ind w:left="720" w:hanging="360"/>
          </w:pPr>
          <w:r>
            <w:t>Contents</w:t>
          </w:r>
        </w:p>
        <w:p w14:paraId="08FBD1F9" w14:textId="1241BD91" w:rsidR="0048018A" w:rsidRPr="0048018A" w:rsidRDefault="0048018A" w:rsidP="0048018A">
          <w:pPr>
            <w:pStyle w:val="TOC1"/>
            <w:tabs>
              <w:tab w:val="clear" w:pos="440"/>
              <w:tab w:val="right" w:leader="dot" w:pos="9350"/>
            </w:tabs>
            <w:jc w:val="left"/>
            <w:rPr>
              <w:rStyle w:val="Hyperlink"/>
            </w:rPr>
          </w:pPr>
          <w:r w:rsidRPr="0048018A">
            <w:rPr>
              <w:rStyle w:val="Hyperlink"/>
              <w:noProof/>
            </w:rPr>
            <w:fldChar w:fldCharType="begin"/>
          </w:r>
          <w:r w:rsidRPr="0048018A">
            <w:rPr>
              <w:rStyle w:val="Hyperlink"/>
              <w:noProof/>
            </w:rPr>
            <w:instrText xml:space="preserve"> TOC \o "1-3" \h \z \u </w:instrText>
          </w:r>
          <w:r w:rsidRPr="0048018A">
            <w:rPr>
              <w:rStyle w:val="Hyperlink"/>
              <w:noProof/>
            </w:rPr>
            <w:fldChar w:fldCharType="separate"/>
          </w:r>
          <w:hyperlink w:anchor="_Toc18239985" w:history="1">
            <w:r w:rsidRPr="00682579">
              <w:rPr>
                <w:rStyle w:val="Hyperlink"/>
                <w:noProof/>
              </w:rPr>
              <w:t>List of Figures</w:t>
            </w:r>
            <w:r w:rsidRPr="0048018A">
              <w:rPr>
                <w:rStyle w:val="Hyperlink"/>
                <w:webHidden/>
              </w:rPr>
              <w:tab/>
            </w:r>
            <w:r w:rsidRPr="0048018A">
              <w:rPr>
                <w:rStyle w:val="Hyperlink"/>
                <w:webHidden/>
              </w:rPr>
              <w:fldChar w:fldCharType="begin"/>
            </w:r>
            <w:r w:rsidRPr="0048018A">
              <w:rPr>
                <w:rStyle w:val="Hyperlink"/>
                <w:webHidden/>
              </w:rPr>
              <w:instrText xml:space="preserve"> PAGEREF _Toc18239985 \h </w:instrText>
            </w:r>
            <w:r w:rsidRPr="0048018A">
              <w:rPr>
                <w:rStyle w:val="Hyperlink"/>
                <w:webHidden/>
              </w:rPr>
            </w:r>
            <w:r w:rsidRPr="0048018A">
              <w:rPr>
                <w:rStyle w:val="Hyperlink"/>
                <w:webHidden/>
              </w:rPr>
              <w:fldChar w:fldCharType="separate"/>
            </w:r>
            <w:r w:rsidR="00E26324">
              <w:rPr>
                <w:rStyle w:val="Hyperlink"/>
                <w:noProof/>
                <w:webHidden/>
              </w:rPr>
              <w:t>4</w:t>
            </w:r>
            <w:r w:rsidRPr="0048018A">
              <w:rPr>
                <w:rStyle w:val="Hyperlink"/>
                <w:webHidden/>
              </w:rPr>
              <w:fldChar w:fldCharType="end"/>
            </w:r>
          </w:hyperlink>
        </w:p>
        <w:p w14:paraId="3FB2E099" w14:textId="5398680B" w:rsidR="0048018A" w:rsidRPr="0048018A" w:rsidRDefault="009432C9" w:rsidP="0048018A">
          <w:pPr>
            <w:pStyle w:val="TOC1"/>
            <w:tabs>
              <w:tab w:val="clear" w:pos="440"/>
              <w:tab w:val="right" w:leader="dot" w:pos="9350"/>
            </w:tabs>
            <w:jc w:val="left"/>
            <w:rPr>
              <w:rStyle w:val="Hyperlink"/>
            </w:rPr>
          </w:pPr>
          <w:hyperlink w:anchor="_Toc18239986" w:history="1">
            <w:r w:rsidR="0048018A" w:rsidRPr="00682579">
              <w:rPr>
                <w:rStyle w:val="Hyperlink"/>
                <w:noProof/>
              </w:rPr>
              <w:t>List of Tables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_Toc18239986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4</w:t>
            </w:r>
            <w:r w:rsidR="0048018A" w:rsidRPr="0048018A">
              <w:rPr>
                <w:rStyle w:val="Hyperlink"/>
                <w:webHidden/>
              </w:rPr>
              <w:fldChar w:fldCharType="end"/>
            </w:r>
          </w:hyperlink>
        </w:p>
        <w:p w14:paraId="4C5F2EB0" w14:textId="598E0271" w:rsidR="0048018A" w:rsidRPr="0048018A" w:rsidRDefault="009432C9" w:rsidP="0048018A">
          <w:pPr>
            <w:pStyle w:val="TOC1"/>
            <w:tabs>
              <w:tab w:val="clear" w:pos="440"/>
              <w:tab w:val="right" w:leader="dot" w:pos="9350"/>
            </w:tabs>
            <w:jc w:val="left"/>
            <w:rPr>
              <w:rStyle w:val="Hyperlink"/>
            </w:rPr>
          </w:pPr>
          <w:hyperlink w:anchor="_Toc18239987" w:history="1">
            <w:r w:rsidR="0048018A" w:rsidRPr="00682579">
              <w:rPr>
                <w:rStyle w:val="Hyperlink"/>
                <w:noProof/>
              </w:rPr>
              <w:t>Acronyms and Symbols Used</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_Toc18239987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5</w:t>
            </w:r>
            <w:r w:rsidR="0048018A" w:rsidRPr="0048018A">
              <w:rPr>
                <w:rStyle w:val="Hyperlink"/>
                <w:webHidden/>
              </w:rPr>
              <w:fldChar w:fldCharType="end"/>
            </w:r>
          </w:hyperlink>
        </w:p>
        <w:p w14:paraId="7A8EFF5C" w14:textId="095657B9" w:rsidR="0048018A" w:rsidRPr="0048018A" w:rsidRDefault="009432C9" w:rsidP="0048018A">
          <w:pPr>
            <w:pStyle w:val="TOC1"/>
            <w:tabs>
              <w:tab w:val="clear" w:pos="440"/>
              <w:tab w:val="right" w:leader="dot" w:pos="9350"/>
            </w:tabs>
            <w:jc w:val="left"/>
            <w:rPr>
              <w:rStyle w:val="Hyperlink"/>
            </w:rPr>
          </w:pPr>
          <w:hyperlink w:anchor="_Toc18239988" w:history="1">
            <w:r w:rsidR="0048018A" w:rsidRPr="00682579">
              <w:rPr>
                <w:rStyle w:val="Hyperlink"/>
                <w:noProof/>
              </w:rPr>
              <w:t>Executive Summary</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_Toc18239988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6</w:t>
            </w:r>
            <w:r w:rsidR="0048018A" w:rsidRPr="0048018A">
              <w:rPr>
                <w:rStyle w:val="Hyperlink"/>
                <w:webHidden/>
              </w:rPr>
              <w:fldChar w:fldCharType="end"/>
            </w:r>
          </w:hyperlink>
        </w:p>
        <w:p w14:paraId="5AE75C10" w14:textId="77507A4F" w:rsidR="0048018A" w:rsidRPr="0048018A" w:rsidRDefault="009432C9" w:rsidP="0048018A">
          <w:pPr>
            <w:pStyle w:val="TOC1"/>
            <w:tabs>
              <w:tab w:val="clear" w:pos="440"/>
              <w:tab w:val="right" w:leader="dot" w:pos="9350"/>
            </w:tabs>
            <w:jc w:val="left"/>
            <w:rPr>
              <w:rStyle w:val="Hyperlink"/>
            </w:rPr>
          </w:pPr>
          <w:hyperlink w:anchor="_Toc18239989" w:history="1">
            <w:r w:rsidR="0048018A" w:rsidRPr="00682579">
              <w:rPr>
                <w:rStyle w:val="Hyperlink"/>
                <w:noProof/>
              </w:rPr>
              <w:t>Literature Review</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_Toc18239989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7</w:t>
            </w:r>
            <w:r w:rsidR="0048018A" w:rsidRPr="0048018A">
              <w:rPr>
                <w:rStyle w:val="Hyperlink"/>
                <w:webHidden/>
              </w:rPr>
              <w:fldChar w:fldCharType="end"/>
            </w:r>
          </w:hyperlink>
        </w:p>
        <w:p w14:paraId="78C3C486" w14:textId="3FFEC5E4" w:rsidR="0048018A" w:rsidRPr="0048018A" w:rsidRDefault="009432C9" w:rsidP="0048018A">
          <w:pPr>
            <w:pStyle w:val="TOC1"/>
            <w:numPr>
              <w:ilvl w:val="1"/>
              <w:numId w:val="11"/>
            </w:numPr>
            <w:tabs>
              <w:tab w:val="clear" w:pos="440"/>
              <w:tab w:val="right" w:leader="dot" w:pos="9350"/>
            </w:tabs>
            <w:jc w:val="left"/>
            <w:rPr>
              <w:rStyle w:val="Hyperlink"/>
            </w:rPr>
          </w:pPr>
          <w:hyperlink w:anchor="_Toc18239990" w:history="1">
            <w:r w:rsidR="0048018A" w:rsidRPr="00682579">
              <w:rPr>
                <w:rStyle w:val="Hyperlink"/>
                <w:noProof/>
              </w:rPr>
              <w:t>State of Forest Protection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_Toc18239990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7</w:t>
            </w:r>
            <w:r w:rsidR="0048018A" w:rsidRPr="0048018A">
              <w:rPr>
                <w:rStyle w:val="Hyperlink"/>
                <w:webHidden/>
              </w:rPr>
              <w:fldChar w:fldCharType="end"/>
            </w:r>
          </w:hyperlink>
        </w:p>
        <w:p w14:paraId="09574C68" w14:textId="473873B3" w:rsidR="0048018A" w:rsidRPr="0048018A" w:rsidRDefault="009432C9" w:rsidP="0048018A">
          <w:pPr>
            <w:pStyle w:val="TOC1"/>
            <w:tabs>
              <w:tab w:val="clear" w:pos="440"/>
              <w:tab w:val="right" w:leader="dot" w:pos="9350"/>
            </w:tabs>
            <w:jc w:val="left"/>
            <w:rPr>
              <w:rStyle w:val="Hyperlink"/>
            </w:rPr>
          </w:pPr>
          <w:hyperlink w:anchor="_Toc18239991" w:history="1">
            <w:r w:rsidR="0048018A" w:rsidRPr="00682579">
              <w:rPr>
                <w:rStyle w:val="Hyperlink"/>
                <w:noProof/>
              </w:rPr>
              <w:t>1.2.</w:t>
            </w:r>
            <w:r w:rsidR="0048018A">
              <w:rPr>
                <w:rStyle w:val="Hyperlink"/>
              </w:rPr>
              <w:t xml:space="preserve"> </w:t>
            </w:r>
            <w:r w:rsidR="0048018A" w:rsidRPr="00682579">
              <w:rPr>
                <w:rStyle w:val="Hyperlink"/>
                <w:noProof/>
              </w:rPr>
              <w:t>Adoption Path</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_Toc18239991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12</w:t>
            </w:r>
            <w:r w:rsidR="0048018A" w:rsidRPr="0048018A">
              <w:rPr>
                <w:rStyle w:val="Hyperlink"/>
                <w:webHidden/>
              </w:rPr>
              <w:fldChar w:fldCharType="end"/>
            </w:r>
          </w:hyperlink>
        </w:p>
        <w:p w14:paraId="751AF1D8" w14:textId="3FDA8E85" w:rsidR="0048018A" w:rsidRPr="0048018A" w:rsidRDefault="009432C9" w:rsidP="0048018A">
          <w:pPr>
            <w:pStyle w:val="TOC1"/>
            <w:tabs>
              <w:tab w:val="clear" w:pos="440"/>
              <w:tab w:val="right" w:leader="dot" w:pos="9350"/>
            </w:tabs>
            <w:jc w:val="left"/>
            <w:rPr>
              <w:rStyle w:val="Hyperlink"/>
            </w:rPr>
          </w:pPr>
          <w:hyperlink w:anchor="_Toc18239992" w:history="1">
            <w:r w:rsidR="0048018A" w:rsidRPr="00682579">
              <w:rPr>
                <w:rStyle w:val="Hyperlink"/>
                <w:noProof/>
              </w:rPr>
              <w:t>1.2.1</w:t>
            </w:r>
            <w:r w:rsidR="0048018A">
              <w:rPr>
                <w:rStyle w:val="Hyperlink"/>
              </w:rPr>
              <w:t xml:space="preserve"> </w:t>
            </w:r>
            <w:r w:rsidR="0048018A" w:rsidRPr="00682579">
              <w:rPr>
                <w:rStyle w:val="Hyperlink"/>
                <w:noProof/>
              </w:rPr>
              <w:t>Current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_Toc18239992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12</w:t>
            </w:r>
            <w:r w:rsidR="0048018A" w:rsidRPr="0048018A">
              <w:rPr>
                <w:rStyle w:val="Hyperlink"/>
                <w:webHidden/>
              </w:rPr>
              <w:fldChar w:fldCharType="end"/>
            </w:r>
          </w:hyperlink>
        </w:p>
        <w:p w14:paraId="25BCD0EC" w14:textId="44B043F8" w:rsidR="0048018A" w:rsidRPr="0048018A" w:rsidRDefault="009432C9" w:rsidP="0048018A">
          <w:pPr>
            <w:pStyle w:val="TOC1"/>
            <w:tabs>
              <w:tab w:val="clear" w:pos="440"/>
              <w:tab w:val="right" w:leader="dot" w:pos="9350"/>
            </w:tabs>
            <w:jc w:val="left"/>
            <w:rPr>
              <w:rStyle w:val="Hyperlink"/>
            </w:rPr>
          </w:pPr>
          <w:hyperlink w:anchor="_Toc18239993" w:history="1">
            <w:r w:rsidR="0048018A" w:rsidRPr="00682579">
              <w:rPr>
                <w:rStyle w:val="Hyperlink"/>
                <w:noProof/>
              </w:rPr>
              <w:t>1.2.2</w:t>
            </w:r>
            <w:r w:rsidR="0048018A">
              <w:rPr>
                <w:rStyle w:val="Hyperlink"/>
              </w:rPr>
              <w:t xml:space="preserve"> </w:t>
            </w:r>
            <w:r w:rsidR="0048018A" w:rsidRPr="00682579">
              <w:rPr>
                <w:rStyle w:val="Hyperlink"/>
                <w:noProof/>
              </w:rPr>
              <w:t>Trends to Accelerate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_Toc18239993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12</w:t>
            </w:r>
            <w:r w:rsidR="0048018A" w:rsidRPr="0048018A">
              <w:rPr>
                <w:rStyle w:val="Hyperlink"/>
                <w:webHidden/>
              </w:rPr>
              <w:fldChar w:fldCharType="end"/>
            </w:r>
          </w:hyperlink>
        </w:p>
        <w:p w14:paraId="57A7C579" w14:textId="74C07EF8" w:rsidR="0048018A" w:rsidRPr="0048018A" w:rsidRDefault="009432C9" w:rsidP="0048018A">
          <w:pPr>
            <w:pStyle w:val="TOC1"/>
            <w:tabs>
              <w:tab w:val="clear" w:pos="440"/>
              <w:tab w:val="right" w:leader="dot" w:pos="9350"/>
            </w:tabs>
            <w:jc w:val="left"/>
            <w:rPr>
              <w:rStyle w:val="Hyperlink"/>
            </w:rPr>
          </w:pPr>
          <w:hyperlink w:anchor="_Toc18239994" w:history="1">
            <w:r w:rsidR="0048018A" w:rsidRPr="00682579">
              <w:rPr>
                <w:rStyle w:val="Hyperlink"/>
                <w:noProof/>
              </w:rPr>
              <w:t>1.2.3</w:t>
            </w:r>
            <w:r w:rsidR="0048018A">
              <w:rPr>
                <w:rStyle w:val="Hyperlink"/>
              </w:rPr>
              <w:t xml:space="preserve"> </w:t>
            </w:r>
            <w:r w:rsidR="0048018A" w:rsidRPr="00682579">
              <w:rPr>
                <w:rStyle w:val="Hyperlink"/>
                <w:noProof/>
              </w:rPr>
              <w:t>Barriers to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_Toc18239994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14</w:t>
            </w:r>
            <w:r w:rsidR="0048018A" w:rsidRPr="0048018A">
              <w:rPr>
                <w:rStyle w:val="Hyperlink"/>
                <w:webHidden/>
              </w:rPr>
              <w:fldChar w:fldCharType="end"/>
            </w:r>
          </w:hyperlink>
        </w:p>
        <w:p w14:paraId="5A4FA7B2" w14:textId="36ED59D8" w:rsidR="0048018A" w:rsidRPr="0048018A" w:rsidRDefault="009432C9" w:rsidP="0048018A">
          <w:pPr>
            <w:pStyle w:val="TOC1"/>
            <w:tabs>
              <w:tab w:val="clear" w:pos="440"/>
              <w:tab w:val="right" w:leader="dot" w:pos="9350"/>
            </w:tabs>
            <w:jc w:val="left"/>
            <w:rPr>
              <w:rStyle w:val="Hyperlink"/>
            </w:rPr>
          </w:pPr>
          <w:hyperlink w:anchor="_Toc18239995" w:history="1">
            <w:r w:rsidR="0048018A" w:rsidRPr="00682579">
              <w:rPr>
                <w:rStyle w:val="Hyperlink"/>
                <w:noProof/>
              </w:rPr>
              <w:t>1.2.4</w:t>
            </w:r>
            <w:r w:rsidR="0048018A">
              <w:rPr>
                <w:rStyle w:val="Hyperlink"/>
              </w:rPr>
              <w:t xml:space="preserve"> </w:t>
            </w:r>
            <w:r w:rsidR="0048018A" w:rsidRPr="00682579">
              <w:rPr>
                <w:rStyle w:val="Hyperlink"/>
                <w:noProof/>
              </w:rPr>
              <w:t>Adoption Potential</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_Toc18239995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14</w:t>
            </w:r>
            <w:r w:rsidR="0048018A" w:rsidRPr="0048018A">
              <w:rPr>
                <w:rStyle w:val="Hyperlink"/>
                <w:webHidden/>
              </w:rPr>
              <w:fldChar w:fldCharType="end"/>
            </w:r>
          </w:hyperlink>
        </w:p>
        <w:p w14:paraId="3CE1315B" w14:textId="734A7CD8" w:rsidR="0048018A" w:rsidRPr="0048018A" w:rsidRDefault="009432C9" w:rsidP="0048018A">
          <w:pPr>
            <w:pStyle w:val="TOC1"/>
            <w:tabs>
              <w:tab w:val="clear" w:pos="440"/>
              <w:tab w:val="right" w:leader="dot" w:pos="9350"/>
            </w:tabs>
            <w:jc w:val="left"/>
            <w:rPr>
              <w:rStyle w:val="Hyperlink"/>
            </w:rPr>
          </w:pPr>
          <w:hyperlink w:anchor="_Toc18239996" w:history="1">
            <w:r w:rsidR="0048018A" w:rsidRPr="00682579">
              <w:rPr>
                <w:rStyle w:val="Hyperlink"/>
                <w:noProof/>
              </w:rPr>
              <w:t>1.3</w:t>
            </w:r>
            <w:r w:rsidR="0048018A">
              <w:rPr>
                <w:rStyle w:val="Hyperlink"/>
              </w:rPr>
              <w:t xml:space="preserve"> </w:t>
            </w:r>
            <w:r w:rsidR="0048018A" w:rsidRPr="00682579">
              <w:rPr>
                <w:rStyle w:val="Hyperlink"/>
                <w:noProof/>
              </w:rPr>
              <w:t>Advantages and disadvantages of Forest Protection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_Toc18239996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15</w:t>
            </w:r>
            <w:r w:rsidR="0048018A" w:rsidRPr="0048018A">
              <w:rPr>
                <w:rStyle w:val="Hyperlink"/>
                <w:webHidden/>
              </w:rPr>
              <w:fldChar w:fldCharType="end"/>
            </w:r>
          </w:hyperlink>
        </w:p>
        <w:p w14:paraId="262F33CC" w14:textId="392DAD3E" w:rsidR="0048018A" w:rsidRPr="0048018A" w:rsidRDefault="009432C9" w:rsidP="0048018A">
          <w:pPr>
            <w:pStyle w:val="TOC1"/>
            <w:tabs>
              <w:tab w:val="clear" w:pos="440"/>
              <w:tab w:val="right" w:leader="dot" w:pos="9350"/>
            </w:tabs>
            <w:jc w:val="left"/>
            <w:rPr>
              <w:rStyle w:val="Hyperlink"/>
            </w:rPr>
          </w:pPr>
          <w:hyperlink w:anchor="_Toc18239997" w:history="1">
            <w:r w:rsidR="0048018A" w:rsidRPr="00682579">
              <w:rPr>
                <w:rStyle w:val="Hyperlink"/>
                <w:noProof/>
              </w:rPr>
              <w:t>1.3.1</w:t>
            </w:r>
            <w:r w:rsidR="0048018A">
              <w:rPr>
                <w:rStyle w:val="Hyperlink"/>
                <w:noProof/>
              </w:rPr>
              <w:t xml:space="preserve"> </w:t>
            </w:r>
            <w:r w:rsidR="0048018A" w:rsidRPr="00682579">
              <w:rPr>
                <w:rStyle w:val="Hyperlink"/>
                <w:noProof/>
              </w:rPr>
              <w:t>Similar Solutions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_Toc18239997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15</w:t>
            </w:r>
            <w:r w:rsidR="0048018A" w:rsidRPr="0048018A">
              <w:rPr>
                <w:rStyle w:val="Hyperlink"/>
                <w:webHidden/>
              </w:rPr>
              <w:fldChar w:fldCharType="end"/>
            </w:r>
          </w:hyperlink>
        </w:p>
        <w:p w14:paraId="7BE2D460" w14:textId="68BDF0DD" w:rsidR="0048018A" w:rsidRPr="0048018A" w:rsidRDefault="009432C9" w:rsidP="0048018A">
          <w:pPr>
            <w:pStyle w:val="TOC1"/>
            <w:tabs>
              <w:tab w:val="clear" w:pos="440"/>
              <w:tab w:val="right" w:leader="dot" w:pos="9350"/>
            </w:tabs>
            <w:jc w:val="left"/>
            <w:rPr>
              <w:rStyle w:val="Hyperlink"/>
            </w:rPr>
          </w:pPr>
          <w:hyperlink w:anchor="_Toc18239998" w:history="1">
            <w:r w:rsidR="0048018A" w:rsidRPr="00682579">
              <w:rPr>
                <w:rStyle w:val="Hyperlink"/>
                <w:noProof/>
              </w:rPr>
              <w:t>1.3.2Arguments for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_Toc18239998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15</w:t>
            </w:r>
            <w:r w:rsidR="0048018A" w:rsidRPr="0048018A">
              <w:rPr>
                <w:rStyle w:val="Hyperlink"/>
                <w:webHidden/>
              </w:rPr>
              <w:fldChar w:fldCharType="end"/>
            </w:r>
          </w:hyperlink>
        </w:p>
        <w:p w14:paraId="47FA5AB7" w14:textId="5A07CA32" w:rsidR="0048018A" w:rsidRPr="0048018A" w:rsidRDefault="009432C9" w:rsidP="0048018A">
          <w:pPr>
            <w:pStyle w:val="TOC1"/>
            <w:tabs>
              <w:tab w:val="clear" w:pos="440"/>
              <w:tab w:val="right" w:leader="dot" w:pos="9350"/>
            </w:tabs>
            <w:jc w:val="left"/>
            <w:rPr>
              <w:rStyle w:val="Hyperlink"/>
            </w:rPr>
          </w:pPr>
          <w:hyperlink w:anchor="_Toc18239999" w:history="1">
            <w:r w:rsidR="0048018A" w:rsidRPr="00682579">
              <w:rPr>
                <w:rStyle w:val="Hyperlink"/>
                <w:noProof/>
              </w:rPr>
              <w:t>1.3.3Additional Benefits and Burdens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_Toc18239999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16</w:t>
            </w:r>
            <w:r w:rsidR="0048018A" w:rsidRPr="0048018A">
              <w:rPr>
                <w:rStyle w:val="Hyperlink"/>
                <w:webHidden/>
              </w:rPr>
              <w:fldChar w:fldCharType="end"/>
            </w:r>
          </w:hyperlink>
        </w:p>
        <w:p w14:paraId="6A76F16C" w14:textId="1C2830E4" w:rsidR="0048018A" w:rsidRPr="0048018A" w:rsidRDefault="009432C9" w:rsidP="0048018A">
          <w:pPr>
            <w:pStyle w:val="TOC1"/>
            <w:tabs>
              <w:tab w:val="clear" w:pos="440"/>
              <w:tab w:val="right" w:leader="dot" w:pos="9350"/>
            </w:tabs>
            <w:jc w:val="left"/>
            <w:rPr>
              <w:rStyle w:val="Hyperlink"/>
            </w:rPr>
          </w:pPr>
          <w:hyperlink w:anchor="_Toc18240000" w:history="1">
            <w:r w:rsidR="0048018A" w:rsidRPr="00682579">
              <w:rPr>
                <w:rStyle w:val="Hyperlink"/>
                <w:noProof/>
              </w:rPr>
              <w:t>2.0 Methodology</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_Toc18240000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18</w:t>
            </w:r>
            <w:r w:rsidR="0048018A" w:rsidRPr="0048018A">
              <w:rPr>
                <w:rStyle w:val="Hyperlink"/>
                <w:webHidden/>
              </w:rPr>
              <w:fldChar w:fldCharType="end"/>
            </w:r>
          </w:hyperlink>
        </w:p>
        <w:p w14:paraId="7018BF5B" w14:textId="0AFEEABF" w:rsidR="0048018A" w:rsidRPr="0048018A" w:rsidRDefault="009432C9" w:rsidP="0048018A">
          <w:pPr>
            <w:pStyle w:val="TOC1"/>
            <w:tabs>
              <w:tab w:val="clear" w:pos="440"/>
              <w:tab w:val="right" w:leader="dot" w:pos="9350"/>
            </w:tabs>
            <w:jc w:val="left"/>
            <w:rPr>
              <w:rStyle w:val="Hyperlink"/>
            </w:rPr>
          </w:pPr>
          <w:hyperlink w:anchor="_Toc18240001" w:history="1">
            <w:r w:rsidR="0048018A" w:rsidRPr="00682579">
              <w:rPr>
                <w:rStyle w:val="Hyperlink"/>
                <w:noProof/>
              </w:rPr>
              <w:t>2.1 Introduction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_Toc18240001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18</w:t>
            </w:r>
            <w:r w:rsidR="0048018A" w:rsidRPr="0048018A">
              <w:rPr>
                <w:rStyle w:val="Hyperlink"/>
                <w:webHidden/>
              </w:rPr>
              <w:fldChar w:fldCharType="end"/>
            </w:r>
          </w:hyperlink>
        </w:p>
        <w:p w14:paraId="00720152" w14:textId="08835A18" w:rsidR="0048018A" w:rsidRPr="0048018A" w:rsidRDefault="009432C9" w:rsidP="0048018A">
          <w:pPr>
            <w:pStyle w:val="TOC1"/>
            <w:tabs>
              <w:tab w:val="clear" w:pos="440"/>
              <w:tab w:val="right" w:leader="dot" w:pos="9350"/>
            </w:tabs>
            <w:jc w:val="left"/>
            <w:rPr>
              <w:rStyle w:val="Hyperlink"/>
            </w:rPr>
          </w:pPr>
          <w:hyperlink w:anchor="_Toc18240002" w:history="1">
            <w:r w:rsidR="0048018A" w:rsidRPr="00682579">
              <w:rPr>
                <w:rStyle w:val="Hyperlink"/>
                <w:noProof/>
              </w:rPr>
              <w:t>2.2 Data Sources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_Toc18240002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18</w:t>
            </w:r>
            <w:r w:rsidR="0048018A" w:rsidRPr="0048018A">
              <w:rPr>
                <w:rStyle w:val="Hyperlink"/>
                <w:webHidden/>
              </w:rPr>
              <w:fldChar w:fldCharType="end"/>
            </w:r>
          </w:hyperlink>
        </w:p>
        <w:p w14:paraId="30A952A0" w14:textId="2CC6F436" w:rsidR="0048018A" w:rsidRPr="0048018A" w:rsidRDefault="009432C9" w:rsidP="0048018A">
          <w:pPr>
            <w:pStyle w:val="TOC1"/>
            <w:tabs>
              <w:tab w:val="clear" w:pos="440"/>
              <w:tab w:val="right" w:leader="dot" w:pos="9350"/>
            </w:tabs>
            <w:jc w:val="left"/>
            <w:rPr>
              <w:rStyle w:val="Hyperlink"/>
            </w:rPr>
          </w:pPr>
          <w:hyperlink w:anchor="_Toc18240003" w:history="1">
            <w:r w:rsidR="0048018A" w:rsidRPr="00682579">
              <w:rPr>
                <w:rStyle w:val="Hyperlink"/>
                <w:noProof/>
              </w:rPr>
              <w:t>2.3 Total Available Land</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_Toc18240003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18</w:t>
            </w:r>
            <w:r w:rsidR="0048018A" w:rsidRPr="0048018A">
              <w:rPr>
                <w:rStyle w:val="Hyperlink"/>
                <w:webHidden/>
              </w:rPr>
              <w:fldChar w:fldCharType="end"/>
            </w:r>
          </w:hyperlink>
        </w:p>
        <w:p w14:paraId="6AD38191" w14:textId="242FB74C" w:rsidR="0048018A" w:rsidRPr="0048018A" w:rsidRDefault="009432C9" w:rsidP="0048018A">
          <w:pPr>
            <w:pStyle w:val="TOC1"/>
            <w:tabs>
              <w:tab w:val="clear" w:pos="440"/>
              <w:tab w:val="right" w:leader="dot" w:pos="9350"/>
            </w:tabs>
            <w:jc w:val="left"/>
            <w:rPr>
              <w:rStyle w:val="Hyperlink"/>
            </w:rPr>
          </w:pPr>
          <w:hyperlink w:anchor="_Toc18240004" w:history="1">
            <w:r w:rsidR="0048018A" w:rsidRPr="00682579">
              <w:rPr>
                <w:rStyle w:val="Hyperlink"/>
                <w:noProof/>
              </w:rPr>
              <w:t>2.4 Adoption Scenarios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_Toc18240004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19</w:t>
            </w:r>
            <w:r w:rsidR="0048018A" w:rsidRPr="0048018A">
              <w:rPr>
                <w:rStyle w:val="Hyperlink"/>
                <w:webHidden/>
              </w:rPr>
              <w:fldChar w:fldCharType="end"/>
            </w:r>
          </w:hyperlink>
        </w:p>
        <w:p w14:paraId="4F1E7AEB" w14:textId="3732F4F8" w:rsidR="0048018A" w:rsidRPr="0048018A" w:rsidRDefault="009432C9" w:rsidP="0048018A">
          <w:pPr>
            <w:pStyle w:val="TOC1"/>
            <w:tabs>
              <w:tab w:val="clear" w:pos="440"/>
              <w:tab w:val="right" w:leader="dot" w:pos="9350"/>
            </w:tabs>
            <w:jc w:val="left"/>
            <w:rPr>
              <w:rStyle w:val="Hyperlink"/>
            </w:rPr>
          </w:pPr>
          <w:hyperlink w:anchor="_Toc18240005" w:history="1">
            <w:r w:rsidR="0048018A" w:rsidRPr="00682579">
              <w:rPr>
                <w:rStyle w:val="Hyperlink"/>
                <w:noProof/>
              </w:rPr>
              <w:t>2.4.1 Reference Case / Current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_Toc18240005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22</w:t>
            </w:r>
            <w:r w:rsidR="0048018A" w:rsidRPr="0048018A">
              <w:rPr>
                <w:rStyle w:val="Hyperlink"/>
                <w:webHidden/>
              </w:rPr>
              <w:fldChar w:fldCharType="end"/>
            </w:r>
          </w:hyperlink>
        </w:p>
        <w:p w14:paraId="5F5E6681" w14:textId="69411583" w:rsidR="0048018A" w:rsidRPr="0048018A" w:rsidRDefault="009432C9" w:rsidP="0048018A">
          <w:pPr>
            <w:pStyle w:val="TOC1"/>
            <w:tabs>
              <w:tab w:val="clear" w:pos="440"/>
              <w:tab w:val="right" w:leader="dot" w:pos="9350"/>
            </w:tabs>
            <w:jc w:val="left"/>
            <w:rPr>
              <w:rStyle w:val="Hyperlink"/>
            </w:rPr>
          </w:pPr>
          <w:hyperlink w:anchor="_Toc18240006" w:history="1">
            <w:r w:rsidR="0048018A" w:rsidRPr="00682579">
              <w:rPr>
                <w:rStyle w:val="Hyperlink"/>
                <w:noProof/>
              </w:rPr>
              <w:t>2.4.2 Project Drawdown Scenarios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_Toc18240006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22</w:t>
            </w:r>
            <w:r w:rsidR="0048018A" w:rsidRPr="0048018A">
              <w:rPr>
                <w:rStyle w:val="Hyperlink"/>
                <w:webHidden/>
              </w:rPr>
              <w:fldChar w:fldCharType="end"/>
            </w:r>
          </w:hyperlink>
        </w:p>
        <w:p w14:paraId="438F5A99" w14:textId="2780CEB3" w:rsidR="0048018A" w:rsidRPr="0048018A" w:rsidRDefault="009432C9" w:rsidP="0048018A">
          <w:pPr>
            <w:pStyle w:val="TOC1"/>
            <w:tabs>
              <w:tab w:val="clear" w:pos="440"/>
              <w:tab w:val="right" w:leader="dot" w:pos="9350"/>
            </w:tabs>
            <w:jc w:val="left"/>
            <w:rPr>
              <w:rStyle w:val="Hyperlink"/>
            </w:rPr>
          </w:pPr>
          <w:hyperlink w:anchor="_Toc18240007" w:history="1">
            <w:r w:rsidR="0048018A" w:rsidRPr="00682579">
              <w:rPr>
                <w:rStyle w:val="Hyperlink"/>
                <w:noProof/>
              </w:rPr>
              <w:t>2.5 Inputs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_Toc18240007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22</w:t>
            </w:r>
            <w:r w:rsidR="0048018A" w:rsidRPr="0048018A">
              <w:rPr>
                <w:rStyle w:val="Hyperlink"/>
                <w:webHidden/>
              </w:rPr>
              <w:fldChar w:fldCharType="end"/>
            </w:r>
          </w:hyperlink>
        </w:p>
        <w:p w14:paraId="6D938376" w14:textId="2674C892" w:rsidR="0048018A" w:rsidRPr="0048018A" w:rsidRDefault="009432C9" w:rsidP="0048018A">
          <w:pPr>
            <w:pStyle w:val="TOC1"/>
            <w:tabs>
              <w:tab w:val="clear" w:pos="440"/>
              <w:tab w:val="right" w:leader="dot" w:pos="9350"/>
            </w:tabs>
            <w:jc w:val="left"/>
            <w:rPr>
              <w:rStyle w:val="Hyperlink"/>
            </w:rPr>
          </w:pPr>
          <w:hyperlink w:anchor="_Toc18240008" w:history="1">
            <w:r w:rsidR="0048018A" w:rsidRPr="00682579">
              <w:rPr>
                <w:rStyle w:val="Hyperlink"/>
                <w:noProof/>
              </w:rPr>
              <w:t>2.5.1 Climate Inputs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_Toc18240008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22</w:t>
            </w:r>
            <w:r w:rsidR="0048018A" w:rsidRPr="0048018A">
              <w:rPr>
                <w:rStyle w:val="Hyperlink"/>
                <w:webHidden/>
              </w:rPr>
              <w:fldChar w:fldCharType="end"/>
            </w:r>
          </w:hyperlink>
        </w:p>
        <w:p w14:paraId="4F272493" w14:textId="3D1951FF" w:rsidR="0048018A" w:rsidRPr="0048018A" w:rsidRDefault="009432C9" w:rsidP="0048018A">
          <w:pPr>
            <w:pStyle w:val="TOC1"/>
            <w:tabs>
              <w:tab w:val="clear" w:pos="440"/>
              <w:tab w:val="right" w:leader="dot" w:pos="9350"/>
            </w:tabs>
            <w:jc w:val="left"/>
            <w:rPr>
              <w:rStyle w:val="Hyperlink"/>
            </w:rPr>
          </w:pPr>
          <w:hyperlink w:anchor="_Toc18240009" w:history="1">
            <w:r w:rsidR="0048018A" w:rsidRPr="00682579">
              <w:rPr>
                <w:rStyle w:val="Hyperlink"/>
                <w:noProof/>
              </w:rPr>
              <w:t>2.5.2 Financial Inputs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_Toc18240009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24</w:t>
            </w:r>
            <w:r w:rsidR="0048018A" w:rsidRPr="0048018A">
              <w:rPr>
                <w:rStyle w:val="Hyperlink"/>
                <w:webHidden/>
              </w:rPr>
              <w:fldChar w:fldCharType="end"/>
            </w:r>
          </w:hyperlink>
        </w:p>
        <w:p w14:paraId="2BB30C05" w14:textId="291B6A1B" w:rsidR="0048018A" w:rsidRPr="0048018A" w:rsidRDefault="009432C9" w:rsidP="0048018A">
          <w:pPr>
            <w:pStyle w:val="TOC1"/>
            <w:tabs>
              <w:tab w:val="clear" w:pos="440"/>
              <w:tab w:val="right" w:leader="dot" w:pos="9350"/>
            </w:tabs>
            <w:jc w:val="left"/>
            <w:rPr>
              <w:rStyle w:val="Hyperlink"/>
            </w:rPr>
          </w:pPr>
          <w:hyperlink w:anchor="_Toc18240010" w:history="1">
            <w:r w:rsidR="0048018A" w:rsidRPr="00682579">
              <w:rPr>
                <w:rStyle w:val="Hyperlink"/>
                <w:noProof/>
              </w:rPr>
              <w:t>2.5.3 Other Inputs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_Toc18240010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24</w:t>
            </w:r>
            <w:r w:rsidR="0048018A" w:rsidRPr="0048018A">
              <w:rPr>
                <w:rStyle w:val="Hyperlink"/>
                <w:webHidden/>
              </w:rPr>
              <w:fldChar w:fldCharType="end"/>
            </w:r>
          </w:hyperlink>
        </w:p>
        <w:p w14:paraId="0EE0F5E2" w14:textId="0B76C3D6" w:rsidR="0048018A" w:rsidRPr="0048018A" w:rsidRDefault="009432C9" w:rsidP="0048018A">
          <w:pPr>
            <w:pStyle w:val="TOC1"/>
            <w:tabs>
              <w:tab w:val="clear" w:pos="440"/>
              <w:tab w:val="right" w:leader="dot" w:pos="9350"/>
            </w:tabs>
            <w:jc w:val="left"/>
            <w:rPr>
              <w:rStyle w:val="Hyperlink"/>
            </w:rPr>
          </w:pPr>
          <w:hyperlink w:anchor="_Toc18240011" w:history="1">
            <w:r w:rsidR="0048018A" w:rsidRPr="00682579">
              <w:rPr>
                <w:rStyle w:val="Hyperlink"/>
                <w:noProof/>
              </w:rPr>
              <w:t>2.6 Assumptions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_Toc18240011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24</w:t>
            </w:r>
            <w:r w:rsidR="0048018A" w:rsidRPr="0048018A">
              <w:rPr>
                <w:rStyle w:val="Hyperlink"/>
                <w:webHidden/>
              </w:rPr>
              <w:fldChar w:fldCharType="end"/>
            </w:r>
          </w:hyperlink>
        </w:p>
        <w:p w14:paraId="67459F50" w14:textId="48F85718" w:rsidR="0048018A" w:rsidRPr="0048018A" w:rsidRDefault="009432C9" w:rsidP="0048018A">
          <w:pPr>
            <w:pStyle w:val="TOC1"/>
            <w:tabs>
              <w:tab w:val="clear" w:pos="440"/>
              <w:tab w:val="right" w:leader="dot" w:pos="9350"/>
            </w:tabs>
            <w:jc w:val="left"/>
            <w:rPr>
              <w:rStyle w:val="Hyperlink"/>
            </w:rPr>
          </w:pPr>
          <w:hyperlink w:anchor="_Toc18240012" w:history="1">
            <w:r w:rsidR="0048018A" w:rsidRPr="00682579">
              <w:rPr>
                <w:rStyle w:val="Hyperlink"/>
                <w:noProof/>
              </w:rPr>
              <w:t>2.7 Integration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_Toc18240012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26</w:t>
            </w:r>
            <w:r w:rsidR="0048018A" w:rsidRPr="0048018A">
              <w:rPr>
                <w:rStyle w:val="Hyperlink"/>
                <w:webHidden/>
              </w:rPr>
              <w:fldChar w:fldCharType="end"/>
            </w:r>
          </w:hyperlink>
        </w:p>
        <w:p w14:paraId="74FDB373" w14:textId="701BF7A4" w:rsidR="0048018A" w:rsidRPr="0048018A" w:rsidRDefault="009432C9" w:rsidP="0048018A">
          <w:pPr>
            <w:pStyle w:val="TOC1"/>
            <w:tabs>
              <w:tab w:val="clear" w:pos="440"/>
              <w:tab w:val="right" w:leader="dot" w:pos="9350"/>
            </w:tabs>
            <w:jc w:val="left"/>
            <w:rPr>
              <w:rStyle w:val="Hyperlink"/>
            </w:rPr>
          </w:pPr>
          <w:hyperlink w:anchor="_Toc18240013" w:history="1">
            <w:r w:rsidR="0048018A" w:rsidRPr="00682579">
              <w:rPr>
                <w:rStyle w:val="Hyperlink"/>
                <w:noProof/>
              </w:rPr>
              <w:t>2.8 Limitations/Further Development</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_Toc18240013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27</w:t>
            </w:r>
            <w:r w:rsidR="0048018A" w:rsidRPr="0048018A">
              <w:rPr>
                <w:rStyle w:val="Hyperlink"/>
                <w:webHidden/>
              </w:rPr>
              <w:fldChar w:fldCharType="end"/>
            </w:r>
          </w:hyperlink>
        </w:p>
        <w:p w14:paraId="43DA387D" w14:textId="7DA2FB0A" w:rsidR="0048018A" w:rsidRPr="0048018A" w:rsidRDefault="009432C9" w:rsidP="0048018A">
          <w:pPr>
            <w:pStyle w:val="TOC1"/>
            <w:tabs>
              <w:tab w:val="clear" w:pos="440"/>
              <w:tab w:val="right" w:leader="dot" w:pos="9350"/>
            </w:tabs>
            <w:jc w:val="left"/>
            <w:rPr>
              <w:rStyle w:val="Hyperlink"/>
            </w:rPr>
          </w:pPr>
          <w:hyperlink w:anchor="_Toc18240014" w:history="1">
            <w:r w:rsidR="0048018A" w:rsidRPr="00682579">
              <w:rPr>
                <w:rStyle w:val="Hyperlink"/>
                <w:noProof/>
              </w:rPr>
              <w:t>3. Results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_Toc18240014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28</w:t>
            </w:r>
            <w:r w:rsidR="0048018A" w:rsidRPr="0048018A">
              <w:rPr>
                <w:rStyle w:val="Hyperlink"/>
                <w:webHidden/>
              </w:rPr>
              <w:fldChar w:fldCharType="end"/>
            </w:r>
          </w:hyperlink>
        </w:p>
        <w:p w14:paraId="25B5FB0A" w14:textId="554BC592" w:rsidR="0048018A" w:rsidRPr="0048018A" w:rsidRDefault="009432C9" w:rsidP="0048018A">
          <w:pPr>
            <w:pStyle w:val="TOC1"/>
            <w:tabs>
              <w:tab w:val="clear" w:pos="440"/>
              <w:tab w:val="right" w:leader="dot" w:pos="9350"/>
            </w:tabs>
            <w:jc w:val="left"/>
            <w:rPr>
              <w:rStyle w:val="Hyperlink"/>
            </w:rPr>
          </w:pPr>
          <w:hyperlink w:anchor="_Toc18240015" w:history="1">
            <w:r w:rsidR="0048018A" w:rsidRPr="00682579">
              <w:rPr>
                <w:rStyle w:val="Hyperlink"/>
                <w:noProof/>
              </w:rPr>
              <w:t>3.1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_Toc18240015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28</w:t>
            </w:r>
            <w:r w:rsidR="0048018A" w:rsidRPr="0048018A">
              <w:rPr>
                <w:rStyle w:val="Hyperlink"/>
                <w:webHidden/>
              </w:rPr>
              <w:fldChar w:fldCharType="end"/>
            </w:r>
          </w:hyperlink>
        </w:p>
        <w:p w14:paraId="516C6A20" w14:textId="05F45EC5" w:rsidR="0048018A" w:rsidRPr="0048018A" w:rsidRDefault="009432C9" w:rsidP="0048018A">
          <w:pPr>
            <w:pStyle w:val="TOC1"/>
            <w:tabs>
              <w:tab w:val="clear" w:pos="440"/>
              <w:tab w:val="right" w:leader="dot" w:pos="9350"/>
            </w:tabs>
            <w:jc w:val="left"/>
            <w:rPr>
              <w:rStyle w:val="Hyperlink"/>
            </w:rPr>
          </w:pPr>
          <w:hyperlink w:anchor="_Toc18240016" w:history="1">
            <w:r w:rsidR="0048018A" w:rsidRPr="00682579">
              <w:rPr>
                <w:rStyle w:val="Hyperlink"/>
                <w:noProof/>
              </w:rPr>
              <w:t>3.2 Climate Impacts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_Toc18240016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29</w:t>
            </w:r>
            <w:r w:rsidR="0048018A" w:rsidRPr="0048018A">
              <w:rPr>
                <w:rStyle w:val="Hyperlink"/>
                <w:webHidden/>
              </w:rPr>
              <w:fldChar w:fldCharType="end"/>
            </w:r>
          </w:hyperlink>
        </w:p>
        <w:p w14:paraId="47303001" w14:textId="78696048" w:rsidR="0048018A" w:rsidRPr="0048018A" w:rsidRDefault="009432C9" w:rsidP="0048018A">
          <w:pPr>
            <w:pStyle w:val="TOC1"/>
            <w:tabs>
              <w:tab w:val="clear" w:pos="440"/>
              <w:tab w:val="right" w:leader="dot" w:pos="9350"/>
            </w:tabs>
            <w:jc w:val="left"/>
            <w:rPr>
              <w:rStyle w:val="Hyperlink"/>
            </w:rPr>
          </w:pPr>
          <w:hyperlink w:anchor="_Toc18240017" w:history="1">
            <w:r w:rsidR="0048018A" w:rsidRPr="00682579">
              <w:rPr>
                <w:rStyle w:val="Hyperlink"/>
                <w:noProof/>
              </w:rPr>
              <w:t>1.4</w:t>
            </w:r>
            <w:r w:rsidR="0048018A">
              <w:rPr>
                <w:rStyle w:val="Hyperlink"/>
              </w:rPr>
              <w:t xml:space="preserve"> </w:t>
            </w:r>
            <w:r w:rsidR="0048018A" w:rsidRPr="00682579">
              <w:rPr>
                <w:rStyle w:val="Hyperlink"/>
                <w:noProof/>
              </w:rPr>
              <w:t>Financial Impacts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_Toc18240017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31</w:t>
            </w:r>
            <w:r w:rsidR="0048018A" w:rsidRPr="0048018A">
              <w:rPr>
                <w:rStyle w:val="Hyperlink"/>
                <w:webHidden/>
              </w:rPr>
              <w:fldChar w:fldCharType="end"/>
            </w:r>
          </w:hyperlink>
        </w:p>
        <w:p w14:paraId="1EAE8329" w14:textId="71C49840" w:rsidR="0048018A" w:rsidRPr="0048018A" w:rsidRDefault="009432C9" w:rsidP="0048018A">
          <w:pPr>
            <w:pStyle w:val="TOC1"/>
            <w:tabs>
              <w:tab w:val="clear" w:pos="440"/>
              <w:tab w:val="right" w:leader="dot" w:pos="9350"/>
            </w:tabs>
            <w:jc w:val="left"/>
            <w:rPr>
              <w:rStyle w:val="Hyperlink"/>
            </w:rPr>
          </w:pPr>
          <w:hyperlink w:anchor="_Toc18240018" w:history="1">
            <w:r w:rsidR="0048018A" w:rsidRPr="00682579">
              <w:rPr>
                <w:rStyle w:val="Hyperlink"/>
                <w:noProof/>
              </w:rPr>
              <w:t>3.1 Other Impacts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_Toc18240018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31</w:t>
            </w:r>
            <w:r w:rsidR="0048018A" w:rsidRPr="0048018A">
              <w:rPr>
                <w:rStyle w:val="Hyperlink"/>
                <w:webHidden/>
              </w:rPr>
              <w:fldChar w:fldCharType="end"/>
            </w:r>
          </w:hyperlink>
        </w:p>
        <w:p w14:paraId="27EA8BD8" w14:textId="2CD4A0F1" w:rsidR="0048018A" w:rsidRPr="0048018A" w:rsidRDefault="009432C9" w:rsidP="0048018A">
          <w:pPr>
            <w:pStyle w:val="TOC1"/>
            <w:tabs>
              <w:tab w:val="clear" w:pos="440"/>
              <w:tab w:val="right" w:leader="dot" w:pos="9350"/>
            </w:tabs>
            <w:jc w:val="left"/>
            <w:rPr>
              <w:rStyle w:val="Hyperlink"/>
            </w:rPr>
          </w:pPr>
          <w:hyperlink w:anchor="_Toc18240019" w:history="1">
            <w:r w:rsidR="0048018A" w:rsidRPr="00682579">
              <w:rPr>
                <w:rStyle w:val="Hyperlink"/>
                <w:noProof/>
              </w:rPr>
              <w:t>4.0 Discussion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_Toc18240019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32</w:t>
            </w:r>
            <w:r w:rsidR="0048018A" w:rsidRPr="0048018A">
              <w:rPr>
                <w:rStyle w:val="Hyperlink"/>
                <w:webHidden/>
              </w:rPr>
              <w:fldChar w:fldCharType="end"/>
            </w:r>
          </w:hyperlink>
        </w:p>
        <w:p w14:paraId="6C03B00A" w14:textId="4931BC15" w:rsidR="0048018A" w:rsidRPr="0048018A" w:rsidRDefault="009432C9" w:rsidP="0048018A">
          <w:pPr>
            <w:pStyle w:val="TOC1"/>
            <w:tabs>
              <w:tab w:val="clear" w:pos="440"/>
              <w:tab w:val="right" w:leader="dot" w:pos="9350"/>
            </w:tabs>
            <w:jc w:val="left"/>
            <w:rPr>
              <w:rStyle w:val="Hyperlink"/>
            </w:rPr>
          </w:pPr>
          <w:hyperlink w:anchor="_Toc18240020" w:history="1">
            <w:r w:rsidR="0048018A" w:rsidRPr="00682579">
              <w:rPr>
                <w:rStyle w:val="Hyperlink"/>
                <w:noProof/>
              </w:rPr>
              <w:t>4.1 Limitations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_Toc18240020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32</w:t>
            </w:r>
            <w:r w:rsidR="0048018A" w:rsidRPr="0048018A">
              <w:rPr>
                <w:rStyle w:val="Hyperlink"/>
                <w:webHidden/>
              </w:rPr>
              <w:fldChar w:fldCharType="end"/>
            </w:r>
          </w:hyperlink>
        </w:p>
        <w:p w14:paraId="64854FEA" w14:textId="460DF055" w:rsidR="0048018A" w:rsidRPr="0048018A" w:rsidRDefault="009432C9" w:rsidP="0048018A">
          <w:pPr>
            <w:pStyle w:val="TOC1"/>
            <w:tabs>
              <w:tab w:val="clear" w:pos="440"/>
              <w:tab w:val="right" w:leader="dot" w:pos="9350"/>
            </w:tabs>
            <w:jc w:val="left"/>
            <w:rPr>
              <w:rStyle w:val="Hyperlink"/>
            </w:rPr>
          </w:pPr>
          <w:hyperlink w:anchor="_Toc18240021" w:history="1">
            <w:r w:rsidR="0048018A" w:rsidRPr="00682579">
              <w:rPr>
                <w:rStyle w:val="Hyperlink"/>
                <w:noProof/>
              </w:rPr>
              <w:t>4.2 Benchmarks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_Toc18240021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32</w:t>
            </w:r>
            <w:r w:rsidR="0048018A" w:rsidRPr="0048018A">
              <w:rPr>
                <w:rStyle w:val="Hyperlink"/>
                <w:webHidden/>
              </w:rPr>
              <w:fldChar w:fldCharType="end"/>
            </w:r>
          </w:hyperlink>
        </w:p>
        <w:p w14:paraId="6957AD94" w14:textId="199D20BE" w:rsidR="0048018A" w:rsidRPr="0048018A" w:rsidRDefault="009432C9" w:rsidP="0048018A">
          <w:pPr>
            <w:pStyle w:val="TOC1"/>
            <w:tabs>
              <w:tab w:val="clear" w:pos="440"/>
              <w:tab w:val="right" w:leader="dot" w:pos="9350"/>
            </w:tabs>
            <w:jc w:val="left"/>
            <w:rPr>
              <w:rStyle w:val="Hyperlink"/>
            </w:rPr>
          </w:pPr>
          <w:hyperlink w:anchor="_Toc18240022" w:history="1">
            <w:r w:rsidR="0048018A" w:rsidRPr="00682579">
              <w:rPr>
                <w:rStyle w:val="Hyperlink"/>
                <w:noProof/>
              </w:rPr>
              <w:t>5. References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_Toc18240022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34</w:t>
            </w:r>
            <w:r w:rsidR="0048018A" w:rsidRPr="0048018A">
              <w:rPr>
                <w:rStyle w:val="Hyperlink"/>
                <w:webHidden/>
              </w:rPr>
              <w:fldChar w:fldCharType="end"/>
            </w:r>
          </w:hyperlink>
        </w:p>
        <w:p w14:paraId="63AB0458" w14:textId="173B66E4" w:rsidR="0048018A" w:rsidRPr="0048018A" w:rsidRDefault="009432C9" w:rsidP="0048018A">
          <w:pPr>
            <w:pStyle w:val="TOC1"/>
            <w:tabs>
              <w:tab w:val="clear" w:pos="440"/>
              <w:tab w:val="right" w:leader="dot" w:pos="9350"/>
            </w:tabs>
            <w:jc w:val="left"/>
            <w:rPr>
              <w:rStyle w:val="Hyperlink"/>
            </w:rPr>
          </w:pPr>
          <w:hyperlink w:anchor="_Toc18240023" w:history="1">
            <w:r w:rsidR="0048018A" w:rsidRPr="0048018A">
              <w:rPr>
                <w:rStyle w:val="Hyperlink"/>
                <w:noProof/>
              </w:rPr>
              <w:t>Glossary</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_Toc18240023 \h </w:instrText>
            </w:r>
            <w:r w:rsidR="0048018A" w:rsidRPr="0048018A">
              <w:rPr>
                <w:rStyle w:val="Hyperlink"/>
                <w:webHidden/>
              </w:rPr>
            </w:r>
            <w:r w:rsidR="0048018A" w:rsidRPr="0048018A">
              <w:rPr>
                <w:rStyle w:val="Hyperlink"/>
                <w:webHidden/>
              </w:rPr>
              <w:fldChar w:fldCharType="separate"/>
            </w:r>
            <w:r w:rsidR="00E26324">
              <w:rPr>
                <w:rStyle w:val="Hyperlink"/>
                <w:noProof/>
                <w:webHidden/>
              </w:rPr>
              <w:t>45</w:t>
            </w:r>
            <w:r w:rsidR="0048018A" w:rsidRPr="0048018A">
              <w:rPr>
                <w:rStyle w:val="Hyperlink"/>
                <w:webHidden/>
              </w:rPr>
              <w:fldChar w:fldCharType="end"/>
            </w:r>
          </w:hyperlink>
        </w:p>
        <w:p w14:paraId="160B28D5" w14:textId="43B65757" w:rsidR="0048018A" w:rsidRDefault="0048018A" w:rsidP="0048018A">
          <w:pPr>
            <w:pStyle w:val="TOC1"/>
            <w:tabs>
              <w:tab w:val="clear" w:pos="440"/>
              <w:tab w:val="right" w:leader="dot" w:pos="9350"/>
            </w:tabs>
          </w:pPr>
          <w:r w:rsidRPr="0048018A">
            <w:rPr>
              <w:rStyle w:val="Hyperlink"/>
            </w:rPr>
            <w:fldChar w:fldCharType="end"/>
          </w:r>
        </w:p>
      </w:sdtContent>
    </w:sdt>
    <w:p w14:paraId="1827C10C" w14:textId="3B09BCA5" w:rsidR="00F15AEE" w:rsidRDefault="00F15AEE" w:rsidP="00DB4CC8">
      <w:pPr>
        <w:spacing w:after="0"/>
      </w:pPr>
      <w:r>
        <w:br w:type="page"/>
      </w:r>
    </w:p>
    <w:p w14:paraId="325B3971" w14:textId="4C66A5CD" w:rsidR="2D56E7D4" w:rsidRDefault="00C23CAC" w:rsidP="009432C9">
      <w:pPr>
        <w:pStyle w:val="Heading1"/>
        <w:numPr>
          <w:ilvl w:val="0"/>
          <w:numId w:val="0"/>
        </w:numPr>
        <w:rPr>
          <w:noProof/>
        </w:rPr>
      </w:pPr>
      <w:bookmarkStart w:id="0" w:name="_Toc18239985"/>
      <w:r w:rsidRPr="007974CC">
        <w:rPr>
          <w:noProof/>
        </w:rPr>
        <w:lastRenderedPageBreak/>
        <w:t xml:space="preserve">List of </w:t>
      </w:r>
      <w:r w:rsidR="2D56E7D4" w:rsidRPr="007974CC">
        <w:rPr>
          <w:noProof/>
        </w:rPr>
        <w:t>Figures</w:t>
      </w:r>
      <w:bookmarkEnd w:id="0"/>
    </w:p>
    <w:p w14:paraId="11D3858C" w14:textId="09B4430C" w:rsidR="005D2ED8"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439370" w:history="1">
        <w:r w:rsidR="005D2ED8" w:rsidRPr="002D6F62">
          <w:rPr>
            <w:rStyle w:val="Hyperlink"/>
            <w:noProof/>
          </w:rPr>
          <w:t>Figure 3.1 World Annual Adoption 2020-2050 [Mha]</w:t>
        </w:r>
        <w:r w:rsidR="005D2ED8">
          <w:rPr>
            <w:noProof/>
            <w:webHidden/>
          </w:rPr>
          <w:tab/>
        </w:r>
        <w:r w:rsidR="005D2ED8">
          <w:rPr>
            <w:noProof/>
            <w:webHidden/>
          </w:rPr>
          <w:fldChar w:fldCharType="begin"/>
        </w:r>
        <w:r w:rsidR="005D2ED8">
          <w:rPr>
            <w:noProof/>
            <w:webHidden/>
          </w:rPr>
          <w:instrText xml:space="preserve"> PAGEREF _Toc18439370 \h </w:instrText>
        </w:r>
        <w:r w:rsidR="005D2ED8">
          <w:rPr>
            <w:noProof/>
            <w:webHidden/>
          </w:rPr>
        </w:r>
        <w:r w:rsidR="005D2ED8">
          <w:rPr>
            <w:noProof/>
            <w:webHidden/>
          </w:rPr>
          <w:fldChar w:fldCharType="separate"/>
        </w:r>
        <w:r w:rsidR="00E26324">
          <w:rPr>
            <w:noProof/>
            <w:webHidden/>
          </w:rPr>
          <w:t>29</w:t>
        </w:r>
        <w:r w:rsidR="005D2ED8">
          <w:rPr>
            <w:noProof/>
            <w:webHidden/>
          </w:rPr>
          <w:fldChar w:fldCharType="end"/>
        </w:r>
      </w:hyperlink>
    </w:p>
    <w:p w14:paraId="7AB709BF" w14:textId="4A24C091" w:rsidR="005D2ED8" w:rsidRDefault="005D2ED8">
      <w:pPr>
        <w:pStyle w:val="TableofFigures"/>
        <w:tabs>
          <w:tab w:val="right" w:leader="dot" w:pos="9350"/>
        </w:tabs>
        <w:rPr>
          <w:rFonts w:asciiTheme="minorHAnsi" w:hAnsiTheme="minorHAnsi"/>
          <w:noProof/>
          <w:lang w:eastAsia="en-US"/>
        </w:rPr>
      </w:pPr>
      <w:hyperlink w:anchor="_Toc18439371" w:history="1">
        <w:r w:rsidRPr="002D6F62">
          <w:rPr>
            <w:rStyle w:val="Hyperlink"/>
            <w:noProof/>
          </w:rPr>
          <w:t>Figure 3.2 World Annual</w:t>
        </w:r>
        <w:r w:rsidRPr="002D6F62">
          <w:rPr>
            <w:rStyle w:val="Hyperlink"/>
            <w:noProof/>
            <w:vertAlign w:val="subscript"/>
          </w:rPr>
          <w:t xml:space="preserve"> </w:t>
        </w:r>
        <w:r w:rsidRPr="002D6F62">
          <w:rPr>
            <w:rStyle w:val="Hyperlink"/>
            <w:noProof/>
          </w:rPr>
          <w:t>Greenhouse Gas Emissions Reduction</w:t>
        </w:r>
        <w:r>
          <w:rPr>
            <w:noProof/>
            <w:webHidden/>
          </w:rPr>
          <w:tab/>
        </w:r>
        <w:r>
          <w:rPr>
            <w:noProof/>
            <w:webHidden/>
          </w:rPr>
          <w:fldChar w:fldCharType="begin"/>
        </w:r>
        <w:r>
          <w:rPr>
            <w:noProof/>
            <w:webHidden/>
          </w:rPr>
          <w:instrText xml:space="preserve"> PAGEREF _Toc18439371 \h </w:instrText>
        </w:r>
        <w:r>
          <w:rPr>
            <w:noProof/>
            <w:webHidden/>
          </w:rPr>
        </w:r>
        <w:r>
          <w:rPr>
            <w:noProof/>
            <w:webHidden/>
          </w:rPr>
          <w:fldChar w:fldCharType="separate"/>
        </w:r>
        <w:r w:rsidR="00E26324">
          <w:rPr>
            <w:noProof/>
            <w:webHidden/>
          </w:rPr>
          <w:t>30</w:t>
        </w:r>
        <w:r>
          <w:rPr>
            <w:noProof/>
            <w:webHidden/>
          </w:rPr>
          <w:fldChar w:fldCharType="end"/>
        </w:r>
      </w:hyperlink>
    </w:p>
    <w:p w14:paraId="5AD133BD" w14:textId="04321EC8" w:rsidR="00640665" w:rsidRPr="003A0234" w:rsidRDefault="00F15AEE" w:rsidP="00DB4CC8">
      <w:r w:rsidRPr="003A0234">
        <w:fldChar w:fldCharType="end"/>
      </w:r>
    </w:p>
    <w:p w14:paraId="6055DED9" w14:textId="741EAAED" w:rsidR="006A4A08" w:rsidRPr="003A0234" w:rsidRDefault="00C23CAC" w:rsidP="009432C9">
      <w:pPr>
        <w:pStyle w:val="Heading1"/>
        <w:numPr>
          <w:ilvl w:val="0"/>
          <w:numId w:val="0"/>
        </w:numPr>
      </w:pPr>
      <w:bookmarkStart w:id="1" w:name="_Toc18239986"/>
      <w:r w:rsidRPr="007974CC">
        <w:t xml:space="preserve">List of </w:t>
      </w:r>
      <w:r w:rsidR="2D56E7D4" w:rsidRPr="007974CC">
        <w:t>Tables</w:t>
      </w:r>
      <w:bookmarkEnd w:id="1"/>
    </w:p>
    <w:bookmarkStart w:id="2" w:name="_GoBack"/>
    <w:bookmarkEnd w:id="2"/>
    <w:p w14:paraId="089D5B3C" w14:textId="2F8E3149" w:rsidR="005D2ED8"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39374" w:history="1">
        <w:r w:rsidR="005D2ED8" w:rsidRPr="00291D34">
          <w:rPr>
            <w:rStyle w:val="Hyperlink"/>
            <w:noProof/>
          </w:rPr>
          <w:t>Table 1.1: Protected forest area evolution (from Morales- Hidalgo et al. (2015)</w:t>
        </w:r>
        <w:r w:rsidR="005D2ED8">
          <w:rPr>
            <w:noProof/>
            <w:webHidden/>
          </w:rPr>
          <w:tab/>
        </w:r>
        <w:r w:rsidR="005D2ED8">
          <w:rPr>
            <w:noProof/>
            <w:webHidden/>
          </w:rPr>
          <w:fldChar w:fldCharType="begin"/>
        </w:r>
        <w:r w:rsidR="005D2ED8">
          <w:rPr>
            <w:noProof/>
            <w:webHidden/>
          </w:rPr>
          <w:instrText xml:space="preserve"> PAGEREF _Toc18439374 \h </w:instrText>
        </w:r>
        <w:r w:rsidR="005D2ED8">
          <w:rPr>
            <w:noProof/>
            <w:webHidden/>
          </w:rPr>
        </w:r>
        <w:r w:rsidR="005D2ED8">
          <w:rPr>
            <w:noProof/>
            <w:webHidden/>
          </w:rPr>
          <w:fldChar w:fldCharType="separate"/>
        </w:r>
        <w:r w:rsidR="00E26324">
          <w:rPr>
            <w:noProof/>
            <w:webHidden/>
          </w:rPr>
          <w:t>7</w:t>
        </w:r>
        <w:r w:rsidR="005D2ED8">
          <w:rPr>
            <w:noProof/>
            <w:webHidden/>
          </w:rPr>
          <w:fldChar w:fldCharType="end"/>
        </w:r>
      </w:hyperlink>
    </w:p>
    <w:p w14:paraId="17C1B928" w14:textId="56A42319" w:rsidR="005D2ED8" w:rsidRDefault="005D2ED8">
      <w:pPr>
        <w:pStyle w:val="TableofFigures"/>
        <w:tabs>
          <w:tab w:val="right" w:leader="dot" w:pos="9350"/>
        </w:tabs>
        <w:rPr>
          <w:rFonts w:asciiTheme="minorHAnsi" w:hAnsiTheme="minorHAnsi"/>
          <w:noProof/>
          <w:lang w:eastAsia="en-US"/>
        </w:rPr>
      </w:pPr>
      <w:hyperlink w:anchor="_Toc18439375" w:history="1">
        <w:r w:rsidRPr="00291D34">
          <w:rPr>
            <w:rStyle w:val="Hyperlink"/>
            <w:noProof/>
          </w:rPr>
          <w:t>Table 1.2: Deforestation area and rate</w:t>
        </w:r>
        <w:r>
          <w:rPr>
            <w:noProof/>
            <w:webHidden/>
          </w:rPr>
          <w:tab/>
        </w:r>
        <w:r>
          <w:rPr>
            <w:noProof/>
            <w:webHidden/>
          </w:rPr>
          <w:fldChar w:fldCharType="begin"/>
        </w:r>
        <w:r>
          <w:rPr>
            <w:noProof/>
            <w:webHidden/>
          </w:rPr>
          <w:instrText xml:space="preserve"> PAGEREF _Toc18439375 \h </w:instrText>
        </w:r>
        <w:r>
          <w:rPr>
            <w:noProof/>
            <w:webHidden/>
          </w:rPr>
        </w:r>
        <w:r>
          <w:rPr>
            <w:noProof/>
            <w:webHidden/>
          </w:rPr>
          <w:fldChar w:fldCharType="separate"/>
        </w:r>
        <w:r w:rsidR="00E26324">
          <w:rPr>
            <w:noProof/>
            <w:webHidden/>
          </w:rPr>
          <w:t>13</w:t>
        </w:r>
        <w:r>
          <w:rPr>
            <w:noProof/>
            <w:webHidden/>
          </w:rPr>
          <w:fldChar w:fldCharType="end"/>
        </w:r>
      </w:hyperlink>
    </w:p>
    <w:p w14:paraId="7DE8FB62" w14:textId="3AA5C994" w:rsidR="005D2ED8" w:rsidRDefault="005D2ED8">
      <w:pPr>
        <w:pStyle w:val="TableofFigures"/>
        <w:tabs>
          <w:tab w:val="right" w:leader="dot" w:pos="9350"/>
        </w:tabs>
        <w:rPr>
          <w:rFonts w:asciiTheme="minorHAnsi" w:hAnsiTheme="minorHAnsi"/>
          <w:noProof/>
          <w:lang w:eastAsia="en-US"/>
        </w:rPr>
      </w:pPr>
      <w:hyperlink w:anchor="_Toc18439376" w:history="1">
        <w:r w:rsidRPr="00291D34">
          <w:rPr>
            <w:rStyle w:val="Hyperlink"/>
            <w:noProof/>
          </w:rPr>
          <w:t>Table 1.3:  Land Use Solutions Comparison: Economic Impacts</w:t>
        </w:r>
        <w:r>
          <w:rPr>
            <w:noProof/>
            <w:webHidden/>
          </w:rPr>
          <w:tab/>
        </w:r>
        <w:r>
          <w:rPr>
            <w:noProof/>
            <w:webHidden/>
          </w:rPr>
          <w:fldChar w:fldCharType="begin"/>
        </w:r>
        <w:r>
          <w:rPr>
            <w:noProof/>
            <w:webHidden/>
          </w:rPr>
          <w:instrText xml:space="preserve"> PAGEREF _Toc18439376 \h </w:instrText>
        </w:r>
        <w:r>
          <w:rPr>
            <w:noProof/>
            <w:webHidden/>
          </w:rPr>
        </w:r>
        <w:r>
          <w:rPr>
            <w:noProof/>
            <w:webHidden/>
          </w:rPr>
          <w:fldChar w:fldCharType="separate"/>
        </w:r>
        <w:r w:rsidR="00E26324">
          <w:rPr>
            <w:noProof/>
            <w:webHidden/>
          </w:rPr>
          <w:t>16</w:t>
        </w:r>
        <w:r>
          <w:rPr>
            <w:noProof/>
            <w:webHidden/>
          </w:rPr>
          <w:fldChar w:fldCharType="end"/>
        </w:r>
      </w:hyperlink>
    </w:p>
    <w:p w14:paraId="6E00E638" w14:textId="0ED411E3" w:rsidR="005D2ED8" w:rsidRDefault="005D2ED8">
      <w:pPr>
        <w:pStyle w:val="TableofFigures"/>
        <w:tabs>
          <w:tab w:val="right" w:leader="dot" w:pos="9350"/>
        </w:tabs>
        <w:rPr>
          <w:rFonts w:asciiTheme="minorHAnsi" w:hAnsiTheme="minorHAnsi"/>
          <w:noProof/>
          <w:lang w:eastAsia="en-US"/>
        </w:rPr>
      </w:pPr>
      <w:hyperlink w:anchor="_Toc18439377" w:history="1">
        <w:r w:rsidRPr="00291D34">
          <w:rPr>
            <w:rStyle w:val="Hyperlink"/>
            <w:noProof/>
          </w:rPr>
          <w:t>Table 1.4 Land Use Solutions Comparison: Social and Climate Impacts</w:t>
        </w:r>
        <w:r>
          <w:rPr>
            <w:noProof/>
            <w:webHidden/>
          </w:rPr>
          <w:tab/>
        </w:r>
        <w:r>
          <w:rPr>
            <w:noProof/>
            <w:webHidden/>
          </w:rPr>
          <w:fldChar w:fldCharType="begin"/>
        </w:r>
        <w:r>
          <w:rPr>
            <w:noProof/>
            <w:webHidden/>
          </w:rPr>
          <w:instrText xml:space="preserve"> PAGEREF _Toc18439377 \h </w:instrText>
        </w:r>
        <w:r>
          <w:rPr>
            <w:noProof/>
            <w:webHidden/>
          </w:rPr>
        </w:r>
        <w:r>
          <w:rPr>
            <w:noProof/>
            <w:webHidden/>
          </w:rPr>
          <w:fldChar w:fldCharType="separate"/>
        </w:r>
        <w:r w:rsidR="00E26324">
          <w:rPr>
            <w:noProof/>
            <w:webHidden/>
          </w:rPr>
          <w:t>17</w:t>
        </w:r>
        <w:r>
          <w:rPr>
            <w:noProof/>
            <w:webHidden/>
          </w:rPr>
          <w:fldChar w:fldCharType="end"/>
        </w:r>
      </w:hyperlink>
    </w:p>
    <w:p w14:paraId="338CE9DB" w14:textId="4D3110EE" w:rsidR="005D2ED8" w:rsidRDefault="005D2ED8">
      <w:pPr>
        <w:pStyle w:val="TableofFigures"/>
        <w:tabs>
          <w:tab w:val="right" w:leader="dot" w:pos="9350"/>
        </w:tabs>
        <w:rPr>
          <w:rFonts w:asciiTheme="minorHAnsi" w:hAnsiTheme="minorHAnsi"/>
          <w:noProof/>
          <w:lang w:eastAsia="en-US"/>
        </w:rPr>
      </w:pPr>
      <w:hyperlink w:anchor="_Toc18439378" w:history="1">
        <w:r w:rsidRPr="00291D34">
          <w:rPr>
            <w:rStyle w:val="Hyperlink"/>
            <w:noProof/>
          </w:rPr>
          <w:t>Table 3.1 World Adoption of the Solution</w:t>
        </w:r>
        <w:r>
          <w:rPr>
            <w:noProof/>
            <w:webHidden/>
          </w:rPr>
          <w:tab/>
        </w:r>
        <w:r>
          <w:rPr>
            <w:noProof/>
            <w:webHidden/>
          </w:rPr>
          <w:fldChar w:fldCharType="begin"/>
        </w:r>
        <w:r>
          <w:rPr>
            <w:noProof/>
            <w:webHidden/>
          </w:rPr>
          <w:instrText xml:space="preserve"> PAGEREF _Toc18439378 \h </w:instrText>
        </w:r>
        <w:r>
          <w:rPr>
            <w:noProof/>
            <w:webHidden/>
          </w:rPr>
        </w:r>
        <w:r>
          <w:rPr>
            <w:noProof/>
            <w:webHidden/>
          </w:rPr>
          <w:fldChar w:fldCharType="separate"/>
        </w:r>
        <w:r w:rsidR="00E26324">
          <w:rPr>
            <w:noProof/>
            <w:webHidden/>
          </w:rPr>
          <w:t>29</w:t>
        </w:r>
        <w:r>
          <w:rPr>
            <w:noProof/>
            <w:webHidden/>
          </w:rPr>
          <w:fldChar w:fldCharType="end"/>
        </w:r>
      </w:hyperlink>
    </w:p>
    <w:p w14:paraId="3FF4459C" w14:textId="75CDC6D0" w:rsidR="005D2ED8" w:rsidRDefault="005D2ED8">
      <w:pPr>
        <w:pStyle w:val="TableofFigures"/>
        <w:tabs>
          <w:tab w:val="right" w:leader="dot" w:pos="9350"/>
        </w:tabs>
        <w:rPr>
          <w:rFonts w:asciiTheme="minorHAnsi" w:hAnsiTheme="minorHAnsi"/>
          <w:noProof/>
          <w:lang w:eastAsia="en-US"/>
        </w:rPr>
      </w:pPr>
      <w:hyperlink w:anchor="_Toc18439379" w:history="1">
        <w:r w:rsidRPr="00291D34">
          <w:rPr>
            <w:rStyle w:val="Hyperlink"/>
            <w:noProof/>
          </w:rPr>
          <w:t>Table 3.2 Climate Impacts</w:t>
        </w:r>
        <w:r>
          <w:rPr>
            <w:noProof/>
            <w:webHidden/>
          </w:rPr>
          <w:tab/>
        </w:r>
        <w:r>
          <w:rPr>
            <w:noProof/>
            <w:webHidden/>
          </w:rPr>
          <w:fldChar w:fldCharType="begin"/>
        </w:r>
        <w:r>
          <w:rPr>
            <w:noProof/>
            <w:webHidden/>
          </w:rPr>
          <w:instrText xml:space="preserve"> PAGEREF _Toc18439379 \h </w:instrText>
        </w:r>
        <w:r>
          <w:rPr>
            <w:noProof/>
            <w:webHidden/>
          </w:rPr>
        </w:r>
        <w:r>
          <w:rPr>
            <w:noProof/>
            <w:webHidden/>
          </w:rPr>
          <w:fldChar w:fldCharType="separate"/>
        </w:r>
        <w:r w:rsidR="00E26324">
          <w:rPr>
            <w:noProof/>
            <w:webHidden/>
          </w:rPr>
          <w:t>30</w:t>
        </w:r>
        <w:r>
          <w:rPr>
            <w:noProof/>
            <w:webHidden/>
          </w:rPr>
          <w:fldChar w:fldCharType="end"/>
        </w:r>
      </w:hyperlink>
    </w:p>
    <w:p w14:paraId="191F3D5A" w14:textId="28B2EFDA" w:rsidR="005D2ED8" w:rsidRDefault="005D2ED8">
      <w:pPr>
        <w:pStyle w:val="TableofFigures"/>
        <w:tabs>
          <w:tab w:val="right" w:leader="dot" w:pos="9350"/>
        </w:tabs>
        <w:rPr>
          <w:rFonts w:asciiTheme="minorHAnsi" w:hAnsiTheme="minorHAnsi"/>
          <w:noProof/>
          <w:lang w:eastAsia="en-US"/>
        </w:rPr>
      </w:pPr>
      <w:hyperlink w:anchor="_Toc18439380" w:history="1">
        <w:r w:rsidRPr="00291D34">
          <w:rPr>
            <w:rStyle w:val="Hyperlink"/>
            <w:noProof/>
          </w:rPr>
          <w:t>Table 3.3 Impacts on Atmospheric Concentrations of CO2-eq</w:t>
        </w:r>
        <w:r>
          <w:rPr>
            <w:noProof/>
            <w:webHidden/>
          </w:rPr>
          <w:tab/>
        </w:r>
        <w:r>
          <w:rPr>
            <w:noProof/>
            <w:webHidden/>
          </w:rPr>
          <w:fldChar w:fldCharType="begin"/>
        </w:r>
        <w:r>
          <w:rPr>
            <w:noProof/>
            <w:webHidden/>
          </w:rPr>
          <w:instrText xml:space="preserve"> PAGEREF _Toc18439380 \h </w:instrText>
        </w:r>
        <w:r>
          <w:rPr>
            <w:noProof/>
            <w:webHidden/>
          </w:rPr>
        </w:r>
        <w:r>
          <w:rPr>
            <w:noProof/>
            <w:webHidden/>
          </w:rPr>
          <w:fldChar w:fldCharType="separate"/>
        </w:r>
        <w:r w:rsidR="00E26324">
          <w:rPr>
            <w:noProof/>
            <w:webHidden/>
          </w:rPr>
          <w:t>31</w:t>
        </w:r>
        <w:r>
          <w:rPr>
            <w:noProof/>
            <w:webHidden/>
          </w:rPr>
          <w:fldChar w:fldCharType="end"/>
        </w:r>
      </w:hyperlink>
    </w:p>
    <w:p w14:paraId="5E816AB4" w14:textId="1C23A47F" w:rsidR="005D2ED8" w:rsidRDefault="005D2ED8">
      <w:pPr>
        <w:pStyle w:val="TableofFigures"/>
        <w:tabs>
          <w:tab w:val="right" w:leader="dot" w:pos="9350"/>
        </w:tabs>
        <w:rPr>
          <w:rFonts w:asciiTheme="minorHAnsi" w:hAnsiTheme="minorHAnsi"/>
          <w:noProof/>
          <w:lang w:eastAsia="en-US"/>
        </w:rPr>
      </w:pPr>
      <w:hyperlink w:anchor="_Toc18439381" w:history="1">
        <w:r w:rsidRPr="00291D34">
          <w:rPr>
            <w:rStyle w:val="Hyperlink"/>
            <w:noProof/>
          </w:rPr>
          <w:t>Table 3.4: Carbon stock and reduced land degradation</w:t>
        </w:r>
        <w:r>
          <w:rPr>
            <w:noProof/>
            <w:webHidden/>
          </w:rPr>
          <w:tab/>
        </w:r>
        <w:r>
          <w:rPr>
            <w:noProof/>
            <w:webHidden/>
          </w:rPr>
          <w:fldChar w:fldCharType="begin"/>
        </w:r>
        <w:r>
          <w:rPr>
            <w:noProof/>
            <w:webHidden/>
          </w:rPr>
          <w:instrText xml:space="preserve"> PAGEREF _Toc18439381 \h </w:instrText>
        </w:r>
        <w:r>
          <w:rPr>
            <w:noProof/>
            <w:webHidden/>
          </w:rPr>
        </w:r>
        <w:r>
          <w:rPr>
            <w:noProof/>
            <w:webHidden/>
          </w:rPr>
          <w:fldChar w:fldCharType="separate"/>
        </w:r>
        <w:r w:rsidR="00E26324">
          <w:rPr>
            <w:noProof/>
            <w:webHidden/>
          </w:rPr>
          <w:t>31</w:t>
        </w:r>
        <w:r>
          <w:rPr>
            <w:noProof/>
            <w:webHidden/>
          </w:rPr>
          <w:fldChar w:fldCharType="end"/>
        </w:r>
      </w:hyperlink>
    </w:p>
    <w:p w14:paraId="25E76065" w14:textId="711AF915" w:rsidR="005D2ED8" w:rsidRDefault="005D2ED8">
      <w:pPr>
        <w:pStyle w:val="TableofFigures"/>
        <w:tabs>
          <w:tab w:val="right" w:leader="dot" w:pos="9350"/>
        </w:tabs>
        <w:rPr>
          <w:rFonts w:asciiTheme="minorHAnsi" w:hAnsiTheme="minorHAnsi"/>
          <w:noProof/>
          <w:lang w:eastAsia="en-US"/>
        </w:rPr>
      </w:pPr>
      <w:hyperlink w:anchor="_Toc18439382" w:history="1">
        <w:r w:rsidRPr="00291D34">
          <w:rPr>
            <w:rStyle w:val="Hyperlink"/>
            <w:noProof/>
          </w:rPr>
          <w:t>Table 4.1 Benchmarks</w:t>
        </w:r>
        <w:r>
          <w:rPr>
            <w:noProof/>
            <w:webHidden/>
          </w:rPr>
          <w:tab/>
        </w:r>
        <w:r>
          <w:rPr>
            <w:noProof/>
            <w:webHidden/>
          </w:rPr>
          <w:fldChar w:fldCharType="begin"/>
        </w:r>
        <w:r>
          <w:rPr>
            <w:noProof/>
            <w:webHidden/>
          </w:rPr>
          <w:instrText xml:space="preserve"> PAGEREF _Toc18439382 \h </w:instrText>
        </w:r>
        <w:r>
          <w:rPr>
            <w:noProof/>
            <w:webHidden/>
          </w:rPr>
        </w:r>
        <w:r>
          <w:rPr>
            <w:noProof/>
            <w:webHidden/>
          </w:rPr>
          <w:fldChar w:fldCharType="separate"/>
        </w:r>
        <w:r w:rsidR="00E26324">
          <w:rPr>
            <w:noProof/>
            <w:webHidden/>
          </w:rPr>
          <w:t>33</w:t>
        </w:r>
        <w:r>
          <w:rPr>
            <w:noProof/>
            <w:webHidden/>
          </w:rPr>
          <w:fldChar w:fldCharType="end"/>
        </w:r>
      </w:hyperlink>
    </w:p>
    <w:p w14:paraId="59531BD3" w14:textId="2C2E55C6" w:rsidR="006A4A08" w:rsidRPr="003A0234" w:rsidRDefault="006A4A08" w:rsidP="00DB4CC8">
      <w:r w:rsidRPr="003A0234">
        <w:fldChar w:fldCharType="end"/>
      </w:r>
    </w:p>
    <w:p w14:paraId="4825AD3F" w14:textId="40954F23" w:rsidR="00640665" w:rsidRDefault="00640665" w:rsidP="00DB4CC8">
      <w:pPr>
        <w:rPr>
          <w:rFonts w:asciiTheme="majorHAnsi" w:eastAsiaTheme="majorEastAsia" w:hAnsiTheme="majorHAnsi" w:cstheme="majorBidi"/>
          <w:b/>
          <w:bCs/>
          <w:smallCaps/>
          <w:color w:val="000000" w:themeColor="text1"/>
          <w:sz w:val="36"/>
          <w:szCs w:val="36"/>
        </w:rPr>
      </w:pPr>
      <w:r>
        <w:br w:type="page"/>
      </w:r>
    </w:p>
    <w:p w14:paraId="314CD877" w14:textId="73C80C48" w:rsidR="00FA6897" w:rsidRDefault="2D56E7D4" w:rsidP="009432C9">
      <w:pPr>
        <w:pStyle w:val="Heading1"/>
        <w:numPr>
          <w:ilvl w:val="0"/>
          <w:numId w:val="0"/>
        </w:numPr>
      </w:pPr>
      <w:bookmarkStart w:id="3" w:name="_Toc18239987"/>
      <w:r>
        <w:lastRenderedPageBreak/>
        <w:t>Acronyms and Symbols Used</w:t>
      </w:r>
      <w:bookmarkEnd w:id="3"/>
    </w:p>
    <w:p w14:paraId="25BC328C" w14:textId="77777777" w:rsidR="00FB2C53" w:rsidRDefault="00FB2C53" w:rsidP="00DB4CC8">
      <w:pPr>
        <w:spacing w:after="160"/>
        <w:jc w:val="left"/>
        <w:rPr>
          <w:rFonts w:asciiTheme="majorHAnsi" w:eastAsiaTheme="majorEastAsia" w:hAnsiTheme="majorHAnsi" w:cs="Times New Roman (Headings CS)"/>
          <w:b/>
          <w:bCs/>
          <w:smallCaps/>
          <w:color w:val="4F81BD" w:themeColor="accent1"/>
          <w:sz w:val="36"/>
          <w:szCs w:val="36"/>
        </w:rPr>
      </w:pPr>
      <w:r>
        <w:br w:type="page"/>
      </w:r>
    </w:p>
    <w:p w14:paraId="3972748E" w14:textId="436EFE41" w:rsidR="00F52595" w:rsidRDefault="551A77D0" w:rsidP="009432C9">
      <w:pPr>
        <w:pStyle w:val="Heading1"/>
        <w:numPr>
          <w:ilvl w:val="0"/>
          <w:numId w:val="0"/>
        </w:numPr>
      </w:pPr>
      <w:bookmarkStart w:id="4" w:name="_Toc18239988"/>
      <w:r>
        <w:lastRenderedPageBreak/>
        <w:t>Executive Summary</w:t>
      </w:r>
      <w:bookmarkEnd w:id="4"/>
    </w:p>
    <w:p w14:paraId="11C7C52A" w14:textId="7C658046" w:rsidR="004B6F69" w:rsidRDefault="004B6F69" w:rsidP="00E508ED">
      <w:pPr>
        <w:shd w:val="clear" w:color="auto" w:fill="FFFFFF"/>
        <w:spacing w:after="180"/>
        <w:rPr>
          <w:rFonts w:eastAsia="Helvetica Neue" w:cs="Times New Roman"/>
          <w:color w:val="000000" w:themeColor="text1"/>
        </w:rPr>
      </w:pPr>
      <w:r w:rsidRPr="00E508ED">
        <w:rPr>
          <w:rFonts w:eastAsia="Helvetica Neue" w:cs="Times New Roman"/>
          <w:color w:val="000000" w:themeColor="text1"/>
        </w:rPr>
        <w:t>Project Drawdown defines </w:t>
      </w:r>
      <w:r w:rsidRPr="00E508ED">
        <w:rPr>
          <w:rFonts w:eastAsia="Helvetica Neue" w:cs="Times New Roman"/>
          <w:i/>
          <w:color w:val="000000" w:themeColor="text1"/>
        </w:rPr>
        <w:t>forest protection </w:t>
      </w:r>
      <w:r w:rsidRPr="00E508ED">
        <w:rPr>
          <w:rFonts w:eastAsia="Helvetica Neue" w:cs="Times New Roman"/>
          <w:color w:val="000000" w:themeColor="text1"/>
        </w:rPr>
        <w:t>as: the legal protection of forest lands, leading to reduced deforestation rates and the safeguarding of carbon sinks. This solution replaces non-protected forest land. It is assumed that </w:t>
      </w:r>
      <w:r w:rsidRPr="00E508ED">
        <w:rPr>
          <w:rFonts w:eastAsia="Helvetica Neue" w:cs="Times New Roman"/>
          <w:i/>
          <w:color w:val="000000" w:themeColor="text1"/>
        </w:rPr>
        <w:t>forest protection</w:t>
      </w:r>
      <w:r w:rsidRPr="00E508ED">
        <w:rPr>
          <w:rFonts w:eastAsia="Helvetica Neue" w:cs="Times New Roman"/>
          <w:color w:val="000000" w:themeColor="text1"/>
        </w:rPr>
        <w:t> primarily happens at the government and non-governmental organization (NGO) level. Mature, healthy forests have spent decades or centuries accumulating carbon through photosynthesis. They represent massive storehouses of carbon in soils and biomass. Yet, forests are being cleared and degraded at a rapid rate, causing carbon loss as well as negative impacts on ecosystem services like habitat, erosion control, soil-building, water regulation, water supply, and air pollution removal.</w:t>
      </w:r>
      <w:r w:rsidR="009432C9">
        <w:rPr>
          <w:rFonts w:eastAsia="Helvetica Neue" w:cs="Times New Roman"/>
          <w:color w:val="000000" w:themeColor="text1"/>
        </w:rPr>
        <w:t xml:space="preserve"> </w:t>
      </w:r>
      <w:r w:rsidRPr="00E508ED">
        <w:rPr>
          <w:rFonts w:eastAsia="Helvetica Neue" w:cs="Times New Roman"/>
          <w:i/>
          <w:color w:val="000000" w:themeColor="text1"/>
        </w:rPr>
        <w:t>Forest protection</w:t>
      </w:r>
      <w:r w:rsidRPr="00E508ED">
        <w:rPr>
          <w:rFonts w:eastAsia="Helvetica Neue" w:cs="Times New Roman"/>
          <w:color w:val="000000" w:themeColor="text1"/>
        </w:rPr>
        <w:t xml:space="preserve"> reduces these emissions from deforestation. Emissions from tropical deforestation and forest degradation alone are estimated at </w:t>
      </w:r>
      <w:r w:rsidRPr="00630D70">
        <w:rPr>
          <w:rFonts w:eastAsia="Helvetica Neue" w:cs="Times New Roman"/>
          <w:color w:val="000000" w:themeColor="text1"/>
        </w:rPr>
        <w:t>5.1-8.4 gigatons of carbon dioxide-equivalent per year</w:t>
      </w:r>
      <w:r w:rsidRPr="00E508ED">
        <w:rPr>
          <w:rFonts w:eastAsia="Helvetica Neue" w:cs="Times New Roman"/>
          <w:color w:val="000000" w:themeColor="text1"/>
        </w:rPr>
        <w:t xml:space="preserve">. This accounts for </w:t>
      </w:r>
      <w:r w:rsidRPr="00630D70">
        <w:rPr>
          <w:rFonts w:eastAsia="Helvetica Neue" w:cs="Times New Roman"/>
          <w:color w:val="000000" w:themeColor="text1"/>
        </w:rPr>
        <w:t>14-21 percent of anthropogenic emissions</w:t>
      </w:r>
      <w:r w:rsidRPr="00E508ED">
        <w:rPr>
          <w:rFonts w:eastAsia="Helvetica Neue" w:cs="Times New Roman"/>
          <w:color w:val="000000" w:themeColor="text1"/>
        </w:rPr>
        <w:t>. Future deforestation and forest degradation, although difficult to estimate due to uncertainties in population growth, enforcement of existing laws, scaling up of bioenergy, and other factors, are likely to contribute significantly to greenhouse gas emissions over the 21st century.</w:t>
      </w:r>
    </w:p>
    <w:p w14:paraId="0DA4D284" w14:textId="2630A560" w:rsidR="004D669A" w:rsidRDefault="00621031" w:rsidP="00E508ED">
      <w:pPr>
        <w:shd w:val="clear" w:color="auto" w:fill="FFFFFF"/>
        <w:spacing w:after="180"/>
        <w:rPr>
          <w:rFonts w:eastAsia="Helvetica Neue" w:cs="Times New Roman"/>
          <w:color w:val="000000" w:themeColor="text1"/>
        </w:rPr>
      </w:pPr>
      <w:r>
        <w:rPr>
          <w:rFonts w:eastAsia="Helvetica Neue" w:cs="Times New Roman"/>
          <w:color w:val="000000" w:themeColor="text1"/>
        </w:rPr>
        <w:t>Out of a total land area available for the solution of 1</w:t>
      </w:r>
      <w:r w:rsidR="00DD28EF">
        <w:rPr>
          <w:rFonts w:eastAsia="Helvetica Neue" w:cs="Times New Roman"/>
          <w:color w:val="000000" w:themeColor="text1"/>
        </w:rPr>
        <w:t>,</w:t>
      </w:r>
      <w:r>
        <w:rPr>
          <w:rFonts w:eastAsia="Helvetica Neue" w:cs="Times New Roman"/>
          <w:color w:val="000000" w:themeColor="text1"/>
        </w:rPr>
        <w:t>0</w:t>
      </w:r>
      <w:r w:rsidR="009432C9">
        <w:rPr>
          <w:rFonts w:eastAsia="Helvetica Neue" w:cs="Times New Roman"/>
          <w:color w:val="000000" w:themeColor="text1"/>
        </w:rPr>
        <w:t>60</w:t>
      </w:r>
      <w:r>
        <w:rPr>
          <w:rFonts w:eastAsia="Helvetica Neue" w:cs="Times New Roman"/>
          <w:color w:val="000000" w:themeColor="text1"/>
        </w:rPr>
        <w:t xml:space="preserve"> million hectares, the current solution adoption is 651 million hectares.</w:t>
      </w:r>
      <w:r w:rsidR="00B93808">
        <w:rPr>
          <w:rFonts w:eastAsia="Helvetica Neue" w:cs="Times New Roman"/>
          <w:color w:val="000000" w:themeColor="text1"/>
        </w:rPr>
        <w:t xml:space="preserve"> </w:t>
      </w:r>
      <w:r w:rsidR="00955E54">
        <w:rPr>
          <w:rFonts w:eastAsia="Helvetica Neue" w:cs="Times New Roman"/>
          <w:color w:val="000000" w:themeColor="text1"/>
        </w:rPr>
        <w:t>Starting from this adoption value and based on a historical evolution of protected forest area</w:t>
      </w:r>
      <w:r w:rsidR="00E57309">
        <w:rPr>
          <w:rFonts w:eastAsia="Helvetica Neue" w:cs="Times New Roman"/>
          <w:color w:val="000000" w:themeColor="text1"/>
        </w:rPr>
        <w:t xml:space="preserve"> and two different degradation rates, t</w:t>
      </w:r>
      <w:r w:rsidR="00B93808">
        <w:rPr>
          <w:rFonts w:eastAsia="Helvetica Neue" w:cs="Times New Roman"/>
          <w:color w:val="000000" w:themeColor="text1"/>
        </w:rPr>
        <w:t xml:space="preserve">en custom PDS adoption scenarios were developed for this solution which were combined to produce the </w:t>
      </w:r>
      <w:r w:rsidR="00B93808" w:rsidRPr="004B3A12">
        <w:rPr>
          <w:rFonts w:eastAsia="Helvetica Neue" w:cs="Times New Roman"/>
          <w:i/>
          <w:color w:val="000000" w:themeColor="text1"/>
        </w:rPr>
        <w:t>Plausible</w:t>
      </w:r>
      <w:r w:rsidR="00B93808">
        <w:rPr>
          <w:rFonts w:eastAsia="Helvetica Neue" w:cs="Times New Roman"/>
          <w:color w:val="000000" w:themeColor="text1"/>
        </w:rPr>
        <w:t xml:space="preserve">, </w:t>
      </w:r>
      <w:r w:rsidR="00B93808" w:rsidRPr="004B3A12">
        <w:rPr>
          <w:rFonts w:eastAsia="Helvetica Neue" w:cs="Times New Roman"/>
          <w:i/>
          <w:color w:val="000000" w:themeColor="text1"/>
        </w:rPr>
        <w:t>Drawdown</w:t>
      </w:r>
      <w:r w:rsidR="00B93808">
        <w:rPr>
          <w:rFonts w:eastAsia="Helvetica Neue" w:cs="Times New Roman"/>
          <w:color w:val="000000" w:themeColor="text1"/>
        </w:rPr>
        <w:t xml:space="preserve"> and </w:t>
      </w:r>
      <w:r w:rsidR="00B93808" w:rsidRPr="004B3A12">
        <w:rPr>
          <w:rFonts w:eastAsia="Helvetica Neue" w:cs="Times New Roman"/>
          <w:i/>
          <w:color w:val="000000" w:themeColor="text1"/>
        </w:rPr>
        <w:t>Optimum</w:t>
      </w:r>
      <w:r w:rsidR="00B93808">
        <w:rPr>
          <w:rFonts w:eastAsia="Helvetica Neue" w:cs="Times New Roman"/>
          <w:color w:val="000000" w:themeColor="text1"/>
        </w:rPr>
        <w:t xml:space="preserve"> scenarios.</w:t>
      </w:r>
    </w:p>
    <w:p w14:paraId="5B3C918F" w14:textId="4145AB33" w:rsidR="00722A53" w:rsidRPr="00E508ED" w:rsidRDefault="3048CB0E" w:rsidP="3048CB0E">
      <w:pPr>
        <w:shd w:val="clear" w:color="auto" w:fill="FFFFFF" w:themeFill="background1"/>
        <w:spacing w:after="180"/>
        <w:rPr>
          <w:rFonts w:eastAsia="Helvetica Neue" w:cs="Times New Roman"/>
          <w:color w:val="000000" w:themeColor="text1"/>
        </w:rPr>
      </w:pPr>
      <w:r w:rsidRPr="3048CB0E">
        <w:rPr>
          <w:rFonts w:eastAsia="Helvetica Neue" w:cs="Times New Roman"/>
          <w:color w:val="000000" w:themeColor="text1"/>
        </w:rPr>
        <w:t xml:space="preserve">In the </w:t>
      </w:r>
      <w:r w:rsidRPr="3048CB0E">
        <w:rPr>
          <w:rFonts w:eastAsia="Helvetica Neue" w:cs="Times New Roman"/>
          <w:i/>
          <w:iCs/>
          <w:color w:val="000000" w:themeColor="text1"/>
        </w:rPr>
        <w:t xml:space="preserve">Plausible </w:t>
      </w:r>
      <w:r w:rsidRPr="3048CB0E">
        <w:rPr>
          <w:rFonts w:eastAsia="Helvetica Neue" w:cs="Times New Roman"/>
          <w:color w:val="000000" w:themeColor="text1"/>
        </w:rPr>
        <w:t>Scenario, 961.87 million hectares come under protection totaling 91% of total land area in 2050. Climate impact is 5.26 gigatons of carbon dioxide equivalent. Total carbon stock protected is 638.7 gigatons of carbon dioxide equivalent with the prevention of 14.73 million of non-degraded forest from future degradation.</w:t>
      </w:r>
    </w:p>
    <w:p w14:paraId="7B21D66E" w14:textId="791A9033" w:rsidR="00CC3AD5" w:rsidRPr="00E508ED" w:rsidRDefault="3048CB0E" w:rsidP="3048CB0E">
      <w:pPr>
        <w:shd w:val="clear" w:color="auto" w:fill="FFFFFF" w:themeFill="background1"/>
        <w:spacing w:after="180"/>
        <w:rPr>
          <w:rFonts w:eastAsia="Helvetica Neue" w:cs="Times New Roman"/>
          <w:color w:val="000000" w:themeColor="text1"/>
        </w:rPr>
      </w:pPr>
      <w:r w:rsidRPr="3048CB0E">
        <w:rPr>
          <w:rFonts w:eastAsia="Helvetica Neue" w:cs="Times New Roman"/>
          <w:color w:val="000000" w:themeColor="text1"/>
        </w:rPr>
        <w:t xml:space="preserve">In the </w:t>
      </w:r>
      <w:r w:rsidRPr="3048CB0E">
        <w:rPr>
          <w:rFonts w:eastAsia="Helvetica Neue" w:cs="Times New Roman"/>
          <w:i/>
          <w:iCs/>
          <w:color w:val="000000" w:themeColor="text1"/>
        </w:rPr>
        <w:t>Drawdown</w:t>
      </w:r>
      <w:r w:rsidRPr="3048CB0E">
        <w:rPr>
          <w:rFonts w:eastAsia="Helvetica Neue" w:cs="Times New Roman"/>
          <w:color w:val="000000" w:themeColor="text1"/>
        </w:rPr>
        <w:t xml:space="preserve"> Scenario, 1,047.90 million hectares come under protection totaling 99.14 % of total land area in 2050. Climate impact is 6.79 gigatons of carbon dioxide equivalent. Total carbon stock protected is 696.9 gigatons of carbon dioxide equivalent with the prevention of 19.24 million of non-degraded forest from future degradation.</w:t>
      </w:r>
    </w:p>
    <w:p w14:paraId="2BAFF347" w14:textId="3DE5F994" w:rsidR="00CC3AD5" w:rsidRPr="00E508ED" w:rsidRDefault="3048CB0E" w:rsidP="3048CB0E">
      <w:pPr>
        <w:shd w:val="clear" w:color="auto" w:fill="FFFFFF" w:themeFill="background1"/>
        <w:spacing w:after="180"/>
        <w:rPr>
          <w:rFonts w:eastAsia="Helvetica Neue" w:cs="Times New Roman"/>
          <w:color w:val="000000" w:themeColor="text1"/>
        </w:rPr>
      </w:pPr>
      <w:r w:rsidRPr="3048CB0E">
        <w:rPr>
          <w:rFonts w:eastAsia="Helvetica Neue" w:cs="Times New Roman"/>
          <w:color w:val="000000" w:themeColor="text1"/>
        </w:rPr>
        <w:t xml:space="preserve">In the </w:t>
      </w:r>
      <w:r w:rsidRPr="3048CB0E">
        <w:rPr>
          <w:rFonts w:eastAsia="Helvetica Neue" w:cs="Times New Roman"/>
          <w:i/>
          <w:iCs/>
          <w:color w:val="000000" w:themeColor="text1"/>
        </w:rPr>
        <w:t>Optimum</w:t>
      </w:r>
      <w:r w:rsidRPr="3048CB0E">
        <w:rPr>
          <w:rFonts w:eastAsia="Helvetica Neue" w:cs="Times New Roman"/>
          <w:color w:val="000000" w:themeColor="text1"/>
        </w:rPr>
        <w:t xml:space="preserve"> Scenario, 1,054.46 million hectares come under protection totaling 99.76 % of total land area in 2050. Climate impact is 7.56 gigatons of carbon dioxide equivalent. Total carbon stock protected is 700.2 gigatons of carbon dioxide equivalent with the prevention of 21 million of non-degraded forest from future degradation.</w:t>
      </w:r>
    </w:p>
    <w:p w14:paraId="51E4A66D" w14:textId="0C8339CE" w:rsidR="00805128" w:rsidRPr="00E508ED" w:rsidRDefault="00805128" w:rsidP="00E508ED">
      <w:pPr>
        <w:shd w:val="clear" w:color="auto" w:fill="FFFFFF"/>
        <w:spacing w:after="180"/>
        <w:rPr>
          <w:rFonts w:eastAsia="Helvetica Neue" w:cs="Times New Roman"/>
          <w:color w:val="000000" w:themeColor="text1"/>
        </w:rPr>
      </w:pPr>
      <w:r w:rsidRPr="00E508ED">
        <w:rPr>
          <w:rFonts w:eastAsia="Helvetica Neue" w:cs="Times New Roman"/>
          <w:color w:val="000000" w:themeColor="text1"/>
        </w:rPr>
        <w:t>Financials are not modeled.</w:t>
      </w:r>
    </w:p>
    <w:p w14:paraId="34916870" w14:textId="3CE8D700" w:rsidR="00E815C8" w:rsidRDefault="551A77D0" w:rsidP="009432C9">
      <w:pPr>
        <w:pStyle w:val="Heading1"/>
      </w:pPr>
      <w:bookmarkStart w:id="5" w:name="_Toc18239989"/>
      <w:r w:rsidRPr="00EB247F">
        <w:lastRenderedPageBreak/>
        <w:t>Literature Review</w:t>
      </w:r>
      <w:bookmarkEnd w:id="5"/>
    </w:p>
    <w:p w14:paraId="05406D4C" w14:textId="0A5E834E" w:rsidR="006A4A08" w:rsidRPr="00EB247F" w:rsidRDefault="551A77D0" w:rsidP="00DB4CC8">
      <w:pPr>
        <w:pStyle w:val="Heading2"/>
      </w:pPr>
      <w:bookmarkStart w:id="6" w:name="_Toc18239990"/>
      <w:r w:rsidRPr="00EB247F">
        <w:t xml:space="preserve">State of </w:t>
      </w:r>
      <w:r w:rsidR="00386A73">
        <w:t>F</w:t>
      </w:r>
      <w:r w:rsidR="0049496C">
        <w:t>o</w:t>
      </w:r>
      <w:r w:rsidR="00386A73">
        <w:t>rest Protection</w:t>
      </w:r>
      <w:bookmarkEnd w:id="6"/>
    </w:p>
    <w:p w14:paraId="7F45390B" w14:textId="77777777" w:rsidR="00A12E91" w:rsidRDefault="00A12E91" w:rsidP="00A12E91">
      <w:pPr>
        <w:rPr>
          <w:rFonts w:eastAsia="Helvetica Neue" w:cs="Times New Roman"/>
          <w:color w:val="000000" w:themeColor="text1"/>
        </w:rPr>
      </w:pPr>
      <w:r w:rsidRPr="00151E78">
        <w:rPr>
          <w:rFonts w:eastAsia="Helvetica Neue" w:cs="Times New Roman"/>
          <w:color w:val="000000" w:themeColor="text1"/>
        </w:rPr>
        <w:t>Project Drawdown defines </w:t>
      </w:r>
      <w:r w:rsidRPr="00151E78">
        <w:rPr>
          <w:rFonts w:eastAsia="Helvetica Neue" w:cs="Times New Roman"/>
          <w:i/>
          <w:color w:val="000000" w:themeColor="text1"/>
        </w:rPr>
        <w:t>forest protection </w:t>
      </w:r>
      <w:r w:rsidRPr="00151E78">
        <w:rPr>
          <w:rFonts w:eastAsia="Helvetica Neue" w:cs="Times New Roman"/>
          <w:color w:val="000000" w:themeColor="text1"/>
        </w:rPr>
        <w:t xml:space="preserve">as the legal protection of forest lands, leading to reduced deforestation rates and the safeguarding of carbon sinks. </w:t>
      </w:r>
      <w:r>
        <w:rPr>
          <w:rFonts w:eastAsia="Helvetica Neue" w:cs="Times New Roman"/>
          <w:color w:val="000000" w:themeColor="text1"/>
        </w:rPr>
        <w:t xml:space="preserve">The solution excludes peatlands and mangrove forests as these are modeled as separate solutions. </w:t>
      </w:r>
      <w:r w:rsidRPr="00151E78">
        <w:rPr>
          <w:rFonts w:eastAsia="Helvetica Neue" w:cs="Times New Roman"/>
          <w:color w:val="000000" w:themeColor="text1"/>
        </w:rPr>
        <w:t xml:space="preserve">This solution does not address avoided deforestation via reduction of food demand or intensification of agricultural production, as these are modeled elsewhere (see </w:t>
      </w:r>
      <w:r w:rsidRPr="00151E78">
        <w:rPr>
          <w:rFonts w:eastAsia="Helvetica Neue" w:cs="Times New Roman"/>
          <w:i/>
          <w:color w:val="000000" w:themeColor="text1"/>
        </w:rPr>
        <w:t xml:space="preserve">plant-rich diet, reduced food waste, educating girls, family planning, smallholder intensification, </w:t>
      </w:r>
      <w:r w:rsidRPr="00151E78">
        <w:rPr>
          <w:rFonts w:eastAsia="Helvetica Neue" w:cs="Times New Roman"/>
          <w:color w:val="000000" w:themeColor="text1"/>
        </w:rPr>
        <w:t>and other agricultural solutions).</w:t>
      </w:r>
    </w:p>
    <w:p w14:paraId="1DAA58CE" w14:textId="5B60703D" w:rsidR="00A12E91" w:rsidRDefault="00A12E91" w:rsidP="00A12E91">
      <w:pPr>
        <w:rPr>
          <w:rFonts w:eastAsia="Helvetica Neue" w:cs="Times New Roman"/>
          <w:color w:val="000000" w:themeColor="text1"/>
        </w:rPr>
      </w:pPr>
      <w:r>
        <w:rPr>
          <w:rFonts w:eastAsia="Helvetica Neue" w:cs="Times New Roman"/>
          <w:color w:val="000000" w:themeColor="text1"/>
        </w:rPr>
        <w:t>Morales-Hidalgo et al. (2015) include an evolution of protected forest area for 1990-2015 by climatic domain based on FAO’s Global Forest Assessment Report (2016):</w:t>
      </w:r>
    </w:p>
    <w:p w14:paraId="39341002" w14:textId="5A2F2473" w:rsidR="009432C9" w:rsidRPr="004B3A12" w:rsidRDefault="005D2ED8" w:rsidP="005D2ED8">
      <w:pPr>
        <w:pStyle w:val="Caption"/>
      </w:pPr>
      <w:bookmarkStart w:id="7" w:name="_Toc18439374"/>
      <w:r>
        <w:t xml:space="preserve">Table </w:t>
      </w:r>
      <w:r>
        <w:fldChar w:fldCharType="begin"/>
      </w:r>
      <w:r>
        <w:instrText xml:space="preserve"> STYLEREF 1 \s </w:instrText>
      </w:r>
      <w:r>
        <w:fldChar w:fldCharType="separate"/>
      </w:r>
      <w:r w:rsidR="00E26324">
        <w:rPr>
          <w:noProof/>
        </w:rPr>
        <w:t>1</w:t>
      </w:r>
      <w:r>
        <w:fldChar w:fldCharType="end"/>
      </w:r>
      <w:r>
        <w:t>.</w:t>
      </w:r>
      <w:r>
        <w:fldChar w:fldCharType="begin"/>
      </w:r>
      <w:r>
        <w:instrText xml:space="preserve"> SEQ Table \* ARABIC \s 1 </w:instrText>
      </w:r>
      <w:r>
        <w:fldChar w:fldCharType="separate"/>
      </w:r>
      <w:r w:rsidR="00E26324">
        <w:rPr>
          <w:noProof/>
        </w:rPr>
        <w:t>1</w:t>
      </w:r>
      <w:r>
        <w:fldChar w:fldCharType="end"/>
      </w:r>
      <w:r>
        <w:t xml:space="preserve">: </w:t>
      </w:r>
      <w:r w:rsidRPr="004B3A12">
        <w:t>Protected forest area evolution (from Morales- Hidalgo et al. (2015)</w:t>
      </w:r>
      <w:bookmarkEnd w:id="7"/>
    </w:p>
    <w:p w14:paraId="51EC4C14" w14:textId="5B8647F4" w:rsidR="00EC3D54" w:rsidRDefault="00EC3D54">
      <w:pPr>
        <w:jc w:val="center"/>
        <w:rPr>
          <w:rFonts w:eastAsia="Helvetica Neue" w:cs="Times New Roman"/>
          <w:color w:val="000000" w:themeColor="text1"/>
        </w:rPr>
      </w:pPr>
      <w:r w:rsidRPr="00EC3D54">
        <w:rPr>
          <w:noProof/>
        </w:rPr>
        <w:drawing>
          <wp:inline distT="0" distB="0" distL="0" distR="0" wp14:anchorId="3F2F8662" wp14:editId="0AAC3214">
            <wp:extent cx="3867150" cy="1533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1533525"/>
                    </a:xfrm>
                    <a:prstGeom prst="rect">
                      <a:avLst/>
                    </a:prstGeom>
                    <a:noFill/>
                    <a:ln>
                      <a:noFill/>
                    </a:ln>
                  </pic:spPr>
                </pic:pic>
              </a:graphicData>
            </a:graphic>
          </wp:inline>
        </w:drawing>
      </w:r>
    </w:p>
    <w:p w14:paraId="5716D70C" w14:textId="77777777" w:rsidR="00A12E91" w:rsidRPr="00151E78" w:rsidRDefault="00A12E91" w:rsidP="00A12E91">
      <w:pPr>
        <w:rPr>
          <w:rFonts w:eastAsia="Helvetica Neue" w:cs="Times New Roman"/>
          <w:color w:val="000000" w:themeColor="text1"/>
        </w:rPr>
      </w:pPr>
      <w:r>
        <w:rPr>
          <w:rFonts w:eastAsia="Helvetica Neue" w:cs="Times New Roman"/>
          <w:color w:val="000000" w:themeColor="text1"/>
        </w:rPr>
        <w:t xml:space="preserve">It should be noted that the evolution on the table includes countries which consistently reported for the 25 -year period, which represent around 80% of global forest for each year (as a reference, the total protected forest area in 2015 was 651 </w:t>
      </w:r>
      <w:proofErr w:type="spellStart"/>
      <w:r>
        <w:rPr>
          <w:rFonts w:eastAsia="Helvetica Neue" w:cs="Times New Roman"/>
          <w:color w:val="000000" w:themeColor="text1"/>
        </w:rPr>
        <w:t>Mha</w:t>
      </w:r>
      <w:proofErr w:type="spellEnd"/>
      <w:r>
        <w:rPr>
          <w:rFonts w:eastAsia="Helvetica Neue" w:cs="Times New Roman"/>
          <w:color w:val="000000" w:themeColor="text1"/>
        </w:rPr>
        <w:t>) (Morales-Hidalgo et al., 2015). The average yearly increase in protected forest area was quite considerable for the first 20 years of analysis: 2,5% and 2,1% for 1990-2000 and 2000-2010 respectively, whilst it declined to 0,6% for the 2010- 2015 period.</w:t>
      </w:r>
    </w:p>
    <w:p w14:paraId="2244DA4D" w14:textId="77777777" w:rsidR="00A12E91" w:rsidRDefault="00A12E91" w:rsidP="00A12E91">
      <w:r>
        <w:t xml:space="preserve">Deforestation is a common phenomenon that involves clearing of forests for other land uses. There has always been a tradeoff between one land use to another. As a reference, the forest area totaled 4823 </w:t>
      </w:r>
      <w:proofErr w:type="spellStart"/>
      <w:r>
        <w:t>Mha</w:t>
      </w:r>
      <w:proofErr w:type="spellEnd"/>
      <w:r>
        <w:t xml:space="preserve"> in 1850 (Houghton and </w:t>
      </w:r>
      <w:proofErr w:type="spellStart"/>
      <w:r>
        <w:t>Nassikas</w:t>
      </w:r>
      <w:proofErr w:type="spellEnd"/>
      <w:r>
        <w:t>, 2017). However, to support the food, fodder, and other demands of the human population, the rate of deforestation has increased significantly in the last two centuries. As per the latest statistics, the forest area has decreased from 4128 million hectares (</w:t>
      </w:r>
      <w:proofErr w:type="spellStart"/>
      <w:r>
        <w:t>Mha</w:t>
      </w:r>
      <w:proofErr w:type="spellEnd"/>
      <w:r>
        <w:t xml:space="preserve">) in 1990 to 3999 </w:t>
      </w:r>
      <w:proofErr w:type="spellStart"/>
      <w:r>
        <w:t>Mha</w:t>
      </w:r>
      <w:proofErr w:type="spellEnd"/>
      <w:r>
        <w:t xml:space="preserve"> in 2015 (FAO, 2016). This resulted in a loss of 129 </w:t>
      </w:r>
      <w:proofErr w:type="spellStart"/>
      <w:r>
        <w:t>Mha</w:t>
      </w:r>
      <w:proofErr w:type="spellEnd"/>
      <w:r>
        <w:t xml:space="preserve"> area, equivalent to the size of South Africa, in a span of 25 years (FAO 2016). The estimated net annual loss was found to be 0.13%. </w:t>
      </w:r>
    </w:p>
    <w:p w14:paraId="043690DB" w14:textId="77777777" w:rsidR="00527032" w:rsidRDefault="00527032" w:rsidP="00527032">
      <w:r>
        <w:lastRenderedPageBreak/>
        <w:t>Spatially, deforestation has shifted toward the tropics. Deforestation in the pre-1700 period was high in the temperate region. However, in the 19</w:t>
      </w:r>
      <w:r w:rsidRPr="00D30791">
        <w:rPr>
          <w:vertAlign w:val="superscript"/>
        </w:rPr>
        <w:t>th</w:t>
      </w:r>
      <w:r>
        <w:t xml:space="preserve"> century, the clearing of forest for various other land uses</w:t>
      </w:r>
      <w:r w:rsidRPr="00BA5463">
        <w:t xml:space="preserve"> accelerated </w:t>
      </w:r>
      <w:r>
        <w:t xml:space="preserve">in the tropical region. Deforestation </w:t>
      </w:r>
      <w:proofErr w:type="spellStart"/>
      <w:r>
        <w:t>acceleratedparticularly</w:t>
      </w:r>
      <w:proofErr w:type="spellEnd"/>
      <w:r>
        <w:t xml:space="preserve"> in South America, Africa, and Asian regions (FAO, 2016).</w:t>
      </w:r>
    </w:p>
    <w:p w14:paraId="3C5FE632" w14:textId="77777777" w:rsidR="00527032" w:rsidRDefault="00527032" w:rsidP="00527032">
      <w:pPr>
        <w:shd w:val="clear" w:color="auto" w:fill="FFFFFF"/>
      </w:pPr>
      <w:r>
        <w:t>The</w:t>
      </w:r>
      <w:r w:rsidRPr="006A5EDB">
        <w:t xml:space="preserve"> cause</w:t>
      </w:r>
      <w:r>
        <w:t>s</w:t>
      </w:r>
      <w:r w:rsidRPr="006A5EDB">
        <w:t xml:space="preserve"> and magnitude of deforestation </w:t>
      </w:r>
      <w:r>
        <w:t>are</w:t>
      </w:r>
      <w:r w:rsidRPr="006A5EDB">
        <w:t xml:space="preserve"> difficult to quantify and can vary significantly on an annual basis and from location to location.</w:t>
      </w:r>
      <w:r w:rsidRPr="005C72BE">
        <w:rPr>
          <w:rFonts w:asciiTheme="majorHAnsi" w:hAnsiTheme="majorHAnsi"/>
        </w:rPr>
        <w:t xml:space="preserve"> </w:t>
      </w:r>
      <w:r w:rsidRPr="004031C9">
        <w:t>Agriculture has been identified as the prime cause of deforestation</w:t>
      </w:r>
      <w:r>
        <w:t>, r</w:t>
      </w:r>
      <w:r w:rsidRPr="008E70A0">
        <w:t>eaching around</w:t>
      </w:r>
      <w:r w:rsidRPr="004031C9">
        <w:t xml:space="preserve"> 80%</w:t>
      </w:r>
      <w:r w:rsidRPr="008E70A0">
        <w:t xml:space="preserve"> globally</w:t>
      </w:r>
      <w:r>
        <w:t xml:space="preserve">, with </w:t>
      </w:r>
      <w:r w:rsidRPr="004031C9">
        <w:t xml:space="preserve">commercial agriculture </w:t>
      </w:r>
      <w:r>
        <w:t>being</w:t>
      </w:r>
      <w:r w:rsidRPr="004031C9">
        <w:t xml:space="preserve"> the key driver of deforestation in two-thirds of the deforested area in Latin America and one</w:t>
      </w:r>
      <w:r>
        <w:t>-</w:t>
      </w:r>
      <w:r w:rsidRPr="004031C9">
        <w:t xml:space="preserve">third of </w:t>
      </w:r>
      <w:r>
        <w:t xml:space="preserve">the </w:t>
      </w:r>
      <w:r w:rsidRPr="004031C9">
        <w:t xml:space="preserve">deforested area in Africa and </w:t>
      </w:r>
      <w:r w:rsidRPr="008E70A0">
        <w:t xml:space="preserve">subtropical </w:t>
      </w:r>
      <w:r w:rsidRPr="004031C9">
        <w:t>Asia</w:t>
      </w:r>
      <w:r w:rsidRPr="008E70A0">
        <w:t xml:space="preserve"> (Kissinger et al., 2012)</w:t>
      </w:r>
      <w:r w:rsidRPr="004031C9">
        <w:t>. On the other hand, mining, infrastructure</w:t>
      </w:r>
      <w:r>
        <w:t>,</w:t>
      </w:r>
      <w:r w:rsidRPr="004031C9">
        <w:t xml:space="preserve"> and urban expansion are also responsible for defor</w:t>
      </w:r>
      <w:r>
        <w:t>estation but their percentage is much smaller in comparison with agriculture (</w:t>
      </w:r>
      <w:r w:rsidRPr="00AD4D0C">
        <w:t>Kiss</w:t>
      </w:r>
      <w:r>
        <w:t>i</w:t>
      </w:r>
      <w:r w:rsidRPr="00AD4D0C">
        <w:t>nger et al</w:t>
      </w:r>
      <w:r>
        <w:t>.,</w:t>
      </w:r>
      <w:r w:rsidRPr="00AD4D0C">
        <w:t xml:space="preserve"> 2012</w:t>
      </w:r>
      <w:r>
        <w:t>).</w:t>
      </w:r>
    </w:p>
    <w:p w14:paraId="460ECE53" w14:textId="77777777" w:rsidR="00527032" w:rsidRDefault="00527032" w:rsidP="00527032">
      <w:pPr>
        <w:shd w:val="clear" w:color="auto" w:fill="FFFFFF"/>
      </w:pPr>
      <w:r>
        <w:t>Curtis et al. (2018)’s ‘forest loss classification model’- based on satellite imagery- found that “Globally, 27 ± 5% of all forest disturbance between 2001 and 2015 was associated with commodity-driven deforestation” whilst “forestry represented 26 ± 4% of total forest disturbance (Table 1), followed by shifting agriculture (24 ± 3%) and wildfire (23 ± 4%). An additional 0.6 ± 0.3% of forest loss was attributed to the intensification and expansion of urban centers.”</w:t>
      </w:r>
    </w:p>
    <w:p w14:paraId="4CB5A677" w14:textId="77777777" w:rsidR="00653C2A" w:rsidRDefault="00653C2A" w:rsidP="00386A73">
      <w:pPr>
        <w:shd w:val="clear" w:color="auto" w:fill="FFFFFF"/>
        <w:rPr>
          <w:b/>
          <w:i/>
        </w:rPr>
      </w:pPr>
    </w:p>
    <w:p w14:paraId="2B40152E" w14:textId="4D6C3EE5" w:rsidR="0049496C" w:rsidRDefault="0049496C" w:rsidP="00386A73">
      <w:pPr>
        <w:shd w:val="clear" w:color="auto" w:fill="FFFFFF"/>
        <w:rPr>
          <w:b/>
          <w:i/>
        </w:rPr>
      </w:pPr>
      <w:r w:rsidRPr="0049496C">
        <w:rPr>
          <w:b/>
          <w:i/>
        </w:rPr>
        <w:t>Emissions from Deforestation</w:t>
      </w:r>
    </w:p>
    <w:p w14:paraId="6B962E8C" w14:textId="77777777" w:rsidR="00D04D47" w:rsidRDefault="00D04D47" w:rsidP="00D04D47">
      <w:pPr>
        <w:shd w:val="clear" w:color="auto" w:fill="FFFFFF"/>
      </w:pPr>
      <w:r w:rsidRPr="00AD4D0C">
        <w:t>Carbon emissions from deforestation and other recent land</w:t>
      </w:r>
      <w:r>
        <w:t>-</w:t>
      </w:r>
      <w:r w:rsidRPr="00AD4D0C">
        <w:t xml:space="preserve">use change activities were recently estimated to be </w:t>
      </w:r>
      <w:r>
        <w:t xml:space="preserve"> 1.3</w:t>
      </w:r>
      <w:r w:rsidRPr="00AD4D0C">
        <w:t>±</w:t>
      </w:r>
      <w:r w:rsidRPr="00AD4D0C" w:rsidDel="00C044A6">
        <w:t xml:space="preserve"> </w:t>
      </w:r>
      <w:r>
        <w:t xml:space="preserve">0.7 </w:t>
      </w:r>
      <w:proofErr w:type="spellStart"/>
      <w:r>
        <w:t>GtC</w:t>
      </w:r>
      <w:proofErr w:type="spellEnd"/>
      <w:r>
        <w:t xml:space="preserve"> (4.8 </w:t>
      </w:r>
      <w:r w:rsidRPr="00AD4D0C">
        <w:t>±</w:t>
      </w:r>
      <w:r>
        <w:t xml:space="preserve"> 2.6</w:t>
      </w:r>
      <w:r w:rsidRPr="00AD4D0C">
        <w:t xml:space="preserve"> </w:t>
      </w:r>
      <w:r w:rsidRPr="00510E3C">
        <w:t>GtCO2</w:t>
      </w:r>
      <w:r w:rsidRPr="00AD4D0C">
        <w:t xml:space="preserve">) or </w:t>
      </w:r>
      <w:r>
        <w:t>11.6</w:t>
      </w:r>
      <w:r w:rsidRPr="00AD4D0C">
        <w:t>% of global emissions in 201</w:t>
      </w:r>
      <w:r>
        <w:t>6</w:t>
      </w:r>
      <w:r w:rsidRPr="00AD4D0C">
        <w:t xml:space="preserve"> (</w:t>
      </w:r>
      <w:r>
        <w:t xml:space="preserve">Le </w:t>
      </w:r>
      <w:proofErr w:type="spellStart"/>
      <w:r>
        <w:t>Quére</w:t>
      </w:r>
      <w:proofErr w:type="spellEnd"/>
      <w:r>
        <w:t xml:space="preserve"> et al., 2017</w:t>
      </w:r>
      <w:r w:rsidRPr="00AD4D0C">
        <w:t>).</w:t>
      </w:r>
      <w:r>
        <w:t xml:space="preserve"> In tropical forests, recent studies have estimated annual gross loss emissions ranging from 0.8 </w:t>
      </w:r>
      <w:proofErr w:type="spellStart"/>
      <w:r>
        <w:t>GtC</w:t>
      </w:r>
      <w:proofErr w:type="spellEnd"/>
      <w:r>
        <w:t xml:space="preserve"> (0.6-1.2 </w:t>
      </w:r>
      <w:proofErr w:type="spellStart"/>
      <w:r>
        <w:t>GtC</w:t>
      </w:r>
      <w:proofErr w:type="spellEnd"/>
      <w:r>
        <w:t xml:space="preserve">) (Harris et al., 2012), 0.9 </w:t>
      </w:r>
      <w:proofErr w:type="spellStart"/>
      <w:r>
        <w:t>GtC</w:t>
      </w:r>
      <w:proofErr w:type="spellEnd"/>
      <w:r>
        <w:t xml:space="preserve"> (0.6-1.2 </w:t>
      </w:r>
      <w:proofErr w:type="spellStart"/>
      <w:r>
        <w:t>GtC</w:t>
      </w:r>
      <w:proofErr w:type="spellEnd"/>
      <w:r>
        <w:t>) (</w:t>
      </w:r>
      <w:proofErr w:type="spellStart"/>
      <w:r>
        <w:t>Achard</w:t>
      </w:r>
      <w:proofErr w:type="spellEnd"/>
      <w:r>
        <w:t xml:space="preserve"> et al., 2014) to 1.3 </w:t>
      </w:r>
      <w:proofErr w:type="spellStart"/>
      <w:r>
        <w:t>GtC</w:t>
      </w:r>
      <w:proofErr w:type="spellEnd"/>
      <w:r>
        <w:t xml:space="preserve"> (1.2- 1.4 </w:t>
      </w:r>
      <w:proofErr w:type="spellStart"/>
      <w:r>
        <w:t>GtC</w:t>
      </w:r>
      <w:proofErr w:type="spellEnd"/>
      <w:r>
        <w:t>) (</w:t>
      </w:r>
      <w:proofErr w:type="spellStart"/>
      <w:r>
        <w:t>Tyukavina</w:t>
      </w:r>
      <w:proofErr w:type="spellEnd"/>
      <w:r>
        <w:t xml:space="preserve"> et al., 2015).These values for tropical forests correspond to estimates of aboveground carbon (AGC) and belowground carbon (BGC).</w:t>
      </w:r>
    </w:p>
    <w:p w14:paraId="7B849868" w14:textId="77777777" w:rsidR="00D04D47" w:rsidRDefault="00D04D47" w:rsidP="00D04D47">
      <w:pPr>
        <w:shd w:val="clear" w:color="auto" w:fill="FFFFFF"/>
      </w:pPr>
      <w:r w:rsidRPr="00AD4D0C">
        <w:t>In addition to loss of aboveground biomass carbon, significant losses of below</w:t>
      </w:r>
      <w:r>
        <w:t xml:space="preserve"> </w:t>
      </w:r>
      <w:r w:rsidRPr="00AD4D0C">
        <w:t>ground carbon from soil and emissions of nitrous oxide (N</w:t>
      </w:r>
      <w:r w:rsidRPr="00AD4D0C">
        <w:rPr>
          <w:rFonts w:ascii="Cambria Math" w:hAnsi="Cambria Math" w:cs="Cambria Math"/>
        </w:rPr>
        <w:t>₂</w:t>
      </w:r>
      <w:r w:rsidRPr="00AD4D0C">
        <w:t>O), methane (CH</w:t>
      </w:r>
      <w:r w:rsidRPr="00AD4D0C">
        <w:rPr>
          <w:rFonts w:ascii="Cambria Math" w:hAnsi="Cambria Math" w:cs="Cambria Math"/>
        </w:rPr>
        <w:t>₄</w:t>
      </w:r>
      <w:r w:rsidRPr="00AD4D0C">
        <w:t>), and black carbon (BC) soot can also accompany deforestation processes, particularly when fire is employed as the land clearing technique</w:t>
      </w:r>
      <w:r>
        <w:t>,</w:t>
      </w:r>
      <w:r w:rsidRPr="00AD4D0C">
        <w:t xml:space="preserve"> and in peatland areas where there are extremely dense underground soil carbon stocks. Conversion of forest to agricultural fields or pasture, for example, has been estimated to result in </w:t>
      </w:r>
      <w:r>
        <w:t xml:space="preserve">a </w:t>
      </w:r>
      <w:r w:rsidRPr="00AD4D0C">
        <w:t xml:space="preserve">20 to 40 percent decrease in soil carbon (Guo and Gifford, 2002). </w:t>
      </w:r>
      <w:r w:rsidRPr="006A5EDB">
        <w:t xml:space="preserve">Nepstad et al. (2009) estimated that ~80% of deforestation in the Amazon rainforest (~19,500 km2 cleared annually from 1996-2005) is the result of the cattle production industry in Brazil. Slash-and-burn (otherwise known as shifting cultivation) probably accounts for the majority of </w:t>
      </w:r>
      <w:r w:rsidRPr="006A5EDB">
        <w:lastRenderedPageBreak/>
        <w:t>biomass burning in the tropics resulting in significant emissions of not only CO2, but also methane, nitrogen oxides, and black carbon soot</w:t>
      </w:r>
      <w:r>
        <w:t xml:space="preserve"> (</w:t>
      </w:r>
      <w:proofErr w:type="spellStart"/>
      <w:r>
        <w:t>Kindermann</w:t>
      </w:r>
      <w:proofErr w:type="spellEnd"/>
      <w:r>
        <w:t xml:space="preserve"> 2008, </w:t>
      </w:r>
      <w:proofErr w:type="spellStart"/>
      <w:r>
        <w:t>Sohngen</w:t>
      </w:r>
      <w:proofErr w:type="spellEnd"/>
      <w:r>
        <w:t xml:space="preserve"> and Beach 2006)</w:t>
      </w:r>
      <w:r w:rsidRPr="006A5EDB">
        <w:t xml:space="preserve">. </w:t>
      </w:r>
    </w:p>
    <w:p w14:paraId="5DDE98DF" w14:textId="36AA4DEB" w:rsidR="00CA36DD" w:rsidRDefault="00CA36DD" w:rsidP="00CA36DD">
      <w:pPr>
        <w:shd w:val="clear" w:color="auto" w:fill="FFFFFF"/>
      </w:pPr>
    </w:p>
    <w:p w14:paraId="50093AB4" w14:textId="7B7F9F87" w:rsidR="00751FDC" w:rsidRDefault="00751FDC" w:rsidP="00CA36DD">
      <w:pPr>
        <w:shd w:val="clear" w:color="auto" w:fill="FFFFFF"/>
        <w:rPr>
          <w:b/>
          <w:i/>
        </w:rPr>
      </w:pPr>
      <w:r w:rsidRPr="00751FDC">
        <w:rPr>
          <w:b/>
          <w:i/>
        </w:rPr>
        <w:t>Uncertainties in Emissions Reduction from Reducing Deforestation</w:t>
      </w:r>
    </w:p>
    <w:p w14:paraId="6E727341" w14:textId="77777777" w:rsidR="00611941" w:rsidRPr="008E70A0" w:rsidRDefault="00611941" w:rsidP="00611941">
      <w:pPr>
        <w:shd w:val="clear" w:color="auto" w:fill="FFFFFF"/>
      </w:pPr>
      <w:r w:rsidRPr="00AD4D0C">
        <w:t>While the uncertainty in estimating emissions remains large</w:t>
      </w:r>
      <w:r>
        <w:t>, f</w:t>
      </w:r>
      <w:r w:rsidRPr="00AD4D0C">
        <w:t>uture emissions due to deforestation</w:t>
      </w:r>
      <w:r>
        <w:t xml:space="preserve"> of tropical forests</w:t>
      </w:r>
      <w:r w:rsidRPr="00AD4D0C">
        <w:t xml:space="preserve"> have been estimated to be </w:t>
      </w:r>
      <w:r w:rsidRPr="00E57E12">
        <w:t xml:space="preserve">87 to 130 </w:t>
      </w:r>
      <w:proofErr w:type="spellStart"/>
      <w:r w:rsidRPr="00E57E12">
        <w:t>GtC</w:t>
      </w:r>
      <w:proofErr w:type="spellEnd"/>
      <w:r w:rsidRPr="00E57E12">
        <w:t xml:space="preserve"> by </w:t>
      </w:r>
      <w:r w:rsidRPr="005712C8">
        <w:t xml:space="preserve">between 2000 and </w:t>
      </w:r>
      <w:r w:rsidRPr="00E57E12">
        <w:t>2100 (</w:t>
      </w:r>
      <w:r w:rsidRPr="005712C8">
        <w:t xml:space="preserve">Houghton et al., 2005; </w:t>
      </w:r>
      <w:proofErr w:type="spellStart"/>
      <w:r w:rsidRPr="00E57E12">
        <w:t>Gullison</w:t>
      </w:r>
      <w:proofErr w:type="spellEnd"/>
      <w:r w:rsidRPr="00E57E12">
        <w:t xml:space="preserve"> et al. 2007).</w:t>
      </w:r>
      <w:r w:rsidRPr="00AD4D0C">
        <w:t xml:space="preserve"> </w:t>
      </w:r>
      <w:r>
        <w:t xml:space="preserve">On the other hand, “stopping deforestation and allowing secondary forests to grow would yield cumulative negative emissions between 2016 and 2100 of about 120 </w:t>
      </w:r>
      <w:proofErr w:type="spellStart"/>
      <w:r>
        <w:t>PgC</w:t>
      </w:r>
      <w:proofErr w:type="spellEnd"/>
      <w:r>
        <w:t xml:space="preserve">, globally” (Houghton and </w:t>
      </w:r>
      <w:proofErr w:type="spellStart"/>
      <w:r>
        <w:t>Nassikas</w:t>
      </w:r>
      <w:proofErr w:type="spellEnd"/>
      <w:r>
        <w:t>, 2018).</w:t>
      </w:r>
    </w:p>
    <w:p w14:paraId="37BC8677" w14:textId="77777777" w:rsidR="00611941" w:rsidRDefault="00611941" w:rsidP="00611941">
      <w:r w:rsidRPr="006638FB">
        <w:t>There exist many uncertainties in preserving or increasing the terrestrial carbon sink including CO2 fertilization, enhanced decomposition, and large-scale or catastrophic release of carbon from terrestrial carbon sinks including forests and soils.</w:t>
      </w:r>
    </w:p>
    <w:p w14:paraId="567F54D4" w14:textId="77777777" w:rsidR="00611941" w:rsidRDefault="00611941" w:rsidP="00611941">
      <w:r w:rsidRPr="006638FB">
        <w:t xml:space="preserve">CO2 fertilization </w:t>
      </w:r>
      <w:r>
        <w:t xml:space="preserve"> is used to “</w:t>
      </w:r>
      <w:r w:rsidRPr="00CE43AE">
        <w:t>denote increased plant growth due to a higher carbon dioxide concentration</w:t>
      </w:r>
      <w:r>
        <w:t xml:space="preserve">” (UNFCCC, 2018). It </w:t>
      </w:r>
      <w:r w:rsidRPr="006638FB">
        <w:t>has been hypothesized to increase the efficiency of photosynthesis and water use thereby leading to net increases in primary productivity. Recent studies, however, suggest that the benefits may be marginal and could be canceled or reversed by other trends of climate change (</w:t>
      </w:r>
      <w:bookmarkStart w:id="8" w:name="_Hlk533949146"/>
      <w:r w:rsidRPr="006638FB">
        <w:t xml:space="preserve">Long et al., 2006; </w:t>
      </w:r>
      <w:proofErr w:type="spellStart"/>
      <w:r w:rsidRPr="006638FB">
        <w:t>Schmidhuber</w:t>
      </w:r>
      <w:proofErr w:type="spellEnd"/>
      <w:r w:rsidRPr="006638FB">
        <w:t xml:space="preserve"> and </w:t>
      </w:r>
      <w:proofErr w:type="spellStart"/>
      <w:r w:rsidRPr="006638FB">
        <w:t>Tubiello</w:t>
      </w:r>
      <w:proofErr w:type="spellEnd"/>
      <w:r w:rsidRPr="006638FB">
        <w:t>, 2007; Brown and Funk, 2008; Lobell et al., 2011</w:t>
      </w:r>
      <w:bookmarkEnd w:id="8"/>
      <w:r w:rsidRPr="006638FB">
        <w:t xml:space="preserve">). </w:t>
      </w:r>
    </w:p>
    <w:p w14:paraId="6DE61B6F" w14:textId="77777777" w:rsidR="00611941" w:rsidRDefault="00611941" w:rsidP="00611941">
      <w:r w:rsidRPr="006638FB">
        <w:t xml:space="preserve">Enhanced decomposition of biomass may decrease inputs of forest biomass into soil systems and enhance microbial decomposition rates. Additionally, climate change may increase the vulnerability of forests with increased frequency and intensity of droughts, heatwaves, fires, pests, and disease (Flannigan, 2000; </w:t>
      </w:r>
      <w:proofErr w:type="spellStart"/>
      <w:r w:rsidRPr="006638FB">
        <w:t>Kurz</w:t>
      </w:r>
      <w:proofErr w:type="spellEnd"/>
      <w:r w:rsidRPr="006638FB">
        <w:t xml:space="preserve">, 2009; Allen, 2010). Many of these can have interacting </w:t>
      </w:r>
      <w:r>
        <w:t>e</w:t>
      </w:r>
      <w:r w:rsidRPr="006638FB">
        <w:t xml:space="preserve">ffects that could decrease the net primary productivity </w:t>
      </w:r>
      <w:r>
        <w:t xml:space="preserve">of </w:t>
      </w:r>
      <w:r w:rsidRPr="006638FB">
        <w:t xml:space="preserve">forest ecosystems. The die-back of boreal pine forests in Canada and the northwest United States due to rising heat levels and bark beetle are one example of this. Warming temperatures allow the bark beetle to increase growth rates and reproductive cycles. Heat stress decreases the ability of the forests to cope </w:t>
      </w:r>
      <w:r>
        <w:t>with</w:t>
      </w:r>
      <w:r w:rsidRPr="006638FB">
        <w:t xml:space="preserve"> infestations. As forests die, carbon dioxide trapped in forest biomass and soils is released. Recent studies have documented a statistical uptick in forest mortality (Allen et al., 2010). Even normally wet forests </w:t>
      </w:r>
      <w:r>
        <w:t>are</w:t>
      </w:r>
      <w:r w:rsidRPr="006638FB">
        <w:t xml:space="preserve"> experienc</w:t>
      </w:r>
      <w:r>
        <w:t>ing</w:t>
      </w:r>
      <w:r w:rsidRPr="006638FB">
        <w:t xml:space="preserve"> dieback as the result of drought. </w:t>
      </w:r>
    </w:p>
    <w:p w14:paraId="2FB76A09" w14:textId="77777777" w:rsidR="00611941" w:rsidRDefault="00611941" w:rsidP="00611941">
      <w:r w:rsidRPr="006638FB">
        <w:t>Recently, researchers have become concerned about the growing likelihood of “mega</w:t>
      </w:r>
      <w:r>
        <w:t>-</w:t>
      </w:r>
      <w:r w:rsidRPr="006638FB">
        <w:t>fires,” anomalously large and catastrophic fires. Mega</w:t>
      </w:r>
      <w:r>
        <w:t>-</w:t>
      </w:r>
      <w:r w:rsidRPr="006638FB">
        <w:t xml:space="preserve">fires could result in the emergence of new, less resilient ecosystems capable of storing far less carbon. </w:t>
      </w:r>
      <w:proofErr w:type="spellStart"/>
      <w:r>
        <w:t>Malhi</w:t>
      </w:r>
      <w:proofErr w:type="spellEnd"/>
      <w:r>
        <w:t xml:space="preserve"> et al. (2009) analyze the likelihood of a “die-back” of the Amazonian rainforest and its transition into “fire-dominated, low biomass forests” as a result of climate-change intensified droughts and the resulting increase in fire vulnerability. However, they stress that this </w:t>
      </w:r>
      <w:r>
        <w:lastRenderedPageBreak/>
        <w:t>“tipping point” can be avoided through a combination of mechanisms which includes expanding protected forest areas (</w:t>
      </w:r>
      <w:proofErr w:type="spellStart"/>
      <w:r>
        <w:t>Malhi</w:t>
      </w:r>
      <w:proofErr w:type="spellEnd"/>
      <w:r>
        <w:t xml:space="preserve"> et al., 2009). </w:t>
      </w:r>
      <w:r w:rsidRPr="006638FB">
        <w:t>These uncertainties constrain our ability to accurately determine exactly how much carbon could be stored or the long-term security of this carbon.</w:t>
      </w:r>
    </w:p>
    <w:p w14:paraId="2A6BA6B9" w14:textId="77777777" w:rsidR="00611941" w:rsidRDefault="00611941" w:rsidP="00611941">
      <w:r>
        <w:t xml:space="preserve">A recent analysis of global forest area disturbance (based on FAO’s latest Global Forest Resources Assessment Report) identified a variable -- yet decreasing -- trend in global forest area burned for the 2003- 2012 period under analysis with an average of 50 </w:t>
      </w:r>
      <w:proofErr w:type="spellStart"/>
      <w:r>
        <w:t>Mha</w:t>
      </w:r>
      <w:proofErr w:type="spellEnd"/>
      <w:r>
        <w:t xml:space="preserve"> burned per year, while insect pests and severe weather were the other most significant disturbance agents affecting 85 </w:t>
      </w:r>
      <w:proofErr w:type="spellStart"/>
      <w:r>
        <w:t>Mha</w:t>
      </w:r>
      <w:proofErr w:type="spellEnd"/>
      <w:r>
        <w:t xml:space="preserve"> and 38 </w:t>
      </w:r>
      <w:proofErr w:type="spellStart"/>
      <w:r>
        <w:t>Mha</w:t>
      </w:r>
      <w:proofErr w:type="spellEnd"/>
      <w:r>
        <w:t xml:space="preserve"> on the period of analysis respectively (van </w:t>
      </w:r>
      <w:proofErr w:type="spellStart"/>
      <w:r>
        <w:t>Lierop</w:t>
      </w:r>
      <w:proofErr w:type="spellEnd"/>
      <w:r>
        <w:t xml:space="preserve"> et al., 2015).</w:t>
      </w:r>
    </w:p>
    <w:p w14:paraId="7EE7DDAC" w14:textId="77777777" w:rsidR="00611941" w:rsidRDefault="00611941" w:rsidP="00611941">
      <w:r>
        <w:t>A recent review on the effect of climate change on forest disturbance suggests that disturbances from insects, pathogens, droughts, fire, and wind are likely to increase globally whereas disturbances from snow and ice are likely to decrease (</w:t>
      </w:r>
      <w:proofErr w:type="spellStart"/>
      <w:r>
        <w:t>Seidl</w:t>
      </w:r>
      <w:proofErr w:type="spellEnd"/>
      <w:r>
        <w:t xml:space="preserve"> et al., 2017).</w:t>
      </w:r>
      <w:r w:rsidRPr="006638FB">
        <w:t>For the sake of analysis, these potential scenarios (CO2 fertilization, enhanced decomposition, and forest dieback) are explicitly recognized but are not included in the model owing to large uncertainties.</w:t>
      </w:r>
    </w:p>
    <w:p w14:paraId="411ACBE1" w14:textId="40D1C9BE" w:rsidR="008C12E1" w:rsidRPr="008C12E1" w:rsidRDefault="00271730" w:rsidP="00751FDC">
      <w:pPr>
        <w:spacing w:line="276" w:lineRule="auto"/>
        <w:rPr>
          <w:rFonts w:cs="Times New Roman"/>
          <w:b/>
          <w:i/>
          <w:sz w:val="24"/>
          <w:szCs w:val="24"/>
        </w:rPr>
      </w:pPr>
      <w:r>
        <w:rPr>
          <w:rFonts w:cs="Times New Roman"/>
          <w:b/>
          <w:i/>
          <w:sz w:val="24"/>
          <w:szCs w:val="24"/>
        </w:rPr>
        <w:t>Forest Protection Strategies</w:t>
      </w:r>
    </w:p>
    <w:p w14:paraId="2DE6C6D1" w14:textId="77777777" w:rsidR="004C581E" w:rsidRDefault="004C581E" w:rsidP="004C581E">
      <w:r w:rsidRPr="006638FB">
        <w:t>Strategies to avoid deforestation include protection of indigenous lands and conservation reserves (Ricketts et al., 2010)</w:t>
      </w:r>
      <w:r>
        <w:t>,</w:t>
      </w:r>
      <w:r w:rsidRPr="006638FB">
        <w:t xml:space="preserve"> enforcement of existing anti-logging laws by governments (</w:t>
      </w:r>
      <w:proofErr w:type="spellStart"/>
      <w:r w:rsidRPr="006638FB">
        <w:t>Tacconi</w:t>
      </w:r>
      <w:proofErr w:type="spellEnd"/>
      <w:r w:rsidRPr="006638FB">
        <w:t>, 2009)</w:t>
      </w:r>
      <w:r>
        <w:t>,</w:t>
      </w:r>
      <w:r w:rsidRPr="006638FB">
        <w:t xml:space="preserve"> community</w:t>
      </w:r>
      <w:r>
        <w:t>-</w:t>
      </w:r>
      <w:r w:rsidRPr="006638FB">
        <w:t>owned forestry cooperatives (</w:t>
      </w:r>
      <w:proofErr w:type="spellStart"/>
      <w:r w:rsidRPr="006638FB">
        <w:t>Klooster</w:t>
      </w:r>
      <w:proofErr w:type="spellEnd"/>
      <w:r w:rsidRPr="006638FB">
        <w:t xml:space="preserve"> and </w:t>
      </w:r>
      <w:proofErr w:type="spellStart"/>
      <w:r w:rsidRPr="006638FB">
        <w:t>Masera</w:t>
      </w:r>
      <w:proofErr w:type="spellEnd"/>
      <w:r w:rsidRPr="006638FB">
        <w:t>, 2000)</w:t>
      </w:r>
      <w:r>
        <w:t>,</w:t>
      </w:r>
      <w:r w:rsidRPr="006638FB">
        <w:t xml:space="preserve"> sustainable timber harvesting methods (Putz et al., 2008)</w:t>
      </w:r>
      <w:r>
        <w:t>,</w:t>
      </w:r>
      <w:r w:rsidRPr="006638FB">
        <w:t xml:space="preserve"> alternatives to slash-and-burn (Palm et al., 2005)</w:t>
      </w:r>
      <w:r>
        <w:t>,</w:t>
      </w:r>
      <w:r w:rsidRPr="006638FB">
        <w:t xml:space="preserve"> and payment of ecosystem services and carbon sequestration to landowners. </w:t>
      </w:r>
    </w:p>
    <w:p w14:paraId="09660DC8" w14:textId="77777777" w:rsidR="004C581E" w:rsidRDefault="004C581E" w:rsidP="004C581E">
      <w:pPr>
        <w:rPr>
          <w:lang w:val="en-GB"/>
        </w:rPr>
      </w:pPr>
      <w:proofErr w:type="spellStart"/>
      <w:r>
        <w:rPr>
          <w:lang w:val="en-GB"/>
        </w:rPr>
        <w:t>Wunder</w:t>
      </w:r>
      <w:proofErr w:type="spellEnd"/>
      <w:r>
        <w:rPr>
          <w:lang w:val="en-GB"/>
        </w:rPr>
        <w:t xml:space="preserve"> (2005) coined the definition of Payment for Ecosystem Services (PES) based on 5 criteria, “</w:t>
      </w:r>
      <w:r w:rsidRPr="00493074">
        <w:rPr>
          <w:lang w:val="en-GB"/>
        </w:rPr>
        <w:t>a voluntary transaction where a well-deﬁned ES (or a land-use likely to secure that service) is being ‘bought’ by a (minimum one) ES buyer from a (minimum one) ES provider if and only if the ES provider secures ES provision (conditionality)</w:t>
      </w:r>
      <w:r>
        <w:rPr>
          <w:lang w:val="en-GB"/>
        </w:rPr>
        <w:t xml:space="preserve">.” (page 3). </w:t>
      </w:r>
      <w:r w:rsidRPr="00B1013D">
        <w:rPr>
          <w:lang w:val="en-GB"/>
        </w:rPr>
        <w:t xml:space="preserve">PES are used “as a mechanism to translate external, non-market values of the environment into real financial incentives for local actors to provide such services” (Engel et al., 2008, page 664). </w:t>
      </w:r>
      <w:r>
        <w:rPr>
          <w:lang w:val="en-GB"/>
        </w:rPr>
        <w:t>Most of the schemes</w:t>
      </w:r>
      <w:r w:rsidRPr="00B1013D">
        <w:rPr>
          <w:lang w:val="en-GB"/>
        </w:rPr>
        <w:t xml:space="preserve"> include </w:t>
      </w:r>
      <w:r w:rsidRPr="000015FD">
        <w:rPr>
          <w:lang w:val="en-GB"/>
        </w:rPr>
        <w:t>carbon sequestration and storage, biodiversity protection, watershed protection</w:t>
      </w:r>
      <w:r>
        <w:rPr>
          <w:lang w:val="en-GB"/>
        </w:rPr>
        <w:t>,</w:t>
      </w:r>
      <w:r w:rsidRPr="000015FD">
        <w:rPr>
          <w:lang w:val="en-GB"/>
        </w:rPr>
        <w:t xml:space="preserve"> and protection of landscape beauty.</w:t>
      </w:r>
      <w:r>
        <w:rPr>
          <w:lang w:val="en-GB"/>
        </w:rPr>
        <w:t xml:space="preserve"> </w:t>
      </w:r>
    </w:p>
    <w:p w14:paraId="2B2B6612" w14:textId="77777777" w:rsidR="004C581E" w:rsidRDefault="004C581E" w:rsidP="004C581E">
      <w:pPr>
        <w:rPr>
          <w:lang w:val="en-GB"/>
        </w:rPr>
      </w:pPr>
      <w:r>
        <w:rPr>
          <w:lang w:val="en-GB"/>
        </w:rPr>
        <w:t>A recent review on the global trends and status of PES schemes has identified “</w:t>
      </w:r>
      <w:r w:rsidRPr="007F5069">
        <w:rPr>
          <w:lang w:val="en-GB"/>
        </w:rPr>
        <w:t>over 550 active programmes</w:t>
      </w:r>
      <w:r>
        <w:rPr>
          <w:lang w:val="en-GB"/>
        </w:rPr>
        <w:t xml:space="preserve"> </w:t>
      </w:r>
      <w:r w:rsidRPr="007F5069">
        <w:rPr>
          <w:lang w:val="en-GB"/>
        </w:rPr>
        <w:t>around the globe and an estimated US$</w:t>
      </w:r>
      <w:r>
        <w:rPr>
          <w:lang w:val="en-GB"/>
        </w:rPr>
        <w:t xml:space="preserve"> </w:t>
      </w:r>
      <w:r w:rsidRPr="007F5069">
        <w:rPr>
          <w:lang w:val="en-GB"/>
        </w:rPr>
        <w:t>36–42 billion in annual transactions</w:t>
      </w:r>
      <w:r>
        <w:rPr>
          <w:lang w:val="en-GB"/>
        </w:rPr>
        <w:t>”, with 387 PES (US$ 24.7 Billion in 2015) on watershed services, 120 PES (US$ 2.5- 8.4 Billion in global transactions per year) on biodiversity and habitat, and “</w:t>
      </w:r>
      <w:r w:rsidRPr="005C123D">
        <w:rPr>
          <w:lang w:val="en-GB"/>
        </w:rPr>
        <w:t>48 forest and land-use carbon PES programmes: 31 government</w:t>
      </w:r>
      <w:r>
        <w:rPr>
          <w:lang w:val="en-GB"/>
        </w:rPr>
        <w:t>-</w:t>
      </w:r>
      <w:r w:rsidRPr="005C123D">
        <w:rPr>
          <w:lang w:val="en-GB"/>
        </w:rPr>
        <w:t>financed</w:t>
      </w:r>
      <w:r>
        <w:rPr>
          <w:lang w:val="en-GB"/>
        </w:rPr>
        <w:t xml:space="preserve"> </w:t>
      </w:r>
      <w:r w:rsidRPr="005C123D">
        <w:rPr>
          <w:lang w:val="en-GB"/>
        </w:rPr>
        <w:t>and 17 compliance</w:t>
      </w:r>
      <w:r>
        <w:rPr>
          <w:lang w:val="en-GB"/>
        </w:rPr>
        <w:t>” in over 67 countries with a spending of US$ 2.8 billion since 2009 (Salzman et al., 2018).</w:t>
      </w:r>
    </w:p>
    <w:p w14:paraId="3AF78968" w14:textId="77777777" w:rsidR="004C581E" w:rsidRDefault="004C581E" w:rsidP="004C581E">
      <w:pPr>
        <w:rPr>
          <w:lang w:val="en-GB"/>
        </w:rPr>
      </w:pPr>
      <w:r>
        <w:rPr>
          <w:lang w:val="en-GB"/>
        </w:rPr>
        <w:lastRenderedPageBreak/>
        <w:t>The UN Programme on Reducing Emissions from Deforestation and Forest Degradation (REDD+) is a key policy initiative that was established a decade ago. Despite the optimistic take on the program’s progress (Brockhaus et al., 2017), other studies determined that is has not met expectations</w:t>
      </w:r>
      <w:r w:rsidRPr="009C0E1F">
        <w:rPr>
          <w:lang w:val="en-GB"/>
        </w:rPr>
        <w:t xml:space="preserve"> (</w:t>
      </w:r>
      <w:r>
        <w:rPr>
          <w:lang w:val="en-GB"/>
        </w:rPr>
        <w:t xml:space="preserve">Creed and van </w:t>
      </w:r>
      <w:proofErr w:type="spellStart"/>
      <w:r>
        <w:rPr>
          <w:lang w:val="en-GB"/>
        </w:rPr>
        <w:t>Noordwijk</w:t>
      </w:r>
      <w:proofErr w:type="spellEnd"/>
      <w:r>
        <w:rPr>
          <w:lang w:val="en-GB"/>
        </w:rPr>
        <w:t xml:space="preserve">, 2018; </w:t>
      </w:r>
      <w:proofErr w:type="spellStart"/>
      <w:r w:rsidRPr="009C0E1F">
        <w:rPr>
          <w:lang w:val="en-GB"/>
        </w:rPr>
        <w:t>Minang</w:t>
      </w:r>
      <w:proofErr w:type="spellEnd"/>
      <w:r w:rsidRPr="009C0E1F">
        <w:rPr>
          <w:lang w:val="en-GB"/>
        </w:rPr>
        <w:t xml:space="preserve"> and van </w:t>
      </w:r>
      <w:proofErr w:type="spellStart"/>
      <w:r w:rsidRPr="009C0E1F">
        <w:rPr>
          <w:lang w:val="en-GB"/>
        </w:rPr>
        <w:t>Noordwijk</w:t>
      </w:r>
      <w:proofErr w:type="spellEnd"/>
      <w:r w:rsidRPr="009C0E1F">
        <w:rPr>
          <w:lang w:val="en-GB"/>
        </w:rPr>
        <w:t>,</w:t>
      </w:r>
      <w:r>
        <w:rPr>
          <w:lang w:val="en-GB"/>
        </w:rPr>
        <w:t xml:space="preserve"> </w:t>
      </w:r>
      <w:r w:rsidRPr="009C0E1F">
        <w:rPr>
          <w:lang w:val="en-GB"/>
        </w:rPr>
        <w:t xml:space="preserve">2013; Matthews et al., 2014; Matthews and van </w:t>
      </w:r>
      <w:proofErr w:type="spellStart"/>
      <w:r w:rsidRPr="009C0E1F">
        <w:rPr>
          <w:lang w:val="en-GB"/>
        </w:rPr>
        <w:t>Noordwijk</w:t>
      </w:r>
      <w:proofErr w:type="spellEnd"/>
      <w:r w:rsidRPr="009C0E1F">
        <w:rPr>
          <w:lang w:val="en-GB"/>
        </w:rPr>
        <w:t>,</w:t>
      </w:r>
      <w:r>
        <w:rPr>
          <w:lang w:val="en-GB"/>
        </w:rPr>
        <w:t xml:space="preserve"> </w:t>
      </w:r>
      <w:r w:rsidRPr="009C0E1F">
        <w:rPr>
          <w:lang w:val="en-GB"/>
        </w:rPr>
        <w:t>2014)</w:t>
      </w:r>
      <w:r>
        <w:rPr>
          <w:lang w:val="en-GB"/>
        </w:rPr>
        <w:t>. In addition, “</w:t>
      </w:r>
      <w:r w:rsidRPr="001410C4">
        <w:rPr>
          <w:lang w:val="en-GB"/>
        </w:rPr>
        <w:t>evidence suggests that</w:t>
      </w:r>
      <w:r>
        <w:rPr>
          <w:lang w:val="en-GB"/>
        </w:rPr>
        <w:t xml:space="preserve"> </w:t>
      </w:r>
      <w:r w:rsidRPr="001410C4">
        <w:rPr>
          <w:lang w:val="en-GB"/>
        </w:rPr>
        <w:t>REDD+ is failing to promote forest governance and tenure as</w:t>
      </w:r>
      <w:r>
        <w:rPr>
          <w:lang w:val="en-GB"/>
        </w:rPr>
        <w:t xml:space="preserve"> </w:t>
      </w:r>
      <w:r w:rsidRPr="001410C4">
        <w:rPr>
          <w:lang w:val="en-GB"/>
        </w:rPr>
        <w:t>a focus for action in the forest sector, which must be corrected</w:t>
      </w:r>
      <w:r>
        <w:rPr>
          <w:lang w:val="en-GB"/>
        </w:rPr>
        <w:t xml:space="preserve"> </w:t>
      </w:r>
      <w:r w:rsidRPr="001410C4">
        <w:rPr>
          <w:lang w:val="en-GB"/>
        </w:rPr>
        <w:t>(</w:t>
      </w:r>
      <w:proofErr w:type="spellStart"/>
      <w:r w:rsidRPr="001410C4">
        <w:rPr>
          <w:lang w:val="en-GB"/>
        </w:rPr>
        <w:t>Angelsen</w:t>
      </w:r>
      <w:proofErr w:type="spellEnd"/>
      <w:r w:rsidRPr="001410C4">
        <w:rPr>
          <w:lang w:val="en-GB"/>
        </w:rPr>
        <w:t xml:space="preserve"> et al., 2017; Fletcher et al., 2016; </w:t>
      </w:r>
      <w:proofErr w:type="spellStart"/>
      <w:r w:rsidRPr="001410C4">
        <w:rPr>
          <w:lang w:val="en-GB"/>
        </w:rPr>
        <w:t>Sunderlin</w:t>
      </w:r>
      <w:proofErr w:type="spellEnd"/>
      <w:r w:rsidRPr="001410C4">
        <w:rPr>
          <w:lang w:val="en-GB"/>
        </w:rPr>
        <w:t xml:space="preserve"> et al., 2018)</w:t>
      </w:r>
      <w:r>
        <w:rPr>
          <w:lang w:val="en-GB"/>
        </w:rPr>
        <w:t>” (Dooley et al., 2017).</w:t>
      </w:r>
    </w:p>
    <w:p w14:paraId="455F3A34" w14:textId="77777777" w:rsidR="004C581E" w:rsidRDefault="004C581E" w:rsidP="004C581E">
      <w:r w:rsidRPr="006638FB">
        <w:t>Alternatives to slash-and-burn are central to reducing deforestation and lowering global carbon emissions. Pervading economic and social conditions present formidable challenges particularly for smallholders and subsistence agriculturalists to have the necessary means for implementing alternatives</w:t>
      </w:r>
      <w:r>
        <w:t>,</w:t>
      </w:r>
      <w:r w:rsidRPr="006638FB">
        <w:t xml:space="preserve"> however (Palm et al., 2005). The total amount of carbon emissions that can be avoided is highly dependent on adopted policies (</w:t>
      </w:r>
      <w:proofErr w:type="spellStart"/>
      <w:r w:rsidRPr="006638FB">
        <w:t>particular</w:t>
      </w:r>
      <w:r>
        <w:t>y</w:t>
      </w:r>
      <w:proofErr w:type="spellEnd"/>
      <w:r>
        <w:t xml:space="preserve"> </w:t>
      </w:r>
      <w:r w:rsidRPr="006638FB">
        <w:t>REDD+), enforcement of existing laws restricting deforestation, the price of carbon as an incentive for forest conservation, and changes to agricultural practices which could either increase or decrease the demand for arable land clearing and thus deforestation.</w:t>
      </w:r>
    </w:p>
    <w:p w14:paraId="7148AFC2" w14:textId="77777777" w:rsidR="004C581E" w:rsidRDefault="004C581E" w:rsidP="004C581E">
      <w:r>
        <w:t xml:space="preserve">Following Project Drawdown´s definition of forest protection as the legal protection of forest lands, the role of the government agency level for this solution is crucial. Governments not only have the power to implement legal structures to protect forest areas, but also have the authority to enforce them. </w:t>
      </w:r>
    </w:p>
    <w:p w14:paraId="6AE04F40" w14:textId="2137AC90" w:rsidR="00271730" w:rsidRPr="00271730" w:rsidRDefault="00271730" w:rsidP="004B3A12">
      <w:pPr>
        <w:spacing w:line="276" w:lineRule="auto"/>
        <w:rPr>
          <w:rFonts w:asciiTheme="majorHAnsi" w:hAnsiTheme="majorHAnsi"/>
          <w:b/>
          <w:i/>
        </w:rPr>
      </w:pPr>
      <w:r w:rsidRPr="004B3A12">
        <w:rPr>
          <w:rFonts w:cs="Times New Roman"/>
          <w:b/>
          <w:i/>
          <w:sz w:val="24"/>
          <w:szCs w:val="24"/>
        </w:rPr>
        <w:t>Challenges for Forest Protection</w:t>
      </w:r>
    </w:p>
    <w:p w14:paraId="7A68A3B4" w14:textId="77777777" w:rsidR="004C581E" w:rsidRPr="006638FB" w:rsidRDefault="004C581E" w:rsidP="004C581E">
      <w:r w:rsidRPr="006638FB">
        <w:t xml:space="preserve">Challenges to </w:t>
      </w:r>
      <w:r>
        <w:t>ensuring successful forest protection</w:t>
      </w:r>
      <w:r w:rsidRPr="006638FB">
        <w:t xml:space="preserve"> are monitoring, reporting, and verifying that forests aren’t being deforested</w:t>
      </w:r>
      <w:r>
        <w:t>,</w:t>
      </w:r>
      <w:r w:rsidRPr="006638FB">
        <w:t xml:space="preserve"> as well as assuring that conserving forests in one place does not lead to deforestation elsewhere</w:t>
      </w:r>
      <w:r>
        <w:t>--</w:t>
      </w:r>
      <w:r w:rsidRPr="006638FB">
        <w:t xml:space="preserve"> a phenomenon known as “leakage”</w:t>
      </w:r>
      <w:r>
        <w:t>.</w:t>
      </w:r>
      <w:r w:rsidRPr="006638FB">
        <w:t xml:space="preserve"> Monitoring ecosystem performance benefit</w:t>
      </w:r>
      <w:r>
        <w:t>s</w:t>
      </w:r>
      <w:r w:rsidRPr="006638FB">
        <w:t xml:space="preserve"> from tools such as remote sensing of vegetative cover, canopy thinning, fire extent, hydrologic functioning, temperature</w:t>
      </w:r>
      <w:r>
        <w:t>,</w:t>
      </w:r>
      <w:r w:rsidRPr="006638FB">
        <w:t xml:space="preserve"> and soil exposure, coupled with limited in-situ observations and data collection such as specie</w:t>
      </w:r>
      <w:r>
        <w:t>s</w:t>
      </w:r>
      <w:r w:rsidRPr="006638FB">
        <w:t xml:space="preserve"> counts and indexes (particularly with regard</w:t>
      </w:r>
      <w:r>
        <w:t>s</w:t>
      </w:r>
      <w:r w:rsidRPr="006638FB">
        <w:t xml:space="preserve"> to “indicator species”), leaf area index measurements, streamflow measurements, and so forth (Stickler et al., 2009).  The World Resource Institute (WRI) and Google recently partnered to create Global Forest Watch (globalforestwatch.org) which provides customizable and near real-time monitoring of deforestation around the world.  </w:t>
      </w:r>
    </w:p>
    <w:p w14:paraId="1B5D3BAF" w14:textId="77777777" w:rsidR="004C581E" w:rsidRDefault="004C581E" w:rsidP="004C581E">
      <w:pPr>
        <w:rPr>
          <w:rFonts w:cs="Times New Roman"/>
          <w:szCs w:val="24"/>
        </w:rPr>
      </w:pPr>
      <w:r w:rsidRPr="006638FB">
        <w:rPr>
          <w:rFonts w:cs="Times New Roman"/>
          <w:szCs w:val="24"/>
        </w:rPr>
        <w:t>Assessing the financial costs and benefits of avoided deforestation is challenging because it often involves a policy intervention to generate the desired outcome, as opposed to other strategies which may be economically advantageou</w:t>
      </w:r>
      <w:r>
        <w:rPr>
          <w:rFonts w:cs="Times New Roman"/>
          <w:szCs w:val="24"/>
        </w:rPr>
        <w:t xml:space="preserve">s without any policy intervention required. </w:t>
      </w:r>
      <w:r w:rsidRPr="006638FB">
        <w:rPr>
          <w:rFonts w:cs="Times New Roman"/>
          <w:szCs w:val="24"/>
        </w:rPr>
        <w:t>Fundamentally, payments toward landowners, forest dwellers</w:t>
      </w:r>
      <w:r>
        <w:rPr>
          <w:rFonts w:cs="Times New Roman"/>
          <w:szCs w:val="24"/>
        </w:rPr>
        <w:t>,</w:t>
      </w:r>
      <w:r w:rsidRPr="006638FB">
        <w:rPr>
          <w:rFonts w:cs="Times New Roman"/>
          <w:szCs w:val="24"/>
        </w:rPr>
        <w:t xml:space="preserve"> and other groups to make conserving forests more economically advantageous than clearing them (Jackson and Baker, 2010). Economic benefits of avoided deforestation do exist, but largely in the form of flows that are difficult to quantify, for example, non-timber forest products, ecosystem </w:t>
      </w:r>
      <w:r w:rsidRPr="006638FB">
        <w:rPr>
          <w:rFonts w:cs="Times New Roman"/>
          <w:szCs w:val="24"/>
        </w:rPr>
        <w:lastRenderedPageBreak/>
        <w:t xml:space="preserve">services, and cultural and aesthetic benefits. Other less obvious economic benefits could accrue. For example, greater than 50% of timber exported from the Central African Basin, South East Asia, the Amazon, and Russia is illegally harvested and leads to losses of $10-15 billion per year (World Bank). Generally, the total carbon sequestration potential of avoided deforestation is quantified by specifying a price for conservation in terms of tons of CO2-eq avoided. </w:t>
      </w:r>
      <w:proofErr w:type="spellStart"/>
      <w:r w:rsidRPr="006638FB">
        <w:rPr>
          <w:rFonts w:cs="Times New Roman"/>
          <w:szCs w:val="24"/>
        </w:rPr>
        <w:t>Kindermann</w:t>
      </w:r>
      <w:proofErr w:type="spellEnd"/>
      <w:r w:rsidRPr="006638FB">
        <w:rPr>
          <w:rFonts w:cs="Times New Roman"/>
          <w:szCs w:val="24"/>
        </w:rPr>
        <w:t xml:space="preserve"> et al. (2008) found that a 10% reduction in deforestation would cost 0.4 to 1.7 billion USD per year from 2005 to 2030 with a total emissions reduction of 300 to 600 MtCO2-eq per year. Boucher (2008) found that reducing deforestation by 20%, 50%, and 65% would cost approximately $5, $20, and $50 billion per year.  </w:t>
      </w:r>
    </w:p>
    <w:p w14:paraId="61498413" w14:textId="4A337150" w:rsidR="00FB2C53" w:rsidRPr="00FB2C53" w:rsidRDefault="551A77D0" w:rsidP="00DB4CC8">
      <w:pPr>
        <w:pStyle w:val="Heading2"/>
      </w:pPr>
      <w:bookmarkStart w:id="9" w:name="_Toc18239991"/>
      <w:r>
        <w:t>Adoption Path</w:t>
      </w:r>
      <w:bookmarkEnd w:id="9"/>
    </w:p>
    <w:p w14:paraId="2DE714B4" w14:textId="75FCAC84" w:rsidR="00112479" w:rsidRDefault="551A77D0" w:rsidP="00DB4CC8">
      <w:pPr>
        <w:pStyle w:val="Heading3"/>
      </w:pPr>
      <w:bookmarkStart w:id="10" w:name="_Toc18239992"/>
      <w:r w:rsidRPr="00483FFA">
        <w:t>Current Adoption</w:t>
      </w:r>
      <w:bookmarkEnd w:id="10"/>
    </w:p>
    <w:p w14:paraId="142F2A69" w14:textId="77777777" w:rsidR="004047F3" w:rsidRDefault="004047F3" w:rsidP="004047F3">
      <w:r w:rsidRPr="00722A53">
        <w:rPr>
          <w:rFonts w:eastAsia="Helvetica Neue" w:cs="Times New Roman"/>
          <w:color w:val="000000" w:themeColor="text1"/>
          <w:highlight w:val="white"/>
        </w:rPr>
        <w:t>Current adoption of </w:t>
      </w:r>
      <w:r w:rsidRPr="00722A53">
        <w:rPr>
          <w:rFonts w:eastAsia="Helvetica Neue" w:cs="Times New Roman"/>
          <w:i/>
          <w:color w:val="000000" w:themeColor="text1"/>
          <w:highlight w:val="white"/>
        </w:rPr>
        <w:t>forest protection</w:t>
      </w:r>
      <w:r w:rsidRPr="00722A53">
        <w:rPr>
          <w:rFonts w:eastAsia="Helvetica Neue" w:cs="Times New Roman"/>
          <w:color w:val="000000" w:themeColor="text1"/>
          <w:highlight w:val="white"/>
        </w:rPr>
        <w:t> is 651.0 million hectares (</w:t>
      </w:r>
      <w:r>
        <w:rPr>
          <w:rFonts w:eastAsia="Helvetica Neue" w:cs="Times New Roman"/>
          <w:color w:val="000000" w:themeColor="text1"/>
          <w:highlight w:val="white"/>
        </w:rPr>
        <w:t>FAO, 2016</w:t>
      </w:r>
      <w:r w:rsidRPr="00722A53">
        <w:rPr>
          <w:rFonts w:eastAsia="Helvetica Neue" w:cs="Times New Roman"/>
          <w:color w:val="000000" w:themeColor="text1"/>
          <w:highlight w:val="white"/>
        </w:rPr>
        <w:t>).</w:t>
      </w:r>
      <w:r>
        <w:rPr>
          <w:rFonts w:eastAsia="Helvetica Neue" w:cs="Times New Roman"/>
          <w:color w:val="000000" w:themeColor="text1"/>
        </w:rPr>
        <w:t xml:space="preserve"> </w:t>
      </w:r>
      <w:proofErr w:type="spellStart"/>
      <w:r>
        <w:rPr>
          <w:rFonts w:eastAsia="Helvetica Neue" w:cs="Times New Roman"/>
          <w:color w:val="000000" w:themeColor="text1"/>
        </w:rPr>
        <w:t>Heino</w:t>
      </w:r>
      <w:proofErr w:type="spellEnd"/>
      <w:r>
        <w:rPr>
          <w:rFonts w:eastAsia="Helvetica Neue" w:cs="Times New Roman"/>
          <w:color w:val="000000" w:themeColor="text1"/>
        </w:rPr>
        <w:t xml:space="preserve"> et al. (2015) provide </w:t>
      </w:r>
      <w:r>
        <w:t xml:space="preserve">an alternative adoption value of 785 </w:t>
      </w:r>
      <w:proofErr w:type="spellStart"/>
      <w:r>
        <w:t>Mha</w:t>
      </w:r>
      <w:proofErr w:type="spellEnd"/>
      <w:r>
        <w:t xml:space="preserve"> in 2012 which, using the yearly average rate based on the 12-year forest loss from the paper, results in 779 </w:t>
      </w:r>
      <w:proofErr w:type="spellStart"/>
      <w:r>
        <w:t>Mha</w:t>
      </w:r>
      <w:proofErr w:type="spellEnd"/>
      <w:r>
        <w:t xml:space="preserve"> of protected forest in 2015. Given that the difference between both adoption values for 2015 is quite significant coupled with the fact that FAO (2016) is widely cited, the </w:t>
      </w:r>
      <w:proofErr w:type="spellStart"/>
      <w:r>
        <w:t>Heino</w:t>
      </w:r>
      <w:proofErr w:type="spellEnd"/>
      <w:r>
        <w:t xml:space="preserve"> et al. (2015) data point has been excluded from the analysis.</w:t>
      </w:r>
    </w:p>
    <w:p w14:paraId="4B6E5C96" w14:textId="0A4C5E84" w:rsidR="00D1508C" w:rsidRDefault="551A77D0" w:rsidP="00DB4CC8">
      <w:pPr>
        <w:pStyle w:val="Heading3"/>
      </w:pPr>
      <w:bookmarkStart w:id="11" w:name="_Toc18239993"/>
      <w:r w:rsidRPr="0026327C">
        <w:t>Trends</w:t>
      </w:r>
      <w:r w:rsidR="000C3205" w:rsidRPr="0026327C">
        <w:t xml:space="preserve"> </w:t>
      </w:r>
      <w:r w:rsidR="00A53CDF" w:rsidRPr="0026327C">
        <w:t>to Accelerate Adoption</w:t>
      </w:r>
      <w:bookmarkEnd w:id="11"/>
      <w:r w:rsidR="00F94423">
        <w:t xml:space="preserve"> </w:t>
      </w:r>
    </w:p>
    <w:p w14:paraId="13B72D8D" w14:textId="77777777" w:rsidR="00ED3195" w:rsidRDefault="00ED3195" w:rsidP="00ED3195">
      <w:pPr>
        <w:pStyle w:val="Caption"/>
        <w:rPr>
          <w:i w:val="0"/>
          <w:iCs w:val="0"/>
          <w:color w:val="auto"/>
          <w:sz w:val="22"/>
          <w:szCs w:val="22"/>
        </w:rPr>
      </w:pPr>
      <w:r w:rsidRPr="00851AAF">
        <w:rPr>
          <w:i w:val="0"/>
          <w:iCs w:val="0"/>
          <w:color w:val="auto"/>
          <w:sz w:val="22"/>
          <w:szCs w:val="22"/>
        </w:rPr>
        <w:t>Globally, a common consensus has been made to protect forest</w:t>
      </w:r>
      <w:r>
        <w:rPr>
          <w:i w:val="0"/>
          <w:iCs w:val="0"/>
          <w:color w:val="auto"/>
          <w:sz w:val="22"/>
          <w:szCs w:val="22"/>
        </w:rPr>
        <w:t>s</w:t>
      </w:r>
      <w:r w:rsidRPr="00851AAF">
        <w:rPr>
          <w:i w:val="0"/>
          <w:iCs w:val="0"/>
          <w:color w:val="auto"/>
          <w:sz w:val="22"/>
          <w:szCs w:val="22"/>
        </w:rPr>
        <w:t xml:space="preserve"> from any additional deforestation in </w:t>
      </w:r>
      <w:r>
        <w:rPr>
          <w:i w:val="0"/>
          <w:iCs w:val="0"/>
          <w:color w:val="auto"/>
          <w:sz w:val="22"/>
          <w:szCs w:val="22"/>
        </w:rPr>
        <w:t xml:space="preserve">the </w:t>
      </w:r>
      <w:r w:rsidRPr="00851AAF">
        <w:rPr>
          <w:i w:val="0"/>
          <w:iCs w:val="0"/>
          <w:color w:val="auto"/>
          <w:sz w:val="22"/>
          <w:szCs w:val="22"/>
        </w:rPr>
        <w:t>future. Internationally and nationally, countries are making commitments for preserving their forest area.</w:t>
      </w:r>
      <w:r>
        <w:rPr>
          <w:i w:val="0"/>
          <w:iCs w:val="0"/>
          <w:color w:val="auto"/>
          <w:sz w:val="22"/>
          <w:szCs w:val="22"/>
        </w:rPr>
        <w:t xml:space="preserve"> For example, The New York Declaration on Forests -- a non-legally binding agreement signed in 2014 currently endorsed by 190 entities (including over 40 national governments) -- aims to “a</w:t>
      </w:r>
      <w:r w:rsidRPr="006D04D0">
        <w:rPr>
          <w:i w:val="0"/>
          <w:iCs w:val="0"/>
          <w:color w:val="auto"/>
          <w:sz w:val="22"/>
          <w:szCs w:val="22"/>
        </w:rPr>
        <w:t>t least halve the rate of loss of natural forests globally by 2020 and strive to end natural forest loss by 2030</w:t>
      </w:r>
      <w:r>
        <w:rPr>
          <w:i w:val="0"/>
          <w:iCs w:val="0"/>
          <w:color w:val="auto"/>
          <w:sz w:val="22"/>
          <w:szCs w:val="22"/>
        </w:rPr>
        <w:t xml:space="preserve">” ( NYDF Global Platform). </w:t>
      </w:r>
    </w:p>
    <w:p w14:paraId="755B4453" w14:textId="77777777" w:rsidR="00ED3195" w:rsidRDefault="00ED3195" w:rsidP="00ED3195">
      <w:r>
        <w:t>Other relevant adoption pathways include:</w:t>
      </w:r>
    </w:p>
    <w:p w14:paraId="495916A4" w14:textId="77777777" w:rsidR="00ED3195" w:rsidRDefault="00ED3195" w:rsidP="004F0A58">
      <w:pPr>
        <w:pStyle w:val="ListParagraph"/>
        <w:numPr>
          <w:ilvl w:val="0"/>
          <w:numId w:val="8"/>
        </w:numPr>
        <w:ind w:left="426" w:hanging="284"/>
      </w:pPr>
      <w:r>
        <w:t xml:space="preserve">The Convention on Biological Diversity (Aichi target 5) – </w:t>
      </w:r>
      <w:r w:rsidRPr="00273AE7">
        <w:t>By 2020, the rate of loss of all</w:t>
      </w:r>
      <w:r>
        <w:t xml:space="preserve"> </w:t>
      </w:r>
      <w:r w:rsidRPr="00273AE7">
        <w:t>natural habitats, including forests, is at least halved and where feasible brought close to zero, and degradation and fragmentation is significantly reduced</w:t>
      </w:r>
      <w:r>
        <w:t>” (</w:t>
      </w:r>
      <w:r w:rsidRPr="008E70A0">
        <w:t>A</w:t>
      </w:r>
      <w:r>
        <w:t>ichi Biodiversity targets).</w:t>
      </w:r>
    </w:p>
    <w:p w14:paraId="79C68065" w14:textId="77777777" w:rsidR="00ED3195" w:rsidRDefault="00ED3195" w:rsidP="004F0A58">
      <w:pPr>
        <w:pStyle w:val="ListParagraph"/>
        <w:numPr>
          <w:ilvl w:val="0"/>
          <w:numId w:val="8"/>
        </w:numPr>
        <w:ind w:left="426" w:hanging="284"/>
      </w:pPr>
      <w:r>
        <w:t>The United Nations Global Goals (Target 6.6) – By 2020, protect and restore water-related ecosystems, including mountains, forests, wetlands, rivers, aquifers and lakes", one of the several targets which refer to forests (targets 15.1, 15.2 and 15.B are also relevant). (</w:t>
      </w:r>
      <w:hyperlink r:id="rId15" w:history="1">
        <w:r w:rsidRPr="00C519D2">
          <w:rPr>
            <w:rStyle w:val="Hyperlink"/>
          </w:rPr>
          <w:t>https://www.globalgoals.org/6-clean-water-and-sanitation</w:t>
        </w:r>
      </w:hyperlink>
      <w:r>
        <w:t>)</w:t>
      </w:r>
    </w:p>
    <w:p w14:paraId="4F389555" w14:textId="77777777" w:rsidR="00ED3195" w:rsidRPr="00DB365B" w:rsidRDefault="00ED3195" w:rsidP="004F0A58">
      <w:pPr>
        <w:pStyle w:val="ListParagraph"/>
        <w:numPr>
          <w:ilvl w:val="0"/>
          <w:numId w:val="8"/>
        </w:numPr>
        <w:ind w:left="426" w:hanging="284"/>
      </w:pPr>
      <w:r>
        <w:lastRenderedPageBreak/>
        <w:t xml:space="preserve">The World Business Council for Sustainable Development’s Vision 2050 – </w:t>
      </w:r>
      <w:r w:rsidRPr="00E66E23">
        <w:t>The forests of 2050 have regained much of their capacity to protect against climate change and biodiversity loss and to meet the resource needs of society. Forests cover 30% of world land area. The total stock of carbon sequestered in forests is more than 10% greater than 2010 levels. Deforestation has significantly reduced. Primary forest coverage is held intact and expanded somewhat. Primary forests are no longer used for wood, wood products, new farmland, or biomass. This practice sequesters carbon and protects biodiversity, water</w:t>
      </w:r>
      <w:r>
        <w:t>,</w:t>
      </w:r>
      <w:r w:rsidRPr="00E66E23">
        <w:t xml:space="preserve"> and additional ecosystem services</w:t>
      </w:r>
      <w:r>
        <w:t xml:space="preserve"> (WBCSD, 2010).</w:t>
      </w:r>
    </w:p>
    <w:p w14:paraId="48C5B46C" w14:textId="77777777" w:rsidR="00ED3195" w:rsidRDefault="00ED3195" w:rsidP="00ED3195">
      <w:pPr>
        <w:pStyle w:val="Caption"/>
        <w:rPr>
          <w:i w:val="0"/>
          <w:iCs w:val="0"/>
          <w:color w:val="auto"/>
          <w:sz w:val="22"/>
          <w:szCs w:val="22"/>
        </w:rPr>
      </w:pPr>
      <w:r w:rsidRPr="008E70A0">
        <w:rPr>
          <w:i w:val="0"/>
          <w:iCs w:val="0"/>
          <w:color w:val="auto"/>
          <w:sz w:val="22"/>
          <w:szCs w:val="22"/>
        </w:rPr>
        <w:t>T</w:t>
      </w:r>
      <w:r w:rsidRPr="00AF276A">
        <w:rPr>
          <w:i w:val="0"/>
          <w:iCs w:val="0"/>
          <w:color w:val="auto"/>
          <w:sz w:val="22"/>
          <w:szCs w:val="22"/>
        </w:rPr>
        <w:t xml:space="preserve">he </w:t>
      </w:r>
      <w:r w:rsidRPr="008E70A0">
        <w:rPr>
          <w:i w:val="0"/>
          <w:iCs w:val="0"/>
          <w:color w:val="auto"/>
          <w:sz w:val="22"/>
          <w:szCs w:val="22"/>
        </w:rPr>
        <w:t xml:space="preserve">global </w:t>
      </w:r>
      <w:r w:rsidRPr="00AF276A">
        <w:rPr>
          <w:i w:val="0"/>
          <w:iCs w:val="0"/>
          <w:color w:val="auto"/>
          <w:sz w:val="22"/>
          <w:szCs w:val="22"/>
        </w:rPr>
        <w:t xml:space="preserve">rate of deforestation </w:t>
      </w:r>
      <w:r w:rsidRPr="008E70A0">
        <w:rPr>
          <w:i w:val="0"/>
          <w:iCs w:val="0"/>
          <w:color w:val="auto"/>
          <w:sz w:val="22"/>
          <w:szCs w:val="22"/>
        </w:rPr>
        <w:t xml:space="preserve">has halved in the past 25 years: decreasing </w:t>
      </w:r>
      <w:r w:rsidRPr="00AF276A">
        <w:rPr>
          <w:i w:val="0"/>
          <w:iCs w:val="0"/>
          <w:color w:val="auto"/>
          <w:sz w:val="22"/>
          <w:szCs w:val="22"/>
        </w:rPr>
        <w:t>from 0.18% in 1990</w:t>
      </w:r>
      <w:r w:rsidRPr="008E70A0">
        <w:rPr>
          <w:i w:val="0"/>
          <w:iCs w:val="0"/>
          <w:color w:val="auto"/>
          <w:sz w:val="22"/>
          <w:szCs w:val="22"/>
        </w:rPr>
        <w:t>-2000</w:t>
      </w:r>
      <w:r w:rsidRPr="00AF276A">
        <w:rPr>
          <w:i w:val="0"/>
          <w:iCs w:val="0"/>
          <w:color w:val="auto"/>
          <w:sz w:val="22"/>
          <w:szCs w:val="22"/>
        </w:rPr>
        <w:t xml:space="preserve"> to 0.08 % in </w:t>
      </w:r>
      <w:r w:rsidRPr="008E70A0">
        <w:rPr>
          <w:i w:val="0"/>
          <w:iCs w:val="0"/>
          <w:color w:val="auto"/>
          <w:sz w:val="22"/>
          <w:szCs w:val="22"/>
        </w:rPr>
        <w:t>2010- 2015</w:t>
      </w:r>
      <w:r w:rsidRPr="00AF276A">
        <w:rPr>
          <w:i w:val="0"/>
          <w:iCs w:val="0"/>
          <w:color w:val="auto"/>
          <w:sz w:val="22"/>
          <w:szCs w:val="22"/>
        </w:rPr>
        <w:t xml:space="preserve"> (Table </w:t>
      </w:r>
      <w:r w:rsidRPr="008E70A0">
        <w:rPr>
          <w:i w:val="0"/>
          <w:iCs w:val="0"/>
          <w:color w:val="auto"/>
          <w:sz w:val="22"/>
          <w:szCs w:val="22"/>
        </w:rPr>
        <w:t>1.2.</w:t>
      </w:r>
      <w:r w:rsidRPr="00AF276A">
        <w:rPr>
          <w:i w:val="0"/>
          <w:iCs w:val="0"/>
          <w:color w:val="auto"/>
          <w:sz w:val="22"/>
          <w:szCs w:val="22"/>
        </w:rPr>
        <w:t>). However, regional and country</w:t>
      </w:r>
      <w:r>
        <w:rPr>
          <w:i w:val="0"/>
          <w:iCs w:val="0"/>
          <w:color w:val="auto"/>
          <w:sz w:val="22"/>
          <w:szCs w:val="22"/>
        </w:rPr>
        <w:t>-</w:t>
      </w:r>
      <w:r w:rsidRPr="00AF276A">
        <w:rPr>
          <w:i w:val="0"/>
          <w:iCs w:val="0"/>
          <w:color w:val="auto"/>
          <w:sz w:val="22"/>
          <w:szCs w:val="22"/>
        </w:rPr>
        <w:t>level rate</w:t>
      </w:r>
      <w:r>
        <w:rPr>
          <w:i w:val="0"/>
          <w:iCs w:val="0"/>
          <w:color w:val="auto"/>
          <w:sz w:val="22"/>
          <w:szCs w:val="22"/>
        </w:rPr>
        <w:t>s</w:t>
      </w:r>
      <w:r w:rsidRPr="00AF276A">
        <w:rPr>
          <w:i w:val="0"/>
          <w:iCs w:val="0"/>
          <w:color w:val="auto"/>
          <w:sz w:val="22"/>
          <w:szCs w:val="22"/>
        </w:rPr>
        <w:t xml:space="preserve"> of deforestation </w:t>
      </w:r>
      <w:r>
        <w:rPr>
          <w:i w:val="0"/>
          <w:iCs w:val="0"/>
          <w:color w:val="auto"/>
          <w:sz w:val="22"/>
          <w:szCs w:val="22"/>
        </w:rPr>
        <w:t>are</w:t>
      </w:r>
      <w:r w:rsidRPr="00AF276A">
        <w:rPr>
          <w:i w:val="0"/>
          <w:iCs w:val="0"/>
          <w:color w:val="auto"/>
          <w:sz w:val="22"/>
          <w:szCs w:val="22"/>
        </w:rPr>
        <w:t xml:space="preserve"> still high.</w:t>
      </w:r>
      <w:r>
        <w:rPr>
          <w:i w:val="0"/>
          <w:iCs w:val="0"/>
          <w:color w:val="auto"/>
          <w:sz w:val="22"/>
          <w:szCs w:val="22"/>
        </w:rPr>
        <w:t xml:space="preserve"> </w:t>
      </w:r>
      <w:r w:rsidRPr="008E70A0">
        <w:rPr>
          <w:i w:val="0"/>
          <w:iCs w:val="0"/>
          <w:color w:val="auto"/>
          <w:sz w:val="22"/>
          <w:szCs w:val="22"/>
        </w:rPr>
        <w:t>I</w:t>
      </w:r>
      <w:r w:rsidRPr="00AF276A">
        <w:rPr>
          <w:i w:val="0"/>
          <w:iCs w:val="0"/>
          <w:color w:val="auto"/>
          <w:sz w:val="22"/>
          <w:szCs w:val="22"/>
        </w:rPr>
        <w:t xml:space="preserve">n </w:t>
      </w:r>
      <w:r w:rsidRPr="008E70A0">
        <w:rPr>
          <w:i w:val="0"/>
          <w:iCs w:val="0"/>
          <w:color w:val="auto"/>
          <w:sz w:val="22"/>
          <w:szCs w:val="22"/>
        </w:rPr>
        <w:t>our</w:t>
      </w:r>
      <w:r w:rsidRPr="00AF276A">
        <w:rPr>
          <w:i w:val="0"/>
          <w:iCs w:val="0"/>
          <w:color w:val="auto"/>
          <w:sz w:val="22"/>
          <w:szCs w:val="22"/>
        </w:rPr>
        <w:t xml:space="preserve"> analysis</w:t>
      </w:r>
      <w:r w:rsidRPr="00C25945">
        <w:rPr>
          <w:i w:val="0"/>
          <w:iCs w:val="0"/>
          <w:color w:val="auto"/>
          <w:sz w:val="22"/>
          <w:szCs w:val="22"/>
        </w:rPr>
        <w:t xml:space="preserve">, we have </w:t>
      </w:r>
      <w:r>
        <w:rPr>
          <w:i w:val="0"/>
          <w:iCs w:val="0"/>
          <w:color w:val="auto"/>
          <w:sz w:val="22"/>
          <w:szCs w:val="22"/>
        </w:rPr>
        <w:t xml:space="preserve">used  </w:t>
      </w:r>
      <w:proofErr w:type="spellStart"/>
      <w:r>
        <w:rPr>
          <w:i w:val="0"/>
          <w:iCs w:val="0"/>
          <w:color w:val="auto"/>
          <w:sz w:val="22"/>
          <w:szCs w:val="22"/>
        </w:rPr>
        <w:t>Heino</w:t>
      </w:r>
      <w:proofErr w:type="spellEnd"/>
      <w:r>
        <w:rPr>
          <w:i w:val="0"/>
          <w:iCs w:val="0"/>
          <w:color w:val="auto"/>
          <w:sz w:val="22"/>
          <w:szCs w:val="22"/>
        </w:rPr>
        <w:t xml:space="preserve"> et al. (2015)’s country-level detail for non-protected forest area change in 2000-2012 to estimate</w:t>
      </w:r>
      <w:r w:rsidRPr="00AF276A">
        <w:rPr>
          <w:i w:val="0"/>
          <w:iCs w:val="0"/>
          <w:color w:val="auto"/>
          <w:sz w:val="22"/>
          <w:szCs w:val="22"/>
        </w:rPr>
        <w:t xml:space="preserve"> an annual global deforestation rate of 0.</w:t>
      </w:r>
      <w:r>
        <w:rPr>
          <w:i w:val="0"/>
          <w:iCs w:val="0"/>
          <w:color w:val="auto"/>
          <w:sz w:val="22"/>
          <w:szCs w:val="22"/>
        </w:rPr>
        <w:t>47</w:t>
      </w:r>
      <w:r w:rsidRPr="00AF276A">
        <w:rPr>
          <w:i w:val="0"/>
          <w:iCs w:val="0"/>
          <w:color w:val="auto"/>
          <w:sz w:val="22"/>
          <w:szCs w:val="22"/>
        </w:rPr>
        <w:t>%.</w:t>
      </w:r>
    </w:p>
    <w:p w14:paraId="5A42291E" w14:textId="1E36F4DA" w:rsidR="00233217" w:rsidRPr="00233217" w:rsidRDefault="009432C9" w:rsidP="009432C9">
      <w:pPr>
        <w:pStyle w:val="Caption"/>
        <w:keepNext/>
      </w:pPr>
      <w:bookmarkStart w:id="12" w:name="_Toc18439375"/>
      <w:r>
        <w:t xml:space="preserve">Table </w:t>
      </w:r>
      <w:r w:rsidR="005D2ED8">
        <w:fldChar w:fldCharType="begin"/>
      </w:r>
      <w:r w:rsidR="005D2ED8">
        <w:instrText xml:space="preserve"> STYLEREF 1 \s </w:instrText>
      </w:r>
      <w:r w:rsidR="005D2ED8">
        <w:fldChar w:fldCharType="separate"/>
      </w:r>
      <w:r w:rsidR="00E26324">
        <w:rPr>
          <w:noProof/>
        </w:rPr>
        <w:t>1</w:t>
      </w:r>
      <w:r w:rsidR="005D2ED8">
        <w:fldChar w:fldCharType="end"/>
      </w:r>
      <w:r w:rsidR="005D2ED8">
        <w:t>.</w:t>
      </w:r>
      <w:r w:rsidR="005D2ED8">
        <w:fldChar w:fldCharType="begin"/>
      </w:r>
      <w:r w:rsidR="005D2ED8">
        <w:instrText xml:space="preserve"> SEQ Table \* ARABIC \s 1 </w:instrText>
      </w:r>
      <w:r w:rsidR="005D2ED8">
        <w:fldChar w:fldCharType="separate"/>
      </w:r>
      <w:r w:rsidR="00E26324">
        <w:rPr>
          <w:noProof/>
        </w:rPr>
        <w:t>2</w:t>
      </w:r>
      <w:r w:rsidR="005D2ED8">
        <w:fldChar w:fldCharType="end"/>
      </w:r>
      <w:r>
        <w:t xml:space="preserve">: </w:t>
      </w:r>
      <w:r w:rsidR="00D91166">
        <w:t>Deforestation area and rate</w:t>
      </w:r>
      <w:bookmarkEnd w:id="12"/>
      <w:r w:rsidR="00D91166" w:rsidRPr="00233217">
        <w:t xml:space="preserve"> </w:t>
      </w:r>
    </w:p>
    <w:tbl>
      <w:tblPr>
        <w:tblW w:w="0" w:type="auto"/>
        <w:jc w:val="center"/>
        <w:tblLook w:val="04A0" w:firstRow="1" w:lastRow="0" w:firstColumn="1" w:lastColumn="0" w:noHBand="0" w:noVBand="1"/>
      </w:tblPr>
      <w:tblGrid>
        <w:gridCol w:w="1170"/>
        <w:gridCol w:w="2391"/>
        <w:gridCol w:w="2642"/>
      </w:tblGrid>
      <w:tr w:rsidR="00233217" w:rsidRPr="00851AAF" w14:paraId="2781F874" w14:textId="77777777" w:rsidTr="00C2025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D500E" w14:textId="77777777" w:rsidR="00233217" w:rsidRPr="00851AAF" w:rsidRDefault="00233217" w:rsidP="00C2025D">
            <w:pPr>
              <w:spacing w:after="0" w:line="240" w:lineRule="auto"/>
              <w:jc w:val="center"/>
              <w:rPr>
                <w:b/>
              </w:rPr>
            </w:pPr>
            <w:r w:rsidRPr="00851AAF">
              <w:rPr>
                <w:b/>
              </w:rPr>
              <w:t>Period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E74FD27" w14:textId="77777777" w:rsidR="00233217" w:rsidRPr="00851AAF" w:rsidRDefault="00233217" w:rsidP="00C2025D">
            <w:pPr>
              <w:spacing w:after="0" w:line="240" w:lineRule="auto"/>
              <w:jc w:val="center"/>
              <w:rPr>
                <w:b/>
              </w:rPr>
            </w:pPr>
            <w:r w:rsidRPr="00851AAF">
              <w:rPr>
                <w:b/>
              </w:rPr>
              <w:t>Deforested Area (</w:t>
            </w:r>
            <w:proofErr w:type="spellStart"/>
            <w:r w:rsidRPr="00851AAF">
              <w:rPr>
                <w:b/>
              </w:rPr>
              <w:t>Mha</w:t>
            </w:r>
            <w:proofErr w:type="spellEnd"/>
            <w:r w:rsidRPr="00851AAF">
              <w:rPr>
                <w:b/>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920B9BA" w14:textId="77777777" w:rsidR="00233217" w:rsidRPr="00851AAF" w:rsidRDefault="00233217" w:rsidP="00C2025D">
            <w:pPr>
              <w:spacing w:after="0" w:line="240" w:lineRule="auto"/>
              <w:jc w:val="center"/>
              <w:rPr>
                <w:b/>
              </w:rPr>
            </w:pPr>
            <w:r w:rsidRPr="00851AAF">
              <w:rPr>
                <w:b/>
              </w:rPr>
              <w:t>Rate of Deforestation (%)</w:t>
            </w:r>
          </w:p>
        </w:tc>
      </w:tr>
      <w:tr w:rsidR="00233217" w:rsidRPr="00851AAF" w14:paraId="7A24ED03" w14:textId="77777777" w:rsidTr="00C2025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25327D" w14:textId="77777777" w:rsidR="00233217" w:rsidRPr="00851AAF" w:rsidRDefault="00233217" w:rsidP="00C2025D">
            <w:pPr>
              <w:spacing w:after="0" w:line="240" w:lineRule="auto"/>
              <w:jc w:val="center"/>
            </w:pPr>
            <w:r w:rsidRPr="00851AAF">
              <w:t>1990-2000</w:t>
            </w:r>
          </w:p>
        </w:tc>
        <w:tc>
          <w:tcPr>
            <w:tcW w:w="0" w:type="auto"/>
            <w:tcBorders>
              <w:top w:val="nil"/>
              <w:left w:val="nil"/>
              <w:bottom w:val="single" w:sz="4" w:space="0" w:color="auto"/>
              <w:right w:val="single" w:sz="4" w:space="0" w:color="auto"/>
            </w:tcBorders>
            <w:shd w:val="clear" w:color="auto" w:fill="auto"/>
            <w:noWrap/>
            <w:vAlign w:val="bottom"/>
            <w:hideMark/>
          </w:tcPr>
          <w:p w14:paraId="6E0EAFA9" w14:textId="77777777" w:rsidR="00233217" w:rsidRPr="00851AAF" w:rsidRDefault="00233217" w:rsidP="00C2025D">
            <w:pPr>
              <w:spacing w:after="0" w:line="240" w:lineRule="auto"/>
              <w:jc w:val="center"/>
            </w:pPr>
            <w:r w:rsidRPr="00851AAF">
              <w:t>7.27</w:t>
            </w:r>
          </w:p>
        </w:tc>
        <w:tc>
          <w:tcPr>
            <w:tcW w:w="0" w:type="auto"/>
            <w:tcBorders>
              <w:top w:val="nil"/>
              <w:left w:val="nil"/>
              <w:bottom w:val="single" w:sz="4" w:space="0" w:color="auto"/>
              <w:right w:val="single" w:sz="4" w:space="0" w:color="auto"/>
            </w:tcBorders>
            <w:shd w:val="clear" w:color="auto" w:fill="auto"/>
            <w:noWrap/>
            <w:vAlign w:val="bottom"/>
            <w:hideMark/>
          </w:tcPr>
          <w:p w14:paraId="4475E6D2" w14:textId="77777777" w:rsidR="00233217" w:rsidRPr="00851AAF" w:rsidRDefault="00233217" w:rsidP="00C2025D">
            <w:pPr>
              <w:spacing w:after="0" w:line="240" w:lineRule="auto"/>
              <w:jc w:val="center"/>
            </w:pPr>
            <w:r w:rsidRPr="00851AAF">
              <w:t>0.18</w:t>
            </w:r>
          </w:p>
        </w:tc>
      </w:tr>
      <w:tr w:rsidR="00233217" w:rsidRPr="00851AAF" w14:paraId="2BDCF7D6" w14:textId="77777777" w:rsidTr="00C2025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A58D6A" w14:textId="77777777" w:rsidR="00233217" w:rsidRPr="00851AAF" w:rsidRDefault="00233217" w:rsidP="00C2025D">
            <w:pPr>
              <w:spacing w:after="0" w:line="240" w:lineRule="auto"/>
              <w:jc w:val="center"/>
            </w:pPr>
            <w:r w:rsidRPr="00851AAF">
              <w:t>2000-2005</w:t>
            </w:r>
          </w:p>
        </w:tc>
        <w:tc>
          <w:tcPr>
            <w:tcW w:w="0" w:type="auto"/>
            <w:tcBorders>
              <w:top w:val="nil"/>
              <w:left w:val="nil"/>
              <w:bottom w:val="single" w:sz="4" w:space="0" w:color="auto"/>
              <w:right w:val="single" w:sz="4" w:space="0" w:color="auto"/>
            </w:tcBorders>
            <w:shd w:val="clear" w:color="auto" w:fill="auto"/>
            <w:noWrap/>
            <w:vAlign w:val="bottom"/>
            <w:hideMark/>
          </w:tcPr>
          <w:p w14:paraId="6B2F0920" w14:textId="77777777" w:rsidR="00233217" w:rsidRPr="00851AAF" w:rsidRDefault="00233217" w:rsidP="00C2025D">
            <w:pPr>
              <w:spacing w:after="0" w:line="240" w:lineRule="auto"/>
              <w:jc w:val="center"/>
            </w:pPr>
            <w:r w:rsidRPr="00851AAF">
              <w:t>4.57</w:t>
            </w:r>
          </w:p>
        </w:tc>
        <w:tc>
          <w:tcPr>
            <w:tcW w:w="0" w:type="auto"/>
            <w:tcBorders>
              <w:top w:val="nil"/>
              <w:left w:val="nil"/>
              <w:bottom w:val="single" w:sz="4" w:space="0" w:color="auto"/>
              <w:right w:val="single" w:sz="4" w:space="0" w:color="auto"/>
            </w:tcBorders>
            <w:shd w:val="clear" w:color="auto" w:fill="auto"/>
            <w:noWrap/>
            <w:vAlign w:val="bottom"/>
            <w:hideMark/>
          </w:tcPr>
          <w:p w14:paraId="067E06F1" w14:textId="77777777" w:rsidR="00233217" w:rsidRPr="00851AAF" w:rsidRDefault="00233217" w:rsidP="00C2025D">
            <w:pPr>
              <w:spacing w:after="0" w:line="240" w:lineRule="auto"/>
              <w:jc w:val="center"/>
            </w:pPr>
            <w:r w:rsidRPr="00851AAF">
              <w:t>0.11</w:t>
            </w:r>
          </w:p>
        </w:tc>
      </w:tr>
      <w:tr w:rsidR="00233217" w:rsidRPr="00851AAF" w14:paraId="6A6B90FD" w14:textId="77777777" w:rsidTr="00C2025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1C8DA1" w14:textId="77777777" w:rsidR="00233217" w:rsidRPr="00851AAF" w:rsidRDefault="00233217" w:rsidP="00C2025D">
            <w:pPr>
              <w:spacing w:after="0" w:line="240" w:lineRule="auto"/>
              <w:jc w:val="center"/>
            </w:pPr>
            <w:r w:rsidRPr="00851AAF">
              <w:t>2005-2010</w:t>
            </w:r>
          </w:p>
        </w:tc>
        <w:tc>
          <w:tcPr>
            <w:tcW w:w="0" w:type="auto"/>
            <w:tcBorders>
              <w:top w:val="nil"/>
              <w:left w:val="nil"/>
              <w:bottom w:val="single" w:sz="4" w:space="0" w:color="auto"/>
              <w:right w:val="single" w:sz="4" w:space="0" w:color="auto"/>
            </w:tcBorders>
            <w:shd w:val="clear" w:color="auto" w:fill="auto"/>
            <w:noWrap/>
            <w:vAlign w:val="bottom"/>
            <w:hideMark/>
          </w:tcPr>
          <w:p w14:paraId="7D723EDD" w14:textId="77777777" w:rsidR="00233217" w:rsidRPr="00851AAF" w:rsidRDefault="00233217" w:rsidP="00C2025D">
            <w:pPr>
              <w:spacing w:after="0" w:line="240" w:lineRule="auto"/>
              <w:jc w:val="center"/>
            </w:pPr>
            <w:r w:rsidRPr="00851AAF">
              <w:t>3.41</w:t>
            </w:r>
          </w:p>
        </w:tc>
        <w:tc>
          <w:tcPr>
            <w:tcW w:w="0" w:type="auto"/>
            <w:tcBorders>
              <w:top w:val="nil"/>
              <w:left w:val="nil"/>
              <w:bottom w:val="single" w:sz="4" w:space="0" w:color="auto"/>
              <w:right w:val="single" w:sz="4" w:space="0" w:color="auto"/>
            </w:tcBorders>
            <w:shd w:val="clear" w:color="auto" w:fill="auto"/>
            <w:noWrap/>
            <w:vAlign w:val="bottom"/>
            <w:hideMark/>
          </w:tcPr>
          <w:p w14:paraId="22E29B46" w14:textId="77777777" w:rsidR="00233217" w:rsidRPr="00851AAF" w:rsidRDefault="00233217" w:rsidP="00C2025D">
            <w:pPr>
              <w:spacing w:after="0" w:line="240" w:lineRule="auto"/>
              <w:jc w:val="center"/>
            </w:pPr>
            <w:r w:rsidRPr="00851AAF">
              <w:t>0.08</w:t>
            </w:r>
          </w:p>
        </w:tc>
      </w:tr>
      <w:tr w:rsidR="00233217" w:rsidRPr="0006021C" w14:paraId="5ACDE33C" w14:textId="77777777" w:rsidTr="00C2025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A61B78" w14:textId="77777777" w:rsidR="00233217" w:rsidRPr="00851AAF" w:rsidRDefault="00233217" w:rsidP="00C2025D">
            <w:pPr>
              <w:spacing w:after="0" w:line="240" w:lineRule="auto"/>
              <w:jc w:val="center"/>
            </w:pPr>
            <w:r w:rsidRPr="00851AAF">
              <w:t>2010-2015</w:t>
            </w:r>
          </w:p>
        </w:tc>
        <w:tc>
          <w:tcPr>
            <w:tcW w:w="0" w:type="auto"/>
            <w:tcBorders>
              <w:top w:val="nil"/>
              <w:left w:val="nil"/>
              <w:bottom w:val="single" w:sz="4" w:space="0" w:color="auto"/>
              <w:right w:val="single" w:sz="4" w:space="0" w:color="auto"/>
            </w:tcBorders>
            <w:shd w:val="clear" w:color="auto" w:fill="auto"/>
            <w:noWrap/>
            <w:vAlign w:val="bottom"/>
            <w:hideMark/>
          </w:tcPr>
          <w:p w14:paraId="6E789119" w14:textId="77777777" w:rsidR="00233217" w:rsidRPr="00851AAF" w:rsidRDefault="00233217" w:rsidP="00C2025D">
            <w:pPr>
              <w:spacing w:after="0" w:line="240" w:lineRule="auto"/>
              <w:jc w:val="center"/>
            </w:pPr>
            <w:r w:rsidRPr="00851AAF">
              <w:t>3.31</w:t>
            </w:r>
          </w:p>
        </w:tc>
        <w:tc>
          <w:tcPr>
            <w:tcW w:w="0" w:type="auto"/>
            <w:tcBorders>
              <w:top w:val="nil"/>
              <w:left w:val="nil"/>
              <w:bottom w:val="single" w:sz="4" w:space="0" w:color="auto"/>
              <w:right w:val="single" w:sz="4" w:space="0" w:color="auto"/>
            </w:tcBorders>
            <w:shd w:val="clear" w:color="auto" w:fill="auto"/>
            <w:noWrap/>
            <w:vAlign w:val="bottom"/>
            <w:hideMark/>
          </w:tcPr>
          <w:p w14:paraId="2263695D" w14:textId="77777777" w:rsidR="00233217" w:rsidRPr="00163326" w:rsidRDefault="00233217" w:rsidP="00C2025D">
            <w:pPr>
              <w:spacing w:after="0" w:line="240" w:lineRule="auto"/>
              <w:jc w:val="center"/>
            </w:pPr>
            <w:r w:rsidRPr="00851AAF">
              <w:t>0.08</w:t>
            </w:r>
          </w:p>
        </w:tc>
      </w:tr>
    </w:tbl>
    <w:p w14:paraId="0E43EB84" w14:textId="3B77820D" w:rsidR="005B6079" w:rsidRDefault="000E697E" w:rsidP="000E697E">
      <w:pPr>
        <w:spacing w:after="0"/>
        <w:jc w:val="center"/>
      </w:pPr>
      <w:r>
        <w:t>Source: FAO, 2016</w:t>
      </w:r>
    </w:p>
    <w:p w14:paraId="56A5BF34" w14:textId="77777777" w:rsidR="000E697E" w:rsidRDefault="000E697E" w:rsidP="004B3A12">
      <w:pPr>
        <w:spacing w:after="0"/>
        <w:jc w:val="center"/>
      </w:pPr>
    </w:p>
    <w:p w14:paraId="6DEE1B6C" w14:textId="77777777" w:rsidR="002A5862" w:rsidRPr="00163326" w:rsidRDefault="002A5862" w:rsidP="002A5862">
      <w:pPr>
        <w:spacing w:after="0"/>
      </w:pPr>
      <w:r w:rsidRPr="00163326">
        <w:t>The FAO 2016 report clearly stated the following points:</w:t>
      </w:r>
    </w:p>
    <w:p w14:paraId="629F02EE" w14:textId="77777777" w:rsidR="002A5862" w:rsidRPr="00163326" w:rsidRDefault="002A5862" w:rsidP="004F0A58">
      <w:pPr>
        <w:pStyle w:val="ListParagraph"/>
        <w:numPr>
          <w:ilvl w:val="0"/>
          <w:numId w:val="6"/>
        </w:numPr>
        <w:spacing w:after="0"/>
      </w:pPr>
      <w:r w:rsidRPr="00163326">
        <w:t>Forests and forest management changed substantially over the past 25 years</w:t>
      </w:r>
      <w:r>
        <w:t>.</w:t>
      </w:r>
    </w:p>
    <w:p w14:paraId="094058AE" w14:textId="77777777" w:rsidR="002A5862" w:rsidRPr="00163326" w:rsidRDefault="002A5862" w:rsidP="004F0A58">
      <w:pPr>
        <w:pStyle w:val="ListParagraph"/>
        <w:numPr>
          <w:ilvl w:val="0"/>
          <w:numId w:val="6"/>
        </w:numPr>
        <w:spacing w:after="0"/>
      </w:pPr>
      <w:r>
        <w:t>The r</w:t>
      </w:r>
      <w:r w:rsidRPr="00163326">
        <w:t>ate of net forest loss</w:t>
      </w:r>
      <w:r>
        <w:t xml:space="preserve"> was</w:t>
      </w:r>
      <w:r w:rsidRPr="00163326">
        <w:t xml:space="preserve"> cut by over 50 percent in </w:t>
      </w:r>
      <w:r>
        <w:t xml:space="preserve">the </w:t>
      </w:r>
      <w:r w:rsidRPr="00163326">
        <w:t>last 25 years</w:t>
      </w:r>
      <w:r>
        <w:t xml:space="preserve">. </w:t>
      </w:r>
    </w:p>
    <w:p w14:paraId="0496B420" w14:textId="77777777" w:rsidR="002A5862" w:rsidRPr="00163326" w:rsidRDefault="002A5862" w:rsidP="004F0A58">
      <w:pPr>
        <w:pStyle w:val="ListParagraph"/>
        <w:numPr>
          <w:ilvl w:val="0"/>
          <w:numId w:val="6"/>
        </w:numPr>
        <w:spacing w:after="0"/>
      </w:pPr>
      <w:r w:rsidRPr="00163326">
        <w:t xml:space="preserve">The period also witnessed </w:t>
      </w:r>
      <w:r>
        <w:t>much</w:t>
      </w:r>
      <w:r w:rsidRPr="00163326">
        <w:t xml:space="preserve"> attention paid to sustainable forest management (SFM) initiatives</w:t>
      </w:r>
      <w:r>
        <w:t>.</w:t>
      </w:r>
    </w:p>
    <w:p w14:paraId="2488E9D9" w14:textId="77777777" w:rsidR="002A5862" w:rsidRPr="00163326" w:rsidRDefault="002A5862" w:rsidP="004F0A58">
      <w:pPr>
        <w:pStyle w:val="ListParagraph"/>
        <w:numPr>
          <w:ilvl w:val="0"/>
          <w:numId w:val="6"/>
        </w:numPr>
        <w:spacing w:after="0"/>
      </w:pPr>
      <w:r w:rsidRPr="00163326">
        <w:t>Thus, more land has been protected in the form of permanent forest</w:t>
      </w:r>
      <w:r>
        <w:t>.</w:t>
      </w:r>
    </w:p>
    <w:p w14:paraId="337FE27B" w14:textId="77777777" w:rsidR="002A5862" w:rsidRPr="00163326" w:rsidRDefault="002A5862" w:rsidP="004F0A58">
      <w:pPr>
        <w:pStyle w:val="ListParagraph"/>
        <w:numPr>
          <w:ilvl w:val="0"/>
          <w:numId w:val="6"/>
        </w:numPr>
        <w:spacing w:after="0"/>
      </w:pPr>
      <w:r w:rsidRPr="00163326">
        <w:t xml:space="preserve">Significant efforts have been </w:t>
      </w:r>
      <w:r>
        <w:t>m</w:t>
      </w:r>
      <w:r w:rsidRPr="00163326">
        <w:t>ad</w:t>
      </w:r>
      <w:r>
        <w:t>e</w:t>
      </w:r>
      <w:r w:rsidRPr="00163326">
        <w:t xml:space="preserve"> </w:t>
      </w:r>
      <w:r>
        <w:t>for</w:t>
      </w:r>
      <w:r w:rsidRPr="00163326">
        <w:t xml:space="preserve"> assessment, monitoring, reporting, planning</w:t>
      </w:r>
      <w:r>
        <w:t>,</w:t>
      </w:r>
      <w:r w:rsidRPr="00163326">
        <w:t xml:space="preserve"> and stakeholder involvement towards SFM</w:t>
      </w:r>
      <w:r>
        <w:t>.</w:t>
      </w:r>
    </w:p>
    <w:p w14:paraId="4C204872" w14:textId="77777777" w:rsidR="002A5862" w:rsidRPr="00163326" w:rsidRDefault="002A5862" w:rsidP="004F0A58">
      <w:pPr>
        <w:pStyle w:val="ListParagraph"/>
        <w:numPr>
          <w:ilvl w:val="0"/>
          <w:numId w:val="6"/>
        </w:numPr>
        <w:spacing w:after="0"/>
      </w:pPr>
      <w:r>
        <w:t>There was a</w:t>
      </w:r>
      <w:r w:rsidRPr="00163326">
        <w:t>n increase in area under international forest management certificatio</w:t>
      </w:r>
      <w:r>
        <w:t xml:space="preserve">n </w:t>
      </w:r>
      <w:r w:rsidRPr="00163326">
        <w:t>schemes</w:t>
      </w:r>
      <w:r>
        <w:t>:</w:t>
      </w:r>
      <w:r w:rsidRPr="00163326">
        <w:t xml:space="preserve"> from 14 million ha in 2000 to 438 million ha in 2014, of which 58 percent was under the </w:t>
      </w:r>
      <w:proofErr w:type="spellStart"/>
      <w:r w:rsidRPr="00163326">
        <w:t>Programme</w:t>
      </w:r>
      <w:proofErr w:type="spellEnd"/>
      <w:r w:rsidRPr="00163326">
        <w:t xml:space="preserve"> for the Endorsement of Forest Certification scheme and 42 percent was under the Forest Stewardship Council certification scheme.</w:t>
      </w:r>
    </w:p>
    <w:p w14:paraId="66708DAB" w14:textId="527EAB11" w:rsidR="00233217" w:rsidRPr="00233217" w:rsidRDefault="002A5862" w:rsidP="002A5862">
      <w:pPr>
        <w:shd w:val="clear" w:color="auto" w:fill="FFFFFF"/>
        <w:jc w:val="left"/>
      </w:pPr>
      <w:r w:rsidRPr="00163326">
        <w:t>Thus, there are promising signs that indicate that</w:t>
      </w:r>
      <w:r>
        <w:t>,</w:t>
      </w:r>
      <w:r w:rsidRPr="00163326">
        <w:t xml:space="preserve"> in </w:t>
      </w:r>
      <w:r>
        <w:t xml:space="preserve">the </w:t>
      </w:r>
      <w:r w:rsidRPr="00163326">
        <w:t>future</w:t>
      </w:r>
      <w:r>
        <w:t>,</w:t>
      </w:r>
      <w:r w:rsidRPr="00163326">
        <w:t xml:space="preserve"> efforts towards forest protection </w:t>
      </w:r>
      <w:r>
        <w:t>will continue</w:t>
      </w:r>
      <w:r w:rsidRPr="00163326">
        <w:t xml:space="preserve"> with much stronger commitments and deadlines at the national and international level.</w:t>
      </w:r>
    </w:p>
    <w:p w14:paraId="0B8C3EFB" w14:textId="13A82B64" w:rsidR="00D1508C" w:rsidRDefault="551A77D0" w:rsidP="00DB4CC8">
      <w:pPr>
        <w:pStyle w:val="Heading3"/>
      </w:pPr>
      <w:bookmarkStart w:id="13" w:name="_Toc18239994"/>
      <w:r w:rsidRPr="551A77D0">
        <w:lastRenderedPageBreak/>
        <w:t>Barriers to Adoption</w:t>
      </w:r>
      <w:bookmarkEnd w:id="13"/>
    </w:p>
    <w:p w14:paraId="4193215E" w14:textId="77777777" w:rsidR="00D945DC" w:rsidRDefault="00D945DC" w:rsidP="00D945DC">
      <w:pPr>
        <w:shd w:val="clear" w:color="auto" w:fill="FFFFFF"/>
      </w:pPr>
      <w:r w:rsidRPr="00E23499">
        <w:t xml:space="preserve">Avoiding deforestation </w:t>
      </w:r>
      <w:r>
        <w:t>could</w:t>
      </w:r>
      <w:r w:rsidRPr="00E23499">
        <w:t xml:space="preserve"> increase pressure on the existing agricultural lands for meeting the increasing demand</w:t>
      </w:r>
      <w:r>
        <w:t xml:space="preserve"> for</w:t>
      </w:r>
      <w:r w:rsidRPr="00E23499">
        <w:t xml:space="preserve"> food production, forestry products, biofuels, and other products. The global population is expected to increase from 7.2 billion in 2014 to 9.6 billion by 2050 and 10.5 billion by 2100. The increase in population has been estimated largely for developing countries, where the vast majority of tropical forests are located (UNEP, 2013). </w:t>
      </w:r>
      <w:proofErr w:type="spellStart"/>
      <w:r>
        <w:t>Kothke</w:t>
      </w:r>
      <w:proofErr w:type="spellEnd"/>
      <w:r>
        <w:t xml:space="preserve"> et al. (2013) analysis on 140 countries identified an increase in population density as a driver of forest cover reduction (</w:t>
      </w:r>
      <w:proofErr w:type="spellStart"/>
      <w:r>
        <w:t>Kothke</w:t>
      </w:r>
      <w:proofErr w:type="spellEnd"/>
      <w:r>
        <w:t xml:space="preserve"> et al., 2013; Creed and van </w:t>
      </w:r>
      <w:proofErr w:type="spellStart"/>
      <w:r>
        <w:t>Noordwijk</w:t>
      </w:r>
      <w:proofErr w:type="spellEnd"/>
      <w:r>
        <w:t>, 2018). In addition, increasing urbanization will apply more pressure on tropical deforestation (</w:t>
      </w:r>
      <w:proofErr w:type="spellStart"/>
      <w:r>
        <w:t>deFries</w:t>
      </w:r>
      <w:proofErr w:type="spellEnd"/>
      <w:r>
        <w:t xml:space="preserve"> et al., 2010; Creed and van </w:t>
      </w:r>
      <w:proofErr w:type="spellStart"/>
      <w:r>
        <w:t>Noordwijk</w:t>
      </w:r>
      <w:proofErr w:type="spellEnd"/>
      <w:r>
        <w:t xml:space="preserve">, 2018). </w:t>
      </w:r>
    </w:p>
    <w:p w14:paraId="4473E558" w14:textId="77777777" w:rsidR="00D945DC" w:rsidRDefault="00D945DC" w:rsidP="00D945DC">
      <w:pPr>
        <w:shd w:val="clear" w:color="auto" w:fill="FFFFFF"/>
      </w:pPr>
      <w:r w:rsidRPr="00E23499">
        <w:t>Although emissions from deforestation and land</w:t>
      </w:r>
      <w:r>
        <w:t>-</w:t>
      </w:r>
      <w:r w:rsidRPr="00E23499">
        <w:t>use change are already seeing declining trends</w:t>
      </w:r>
      <w:r>
        <w:t>,</w:t>
      </w:r>
      <w:r w:rsidRPr="00E23499">
        <w:t xml:space="preserve"> there is the possibility that deforestation will be avoided even under business-as-usual (BAU) scenarios where the mitigation of climate change is not prioritized. On the other hand, it appears likely that deforestation rates may again climb to meet the demand for</w:t>
      </w:r>
      <w:r>
        <w:t xml:space="preserve"> </w:t>
      </w:r>
      <w:r w:rsidRPr="00E23499">
        <w:t xml:space="preserve">food production, as projected to increase by &gt;70% by 2050. </w:t>
      </w:r>
      <w:r>
        <w:t>As a result, e</w:t>
      </w:r>
      <w:r w:rsidRPr="00E23499">
        <w:t xml:space="preserve">ither more food will </w:t>
      </w:r>
      <w:r>
        <w:t>need</w:t>
      </w:r>
      <w:r w:rsidRPr="00E23499">
        <w:t xml:space="preserve"> to be grown on existing crop and pasture land, or more forests and other ecosystems will need to be converted to food production.</w:t>
      </w:r>
    </w:p>
    <w:p w14:paraId="2D3244C6" w14:textId="77777777" w:rsidR="00D945DC" w:rsidRDefault="00D945DC" w:rsidP="00D945DC">
      <w:pPr>
        <w:shd w:val="clear" w:color="auto" w:fill="FFFFFF"/>
      </w:pPr>
      <w:r>
        <w:t>Despite leading companies’ commitment to achieving zero-deforestation from commodity supply-chains (Donofrio et al., 2017), Curtis et al. (2018) stress “that policies designed to achieve zero-deforestation commitments are not being adopted or implemented at the pace needed to meet 2020 goals”.</w:t>
      </w:r>
    </w:p>
    <w:p w14:paraId="7C8537AB" w14:textId="77777777" w:rsidR="00D945DC" w:rsidRPr="008E70A0" w:rsidRDefault="00D945DC" w:rsidP="00D945DC">
      <w:pPr>
        <w:shd w:val="clear" w:color="auto" w:fill="FFFFFF"/>
        <w:rPr>
          <w:lang w:val="en-GB"/>
        </w:rPr>
      </w:pPr>
      <w:proofErr w:type="spellStart"/>
      <w:r w:rsidRPr="008E70A0">
        <w:rPr>
          <w:lang w:val="en-GB"/>
        </w:rPr>
        <w:t>Zarin</w:t>
      </w:r>
      <w:proofErr w:type="spellEnd"/>
      <w:r w:rsidRPr="008E70A0">
        <w:rPr>
          <w:lang w:val="en-GB"/>
        </w:rPr>
        <w:t xml:space="preserve"> et al. (2016)</w:t>
      </w:r>
      <w:r>
        <w:rPr>
          <w:lang w:val="en-GB"/>
        </w:rPr>
        <w:t xml:space="preserve"> scenario-based</w:t>
      </w:r>
      <w:r w:rsidRPr="008E70A0">
        <w:rPr>
          <w:lang w:val="en-GB"/>
        </w:rPr>
        <w:t xml:space="preserve"> analysis of the feasibility of </w:t>
      </w:r>
      <w:r>
        <w:rPr>
          <w:lang w:val="en-GB"/>
        </w:rPr>
        <w:t>halving deforestation by 2020 as aimed by the New York Declaration on Forests highlights the key role Brazil -- which is not a signatory of the NYDF -- should play.</w:t>
      </w:r>
    </w:p>
    <w:p w14:paraId="34222FBE" w14:textId="37B541D5" w:rsidR="00D1508C" w:rsidRDefault="551A77D0" w:rsidP="00DB4CC8">
      <w:pPr>
        <w:pStyle w:val="Heading3"/>
      </w:pPr>
      <w:bookmarkStart w:id="14" w:name="_Toc18239995"/>
      <w:r w:rsidRPr="005D49A8">
        <w:t>Adoption</w:t>
      </w:r>
      <w:r w:rsidR="006E6C65" w:rsidRPr="005D49A8">
        <w:t xml:space="preserve"> </w:t>
      </w:r>
      <w:r w:rsidRPr="005D49A8">
        <w:t>Potential</w:t>
      </w:r>
      <w:bookmarkEnd w:id="14"/>
    </w:p>
    <w:p w14:paraId="47F969A4" w14:textId="77777777" w:rsidR="000873C5" w:rsidRDefault="000873C5" w:rsidP="000873C5">
      <w:pPr>
        <w:spacing w:after="0"/>
      </w:pPr>
      <w:proofErr w:type="spellStart"/>
      <w:r w:rsidRPr="00163326">
        <w:t>Gullison</w:t>
      </w:r>
      <w:proofErr w:type="spellEnd"/>
      <w:r w:rsidRPr="00163326">
        <w:t xml:space="preserve"> et al. (2007) suggested that avoided deforestation in countries where 50% of the land area has been deforested and the rate of deforestation is now slowing, will prevent emissions of ~50 </w:t>
      </w:r>
      <w:r>
        <w:t>gigatons of carbon dioxide equivalent</w:t>
      </w:r>
      <w:r w:rsidRPr="00163326">
        <w:t xml:space="preserve"> by 2050. </w:t>
      </w:r>
      <w:proofErr w:type="spellStart"/>
      <w:r w:rsidRPr="00163326">
        <w:t>Nabuurs</w:t>
      </w:r>
      <w:proofErr w:type="spellEnd"/>
      <w:r w:rsidRPr="00163326">
        <w:t xml:space="preserve"> et al. (2007) using bottom-up models suggested that the mitigation potential of forestry options could lead to emissions reductions of 0.44 to 0.74 </w:t>
      </w:r>
      <w:r>
        <w:t>gigatons of carbon dioxide equivalent</w:t>
      </w:r>
      <w:r w:rsidRPr="00163326">
        <w:t xml:space="preserve"> </w:t>
      </w:r>
      <w:r>
        <w:t>per year</w:t>
      </w:r>
      <w:r w:rsidRPr="00163326">
        <w:t xml:space="preserve"> at prices of 20 to 100 USD </w:t>
      </w:r>
      <w:r>
        <w:t xml:space="preserve">per </w:t>
      </w:r>
      <w:r w:rsidRPr="00330592">
        <w:t>ton</w:t>
      </w:r>
      <w:r>
        <w:t xml:space="preserve"> of carbon dioxide equivalent</w:t>
      </w:r>
      <w:r w:rsidRPr="00163326">
        <w:t xml:space="preserve">, respectively, by 2030.  Top-down models suggested much larger mitigation potential of </w:t>
      </w:r>
      <w:r>
        <w:t>1</w:t>
      </w:r>
      <w:r w:rsidRPr="00163326">
        <w:t xml:space="preserve">3.76 </w:t>
      </w:r>
      <w:r>
        <w:t>gigatons of carbon dioxide</w:t>
      </w:r>
      <w:r w:rsidRPr="00163326">
        <w:t xml:space="preserve"> </w:t>
      </w:r>
      <w:r>
        <w:t xml:space="preserve">in 2030 </w:t>
      </w:r>
      <w:r w:rsidRPr="00163326">
        <w:t xml:space="preserve">at prices </w:t>
      </w:r>
      <w:r>
        <w:t xml:space="preserve">100 </w:t>
      </w:r>
      <w:r w:rsidRPr="00163326">
        <w:t>USD tCO</w:t>
      </w:r>
      <w:r w:rsidRPr="00233217">
        <w:rPr>
          <w:rFonts w:ascii="Cambria Math" w:hAnsi="Cambria Math" w:cs="Cambria Math"/>
        </w:rPr>
        <w:t>₂</w:t>
      </w:r>
      <w:r w:rsidRPr="00163326">
        <w:t xml:space="preserve">eq-1 </w:t>
      </w:r>
      <w:r>
        <w:t>or below</w:t>
      </w:r>
      <w:r w:rsidRPr="00163326">
        <w:t xml:space="preserve"> (</w:t>
      </w:r>
      <w:proofErr w:type="spellStart"/>
      <w:r w:rsidRPr="00163326">
        <w:t>Nabuurs</w:t>
      </w:r>
      <w:proofErr w:type="spellEnd"/>
      <w:r w:rsidRPr="00163326">
        <w:t xml:space="preserve"> et al., 2007).  </w:t>
      </w:r>
      <w:proofErr w:type="spellStart"/>
      <w:r w:rsidRPr="00163326">
        <w:t>Kindermann</w:t>
      </w:r>
      <w:proofErr w:type="spellEnd"/>
      <w:r w:rsidRPr="00163326">
        <w:t xml:space="preserve"> et al. (2008) suggest that “A program providing a 10% reduction in deforestation from 2005 to 2030 could provide 0.3–0.6 </w:t>
      </w:r>
      <w:r>
        <w:t>gigatons of carbon dioxide per year</w:t>
      </w:r>
      <w:r w:rsidRPr="00163326">
        <w:t xml:space="preserve"> in emission reductions and would require $0.4 billion to $1.7 billion yr−1 for 30 years. A 50% reduction in deforestation from 2005 to 2030 could provide 1.5–2.7 </w:t>
      </w:r>
      <w:r>
        <w:t xml:space="preserve">gigatons of carbon </w:t>
      </w:r>
      <w:r>
        <w:lastRenderedPageBreak/>
        <w:t>dioxide per year</w:t>
      </w:r>
      <w:r w:rsidRPr="00163326">
        <w:t xml:space="preserve"> in emission reductions and would require $17.2 billion to $28.0 billion </w:t>
      </w:r>
      <w:r>
        <w:t>per year</w:t>
      </w:r>
      <w:r w:rsidRPr="00163326">
        <w:t>.”  The most recent IPCC assessment finds that</w:t>
      </w:r>
      <w:r>
        <w:t>:</w:t>
      </w:r>
      <w:r w:rsidRPr="00163326">
        <w:t xml:space="preserve"> “The economic potential of supply-side measures is estimated to be 7.2 to 11 </w:t>
      </w:r>
      <w:r>
        <w:t>gigatons of carbon dioxide per year</w:t>
      </w:r>
      <w:r w:rsidRPr="00163326">
        <w:t xml:space="preserve"> in 2030 for mitigation efforts consistent with carbon prices up to 100 USD</w:t>
      </w:r>
      <w:r>
        <w:t xml:space="preserve"> per ton of carbon dioxide equivalent</w:t>
      </w:r>
      <w:r w:rsidRPr="00163326">
        <w:t>, about a third of which can be achieved at a &lt;20 USD</w:t>
      </w:r>
      <w:r>
        <w:t xml:space="preserve"> per ton of carbon dioxide equivalent</w:t>
      </w:r>
      <w:r w:rsidRPr="00163326">
        <w:t xml:space="preserve">.”  </w:t>
      </w:r>
    </w:p>
    <w:p w14:paraId="46568F58" w14:textId="77777777" w:rsidR="000873C5" w:rsidRPr="008E70A0" w:rsidRDefault="000873C5" w:rsidP="000873C5">
      <w:pPr>
        <w:spacing w:after="0"/>
        <w:rPr>
          <w:lang w:val="en-GB"/>
        </w:rPr>
      </w:pPr>
      <w:r w:rsidRPr="008E70A0">
        <w:rPr>
          <w:lang w:val="en-GB"/>
        </w:rPr>
        <w:t>Grassi et al. (2017) analys</w:t>
      </w:r>
      <w:r>
        <w:rPr>
          <w:lang w:val="en-GB"/>
        </w:rPr>
        <w:t xml:space="preserve">is of the National Determined contributions stresses on </w:t>
      </w:r>
      <w:r w:rsidRPr="008E70A0">
        <w:rPr>
          <w:lang w:val="en-GB"/>
        </w:rPr>
        <w:t>the key role</w:t>
      </w:r>
      <w:r>
        <w:rPr>
          <w:lang w:val="en-GB"/>
        </w:rPr>
        <w:t xml:space="preserve"> ‘forest-based’ climate mitigation could play in meeting Paris Climate Agreement’s target, with a mitigation contribution from the land-use sector in 2030 “ranging from </w:t>
      </w:r>
      <w:r>
        <w:rPr>
          <w:rFonts w:eastAsia="Helvetica Neue" w:cs="Times New Roman"/>
          <w:color w:val="000000" w:themeColor="text1"/>
          <w:lang w:val="en-GB"/>
        </w:rPr>
        <w:t xml:space="preserve">0.8 to 3.1 </w:t>
      </w:r>
      <w:r w:rsidRPr="009730ED">
        <w:rPr>
          <w:rFonts w:eastAsia="Helvetica Neue" w:cs="Times New Roman" w:hint="eastAsia"/>
          <w:color w:val="000000" w:themeColor="text1"/>
          <w:lang w:val="en-GB"/>
        </w:rPr>
        <w:t>GtCO2e yr</w:t>
      </w:r>
      <w:r>
        <w:rPr>
          <w:rFonts w:eastAsia="Times New Roman" w:cs="Times New Roman"/>
          <w:color w:val="000000" w:themeColor="text1"/>
          <w:lang w:val="en-GB"/>
        </w:rPr>
        <w:t>-</w:t>
      </w:r>
      <w:r w:rsidRPr="009730ED">
        <w:rPr>
          <w:rFonts w:eastAsia="Helvetica Neue" w:cs="Times New Roman" w:hint="eastAsia"/>
          <w:color w:val="000000" w:themeColor="text1"/>
          <w:lang w:val="en-GB"/>
        </w:rPr>
        <w:t>1</w:t>
      </w:r>
      <w:r>
        <w:rPr>
          <w:rFonts w:eastAsia="Helvetica Neue" w:cs="Times New Roman"/>
          <w:color w:val="000000" w:themeColor="text1"/>
          <w:lang w:val="en-GB"/>
        </w:rPr>
        <w:t xml:space="preserve"> for unconditional (I)NDCs and from 1.5 to 3.8 </w:t>
      </w:r>
      <w:r w:rsidRPr="009730ED">
        <w:rPr>
          <w:rFonts w:eastAsia="Helvetica Neue" w:cs="Times New Roman" w:hint="eastAsia"/>
          <w:color w:val="000000" w:themeColor="text1"/>
          <w:lang w:val="en-GB"/>
        </w:rPr>
        <w:t>GtCO2e yr</w:t>
      </w:r>
      <w:r>
        <w:rPr>
          <w:rFonts w:eastAsia="Times New Roman" w:cs="Times New Roman"/>
          <w:color w:val="000000" w:themeColor="text1"/>
          <w:lang w:val="en-GB"/>
        </w:rPr>
        <w:t>-</w:t>
      </w:r>
      <w:r w:rsidRPr="009730ED">
        <w:rPr>
          <w:rFonts w:eastAsia="Helvetica Neue" w:cs="Times New Roman" w:hint="eastAsia"/>
          <w:color w:val="000000" w:themeColor="text1"/>
          <w:lang w:val="en-GB"/>
        </w:rPr>
        <w:t>1</w:t>
      </w:r>
      <w:r>
        <w:rPr>
          <w:rFonts w:eastAsia="Helvetica Neue" w:cs="Times New Roman"/>
          <w:color w:val="000000" w:themeColor="text1"/>
          <w:lang w:val="en-GB"/>
        </w:rPr>
        <w:t xml:space="preserve"> </w:t>
      </w:r>
      <w:r>
        <w:rPr>
          <w:lang w:val="en-GB"/>
        </w:rPr>
        <w:t>for conditional (I)NDCs”.</w:t>
      </w:r>
    </w:p>
    <w:p w14:paraId="12A2F24A" w14:textId="79088310" w:rsidR="001C49CB" w:rsidRPr="00483FFA" w:rsidRDefault="551A77D0" w:rsidP="004F0A58">
      <w:pPr>
        <w:pStyle w:val="Heading2"/>
        <w:numPr>
          <w:ilvl w:val="1"/>
          <w:numId w:val="3"/>
        </w:numPr>
      </w:pPr>
      <w:bookmarkStart w:id="15" w:name="_Toc18239996"/>
      <w:r w:rsidRPr="00483FFA">
        <w:t>Advantages and disadvantages of</w:t>
      </w:r>
      <w:r w:rsidR="00DB4CC8">
        <w:t xml:space="preserve"> </w:t>
      </w:r>
      <w:r w:rsidR="0040327B">
        <w:t>Forest Protection</w:t>
      </w:r>
      <w:bookmarkEnd w:id="15"/>
    </w:p>
    <w:p w14:paraId="473285D3" w14:textId="307AAE03" w:rsidR="00202788" w:rsidRPr="001F3C8E" w:rsidRDefault="551A77D0" w:rsidP="00DB4CC8">
      <w:pPr>
        <w:pStyle w:val="Heading3"/>
      </w:pPr>
      <w:bookmarkStart w:id="16" w:name="_Toc18239997"/>
      <w:r w:rsidRPr="001F3C8E">
        <w:t>Similar Solutions</w:t>
      </w:r>
      <w:bookmarkEnd w:id="16"/>
    </w:p>
    <w:p w14:paraId="7AA01D19" w14:textId="77777777" w:rsidR="00E34FD2" w:rsidRDefault="00E34FD2" w:rsidP="00E34FD2">
      <w:pPr>
        <w:rPr>
          <w:i/>
        </w:rPr>
      </w:pPr>
      <w:r>
        <w:rPr>
          <w:i/>
        </w:rPr>
        <w:t>Protection Solutions</w:t>
      </w:r>
    </w:p>
    <w:p w14:paraId="6B894E20" w14:textId="77777777" w:rsidR="00E34FD2" w:rsidRDefault="00E34FD2" w:rsidP="00E34FD2">
      <w:r>
        <w:t xml:space="preserve">Peatlands and mangroves are types of forests with extremely high carbon stocks. These are thus distinct subtypes of forest protection and are analyzed as separate solutions. Indigenous forest management – another separate solution – provides tenure to indigenous forest people, under whose management deforestation and degradation rates are greatly reduced. Sustainable forestry strives to maintain forest integrity while harvesting timber and other products. </w:t>
      </w:r>
    </w:p>
    <w:p w14:paraId="0D87202F" w14:textId="77777777" w:rsidR="00E34FD2" w:rsidRDefault="00E34FD2" w:rsidP="00E34FD2">
      <w:r>
        <w:t>Protection of non-forest ecosystems (grasslands, salt marshes, seagrass beds, ocean areas) is also important for maintaining carbon stocks.</w:t>
      </w:r>
    </w:p>
    <w:p w14:paraId="13EA569C" w14:textId="77777777" w:rsidR="00E34FD2" w:rsidRPr="0040327B" w:rsidRDefault="00E34FD2" w:rsidP="00E34FD2">
      <w:pPr>
        <w:rPr>
          <w:i/>
        </w:rPr>
      </w:pPr>
      <w:r>
        <w:rPr>
          <w:i/>
        </w:rPr>
        <w:t>Restoration Solutions</w:t>
      </w:r>
    </w:p>
    <w:p w14:paraId="2009669B" w14:textId="77777777" w:rsidR="00E34FD2" w:rsidRDefault="00E34FD2" w:rsidP="00E34FD2">
      <w:r>
        <w:t>Ecosystem restoration efforts (for forests, coastal wetlands, etc.) restore healthy ecosystems on degraded land and then protect them.</w:t>
      </w:r>
    </w:p>
    <w:p w14:paraId="66FEF337" w14:textId="6D51C70D" w:rsidR="000330C6" w:rsidRDefault="551A77D0" w:rsidP="00DB4CC8">
      <w:pPr>
        <w:pStyle w:val="Heading3"/>
      </w:pPr>
      <w:bookmarkStart w:id="17" w:name="_Toc18239998"/>
      <w:r w:rsidRPr="551A77D0">
        <w:t>Arguments for Adoption</w:t>
      </w:r>
      <w:bookmarkEnd w:id="17"/>
    </w:p>
    <w:p w14:paraId="3AD3598F" w14:textId="77777777" w:rsidR="00FF3054" w:rsidRPr="00163326" w:rsidRDefault="00FF3054" w:rsidP="00FF3054">
      <w:pPr>
        <w:shd w:val="clear" w:color="auto" w:fill="FFFFFF"/>
      </w:pPr>
      <w:r w:rsidRPr="00163326">
        <w:t>The solution will lead to</w:t>
      </w:r>
      <w:r>
        <w:t xml:space="preserve"> the</w:t>
      </w:r>
      <w:r w:rsidRPr="00163326">
        <w:t xml:space="preserve"> enhancement </w:t>
      </w:r>
      <w:r>
        <w:t>of</w:t>
      </w:r>
      <w:r w:rsidRPr="00163326">
        <w:t xml:space="preserve"> ecological services associated with forest</w:t>
      </w:r>
      <w:r>
        <w:t>s which, in turn, leads to:</w:t>
      </w:r>
      <w:r w:rsidRPr="00163326">
        <w:t xml:space="preserve"> </w:t>
      </w:r>
    </w:p>
    <w:p w14:paraId="591F9AD7" w14:textId="77777777" w:rsidR="00FF3054" w:rsidRPr="00163326" w:rsidRDefault="00FF3054" w:rsidP="009432C9">
      <w:pPr>
        <w:pStyle w:val="ListParagraph"/>
        <w:numPr>
          <w:ilvl w:val="0"/>
          <w:numId w:val="14"/>
        </w:numPr>
        <w:shd w:val="clear" w:color="auto" w:fill="FFFFFF"/>
        <w:spacing w:after="160"/>
        <w:jc w:val="left"/>
      </w:pPr>
      <w:r w:rsidRPr="00163326">
        <w:t>Water regulation by intercepting rainfall and regulating its flow through the hydrological system</w:t>
      </w:r>
      <w:r>
        <w:t>;</w:t>
      </w:r>
    </w:p>
    <w:p w14:paraId="2C84066B" w14:textId="77777777" w:rsidR="00FF3054" w:rsidRPr="00163326" w:rsidRDefault="00FF3054" w:rsidP="009432C9">
      <w:pPr>
        <w:pStyle w:val="ListParagraph"/>
        <w:numPr>
          <w:ilvl w:val="0"/>
          <w:numId w:val="14"/>
        </w:numPr>
        <w:shd w:val="clear" w:color="auto" w:fill="FFFFFF"/>
        <w:spacing w:after="160"/>
        <w:jc w:val="left"/>
      </w:pPr>
      <w:r w:rsidRPr="00163326">
        <w:t>Improvement in soil quality by increasing the soil organic carbon content as provided by the organic matter of the forests</w:t>
      </w:r>
      <w:r>
        <w:t>;</w:t>
      </w:r>
    </w:p>
    <w:p w14:paraId="5FF70851" w14:textId="77777777" w:rsidR="00FF3054" w:rsidRPr="00163326" w:rsidRDefault="00FF3054" w:rsidP="009432C9">
      <w:pPr>
        <w:pStyle w:val="ListParagraph"/>
        <w:numPr>
          <w:ilvl w:val="0"/>
          <w:numId w:val="14"/>
        </w:numPr>
        <w:shd w:val="clear" w:color="auto" w:fill="FFFFFF"/>
        <w:spacing w:after="160"/>
        <w:jc w:val="left"/>
      </w:pPr>
      <w:r w:rsidRPr="00163326">
        <w:lastRenderedPageBreak/>
        <w:t>Control in soil erosion, as the soils of the forest are b</w:t>
      </w:r>
      <w:r>
        <w:t>ound</w:t>
      </w:r>
      <w:r w:rsidRPr="00163326">
        <w:t xml:space="preserve"> by the roots of the trees. Also, the forest provides</w:t>
      </w:r>
      <w:r>
        <w:t xml:space="preserve"> a</w:t>
      </w:r>
      <w:r w:rsidRPr="00163326">
        <w:t xml:space="preserve"> vegetative barrier to water flow</w:t>
      </w:r>
      <w:r>
        <w:t xml:space="preserve"> and</w:t>
      </w:r>
      <w:r w:rsidRPr="00163326">
        <w:t xml:space="preserve"> thus controls the flow of water resulting in </w:t>
      </w:r>
      <w:r>
        <w:t xml:space="preserve">a </w:t>
      </w:r>
      <w:r w:rsidRPr="00163326">
        <w:t>minimal amount of soil erosion</w:t>
      </w:r>
      <w:r>
        <w:t>;</w:t>
      </w:r>
    </w:p>
    <w:p w14:paraId="2306F647" w14:textId="77777777" w:rsidR="00FF3054" w:rsidRPr="00163326" w:rsidRDefault="00FF3054" w:rsidP="009432C9">
      <w:pPr>
        <w:pStyle w:val="ListParagraph"/>
        <w:numPr>
          <w:ilvl w:val="0"/>
          <w:numId w:val="14"/>
        </w:numPr>
        <w:shd w:val="clear" w:color="auto" w:fill="FFFFFF"/>
        <w:spacing w:after="160"/>
        <w:jc w:val="left"/>
      </w:pPr>
      <w:r w:rsidRPr="00163326">
        <w:t>Enriching biodiversity components by enabling environment</w:t>
      </w:r>
      <w:r>
        <w:t>s</w:t>
      </w:r>
      <w:r w:rsidRPr="00163326">
        <w:t xml:space="preserve"> for micro and macro flora and fauna</w:t>
      </w:r>
      <w:r>
        <w:t>;</w:t>
      </w:r>
    </w:p>
    <w:p w14:paraId="5D22B604" w14:textId="77777777" w:rsidR="00FF3054" w:rsidRPr="00163326" w:rsidRDefault="00FF3054" w:rsidP="009432C9">
      <w:pPr>
        <w:pStyle w:val="ListParagraph"/>
        <w:numPr>
          <w:ilvl w:val="0"/>
          <w:numId w:val="14"/>
        </w:numPr>
        <w:shd w:val="clear" w:color="auto" w:fill="FFFFFF"/>
        <w:spacing w:after="160"/>
        <w:jc w:val="left"/>
      </w:pPr>
      <w:r>
        <w:t>R</w:t>
      </w:r>
      <w:r w:rsidRPr="00163326">
        <w:t>egulat</w:t>
      </w:r>
      <w:r>
        <w:t>ing</w:t>
      </w:r>
      <w:r w:rsidRPr="00163326">
        <w:t xml:space="preserve"> air quality</w:t>
      </w:r>
      <w:r>
        <w:t xml:space="preserve"> and</w:t>
      </w:r>
      <w:r w:rsidRPr="00163326">
        <w:t xml:space="preserve"> thus provid</w:t>
      </w:r>
      <w:r>
        <w:t>ing</w:t>
      </w:r>
      <w:r w:rsidRPr="00163326">
        <w:t xml:space="preserve"> a healthy </w:t>
      </w:r>
      <w:r>
        <w:t xml:space="preserve">and </w:t>
      </w:r>
      <w:r w:rsidRPr="00163326">
        <w:t>clean environment for human bein</w:t>
      </w:r>
      <w:r>
        <w:t>gs;</w:t>
      </w:r>
    </w:p>
    <w:p w14:paraId="17ADA873" w14:textId="77777777" w:rsidR="00FF3054" w:rsidRPr="00163326" w:rsidRDefault="00FF3054" w:rsidP="009432C9">
      <w:pPr>
        <w:pStyle w:val="ListParagraph"/>
        <w:numPr>
          <w:ilvl w:val="0"/>
          <w:numId w:val="14"/>
        </w:numPr>
        <w:shd w:val="clear" w:color="auto" w:fill="FFFFFF"/>
        <w:spacing w:after="160"/>
        <w:jc w:val="left"/>
      </w:pPr>
      <w:r>
        <w:t>I</w:t>
      </w:r>
      <w:r w:rsidRPr="00163326">
        <w:t>ncreas</w:t>
      </w:r>
      <w:r>
        <w:t>ing</w:t>
      </w:r>
      <w:r w:rsidRPr="00163326">
        <w:t xml:space="preserve"> the aesthetic value of an area</w:t>
      </w:r>
    </w:p>
    <w:p w14:paraId="5421C16E" w14:textId="77777777" w:rsidR="00C2025D" w:rsidRPr="00C2025D" w:rsidRDefault="00C2025D" w:rsidP="00C2025D"/>
    <w:p w14:paraId="0E6878D3" w14:textId="1620DCB0" w:rsidR="005D49A8" w:rsidRDefault="551A77D0" w:rsidP="00A26C98">
      <w:pPr>
        <w:pStyle w:val="Heading3"/>
      </w:pPr>
      <w:bookmarkStart w:id="18" w:name="_Toc18239999"/>
      <w:r w:rsidRPr="551A77D0">
        <w:t>Additional Benefits and Burdens</w:t>
      </w:r>
      <w:bookmarkStart w:id="19" w:name="_Toc524993438"/>
      <w:bookmarkEnd w:id="18"/>
    </w:p>
    <w:p w14:paraId="05BF1658" w14:textId="54FD82E8" w:rsidR="00EF1970" w:rsidRPr="00EF1970" w:rsidRDefault="00EF1970" w:rsidP="00EF1970">
      <w:r>
        <w:t xml:space="preserve">Here this solution is compared with other solutions in the </w:t>
      </w:r>
      <w:r w:rsidR="00705BBE">
        <w:t>food production cluster for farm, ecosystem, and social impacts.</w:t>
      </w:r>
    </w:p>
    <w:p w14:paraId="45E6F207" w14:textId="4E62CF39" w:rsidR="002F1935" w:rsidRDefault="009432C9" w:rsidP="009432C9">
      <w:pPr>
        <w:pStyle w:val="Caption"/>
        <w:keepNext/>
        <w:jc w:val="left"/>
        <w:rPr>
          <w:rFonts w:cstheme="minorHAnsi"/>
          <w:b/>
          <w:color w:val="000000" w:themeColor="text1"/>
        </w:rPr>
      </w:pPr>
      <w:bookmarkStart w:id="20" w:name="_Toc18439376"/>
      <w:r>
        <w:t xml:space="preserve">Table </w:t>
      </w:r>
      <w:r w:rsidR="005D2ED8">
        <w:fldChar w:fldCharType="begin"/>
      </w:r>
      <w:r w:rsidR="005D2ED8">
        <w:instrText xml:space="preserve"> STYLEREF 1 \s </w:instrText>
      </w:r>
      <w:r w:rsidR="005D2ED8">
        <w:fldChar w:fldCharType="separate"/>
      </w:r>
      <w:r w:rsidR="00E26324">
        <w:rPr>
          <w:noProof/>
        </w:rPr>
        <w:t>1</w:t>
      </w:r>
      <w:r w:rsidR="005D2ED8">
        <w:fldChar w:fldCharType="end"/>
      </w:r>
      <w:r w:rsidR="005D2ED8">
        <w:t>.</w:t>
      </w:r>
      <w:r w:rsidR="005D2ED8">
        <w:fldChar w:fldCharType="begin"/>
      </w:r>
      <w:r w:rsidR="005D2ED8">
        <w:instrText xml:space="preserve"> SEQ Table \* ARABIC \s 1 </w:instrText>
      </w:r>
      <w:r w:rsidR="005D2ED8">
        <w:fldChar w:fldCharType="separate"/>
      </w:r>
      <w:r w:rsidR="00E26324">
        <w:rPr>
          <w:noProof/>
        </w:rPr>
        <w:t>3</w:t>
      </w:r>
      <w:r w:rsidR="005D2ED8">
        <w:fldChar w:fldCharType="end"/>
      </w:r>
      <w:r>
        <w:t xml:space="preserve">: </w:t>
      </w:r>
      <w:r w:rsidR="00695682" w:rsidRPr="009734C3">
        <w:t xml:space="preserve"> </w:t>
      </w:r>
      <w:bookmarkEnd w:id="19"/>
      <w:r w:rsidR="002F1935">
        <w:t>Land Use</w:t>
      </w:r>
      <w:r w:rsidR="002F1935" w:rsidRPr="009734C3">
        <w:t xml:space="preserve"> Solutions Comparison: </w:t>
      </w:r>
      <w:r w:rsidR="002F1935">
        <w:t>Economic</w:t>
      </w:r>
      <w:r w:rsidR="002F1935" w:rsidRPr="009734C3">
        <w:t xml:space="preserve"> Impacts</w:t>
      </w:r>
      <w:bookmarkEnd w:id="20"/>
      <w:r w:rsidR="002F1935" w:rsidRPr="002E13FF">
        <w:rPr>
          <w:rFonts w:cstheme="minorHAnsi"/>
          <w:b/>
          <w:color w:val="000000" w:themeColor="text1"/>
        </w:rPr>
        <w:t xml:space="preserve"> </w:t>
      </w:r>
    </w:p>
    <w:p w14:paraId="2C6291CB" w14:textId="70389632" w:rsidR="002F1935" w:rsidRDefault="002F1935" w:rsidP="002F1935">
      <w:pPr>
        <w:pStyle w:val="Caption"/>
        <w:jc w:val="left"/>
        <w:rPr>
          <w:rFonts w:cstheme="minorHAnsi"/>
        </w:rPr>
      </w:pPr>
      <w:r w:rsidRPr="002E13FF">
        <w:rPr>
          <w:rFonts w:cstheme="minorHAnsi"/>
          <w:b/>
          <w:color w:val="000000" w:themeColor="text1"/>
        </w:rPr>
        <w:t>First Cost</w:t>
      </w:r>
      <w:r w:rsidRPr="002E13FF">
        <w:rPr>
          <w:rFonts w:cstheme="minorHAnsi"/>
          <w:color w:val="000000" w:themeColor="text1"/>
        </w:rPr>
        <w:t>: Free is $0</w:t>
      </w:r>
      <w:r w:rsidRPr="002E13FF">
        <w:rPr>
          <w:rFonts w:cstheme="minorHAnsi"/>
          <w:b/>
          <w:color w:val="000000" w:themeColor="text1"/>
        </w:rPr>
        <w:t xml:space="preserve">, </w:t>
      </w:r>
      <w:r w:rsidRPr="00A26C98">
        <w:rPr>
          <w:rFonts w:cstheme="minorHAnsi"/>
          <w:color w:val="000000" w:themeColor="text1"/>
        </w:rPr>
        <w:t>Low is $1-100</w:t>
      </w:r>
      <w:r>
        <w:rPr>
          <w:rFonts w:cstheme="minorHAnsi"/>
          <w:color w:val="000000" w:themeColor="text1"/>
        </w:rPr>
        <w:t xml:space="preserve">, </w:t>
      </w:r>
      <w:r w:rsidRPr="002E13FF">
        <w:rPr>
          <w:rFonts w:cstheme="minorHAnsi"/>
          <w:color w:val="000000" w:themeColor="text1"/>
        </w:rPr>
        <w:t>Medium is $100-500, Expensive is $500+.</w:t>
      </w:r>
      <w:r>
        <w:rPr>
          <w:rFonts w:cstheme="minorHAnsi"/>
          <w:color w:val="000000" w:themeColor="text1"/>
        </w:rPr>
        <w:t xml:space="preserve"> </w:t>
      </w:r>
      <w:r w:rsidRPr="002E13FF">
        <w:rPr>
          <w:rFonts w:cstheme="minorHAnsi"/>
          <w:b/>
          <w:color w:val="000000" w:themeColor="text1"/>
        </w:rPr>
        <w:t xml:space="preserve">Net Profit Margin: </w:t>
      </w:r>
      <w:r w:rsidRPr="002E13FF">
        <w:rPr>
          <w:rFonts w:cstheme="minorHAnsi"/>
          <w:color w:val="000000" w:themeColor="text1"/>
        </w:rPr>
        <w:t xml:space="preserve">Low is $0-100/ha, Medium is $100-500, High is $500+. </w:t>
      </w:r>
      <w:r>
        <w:rPr>
          <w:rFonts w:cstheme="minorHAnsi"/>
          <w:b/>
          <w:color w:val="000000" w:themeColor="text1"/>
        </w:rPr>
        <w:t xml:space="preserve">Value of Ecosystem Services: </w:t>
      </w:r>
      <w:r>
        <w:rPr>
          <w:rFonts w:cstheme="minorHAnsi"/>
          <w:color w:val="000000" w:themeColor="text1"/>
        </w:rPr>
        <w:t xml:space="preserve">Set values for very high, high, medium, low. </w:t>
      </w:r>
      <w:r>
        <w:rPr>
          <w:rFonts w:cstheme="minorHAnsi"/>
          <w:b/>
          <w:bCs/>
          <w:color w:val="000000" w:themeColor="text1"/>
        </w:rPr>
        <w:t xml:space="preserve">Timber and Biomass Production: </w:t>
      </w:r>
      <w:r>
        <w:rPr>
          <w:rFonts w:cstheme="minorHAnsi"/>
          <w:color w:val="000000" w:themeColor="text1"/>
        </w:rPr>
        <w:t>Decrease indicates restriction of</w:t>
      </w:r>
    </w:p>
    <w:tbl>
      <w:tblPr>
        <w:tblStyle w:val="TableGrid"/>
        <w:tblW w:w="9350" w:type="dxa"/>
        <w:tblLook w:val="04A0" w:firstRow="1" w:lastRow="0" w:firstColumn="1" w:lastColumn="0" w:noHBand="0" w:noVBand="1"/>
      </w:tblPr>
      <w:tblGrid>
        <w:gridCol w:w="2875"/>
        <w:gridCol w:w="1620"/>
        <w:gridCol w:w="1620"/>
        <w:gridCol w:w="1620"/>
        <w:gridCol w:w="1615"/>
      </w:tblGrid>
      <w:tr w:rsidR="002F1935" w:rsidRPr="00E91BE1" w14:paraId="1480347B" w14:textId="77777777" w:rsidTr="002F1935">
        <w:trPr>
          <w:cantSplit/>
          <w:trHeight w:val="594"/>
          <w:tblHeader/>
        </w:trPr>
        <w:tc>
          <w:tcPr>
            <w:tcW w:w="2875" w:type="dxa"/>
            <w:shd w:val="clear" w:color="auto" w:fill="4F81BD" w:themeFill="accent1"/>
          </w:tcPr>
          <w:p w14:paraId="310CCC03" w14:textId="77777777" w:rsidR="002F1935" w:rsidRPr="00E91BE1" w:rsidRDefault="002F1935" w:rsidP="002F1935">
            <w:pPr>
              <w:jc w:val="center"/>
              <w:rPr>
                <w:b/>
                <w:color w:val="FFFFFF" w:themeColor="background1"/>
                <w:sz w:val="20"/>
                <w:szCs w:val="20"/>
              </w:rPr>
            </w:pPr>
          </w:p>
        </w:tc>
        <w:tc>
          <w:tcPr>
            <w:tcW w:w="1620" w:type="dxa"/>
            <w:shd w:val="clear" w:color="auto" w:fill="4F81BD" w:themeFill="accent1"/>
          </w:tcPr>
          <w:p w14:paraId="52FB5F43" w14:textId="77777777" w:rsidR="002F1935" w:rsidRPr="00E91BE1" w:rsidRDefault="002F1935" w:rsidP="002F1935">
            <w:pPr>
              <w:jc w:val="center"/>
              <w:rPr>
                <w:b/>
                <w:color w:val="FFFFFF" w:themeColor="background1"/>
                <w:sz w:val="20"/>
                <w:szCs w:val="20"/>
              </w:rPr>
            </w:pPr>
            <w:r>
              <w:rPr>
                <w:b/>
                <w:color w:val="FFFFFF" w:themeColor="background1"/>
                <w:sz w:val="20"/>
                <w:szCs w:val="20"/>
              </w:rPr>
              <w:t>First Cost $/ha</w:t>
            </w:r>
          </w:p>
        </w:tc>
        <w:tc>
          <w:tcPr>
            <w:tcW w:w="1620" w:type="dxa"/>
            <w:shd w:val="clear" w:color="auto" w:fill="4F81BD" w:themeFill="accent1"/>
          </w:tcPr>
          <w:p w14:paraId="108274D2" w14:textId="77777777" w:rsidR="002F1935" w:rsidRPr="00E91BE1" w:rsidRDefault="002F1935" w:rsidP="002F1935">
            <w:pPr>
              <w:jc w:val="center"/>
              <w:rPr>
                <w:b/>
                <w:color w:val="FFFFFF" w:themeColor="background1"/>
                <w:sz w:val="20"/>
                <w:szCs w:val="20"/>
              </w:rPr>
            </w:pPr>
            <w:r>
              <w:rPr>
                <w:b/>
                <w:color w:val="FFFFFF" w:themeColor="background1"/>
                <w:sz w:val="20"/>
                <w:szCs w:val="20"/>
              </w:rPr>
              <w:t>Net Profit $/ha</w:t>
            </w:r>
          </w:p>
        </w:tc>
        <w:tc>
          <w:tcPr>
            <w:tcW w:w="1620" w:type="dxa"/>
            <w:shd w:val="clear" w:color="auto" w:fill="4F81BD" w:themeFill="accent1"/>
          </w:tcPr>
          <w:p w14:paraId="77C849D8" w14:textId="77777777" w:rsidR="002F1935" w:rsidRPr="00E91BE1" w:rsidRDefault="002F1935" w:rsidP="002F1935">
            <w:pPr>
              <w:jc w:val="center"/>
              <w:rPr>
                <w:b/>
                <w:color w:val="FFFFFF" w:themeColor="background1"/>
                <w:sz w:val="20"/>
                <w:szCs w:val="20"/>
              </w:rPr>
            </w:pPr>
            <w:r>
              <w:rPr>
                <w:b/>
                <w:color w:val="FFFFFF" w:themeColor="background1"/>
                <w:sz w:val="20"/>
                <w:szCs w:val="20"/>
              </w:rPr>
              <w:t>Value of Ecosystem Services</w:t>
            </w:r>
          </w:p>
        </w:tc>
        <w:tc>
          <w:tcPr>
            <w:tcW w:w="1615" w:type="dxa"/>
            <w:shd w:val="clear" w:color="auto" w:fill="4F81BD" w:themeFill="accent1"/>
          </w:tcPr>
          <w:p w14:paraId="59C5CE17" w14:textId="77777777" w:rsidR="002F1935" w:rsidRDefault="002F1935" w:rsidP="002F1935">
            <w:pPr>
              <w:jc w:val="center"/>
              <w:rPr>
                <w:b/>
                <w:color w:val="FFFFFF" w:themeColor="background1"/>
                <w:sz w:val="20"/>
                <w:szCs w:val="20"/>
              </w:rPr>
            </w:pPr>
            <w:r>
              <w:rPr>
                <w:b/>
                <w:color w:val="FFFFFF" w:themeColor="background1"/>
                <w:sz w:val="20"/>
                <w:szCs w:val="20"/>
              </w:rPr>
              <w:t>Timber and Biomass Production</w:t>
            </w:r>
          </w:p>
        </w:tc>
      </w:tr>
      <w:tr w:rsidR="002F1935" w:rsidRPr="00E91BE1" w14:paraId="33E024D1" w14:textId="77777777" w:rsidTr="002F1935">
        <w:trPr>
          <w:trHeight w:val="334"/>
        </w:trPr>
        <w:tc>
          <w:tcPr>
            <w:tcW w:w="2875" w:type="dxa"/>
          </w:tcPr>
          <w:p w14:paraId="156A0A49" w14:textId="77777777" w:rsidR="002F1935" w:rsidRDefault="002F1935" w:rsidP="002F1935">
            <w:pPr>
              <w:rPr>
                <w:sz w:val="20"/>
                <w:szCs w:val="20"/>
              </w:rPr>
            </w:pPr>
            <w:r>
              <w:rPr>
                <w:sz w:val="20"/>
                <w:szCs w:val="20"/>
              </w:rPr>
              <w:t>Bamboo</w:t>
            </w:r>
          </w:p>
        </w:tc>
        <w:tc>
          <w:tcPr>
            <w:tcW w:w="1620" w:type="dxa"/>
          </w:tcPr>
          <w:p w14:paraId="20193D75" w14:textId="77777777" w:rsidR="002F1935" w:rsidRPr="003D2054" w:rsidRDefault="002F1935" w:rsidP="002F1935">
            <w:pPr>
              <w:jc w:val="center"/>
              <w:rPr>
                <w:sz w:val="20"/>
                <w:szCs w:val="20"/>
              </w:rPr>
            </w:pPr>
            <w:r>
              <w:rPr>
                <w:sz w:val="20"/>
                <w:szCs w:val="20"/>
              </w:rPr>
              <w:t>Expensive</w:t>
            </w:r>
          </w:p>
        </w:tc>
        <w:tc>
          <w:tcPr>
            <w:tcW w:w="1620" w:type="dxa"/>
          </w:tcPr>
          <w:p w14:paraId="0357680E" w14:textId="77777777" w:rsidR="002F1935" w:rsidRPr="003D2054" w:rsidRDefault="002F1935" w:rsidP="002F1935">
            <w:pPr>
              <w:jc w:val="center"/>
              <w:rPr>
                <w:sz w:val="20"/>
                <w:szCs w:val="20"/>
              </w:rPr>
            </w:pPr>
            <w:r>
              <w:rPr>
                <w:sz w:val="20"/>
                <w:szCs w:val="20"/>
              </w:rPr>
              <w:t>Medium</w:t>
            </w:r>
          </w:p>
        </w:tc>
        <w:tc>
          <w:tcPr>
            <w:tcW w:w="1620" w:type="dxa"/>
          </w:tcPr>
          <w:p w14:paraId="4B3F9D8D" w14:textId="77777777" w:rsidR="002F1935" w:rsidRPr="003D2054" w:rsidRDefault="002F1935" w:rsidP="002F1935">
            <w:pPr>
              <w:jc w:val="center"/>
              <w:rPr>
                <w:sz w:val="20"/>
                <w:szCs w:val="20"/>
              </w:rPr>
            </w:pPr>
            <w:r>
              <w:rPr>
                <w:sz w:val="20"/>
                <w:szCs w:val="20"/>
              </w:rPr>
              <w:t>High</w:t>
            </w:r>
          </w:p>
        </w:tc>
        <w:tc>
          <w:tcPr>
            <w:tcW w:w="1615" w:type="dxa"/>
          </w:tcPr>
          <w:p w14:paraId="628C1A77" w14:textId="77777777" w:rsidR="002F1935" w:rsidRDefault="002F1935" w:rsidP="002F1935">
            <w:pPr>
              <w:jc w:val="center"/>
              <w:rPr>
                <w:sz w:val="20"/>
                <w:szCs w:val="20"/>
              </w:rPr>
            </w:pPr>
            <w:r>
              <w:rPr>
                <w:sz w:val="20"/>
                <w:szCs w:val="20"/>
              </w:rPr>
              <w:t>Increase</w:t>
            </w:r>
          </w:p>
        </w:tc>
      </w:tr>
      <w:tr w:rsidR="002F1935" w:rsidRPr="00E91BE1" w14:paraId="67FC6AB9" w14:textId="77777777" w:rsidTr="002F1935">
        <w:trPr>
          <w:trHeight w:val="315"/>
        </w:trPr>
        <w:tc>
          <w:tcPr>
            <w:tcW w:w="2875" w:type="dxa"/>
          </w:tcPr>
          <w:p w14:paraId="38F13ABF" w14:textId="77777777" w:rsidR="002F1935" w:rsidRDefault="002F1935" w:rsidP="002F1935">
            <w:pPr>
              <w:rPr>
                <w:sz w:val="20"/>
                <w:szCs w:val="20"/>
              </w:rPr>
            </w:pPr>
            <w:r>
              <w:rPr>
                <w:sz w:val="20"/>
                <w:szCs w:val="20"/>
              </w:rPr>
              <w:t>Forest Plantations</w:t>
            </w:r>
          </w:p>
        </w:tc>
        <w:tc>
          <w:tcPr>
            <w:tcW w:w="1620" w:type="dxa"/>
          </w:tcPr>
          <w:p w14:paraId="19677C8B" w14:textId="77777777" w:rsidR="002F1935" w:rsidRPr="003D2054" w:rsidRDefault="002F1935" w:rsidP="002F1935">
            <w:pPr>
              <w:jc w:val="center"/>
              <w:rPr>
                <w:sz w:val="20"/>
                <w:szCs w:val="20"/>
              </w:rPr>
            </w:pPr>
            <w:r>
              <w:rPr>
                <w:sz w:val="20"/>
                <w:szCs w:val="20"/>
              </w:rPr>
              <w:t>Expensive</w:t>
            </w:r>
          </w:p>
        </w:tc>
        <w:tc>
          <w:tcPr>
            <w:tcW w:w="1620" w:type="dxa"/>
          </w:tcPr>
          <w:p w14:paraId="32219B17" w14:textId="77777777" w:rsidR="002F1935" w:rsidRPr="003D2054" w:rsidRDefault="002F1935" w:rsidP="002F1935">
            <w:pPr>
              <w:jc w:val="center"/>
              <w:rPr>
                <w:sz w:val="20"/>
                <w:szCs w:val="20"/>
              </w:rPr>
            </w:pPr>
            <w:r>
              <w:rPr>
                <w:sz w:val="20"/>
                <w:szCs w:val="20"/>
              </w:rPr>
              <w:t>Medium</w:t>
            </w:r>
          </w:p>
        </w:tc>
        <w:tc>
          <w:tcPr>
            <w:tcW w:w="1620" w:type="dxa"/>
          </w:tcPr>
          <w:p w14:paraId="4E479CD8" w14:textId="77777777" w:rsidR="002F1935" w:rsidRPr="003D2054" w:rsidRDefault="002F1935" w:rsidP="002F1935">
            <w:pPr>
              <w:jc w:val="center"/>
              <w:rPr>
                <w:sz w:val="20"/>
                <w:szCs w:val="20"/>
              </w:rPr>
            </w:pPr>
            <w:r>
              <w:rPr>
                <w:sz w:val="20"/>
                <w:szCs w:val="20"/>
              </w:rPr>
              <w:t>High</w:t>
            </w:r>
          </w:p>
        </w:tc>
        <w:tc>
          <w:tcPr>
            <w:tcW w:w="1615" w:type="dxa"/>
          </w:tcPr>
          <w:p w14:paraId="2C58DBFE" w14:textId="77777777" w:rsidR="002F1935" w:rsidRDefault="002F1935" w:rsidP="002F1935">
            <w:pPr>
              <w:jc w:val="center"/>
              <w:rPr>
                <w:sz w:val="20"/>
                <w:szCs w:val="20"/>
              </w:rPr>
            </w:pPr>
            <w:r>
              <w:rPr>
                <w:sz w:val="20"/>
                <w:szCs w:val="20"/>
              </w:rPr>
              <w:t>Increase</w:t>
            </w:r>
          </w:p>
        </w:tc>
      </w:tr>
      <w:tr w:rsidR="002F1935" w:rsidRPr="00E91BE1" w14:paraId="2E634E6C" w14:textId="77777777" w:rsidTr="002F1935">
        <w:trPr>
          <w:trHeight w:val="315"/>
        </w:trPr>
        <w:tc>
          <w:tcPr>
            <w:tcW w:w="2875" w:type="dxa"/>
          </w:tcPr>
          <w:p w14:paraId="59973809" w14:textId="77777777" w:rsidR="002F1935" w:rsidRDefault="002F1935" w:rsidP="002F1935">
            <w:pPr>
              <w:rPr>
                <w:sz w:val="20"/>
                <w:szCs w:val="20"/>
              </w:rPr>
            </w:pPr>
            <w:r>
              <w:rPr>
                <w:sz w:val="20"/>
                <w:szCs w:val="20"/>
              </w:rPr>
              <w:t>Forest Protection</w:t>
            </w:r>
          </w:p>
        </w:tc>
        <w:tc>
          <w:tcPr>
            <w:tcW w:w="1620" w:type="dxa"/>
          </w:tcPr>
          <w:p w14:paraId="194DA2A4" w14:textId="77777777" w:rsidR="002F1935" w:rsidRPr="003D2054" w:rsidRDefault="002F1935" w:rsidP="002F1935">
            <w:pPr>
              <w:jc w:val="center"/>
              <w:rPr>
                <w:sz w:val="20"/>
                <w:szCs w:val="20"/>
              </w:rPr>
            </w:pPr>
            <w:r>
              <w:rPr>
                <w:sz w:val="20"/>
                <w:szCs w:val="20"/>
              </w:rPr>
              <w:t>Not calculated</w:t>
            </w:r>
          </w:p>
        </w:tc>
        <w:tc>
          <w:tcPr>
            <w:tcW w:w="1620" w:type="dxa"/>
          </w:tcPr>
          <w:p w14:paraId="52651A3C" w14:textId="77777777" w:rsidR="002F1935" w:rsidRPr="003D2054" w:rsidRDefault="002F1935" w:rsidP="002F1935">
            <w:pPr>
              <w:jc w:val="center"/>
              <w:rPr>
                <w:sz w:val="20"/>
                <w:szCs w:val="20"/>
              </w:rPr>
            </w:pPr>
            <w:r>
              <w:rPr>
                <w:sz w:val="20"/>
                <w:szCs w:val="20"/>
              </w:rPr>
              <w:t>Not calculated</w:t>
            </w:r>
          </w:p>
        </w:tc>
        <w:tc>
          <w:tcPr>
            <w:tcW w:w="1620" w:type="dxa"/>
          </w:tcPr>
          <w:p w14:paraId="0BAC5388" w14:textId="77777777" w:rsidR="002F1935" w:rsidRPr="003D2054" w:rsidRDefault="002F1935" w:rsidP="002F1935">
            <w:pPr>
              <w:jc w:val="center"/>
              <w:rPr>
                <w:sz w:val="20"/>
                <w:szCs w:val="20"/>
              </w:rPr>
            </w:pPr>
            <w:r>
              <w:rPr>
                <w:sz w:val="20"/>
                <w:szCs w:val="20"/>
              </w:rPr>
              <w:t>Very high</w:t>
            </w:r>
          </w:p>
        </w:tc>
        <w:tc>
          <w:tcPr>
            <w:tcW w:w="1615" w:type="dxa"/>
          </w:tcPr>
          <w:p w14:paraId="6D0D32D0" w14:textId="77777777" w:rsidR="002F1935" w:rsidRPr="003D2054" w:rsidRDefault="002F1935" w:rsidP="002F1935">
            <w:pPr>
              <w:jc w:val="center"/>
              <w:rPr>
                <w:sz w:val="20"/>
                <w:szCs w:val="20"/>
              </w:rPr>
            </w:pPr>
            <w:r>
              <w:rPr>
                <w:sz w:val="20"/>
                <w:szCs w:val="20"/>
              </w:rPr>
              <w:t>Decrease</w:t>
            </w:r>
          </w:p>
        </w:tc>
      </w:tr>
      <w:tr w:rsidR="002F1935" w:rsidRPr="00E91BE1" w14:paraId="527E5C3B" w14:textId="77777777" w:rsidTr="002F1935">
        <w:trPr>
          <w:trHeight w:val="315"/>
        </w:trPr>
        <w:tc>
          <w:tcPr>
            <w:tcW w:w="2875" w:type="dxa"/>
          </w:tcPr>
          <w:p w14:paraId="32C45EA0" w14:textId="77777777" w:rsidR="002F1935" w:rsidRPr="003D2054" w:rsidRDefault="002F1935" w:rsidP="002F1935">
            <w:pPr>
              <w:rPr>
                <w:sz w:val="20"/>
                <w:szCs w:val="20"/>
              </w:rPr>
            </w:pPr>
            <w:r>
              <w:rPr>
                <w:sz w:val="20"/>
                <w:szCs w:val="20"/>
              </w:rPr>
              <w:t>Indigenous People’s Forest Management</w:t>
            </w:r>
          </w:p>
        </w:tc>
        <w:tc>
          <w:tcPr>
            <w:tcW w:w="1620" w:type="dxa"/>
          </w:tcPr>
          <w:p w14:paraId="326EEE5A" w14:textId="77777777" w:rsidR="002F1935" w:rsidRPr="003D2054" w:rsidRDefault="002F1935" w:rsidP="002F1935">
            <w:pPr>
              <w:jc w:val="center"/>
              <w:rPr>
                <w:sz w:val="20"/>
                <w:szCs w:val="20"/>
              </w:rPr>
            </w:pPr>
            <w:r>
              <w:rPr>
                <w:sz w:val="20"/>
                <w:szCs w:val="20"/>
              </w:rPr>
              <w:t>Not calculated</w:t>
            </w:r>
          </w:p>
        </w:tc>
        <w:tc>
          <w:tcPr>
            <w:tcW w:w="1620" w:type="dxa"/>
          </w:tcPr>
          <w:p w14:paraId="64BABE72" w14:textId="77777777" w:rsidR="002F1935" w:rsidRPr="003D2054" w:rsidRDefault="002F1935" w:rsidP="002F1935">
            <w:pPr>
              <w:jc w:val="center"/>
              <w:rPr>
                <w:sz w:val="20"/>
                <w:szCs w:val="20"/>
              </w:rPr>
            </w:pPr>
            <w:r>
              <w:rPr>
                <w:sz w:val="20"/>
                <w:szCs w:val="20"/>
              </w:rPr>
              <w:t>Not calculated</w:t>
            </w:r>
          </w:p>
        </w:tc>
        <w:tc>
          <w:tcPr>
            <w:tcW w:w="1620" w:type="dxa"/>
          </w:tcPr>
          <w:p w14:paraId="6B290DC1" w14:textId="77777777" w:rsidR="002F1935" w:rsidRPr="003D2054" w:rsidRDefault="002F1935" w:rsidP="002F1935">
            <w:pPr>
              <w:jc w:val="center"/>
              <w:rPr>
                <w:sz w:val="20"/>
                <w:szCs w:val="20"/>
              </w:rPr>
            </w:pPr>
            <w:r>
              <w:rPr>
                <w:sz w:val="20"/>
                <w:szCs w:val="20"/>
              </w:rPr>
              <w:t>Very high</w:t>
            </w:r>
          </w:p>
        </w:tc>
        <w:tc>
          <w:tcPr>
            <w:tcW w:w="1615" w:type="dxa"/>
          </w:tcPr>
          <w:p w14:paraId="210185FF" w14:textId="77777777" w:rsidR="002F1935" w:rsidRDefault="002F1935" w:rsidP="002F1935">
            <w:pPr>
              <w:jc w:val="center"/>
            </w:pPr>
            <w:r w:rsidRPr="00A839DF">
              <w:rPr>
                <w:sz w:val="20"/>
                <w:szCs w:val="20"/>
              </w:rPr>
              <w:t>Decrease</w:t>
            </w:r>
          </w:p>
        </w:tc>
      </w:tr>
      <w:tr w:rsidR="002F1935" w:rsidRPr="00E91BE1" w14:paraId="1E13225A" w14:textId="77777777" w:rsidTr="002F1935">
        <w:trPr>
          <w:trHeight w:val="352"/>
        </w:trPr>
        <w:tc>
          <w:tcPr>
            <w:tcW w:w="2875" w:type="dxa"/>
          </w:tcPr>
          <w:p w14:paraId="54A5200B" w14:textId="77777777" w:rsidR="002F1935" w:rsidRPr="003D2054" w:rsidRDefault="002F1935" w:rsidP="002F1935">
            <w:pPr>
              <w:rPr>
                <w:sz w:val="20"/>
                <w:szCs w:val="20"/>
              </w:rPr>
            </w:pPr>
            <w:r>
              <w:rPr>
                <w:sz w:val="20"/>
                <w:szCs w:val="20"/>
              </w:rPr>
              <w:t>Peatland Protection</w:t>
            </w:r>
          </w:p>
        </w:tc>
        <w:tc>
          <w:tcPr>
            <w:tcW w:w="1620" w:type="dxa"/>
          </w:tcPr>
          <w:p w14:paraId="5DCB3351" w14:textId="77777777" w:rsidR="002F1935" w:rsidRPr="003D2054" w:rsidRDefault="002F1935" w:rsidP="002F1935">
            <w:pPr>
              <w:jc w:val="center"/>
              <w:rPr>
                <w:sz w:val="20"/>
                <w:szCs w:val="20"/>
              </w:rPr>
            </w:pPr>
            <w:r>
              <w:rPr>
                <w:sz w:val="20"/>
                <w:szCs w:val="20"/>
              </w:rPr>
              <w:t>Not calculated</w:t>
            </w:r>
          </w:p>
        </w:tc>
        <w:tc>
          <w:tcPr>
            <w:tcW w:w="1620" w:type="dxa"/>
          </w:tcPr>
          <w:p w14:paraId="577C84CA" w14:textId="77777777" w:rsidR="002F1935" w:rsidRPr="003D2054" w:rsidRDefault="002F1935" w:rsidP="002F1935">
            <w:pPr>
              <w:jc w:val="center"/>
              <w:rPr>
                <w:sz w:val="20"/>
                <w:szCs w:val="20"/>
              </w:rPr>
            </w:pPr>
            <w:r>
              <w:rPr>
                <w:sz w:val="20"/>
                <w:szCs w:val="20"/>
              </w:rPr>
              <w:t>Not calculated</w:t>
            </w:r>
          </w:p>
        </w:tc>
        <w:tc>
          <w:tcPr>
            <w:tcW w:w="1620" w:type="dxa"/>
          </w:tcPr>
          <w:p w14:paraId="5EFF1578" w14:textId="77777777" w:rsidR="002F1935" w:rsidRPr="003D2054" w:rsidRDefault="002F1935" w:rsidP="002F1935">
            <w:pPr>
              <w:jc w:val="center"/>
              <w:rPr>
                <w:sz w:val="20"/>
                <w:szCs w:val="20"/>
              </w:rPr>
            </w:pPr>
            <w:r>
              <w:rPr>
                <w:sz w:val="20"/>
                <w:szCs w:val="20"/>
              </w:rPr>
              <w:t>Very high</w:t>
            </w:r>
          </w:p>
        </w:tc>
        <w:tc>
          <w:tcPr>
            <w:tcW w:w="1615" w:type="dxa"/>
          </w:tcPr>
          <w:p w14:paraId="7AE77F7F" w14:textId="77777777" w:rsidR="002F1935" w:rsidRDefault="002F1935" w:rsidP="002F1935">
            <w:pPr>
              <w:jc w:val="center"/>
            </w:pPr>
            <w:r w:rsidRPr="00A839DF">
              <w:rPr>
                <w:sz w:val="20"/>
                <w:szCs w:val="20"/>
              </w:rPr>
              <w:t>Decrease</w:t>
            </w:r>
          </w:p>
        </w:tc>
      </w:tr>
      <w:tr w:rsidR="002F1935" w:rsidRPr="00E91BE1" w14:paraId="0C0E8E02" w14:textId="77777777" w:rsidTr="002F1935">
        <w:trPr>
          <w:trHeight w:val="352"/>
        </w:trPr>
        <w:tc>
          <w:tcPr>
            <w:tcW w:w="2875" w:type="dxa"/>
          </w:tcPr>
          <w:p w14:paraId="5F1989DF" w14:textId="77777777" w:rsidR="002F1935" w:rsidRDefault="002F1935" w:rsidP="002F1935">
            <w:pPr>
              <w:rPr>
                <w:sz w:val="20"/>
                <w:szCs w:val="20"/>
              </w:rPr>
            </w:pPr>
            <w:r>
              <w:rPr>
                <w:sz w:val="20"/>
                <w:szCs w:val="20"/>
              </w:rPr>
              <w:t>Perennial Biomass</w:t>
            </w:r>
          </w:p>
        </w:tc>
        <w:tc>
          <w:tcPr>
            <w:tcW w:w="1620" w:type="dxa"/>
          </w:tcPr>
          <w:p w14:paraId="71CB0C2C" w14:textId="77777777" w:rsidR="002F1935" w:rsidRPr="003D2054" w:rsidRDefault="002F1935" w:rsidP="002F1935">
            <w:pPr>
              <w:jc w:val="center"/>
              <w:rPr>
                <w:sz w:val="20"/>
                <w:szCs w:val="20"/>
              </w:rPr>
            </w:pPr>
            <w:r>
              <w:rPr>
                <w:sz w:val="20"/>
                <w:szCs w:val="20"/>
              </w:rPr>
              <w:t>Expensive</w:t>
            </w:r>
          </w:p>
        </w:tc>
        <w:tc>
          <w:tcPr>
            <w:tcW w:w="1620" w:type="dxa"/>
          </w:tcPr>
          <w:p w14:paraId="159EDDDC" w14:textId="77777777" w:rsidR="002F1935" w:rsidRPr="003D2054" w:rsidRDefault="002F1935" w:rsidP="002F1935">
            <w:pPr>
              <w:jc w:val="center"/>
              <w:rPr>
                <w:sz w:val="20"/>
                <w:szCs w:val="20"/>
              </w:rPr>
            </w:pPr>
            <w:r>
              <w:rPr>
                <w:sz w:val="20"/>
                <w:szCs w:val="20"/>
              </w:rPr>
              <w:t>Medium</w:t>
            </w:r>
          </w:p>
        </w:tc>
        <w:tc>
          <w:tcPr>
            <w:tcW w:w="1620" w:type="dxa"/>
          </w:tcPr>
          <w:p w14:paraId="0AB20DBA" w14:textId="77777777" w:rsidR="002F1935" w:rsidRPr="003D2054" w:rsidRDefault="002F1935" w:rsidP="002F1935">
            <w:pPr>
              <w:jc w:val="center"/>
              <w:rPr>
                <w:sz w:val="20"/>
                <w:szCs w:val="20"/>
              </w:rPr>
            </w:pPr>
            <w:r>
              <w:rPr>
                <w:sz w:val="20"/>
                <w:szCs w:val="20"/>
              </w:rPr>
              <w:t>Medium</w:t>
            </w:r>
          </w:p>
        </w:tc>
        <w:tc>
          <w:tcPr>
            <w:tcW w:w="1615" w:type="dxa"/>
          </w:tcPr>
          <w:p w14:paraId="6BC55303" w14:textId="77777777" w:rsidR="002F1935" w:rsidRDefault="002F1935" w:rsidP="002F1935">
            <w:pPr>
              <w:jc w:val="center"/>
              <w:rPr>
                <w:sz w:val="20"/>
                <w:szCs w:val="20"/>
              </w:rPr>
            </w:pPr>
            <w:r>
              <w:rPr>
                <w:sz w:val="20"/>
                <w:szCs w:val="20"/>
              </w:rPr>
              <w:t>Increase</w:t>
            </w:r>
          </w:p>
        </w:tc>
      </w:tr>
      <w:tr w:rsidR="002F1935" w:rsidRPr="00E91BE1" w14:paraId="12AF3326" w14:textId="77777777" w:rsidTr="002F1935">
        <w:trPr>
          <w:trHeight w:val="352"/>
        </w:trPr>
        <w:tc>
          <w:tcPr>
            <w:tcW w:w="2875" w:type="dxa"/>
          </w:tcPr>
          <w:p w14:paraId="256A9634" w14:textId="77777777" w:rsidR="002F1935" w:rsidRPr="003D2054" w:rsidRDefault="002F1935" w:rsidP="002F1935">
            <w:pPr>
              <w:rPr>
                <w:sz w:val="20"/>
                <w:szCs w:val="20"/>
              </w:rPr>
            </w:pPr>
            <w:r>
              <w:rPr>
                <w:sz w:val="20"/>
                <w:szCs w:val="20"/>
              </w:rPr>
              <w:t>Temperate Forest Restoration</w:t>
            </w:r>
          </w:p>
        </w:tc>
        <w:tc>
          <w:tcPr>
            <w:tcW w:w="1620" w:type="dxa"/>
          </w:tcPr>
          <w:p w14:paraId="05111A91" w14:textId="77777777" w:rsidR="002F1935" w:rsidRPr="003D2054" w:rsidRDefault="002F1935" w:rsidP="002F1935">
            <w:pPr>
              <w:jc w:val="center"/>
              <w:rPr>
                <w:sz w:val="20"/>
                <w:szCs w:val="20"/>
              </w:rPr>
            </w:pPr>
            <w:r>
              <w:rPr>
                <w:sz w:val="20"/>
                <w:szCs w:val="20"/>
              </w:rPr>
              <w:t>Not calculated</w:t>
            </w:r>
          </w:p>
        </w:tc>
        <w:tc>
          <w:tcPr>
            <w:tcW w:w="1620" w:type="dxa"/>
          </w:tcPr>
          <w:p w14:paraId="7C34DFB3" w14:textId="77777777" w:rsidR="002F1935" w:rsidRPr="003D2054" w:rsidRDefault="002F1935" w:rsidP="002F1935">
            <w:pPr>
              <w:jc w:val="center"/>
              <w:rPr>
                <w:sz w:val="20"/>
                <w:szCs w:val="20"/>
              </w:rPr>
            </w:pPr>
            <w:r>
              <w:rPr>
                <w:sz w:val="20"/>
                <w:szCs w:val="20"/>
              </w:rPr>
              <w:t>Not calculated</w:t>
            </w:r>
          </w:p>
        </w:tc>
        <w:tc>
          <w:tcPr>
            <w:tcW w:w="1620" w:type="dxa"/>
          </w:tcPr>
          <w:p w14:paraId="1376CA9E" w14:textId="77777777" w:rsidR="002F1935" w:rsidRPr="003D2054" w:rsidRDefault="002F1935" w:rsidP="002F1935">
            <w:pPr>
              <w:jc w:val="center"/>
              <w:rPr>
                <w:sz w:val="20"/>
                <w:szCs w:val="20"/>
              </w:rPr>
            </w:pPr>
            <w:r>
              <w:rPr>
                <w:sz w:val="20"/>
                <w:szCs w:val="20"/>
              </w:rPr>
              <w:t>High</w:t>
            </w:r>
          </w:p>
        </w:tc>
        <w:tc>
          <w:tcPr>
            <w:tcW w:w="1615" w:type="dxa"/>
          </w:tcPr>
          <w:p w14:paraId="4F47DB26" w14:textId="77777777" w:rsidR="002F1935" w:rsidRPr="003D2054" w:rsidRDefault="002F1935" w:rsidP="002F1935">
            <w:pPr>
              <w:jc w:val="center"/>
              <w:rPr>
                <w:sz w:val="20"/>
                <w:szCs w:val="20"/>
              </w:rPr>
            </w:pPr>
            <w:r>
              <w:rPr>
                <w:sz w:val="20"/>
                <w:szCs w:val="20"/>
              </w:rPr>
              <w:t>n/a</w:t>
            </w:r>
          </w:p>
        </w:tc>
      </w:tr>
      <w:tr w:rsidR="002F1935" w:rsidRPr="00E91BE1" w14:paraId="4FCD24F1" w14:textId="77777777" w:rsidTr="002F1935">
        <w:trPr>
          <w:trHeight w:val="352"/>
        </w:trPr>
        <w:tc>
          <w:tcPr>
            <w:tcW w:w="2875" w:type="dxa"/>
          </w:tcPr>
          <w:p w14:paraId="6649F352" w14:textId="77777777" w:rsidR="002F1935" w:rsidRPr="003D2054" w:rsidRDefault="002F1935" w:rsidP="002F1935">
            <w:pPr>
              <w:rPr>
                <w:sz w:val="20"/>
                <w:szCs w:val="20"/>
              </w:rPr>
            </w:pPr>
            <w:r>
              <w:rPr>
                <w:sz w:val="20"/>
                <w:szCs w:val="20"/>
              </w:rPr>
              <w:t>Tropical Forest Restoration</w:t>
            </w:r>
          </w:p>
        </w:tc>
        <w:tc>
          <w:tcPr>
            <w:tcW w:w="1620" w:type="dxa"/>
          </w:tcPr>
          <w:p w14:paraId="3E088BAC" w14:textId="77777777" w:rsidR="002F1935" w:rsidRPr="003D2054" w:rsidRDefault="002F1935" w:rsidP="002F1935">
            <w:pPr>
              <w:jc w:val="center"/>
              <w:rPr>
                <w:sz w:val="20"/>
                <w:szCs w:val="20"/>
              </w:rPr>
            </w:pPr>
            <w:r>
              <w:rPr>
                <w:sz w:val="20"/>
                <w:szCs w:val="20"/>
              </w:rPr>
              <w:t>Not calculated</w:t>
            </w:r>
          </w:p>
        </w:tc>
        <w:tc>
          <w:tcPr>
            <w:tcW w:w="1620" w:type="dxa"/>
          </w:tcPr>
          <w:p w14:paraId="68E31B20" w14:textId="77777777" w:rsidR="002F1935" w:rsidRPr="003D2054" w:rsidRDefault="002F1935" w:rsidP="002F1935">
            <w:pPr>
              <w:jc w:val="center"/>
              <w:rPr>
                <w:sz w:val="20"/>
                <w:szCs w:val="20"/>
              </w:rPr>
            </w:pPr>
            <w:r>
              <w:rPr>
                <w:sz w:val="20"/>
                <w:szCs w:val="20"/>
              </w:rPr>
              <w:t>Not calculated</w:t>
            </w:r>
          </w:p>
        </w:tc>
        <w:tc>
          <w:tcPr>
            <w:tcW w:w="1620" w:type="dxa"/>
          </w:tcPr>
          <w:p w14:paraId="6B948C10" w14:textId="77777777" w:rsidR="002F1935" w:rsidRPr="003D2054" w:rsidRDefault="002F1935" w:rsidP="002F1935">
            <w:pPr>
              <w:jc w:val="center"/>
              <w:rPr>
                <w:sz w:val="20"/>
                <w:szCs w:val="20"/>
              </w:rPr>
            </w:pPr>
            <w:r>
              <w:rPr>
                <w:sz w:val="20"/>
                <w:szCs w:val="20"/>
              </w:rPr>
              <w:t>High</w:t>
            </w:r>
          </w:p>
        </w:tc>
        <w:tc>
          <w:tcPr>
            <w:tcW w:w="1615" w:type="dxa"/>
          </w:tcPr>
          <w:p w14:paraId="3CCE422A" w14:textId="77777777" w:rsidR="002F1935" w:rsidRPr="003D2054" w:rsidRDefault="002F1935" w:rsidP="002F1935">
            <w:pPr>
              <w:jc w:val="center"/>
              <w:rPr>
                <w:sz w:val="20"/>
                <w:szCs w:val="20"/>
              </w:rPr>
            </w:pPr>
            <w:r>
              <w:rPr>
                <w:sz w:val="20"/>
                <w:szCs w:val="20"/>
              </w:rPr>
              <w:t>n/a</w:t>
            </w:r>
          </w:p>
        </w:tc>
      </w:tr>
    </w:tbl>
    <w:p w14:paraId="39ED535A" w14:textId="60A36E8C" w:rsidR="002F1935" w:rsidRDefault="002F1935" w:rsidP="00F65586"/>
    <w:p w14:paraId="01905B99" w14:textId="2A2B90E2" w:rsidR="003D2054" w:rsidRDefault="003D2054" w:rsidP="00DB4CC8">
      <w:pPr>
        <w:autoSpaceDE w:val="0"/>
        <w:spacing w:after="0"/>
        <w:rPr>
          <w:rFonts w:asciiTheme="majorHAnsi" w:eastAsiaTheme="majorEastAsia" w:hAnsiTheme="majorHAnsi" w:cstheme="majorBidi"/>
          <w:b/>
          <w:bCs/>
          <w:smallCaps/>
          <w:color w:val="000000" w:themeColor="text1"/>
          <w:sz w:val="36"/>
          <w:szCs w:val="36"/>
        </w:rPr>
      </w:pPr>
    </w:p>
    <w:p w14:paraId="40C0C425" w14:textId="77777777" w:rsidR="009432C9" w:rsidRDefault="009432C9" w:rsidP="003D2054">
      <w:pPr>
        <w:pStyle w:val="Caption"/>
        <w:jc w:val="center"/>
      </w:pPr>
    </w:p>
    <w:p w14:paraId="1A16B3F5" w14:textId="4EE5E80E" w:rsidR="003D2054" w:rsidRDefault="009432C9" w:rsidP="009432C9">
      <w:pPr>
        <w:pStyle w:val="Caption"/>
      </w:pPr>
      <w:bookmarkStart w:id="21" w:name="_Toc18439377"/>
      <w:r>
        <w:lastRenderedPageBreak/>
        <w:t xml:space="preserve">Table </w:t>
      </w:r>
      <w:r w:rsidR="005D2ED8">
        <w:fldChar w:fldCharType="begin"/>
      </w:r>
      <w:r w:rsidR="005D2ED8">
        <w:instrText xml:space="preserve"> STYLEREF 1 \s </w:instrText>
      </w:r>
      <w:r w:rsidR="005D2ED8">
        <w:fldChar w:fldCharType="separate"/>
      </w:r>
      <w:r w:rsidR="00E26324">
        <w:rPr>
          <w:noProof/>
        </w:rPr>
        <w:t>1</w:t>
      </w:r>
      <w:r w:rsidR="005D2ED8">
        <w:fldChar w:fldCharType="end"/>
      </w:r>
      <w:r w:rsidR="005D2ED8">
        <w:t>.</w:t>
      </w:r>
      <w:r w:rsidR="005D2ED8">
        <w:fldChar w:fldCharType="begin"/>
      </w:r>
      <w:r w:rsidR="005D2ED8">
        <w:instrText xml:space="preserve"> SEQ Table \* ARABIC \s 1 </w:instrText>
      </w:r>
      <w:r w:rsidR="005D2ED8">
        <w:fldChar w:fldCharType="separate"/>
      </w:r>
      <w:r w:rsidR="00E26324">
        <w:rPr>
          <w:noProof/>
        </w:rPr>
        <w:t>4</w:t>
      </w:r>
      <w:r w:rsidR="005D2ED8">
        <w:fldChar w:fldCharType="end"/>
      </w:r>
      <w:r w:rsidR="003D2054">
        <w:t xml:space="preserve"> </w:t>
      </w:r>
      <w:r w:rsidR="002F1935">
        <w:t>Land Use Solutions Comparison: Social and Climate Impacts</w:t>
      </w:r>
      <w:bookmarkEnd w:id="21"/>
    </w:p>
    <w:p w14:paraId="7EBA44DA" w14:textId="77777777" w:rsidR="002F1935" w:rsidRDefault="002F1935" w:rsidP="002F1935">
      <w:pPr>
        <w:rPr>
          <w:b/>
          <w:sz w:val="18"/>
          <w:szCs w:val="18"/>
        </w:rPr>
      </w:pPr>
      <w:r w:rsidRPr="00BB6182">
        <w:rPr>
          <w:rFonts w:cstheme="minorHAnsi"/>
          <w:b/>
          <w:color w:val="000000" w:themeColor="text1"/>
          <w:sz w:val="18"/>
          <w:szCs w:val="18"/>
        </w:rPr>
        <w:t>Carbon Stock Protected:</w:t>
      </w:r>
      <w:r>
        <w:rPr>
          <w:rFonts w:cstheme="minorHAnsi"/>
          <w:color w:val="000000" w:themeColor="text1"/>
          <w:sz w:val="18"/>
          <w:szCs w:val="18"/>
        </w:rPr>
        <w:t xml:space="preserve"> </w:t>
      </w:r>
      <w:r w:rsidRPr="00B9564C">
        <w:rPr>
          <w:rFonts w:cstheme="minorHAnsi"/>
          <w:color w:val="000000" w:themeColor="text1"/>
          <w:sz w:val="18"/>
          <w:szCs w:val="18"/>
        </w:rPr>
        <w:t>Low 0-500 Gt CO2-eq, Medium is 500-1000 Gt CO2-eq, high is 1000+ Gt CO2-eq.</w:t>
      </w:r>
    </w:p>
    <w:p w14:paraId="4AF0629F" w14:textId="77777777" w:rsidR="002F1935" w:rsidRPr="00671B58" w:rsidRDefault="002F1935" w:rsidP="002F1935">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Pr>
          <w:sz w:val="18"/>
          <w:szCs w:val="18"/>
        </w:rPr>
        <w:t xml:space="preserve"> </w:t>
      </w:r>
      <w:r>
        <w:rPr>
          <w:b/>
          <w:sz w:val="18"/>
          <w:szCs w:val="18"/>
        </w:rPr>
        <w:t xml:space="preserve">Social Justice Benefits: </w:t>
      </w:r>
      <w:r>
        <w:rPr>
          <w:sz w:val="18"/>
          <w:szCs w:val="18"/>
        </w:rPr>
        <w:t xml:space="preserve">Is solution Targeted to disadvantaged producers like smallholders and women, Relevant to them, or Not Applicable (n/a). </w:t>
      </w:r>
      <w:r>
        <w:rPr>
          <w:b/>
          <w:sz w:val="18"/>
          <w:szCs w:val="18"/>
        </w:rPr>
        <w:t xml:space="preserve">Climate Impacts per Hectare: </w:t>
      </w:r>
      <w:r w:rsidRPr="007E2DF4">
        <w:rPr>
          <w:sz w:val="18"/>
          <w:szCs w:val="18"/>
        </w:rPr>
        <w:t>Low 0-3.7 t CO2-eq/ha/</w:t>
      </w:r>
      <w:proofErr w:type="spellStart"/>
      <w:r w:rsidRPr="007E2DF4">
        <w:rPr>
          <w:sz w:val="18"/>
          <w:szCs w:val="18"/>
        </w:rPr>
        <w:t>yr</w:t>
      </w:r>
      <w:proofErr w:type="spellEnd"/>
      <w:r>
        <w:rPr>
          <w:sz w:val="18"/>
          <w:szCs w:val="18"/>
        </w:rPr>
        <w:t xml:space="preserve"> (0-1tC)</w:t>
      </w:r>
      <w:r w:rsidRPr="007E2DF4">
        <w:rPr>
          <w:sz w:val="18"/>
          <w:szCs w:val="18"/>
        </w:rPr>
        <w:t>,</w:t>
      </w:r>
      <w:r>
        <w:rPr>
          <w:b/>
          <w:sz w:val="18"/>
          <w:szCs w:val="18"/>
        </w:rPr>
        <w:t xml:space="preserve"> </w:t>
      </w:r>
      <w:r w:rsidRPr="007E2DF4">
        <w:rPr>
          <w:sz w:val="18"/>
          <w:szCs w:val="18"/>
        </w:rPr>
        <w:t xml:space="preserve">Medium </w:t>
      </w:r>
      <w:r>
        <w:rPr>
          <w:sz w:val="18"/>
          <w:szCs w:val="18"/>
        </w:rPr>
        <w:t>3.8-11.0 t CO2-eq/</w:t>
      </w:r>
      <w:proofErr w:type="spellStart"/>
      <w:r>
        <w:rPr>
          <w:sz w:val="18"/>
          <w:szCs w:val="18"/>
        </w:rPr>
        <w:t>yr</w:t>
      </w:r>
      <w:proofErr w:type="spellEnd"/>
      <w:r>
        <w:rPr>
          <w:sz w:val="18"/>
          <w:szCs w:val="18"/>
        </w:rPr>
        <w:t xml:space="preserve"> (1-3 </w:t>
      </w:r>
      <w:proofErr w:type="spellStart"/>
      <w:r>
        <w:rPr>
          <w:sz w:val="18"/>
          <w:szCs w:val="18"/>
        </w:rPr>
        <w:t>tC</w:t>
      </w:r>
      <w:proofErr w:type="spellEnd"/>
      <w:r>
        <w:rPr>
          <w:sz w:val="18"/>
          <w:szCs w:val="18"/>
        </w:rPr>
        <w:t>), High 11.1-18.0 tCO2-eq/</w:t>
      </w:r>
      <w:proofErr w:type="spellStart"/>
      <w:r>
        <w:rPr>
          <w:sz w:val="18"/>
          <w:szCs w:val="18"/>
        </w:rPr>
        <w:t>yr</w:t>
      </w:r>
      <w:proofErr w:type="spellEnd"/>
      <w:r>
        <w:rPr>
          <w:sz w:val="18"/>
          <w:szCs w:val="18"/>
        </w:rPr>
        <w:t xml:space="preserve"> (3-5 </w:t>
      </w:r>
      <w:proofErr w:type="spellStart"/>
      <w:r>
        <w:rPr>
          <w:sz w:val="18"/>
          <w:szCs w:val="18"/>
        </w:rPr>
        <w:t>tC</w:t>
      </w:r>
      <w:proofErr w:type="spellEnd"/>
      <w:r>
        <w:rPr>
          <w:sz w:val="18"/>
          <w:szCs w:val="18"/>
        </w:rPr>
        <w:t>), Very High 18.1 tCO2-eq/</w:t>
      </w:r>
      <w:proofErr w:type="spellStart"/>
      <w:r>
        <w:rPr>
          <w:sz w:val="18"/>
          <w:szCs w:val="18"/>
        </w:rPr>
        <w:t>yr</w:t>
      </w:r>
      <w:proofErr w:type="spellEnd"/>
      <w:r>
        <w:rPr>
          <w:sz w:val="18"/>
          <w:szCs w:val="18"/>
        </w:rPr>
        <w:t xml:space="preserve"> (5tC+). </w:t>
      </w:r>
      <w:r w:rsidRPr="001B334C">
        <w:rPr>
          <w:rFonts w:cstheme="minorHAnsi"/>
          <w:b/>
          <w:color w:val="000000" w:themeColor="text1"/>
          <w:sz w:val="18"/>
          <w:szCs w:val="18"/>
        </w:rPr>
        <w:t>Global Adoption Potential:</w:t>
      </w:r>
      <w:r w:rsidRPr="001B334C">
        <w:rPr>
          <w:rFonts w:cstheme="minorHAnsi"/>
          <w:color w:val="000000" w:themeColor="text1"/>
          <w:sz w:val="18"/>
          <w:szCs w:val="18"/>
        </w:rPr>
        <w:t xml:space="preserve"> Low 0-100Mha, Medium 101-500 </w:t>
      </w:r>
      <w:proofErr w:type="spellStart"/>
      <w:r w:rsidRPr="001B334C">
        <w:rPr>
          <w:rFonts w:cstheme="minorHAnsi"/>
          <w:color w:val="000000" w:themeColor="text1"/>
          <w:sz w:val="18"/>
          <w:szCs w:val="18"/>
        </w:rPr>
        <w:t>Mha</w:t>
      </w:r>
      <w:proofErr w:type="spellEnd"/>
      <w:r w:rsidRPr="001B334C">
        <w:rPr>
          <w:rFonts w:cstheme="minorHAnsi"/>
          <w:color w:val="000000" w:themeColor="text1"/>
          <w:sz w:val="18"/>
          <w:szCs w:val="18"/>
        </w:rPr>
        <w:t xml:space="preserve">, High 500+ </w:t>
      </w:r>
      <w:proofErr w:type="spellStart"/>
      <w:r w:rsidRPr="001B334C">
        <w:rPr>
          <w:rFonts w:cstheme="minorHAnsi"/>
          <w:color w:val="000000" w:themeColor="text1"/>
          <w:sz w:val="18"/>
          <w:szCs w:val="18"/>
        </w:rPr>
        <w:t>Mha</w:t>
      </w:r>
      <w:proofErr w:type="spellEnd"/>
      <w:r>
        <w:rPr>
          <w:rFonts w:cstheme="minorHAnsi"/>
          <w:color w:val="000000" w:themeColor="text1"/>
          <w:sz w:val="18"/>
          <w:szCs w:val="18"/>
        </w:rPr>
        <w:t xml:space="preserve"> </w:t>
      </w:r>
    </w:p>
    <w:tbl>
      <w:tblPr>
        <w:tblStyle w:val="TableGrid"/>
        <w:tblW w:w="9350" w:type="dxa"/>
        <w:tblLook w:val="04A0" w:firstRow="1" w:lastRow="0" w:firstColumn="1" w:lastColumn="0" w:noHBand="0" w:noVBand="1"/>
      </w:tblPr>
      <w:tblGrid>
        <w:gridCol w:w="2873"/>
        <w:gridCol w:w="1620"/>
        <w:gridCol w:w="1619"/>
        <w:gridCol w:w="1620"/>
        <w:gridCol w:w="1618"/>
      </w:tblGrid>
      <w:tr w:rsidR="002F1935" w:rsidRPr="00E91BE1" w14:paraId="1E89E1F8" w14:textId="77777777" w:rsidTr="002F1935">
        <w:trPr>
          <w:cantSplit/>
          <w:trHeight w:val="594"/>
          <w:tblHeader/>
        </w:trPr>
        <w:tc>
          <w:tcPr>
            <w:tcW w:w="2873" w:type="dxa"/>
            <w:shd w:val="clear" w:color="auto" w:fill="4F81BD" w:themeFill="accent1"/>
          </w:tcPr>
          <w:p w14:paraId="03043852" w14:textId="77777777" w:rsidR="002F1935" w:rsidRPr="00E91BE1" w:rsidRDefault="002F1935" w:rsidP="002F1935">
            <w:pPr>
              <w:jc w:val="center"/>
              <w:rPr>
                <w:b/>
                <w:color w:val="FFFFFF" w:themeColor="background1"/>
                <w:sz w:val="20"/>
                <w:szCs w:val="20"/>
              </w:rPr>
            </w:pPr>
          </w:p>
        </w:tc>
        <w:tc>
          <w:tcPr>
            <w:tcW w:w="1620" w:type="dxa"/>
            <w:shd w:val="clear" w:color="auto" w:fill="4F81BD" w:themeFill="accent1"/>
          </w:tcPr>
          <w:p w14:paraId="53F14B00" w14:textId="77777777" w:rsidR="002F1935" w:rsidRPr="00E91BE1" w:rsidRDefault="002F1935" w:rsidP="002F1935">
            <w:pPr>
              <w:jc w:val="center"/>
              <w:rPr>
                <w:b/>
                <w:color w:val="FFFFFF" w:themeColor="background1"/>
                <w:sz w:val="20"/>
                <w:szCs w:val="20"/>
              </w:rPr>
            </w:pPr>
            <w:r>
              <w:rPr>
                <w:b/>
                <w:color w:val="FFFFFF" w:themeColor="background1"/>
                <w:sz w:val="20"/>
                <w:szCs w:val="20"/>
              </w:rPr>
              <w:t>Carbon Stock Protected</w:t>
            </w:r>
          </w:p>
        </w:tc>
        <w:tc>
          <w:tcPr>
            <w:tcW w:w="1619" w:type="dxa"/>
            <w:shd w:val="clear" w:color="auto" w:fill="4F81BD" w:themeFill="accent1"/>
          </w:tcPr>
          <w:p w14:paraId="6AD71518" w14:textId="77777777" w:rsidR="002F1935" w:rsidRPr="00E91BE1" w:rsidRDefault="002F1935" w:rsidP="002F1935">
            <w:pPr>
              <w:jc w:val="center"/>
              <w:rPr>
                <w:b/>
                <w:color w:val="FFFFFF" w:themeColor="background1"/>
                <w:sz w:val="20"/>
                <w:szCs w:val="20"/>
              </w:rPr>
            </w:pPr>
            <w:r>
              <w:rPr>
                <w:b/>
                <w:color w:val="FFFFFF" w:themeColor="background1"/>
                <w:sz w:val="20"/>
                <w:szCs w:val="20"/>
              </w:rPr>
              <w:t>Social Justice Benefits</w:t>
            </w:r>
          </w:p>
        </w:tc>
        <w:tc>
          <w:tcPr>
            <w:tcW w:w="1620" w:type="dxa"/>
            <w:shd w:val="clear" w:color="auto" w:fill="4F81BD" w:themeFill="accent1"/>
          </w:tcPr>
          <w:p w14:paraId="58511F3F" w14:textId="77777777" w:rsidR="002F1935" w:rsidRPr="00E91BE1" w:rsidRDefault="002F1935" w:rsidP="002F1935">
            <w:pPr>
              <w:jc w:val="center"/>
              <w:rPr>
                <w:b/>
                <w:color w:val="FFFFFF" w:themeColor="background1"/>
                <w:sz w:val="20"/>
                <w:szCs w:val="20"/>
              </w:rPr>
            </w:pPr>
            <w:r>
              <w:rPr>
                <w:b/>
                <w:color w:val="FFFFFF" w:themeColor="background1"/>
                <w:sz w:val="20"/>
                <w:szCs w:val="20"/>
              </w:rPr>
              <w:t>Climate Impact/ha</w:t>
            </w:r>
          </w:p>
        </w:tc>
        <w:tc>
          <w:tcPr>
            <w:tcW w:w="1618" w:type="dxa"/>
            <w:shd w:val="clear" w:color="auto" w:fill="4F81BD" w:themeFill="accent1"/>
          </w:tcPr>
          <w:p w14:paraId="3B289286" w14:textId="77777777" w:rsidR="002F1935" w:rsidRPr="00E91BE1" w:rsidRDefault="002F1935" w:rsidP="002F1935">
            <w:pPr>
              <w:jc w:val="center"/>
              <w:rPr>
                <w:b/>
                <w:color w:val="FFFFFF" w:themeColor="background1"/>
                <w:sz w:val="20"/>
                <w:szCs w:val="20"/>
              </w:rPr>
            </w:pPr>
            <w:r>
              <w:rPr>
                <w:b/>
                <w:color w:val="FFFFFF" w:themeColor="background1"/>
                <w:sz w:val="20"/>
                <w:szCs w:val="20"/>
              </w:rPr>
              <w:t>Global Adoption Potential</w:t>
            </w:r>
          </w:p>
        </w:tc>
      </w:tr>
      <w:tr w:rsidR="002F1935" w:rsidRPr="00E91BE1" w14:paraId="22EB6EBF" w14:textId="77777777" w:rsidTr="002F1935">
        <w:trPr>
          <w:trHeight w:val="334"/>
        </w:trPr>
        <w:tc>
          <w:tcPr>
            <w:tcW w:w="2873" w:type="dxa"/>
          </w:tcPr>
          <w:p w14:paraId="2AAE9EEB" w14:textId="77777777" w:rsidR="002F1935" w:rsidRDefault="002F1935" w:rsidP="002F1935">
            <w:pPr>
              <w:rPr>
                <w:sz w:val="20"/>
                <w:szCs w:val="20"/>
              </w:rPr>
            </w:pPr>
            <w:r>
              <w:rPr>
                <w:sz w:val="20"/>
                <w:szCs w:val="20"/>
              </w:rPr>
              <w:t>Bamboo</w:t>
            </w:r>
          </w:p>
        </w:tc>
        <w:tc>
          <w:tcPr>
            <w:tcW w:w="1620" w:type="dxa"/>
          </w:tcPr>
          <w:p w14:paraId="08135D37" w14:textId="77777777" w:rsidR="002F1935" w:rsidRPr="003D2054" w:rsidRDefault="002F1935" w:rsidP="002F1935">
            <w:pPr>
              <w:jc w:val="center"/>
              <w:rPr>
                <w:sz w:val="20"/>
                <w:szCs w:val="20"/>
              </w:rPr>
            </w:pPr>
            <w:r>
              <w:rPr>
                <w:sz w:val="20"/>
                <w:szCs w:val="20"/>
              </w:rPr>
              <w:t>Medium</w:t>
            </w:r>
          </w:p>
        </w:tc>
        <w:tc>
          <w:tcPr>
            <w:tcW w:w="1619" w:type="dxa"/>
          </w:tcPr>
          <w:p w14:paraId="69EBB12A" w14:textId="77777777" w:rsidR="002F1935" w:rsidRPr="003D2054" w:rsidRDefault="002F1935" w:rsidP="002F1935">
            <w:pPr>
              <w:jc w:val="center"/>
              <w:rPr>
                <w:sz w:val="20"/>
                <w:szCs w:val="20"/>
              </w:rPr>
            </w:pPr>
            <w:r>
              <w:rPr>
                <w:sz w:val="20"/>
                <w:szCs w:val="20"/>
              </w:rPr>
              <w:t>Relevant</w:t>
            </w:r>
          </w:p>
        </w:tc>
        <w:tc>
          <w:tcPr>
            <w:tcW w:w="1620" w:type="dxa"/>
          </w:tcPr>
          <w:p w14:paraId="11F87C37" w14:textId="77777777" w:rsidR="002F1935" w:rsidRPr="003D2054" w:rsidRDefault="002F1935" w:rsidP="002F1935">
            <w:pPr>
              <w:jc w:val="center"/>
              <w:rPr>
                <w:sz w:val="20"/>
                <w:szCs w:val="20"/>
              </w:rPr>
            </w:pPr>
            <w:r>
              <w:rPr>
                <w:sz w:val="20"/>
                <w:szCs w:val="20"/>
              </w:rPr>
              <w:t>High</w:t>
            </w:r>
          </w:p>
        </w:tc>
        <w:tc>
          <w:tcPr>
            <w:tcW w:w="1618" w:type="dxa"/>
          </w:tcPr>
          <w:p w14:paraId="04C2094C" w14:textId="77777777" w:rsidR="002F1935" w:rsidRDefault="002F1935" w:rsidP="002F1935">
            <w:pPr>
              <w:jc w:val="center"/>
              <w:rPr>
                <w:sz w:val="20"/>
                <w:szCs w:val="20"/>
              </w:rPr>
            </w:pPr>
            <w:r>
              <w:rPr>
                <w:sz w:val="20"/>
                <w:szCs w:val="20"/>
              </w:rPr>
              <w:t>Medium</w:t>
            </w:r>
          </w:p>
        </w:tc>
      </w:tr>
      <w:tr w:rsidR="002F1935" w:rsidRPr="00E91BE1" w14:paraId="663DCCDA" w14:textId="77777777" w:rsidTr="002F1935">
        <w:trPr>
          <w:trHeight w:val="315"/>
        </w:trPr>
        <w:tc>
          <w:tcPr>
            <w:tcW w:w="2873" w:type="dxa"/>
          </w:tcPr>
          <w:p w14:paraId="3D044976" w14:textId="77777777" w:rsidR="002F1935" w:rsidRDefault="002F1935" w:rsidP="002F1935">
            <w:pPr>
              <w:rPr>
                <w:sz w:val="20"/>
                <w:szCs w:val="20"/>
              </w:rPr>
            </w:pPr>
            <w:r>
              <w:rPr>
                <w:sz w:val="20"/>
                <w:szCs w:val="20"/>
              </w:rPr>
              <w:t>Forest Plantations</w:t>
            </w:r>
          </w:p>
        </w:tc>
        <w:tc>
          <w:tcPr>
            <w:tcW w:w="1620" w:type="dxa"/>
          </w:tcPr>
          <w:p w14:paraId="688316EC" w14:textId="77777777" w:rsidR="002F1935" w:rsidRPr="003D2054" w:rsidRDefault="002F1935" w:rsidP="002F1935">
            <w:pPr>
              <w:jc w:val="center"/>
              <w:rPr>
                <w:sz w:val="20"/>
                <w:szCs w:val="20"/>
              </w:rPr>
            </w:pPr>
            <w:r>
              <w:rPr>
                <w:sz w:val="20"/>
                <w:szCs w:val="20"/>
              </w:rPr>
              <w:t>Medium to High</w:t>
            </w:r>
          </w:p>
        </w:tc>
        <w:tc>
          <w:tcPr>
            <w:tcW w:w="1619" w:type="dxa"/>
          </w:tcPr>
          <w:p w14:paraId="08133A86" w14:textId="77777777" w:rsidR="002F1935" w:rsidRPr="003D2054" w:rsidRDefault="002F1935" w:rsidP="002F1935">
            <w:pPr>
              <w:jc w:val="center"/>
              <w:rPr>
                <w:sz w:val="20"/>
                <w:szCs w:val="20"/>
              </w:rPr>
            </w:pPr>
            <w:r>
              <w:rPr>
                <w:sz w:val="20"/>
                <w:szCs w:val="20"/>
              </w:rPr>
              <w:t>Relevant</w:t>
            </w:r>
          </w:p>
        </w:tc>
        <w:tc>
          <w:tcPr>
            <w:tcW w:w="1620" w:type="dxa"/>
          </w:tcPr>
          <w:p w14:paraId="64B8D189" w14:textId="77777777" w:rsidR="002F1935" w:rsidRPr="003D2054" w:rsidRDefault="002F1935" w:rsidP="002F1935">
            <w:pPr>
              <w:jc w:val="center"/>
              <w:rPr>
                <w:sz w:val="20"/>
                <w:szCs w:val="20"/>
              </w:rPr>
            </w:pPr>
            <w:r>
              <w:rPr>
                <w:sz w:val="20"/>
                <w:szCs w:val="20"/>
              </w:rPr>
              <w:t>High</w:t>
            </w:r>
          </w:p>
        </w:tc>
        <w:tc>
          <w:tcPr>
            <w:tcW w:w="1618" w:type="dxa"/>
          </w:tcPr>
          <w:p w14:paraId="214B7114" w14:textId="77777777" w:rsidR="002F1935" w:rsidRDefault="002F1935" w:rsidP="002F1935">
            <w:pPr>
              <w:jc w:val="center"/>
              <w:rPr>
                <w:sz w:val="20"/>
                <w:szCs w:val="20"/>
              </w:rPr>
            </w:pPr>
            <w:r>
              <w:rPr>
                <w:sz w:val="20"/>
                <w:szCs w:val="20"/>
              </w:rPr>
              <w:t>Medium</w:t>
            </w:r>
          </w:p>
        </w:tc>
      </w:tr>
      <w:tr w:rsidR="002F1935" w:rsidRPr="00E91BE1" w14:paraId="7C8A7CD4" w14:textId="77777777" w:rsidTr="002F1935">
        <w:trPr>
          <w:trHeight w:val="315"/>
        </w:trPr>
        <w:tc>
          <w:tcPr>
            <w:tcW w:w="2873" w:type="dxa"/>
          </w:tcPr>
          <w:p w14:paraId="6BE8B710" w14:textId="77777777" w:rsidR="002F1935" w:rsidRDefault="002F1935" w:rsidP="002F1935">
            <w:pPr>
              <w:rPr>
                <w:sz w:val="20"/>
                <w:szCs w:val="20"/>
              </w:rPr>
            </w:pPr>
            <w:r>
              <w:rPr>
                <w:sz w:val="20"/>
                <w:szCs w:val="20"/>
              </w:rPr>
              <w:t>Forest Protection</w:t>
            </w:r>
          </w:p>
        </w:tc>
        <w:tc>
          <w:tcPr>
            <w:tcW w:w="1620" w:type="dxa"/>
          </w:tcPr>
          <w:p w14:paraId="59C3C1EB" w14:textId="77777777" w:rsidR="002F1935" w:rsidRPr="003D2054" w:rsidRDefault="002F1935" w:rsidP="002F1935">
            <w:pPr>
              <w:jc w:val="center"/>
              <w:rPr>
                <w:sz w:val="20"/>
                <w:szCs w:val="20"/>
              </w:rPr>
            </w:pPr>
            <w:r>
              <w:rPr>
                <w:sz w:val="20"/>
                <w:szCs w:val="20"/>
              </w:rPr>
              <w:t>High</w:t>
            </w:r>
          </w:p>
        </w:tc>
        <w:tc>
          <w:tcPr>
            <w:tcW w:w="1619" w:type="dxa"/>
          </w:tcPr>
          <w:p w14:paraId="45F33DCC" w14:textId="77777777" w:rsidR="002F1935" w:rsidRPr="003D2054" w:rsidRDefault="002F1935" w:rsidP="002F1935">
            <w:pPr>
              <w:jc w:val="center"/>
              <w:rPr>
                <w:sz w:val="20"/>
                <w:szCs w:val="20"/>
              </w:rPr>
            </w:pPr>
            <w:r>
              <w:rPr>
                <w:sz w:val="20"/>
                <w:szCs w:val="20"/>
              </w:rPr>
              <w:t>Relevant</w:t>
            </w:r>
          </w:p>
        </w:tc>
        <w:tc>
          <w:tcPr>
            <w:tcW w:w="1620" w:type="dxa"/>
          </w:tcPr>
          <w:p w14:paraId="1F968464" w14:textId="77777777" w:rsidR="002F1935" w:rsidRPr="003D2054" w:rsidRDefault="002F1935" w:rsidP="002F1935">
            <w:pPr>
              <w:jc w:val="center"/>
              <w:rPr>
                <w:sz w:val="20"/>
                <w:szCs w:val="20"/>
              </w:rPr>
            </w:pPr>
            <w:r>
              <w:rPr>
                <w:sz w:val="20"/>
                <w:szCs w:val="20"/>
              </w:rPr>
              <w:t>Very High</w:t>
            </w:r>
          </w:p>
        </w:tc>
        <w:tc>
          <w:tcPr>
            <w:tcW w:w="1618" w:type="dxa"/>
          </w:tcPr>
          <w:p w14:paraId="6C61BC87" w14:textId="77777777" w:rsidR="002F1935" w:rsidRPr="003D2054" w:rsidRDefault="002F1935" w:rsidP="002F1935">
            <w:pPr>
              <w:jc w:val="center"/>
              <w:rPr>
                <w:sz w:val="20"/>
                <w:szCs w:val="20"/>
              </w:rPr>
            </w:pPr>
            <w:r>
              <w:rPr>
                <w:sz w:val="20"/>
                <w:szCs w:val="20"/>
              </w:rPr>
              <w:t>Medium</w:t>
            </w:r>
          </w:p>
        </w:tc>
      </w:tr>
      <w:tr w:rsidR="002F1935" w:rsidRPr="00E91BE1" w14:paraId="0D54EF4D" w14:textId="77777777" w:rsidTr="002F1935">
        <w:trPr>
          <w:trHeight w:val="315"/>
        </w:trPr>
        <w:tc>
          <w:tcPr>
            <w:tcW w:w="2873" w:type="dxa"/>
          </w:tcPr>
          <w:p w14:paraId="67E3BF88" w14:textId="77777777" w:rsidR="002F1935" w:rsidRPr="003D2054" w:rsidRDefault="002F1935" w:rsidP="002F1935">
            <w:pPr>
              <w:rPr>
                <w:sz w:val="20"/>
                <w:szCs w:val="20"/>
              </w:rPr>
            </w:pPr>
            <w:r>
              <w:rPr>
                <w:sz w:val="20"/>
                <w:szCs w:val="20"/>
              </w:rPr>
              <w:t>Indigenous People’s Forest Management</w:t>
            </w:r>
          </w:p>
        </w:tc>
        <w:tc>
          <w:tcPr>
            <w:tcW w:w="1620" w:type="dxa"/>
          </w:tcPr>
          <w:p w14:paraId="2737C19D" w14:textId="77777777" w:rsidR="002F1935" w:rsidRDefault="002F1935" w:rsidP="002F1935">
            <w:pPr>
              <w:jc w:val="center"/>
              <w:rPr>
                <w:sz w:val="20"/>
                <w:szCs w:val="20"/>
              </w:rPr>
            </w:pPr>
            <w:r>
              <w:rPr>
                <w:sz w:val="20"/>
                <w:szCs w:val="20"/>
              </w:rPr>
              <w:t>High</w:t>
            </w:r>
          </w:p>
        </w:tc>
        <w:tc>
          <w:tcPr>
            <w:tcW w:w="1619" w:type="dxa"/>
          </w:tcPr>
          <w:p w14:paraId="210B6B85" w14:textId="77777777" w:rsidR="002F1935" w:rsidRPr="003D2054" w:rsidRDefault="002F1935" w:rsidP="002F1935">
            <w:pPr>
              <w:jc w:val="center"/>
              <w:rPr>
                <w:sz w:val="20"/>
                <w:szCs w:val="20"/>
              </w:rPr>
            </w:pPr>
            <w:r>
              <w:rPr>
                <w:sz w:val="20"/>
                <w:szCs w:val="20"/>
              </w:rPr>
              <w:t>Targeted</w:t>
            </w:r>
          </w:p>
        </w:tc>
        <w:tc>
          <w:tcPr>
            <w:tcW w:w="1620" w:type="dxa"/>
          </w:tcPr>
          <w:p w14:paraId="4E288BBB" w14:textId="77777777" w:rsidR="002F1935" w:rsidRPr="003D2054" w:rsidRDefault="002F1935" w:rsidP="002F1935">
            <w:pPr>
              <w:jc w:val="center"/>
              <w:rPr>
                <w:sz w:val="20"/>
                <w:szCs w:val="20"/>
              </w:rPr>
            </w:pPr>
            <w:r>
              <w:rPr>
                <w:sz w:val="20"/>
                <w:szCs w:val="20"/>
              </w:rPr>
              <w:t>Very High</w:t>
            </w:r>
          </w:p>
        </w:tc>
        <w:tc>
          <w:tcPr>
            <w:tcW w:w="1618" w:type="dxa"/>
          </w:tcPr>
          <w:p w14:paraId="04856A8A" w14:textId="77777777" w:rsidR="002F1935" w:rsidRPr="003D2054" w:rsidRDefault="002F1935" w:rsidP="002F1935">
            <w:pPr>
              <w:jc w:val="center"/>
              <w:rPr>
                <w:sz w:val="20"/>
                <w:szCs w:val="20"/>
              </w:rPr>
            </w:pPr>
            <w:r>
              <w:rPr>
                <w:sz w:val="20"/>
                <w:szCs w:val="20"/>
              </w:rPr>
              <w:t>Medium to High</w:t>
            </w:r>
          </w:p>
        </w:tc>
      </w:tr>
      <w:tr w:rsidR="002F1935" w:rsidRPr="00E91BE1" w14:paraId="02BD1A94" w14:textId="77777777" w:rsidTr="002F1935">
        <w:trPr>
          <w:trHeight w:val="352"/>
        </w:trPr>
        <w:tc>
          <w:tcPr>
            <w:tcW w:w="2873" w:type="dxa"/>
          </w:tcPr>
          <w:p w14:paraId="0E6D152C" w14:textId="77777777" w:rsidR="002F1935" w:rsidRPr="003D2054" w:rsidRDefault="002F1935" w:rsidP="002F1935">
            <w:pPr>
              <w:rPr>
                <w:sz w:val="20"/>
                <w:szCs w:val="20"/>
              </w:rPr>
            </w:pPr>
            <w:r>
              <w:rPr>
                <w:sz w:val="20"/>
                <w:szCs w:val="20"/>
              </w:rPr>
              <w:t>Peatland Protection</w:t>
            </w:r>
          </w:p>
        </w:tc>
        <w:tc>
          <w:tcPr>
            <w:tcW w:w="1620" w:type="dxa"/>
          </w:tcPr>
          <w:p w14:paraId="09D1F54E" w14:textId="77777777" w:rsidR="002F1935" w:rsidRPr="003D2054" w:rsidRDefault="002F1935" w:rsidP="002F1935">
            <w:pPr>
              <w:jc w:val="center"/>
              <w:rPr>
                <w:sz w:val="20"/>
                <w:szCs w:val="20"/>
              </w:rPr>
            </w:pPr>
            <w:r>
              <w:rPr>
                <w:sz w:val="20"/>
                <w:szCs w:val="20"/>
              </w:rPr>
              <w:t>n/a</w:t>
            </w:r>
          </w:p>
        </w:tc>
        <w:tc>
          <w:tcPr>
            <w:tcW w:w="1619" w:type="dxa"/>
          </w:tcPr>
          <w:p w14:paraId="56BC6D47" w14:textId="77777777" w:rsidR="002F1935" w:rsidRPr="003D2054" w:rsidRDefault="002F1935" w:rsidP="002F1935">
            <w:pPr>
              <w:jc w:val="center"/>
              <w:rPr>
                <w:sz w:val="20"/>
                <w:szCs w:val="20"/>
              </w:rPr>
            </w:pPr>
            <w:r>
              <w:rPr>
                <w:sz w:val="20"/>
                <w:szCs w:val="20"/>
              </w:rPr>
              <w:t>Relevant</w:t>
            </w:r>
          </w:p>
        </w:tc>
        <w:tc>
          <w:tcPr>
            <w:tcW w:w="1620" w:type="dxa"/>
          </w:tcPr>
          <w:p w14:paraId="15B922A0" w14:textId="77777777" w:rsidR="002F1935" w:rsidRPr="003D2054" w:rsidRDefault="002F1935" w:rsidP="002F1935">
            <w:pPr>
              <w:jc w:val="center"/>
              <w:rPr>
                <w:sz w:val="20"/>
                <w:szCs w:val="20"/>
              </w:rPr>
            </w:pPr>
            <w:r>
              <w:rPr>
                <w:sz w:val="20"/>
                <w:szCs w:val="20"/>
              </w:rPr>
              <w:t>Very High</w:t>
            </w:r>
          </w:p>
        </w:tc>
        <w:tc>
          <w:tcPr>
            <w:tcW w:w="1618" w:type="dxa"/>
          </w:tcPr>
          <w:p w14:paraId="7A7201D4" w14:textId="77777777" w:rsidR="002F1935" w:rsidRPr="003D2054" w:rsidRDefault="002F1935" w:rsidP="002F1935">
            <w:pPr>
              <w:jc w:val="center"/>
              <w:rPr>
                <w:sz w:val="20"/>
                <w:szCs w:val="20"/>
              </w:rPr>
            </w:pPr>
            <w:r>
              <w:rPr>
                <w:sz w:val="20"/>
                <w:szCs w:val="20"/>
              </w:rPr>
              <w:t>High</w:t>
            </w:r>
          </w:p>
        </w:tc>
      </w:tr>
      <w:tr w:rsidR="002F1935" w:rsidRPr="00E91BE1" w14:paraId="35D6C11E" w14:textId="77777777" w:rsidTr="002F1935">
        <w:trPr>
          <w:trHeight w:val="352"/>
        </w:trPr>
        <w:tc>
          <w:tcPr>
            <w:tcW w:w="2873" w:type="dxa"/>
          </w:tcPr>
          <w:p w14:paraId="2BB15D49" w14:textId="77777777" w:rsidR="002F1935" w:rsidRDefault="002F1935" w:rsidP="002F1935">
            <w:pPr>
              <w:rPr>
                <w:sz w:val="20"/>
                <w:szCs w:val="20"/>
              </w:rPr>
            </w:pPr>
            <w:r>
              <w:rPr>
                <w:sz w:val="20"/>
                <w:szCs w:val="20"/>
              </w:rPr>
              <w:t>Perennial Biomass</w:t>
            </w:r>
          </w:p>
        </w:tc>
        <w:tc>
          <w:tcPr>
            <w:tcW w:w="1620" w:type="dxa"/>
          </w:tcPr>
          <w:p w14:paraId="4E5471DE" w14:textId="77777777" w:rsidR="002F1935" w:rsidRPr="003D2054" w:rsidRDefault="002F1935" w:rsidP="002F1935">
            <w:pPr>
              <w:jc w:val="center"/>
              <w:rPr>
                <w:sz w:val="20"/>
                <w:szCs w:val="20"/>
              </w:rPr>
            </w:pPr>
            <w:r>
              <w:rPr>
                <w:sz w:val="20"/>
                <w:szCs w:val="20"/>
              </w:rPr>
              <w:t>n/a</w:t>
            </w:r>
          </w:p>
        </w:tc>
        <w:tc>
          <w:tcPr>
            <w:tcW w:w="1619" w:type="dxa"/>
          </w:tcPr>
          <w:p w14:paraId="18A132E8" w14:textId="77777777" w:rsidR="002F1935" w:rsidRPr="003D2054" w:rsidRDefault="002F1935" w:rsidP="002F1935">
            <w:pPr>
              <w:jc w:val="center"/>
              <w:rPr>
                <w:sz w:val="20"/>
                <w:szCs w:val="20"/>
              </w:rPr>
            </w:pPr>
            <w:r>
              <w:rPr>
                <w:sz w:val="20"/>
                <w:szCs w:val="20"/>
              </w:rPr>
              <w:t>Relevant</w:t>
            </w:r>
          </w:p>
        </w:tc>
        <w:tc>
          <w:tcPr>
            <w:tcW w:w="1620" w:type="dxa"/>
          </w:tcPr>
          <w:p w14:paraId="7B2ABF47" w14:textId="77777777" w:rsidR="002F1935" w:rsidRPr="003D2054" w:rsidRDefault="002F1935" w:rsidP="002F1935">
            <w:pPr>
              <w:jc w:val="center"/>
              <w:rPr>
                <w:sz w:val="20"/>
                <w:szCs w:val="20"/>
              </w:rPr>
            </w:pPr>
            <w:r>
              <w:rPr>
                <w:sz w:val="20"/>
                <w:szCs w:val="20"/>
              </w:rPr>
              <w:t>Low</w:t>
            </w:r>
          </w:p>
        </w:tc>
        <w:tc>
          <w:tcPr>
            <w:tcW w:w="1618" w:type="dxa"/>
          </w:tcPr>
          <w:p w14:paraId="31F8EE32" w14:textId="77777777" w:rsidR="002F1935" w:rsidRDefault="002F1935" w:rsidP="002F1935">
            <w:pPr>
              <w:jc w:val="center"/>
              <w:rPr>
                <w:sz w:val="20"/>
                <w:szCs w:val="20"/>
              </w:rPr>
            </w:pPr>
            <w:r>
              <w:rPr>
                <w:sz w:val="20"/>
                <w:szCs w:val="20"/>
              </w:rPr>
              <w:t>Medium</w:t>
            </w:r>
          </w:p>
        </w:tc>
      </w:tr>
      <w:tr w:rsidR="002F1935" w:rsidRPr="00E91BE1" w14:paraId="15C1DBC8" w14:textId="77777777" w:rsidTr="002F1935">
        <w:trPr>
          <w:trHeight w:val="352"/>
        </w:trPr>
        <w:tc>
          <w:tcPr>
            <w:tcW w:w="2873" w:type="dxa"/>
          </w:tcPr>
          <w:p w14:paraId="0ABB6448" w14:textId="77777777" w:rsidR="002F1935" w:rsidRPr="003D2054" w:rsidRDefault="002F1935" w:rsidP="002F1935">
            <w:pPr>
              <w:rPr>
                <w:sz w:val="20"/>
                <w:szCs w:val="20"/>
              </w:rPr>
            </w:pPr>
            <w:r>
              <w:rPr>
                <w:sz w:val="20"/>
                <w:szCs w:val="20"/>
              </w:rPr>
              <w:t>Temperate Forest Restoration</w:t>
            </w:r>
          </w:p>
        </w:tc>
        <w:tc>
          <w:tcPr>
            <w:tcW w:w="1620" w:type="dxa"/>
          </w:tcPr>
          <w:p w14:paraId="5202E377" w14:textId="77777777" w:rsidR="002F1935" w:rsidRPr="003D2054" w:rsidRDefault="002F1935" w:rsidP="002F1935">
            <w:pPr>
              <w:jc w:val="center"/>
              <w:rPr>
                <w:sz w:val="20"/>
                <w:szCs w:val="20"/>
              </w:rPr>
            </w:pPr>
            <w:r>
              <w:rPr>
                <w:sz w:val="20"/>
                <w:szCs w:val="20"/>
              </w:rPr>
              <w:t>n/a</w:t>
            </w:r>
          </w:p>
        </w:tc>
        <w:tc>
          <w:tcPr>
            <w:tcW w:w="1619" w:type="dxa"/>
          </w:tcPr>
          <w:p w14:paraId="53DD26BE" w14:textId="77777777" w:rsidR="002F1935" w:rsidRPr="003D2054" w:rsidRDefault="002F1935" w:rsidP="002F1935">
            <w:pPr>
              <w:jc w:val="center"/>
              <w:rPr>
                <w:sz w:val="20"/>
                <w:szCs w:val="20"/>
              </w:rPr>
            </w:pPr>
            <w:r>
              <w:rPr>
                <w:sz w:val="20"/>
                <w:szCs w:val="20"/>
              </w:rPr>
              <w:t>Relevant</w:t>
            </w:r>
          </w:p>
        </w:tc>
        <w:tc>
          <w:tcPr>
            <w:tcW w:w="1620" w:type="dxa"/>
          </w:tcPr>
          <w:p w14:paraId="6624310C" w14:textId="77777777" w:rsidR="002F1935" w:rsidRPr="003D2054" w:rsidRDefault="002F1935" w:rsidP="002F1935">
            <w:pPr>
              <w:jc w:val="center"/>
              <w:rPr>
                <w:sz w:val="20"/>
                <w:szCs w:val="20"/>
              </w:rPr>
            </w:pPr>
            <w:r>
              <w:rPr>
                <w:sz w:val="20"/>
                <w:szCs w:val="20"/>
              </w:rPr>
              <w:t>Medium</w:t>
            </w:r>
          </w:p>
        </w:tc>
        <w:tc>
          <w:tcPr>
            <w:tcW w:w="1618" w:type="dxa"/>
          </w:tcPr>
          <w:p w14:paraId="157A7407" w14:textId="77777777" w:rsidR="002F1935" w:rsidRPr="003D2054" w:rsidRDefault="002F1935" w:rsidP="002F1935">
            <w:pPr>
              <w:jc w:val="center"/>
              <w:rPr>
                <w:sz w:val="20"/>
                <w:szCs w:val="20"/>
              </w:rPr>
            </w:pPr>
            <w:r>
              <w:rPr>
                <w:sz w:val="20"/>
                <w:szCs w:val="20"/>
              </w:rPr>
              <w:t>Low to Medium</w:t>
            </w:r>
          </w:p>
        </w:tc>
      </w:tr>
      <w:tr w:rsidR="002F1935" w:rsidRPr="00E91BE1" w14:paraId="64B7AB9D" w14:textId="77777777" w:rsidTr="002F1935">
        <w:trPr>
          <w:trHeight w:val="352"/>
        </w:trPr>
        <w:tc>
          <w:tcPr>
            <w:tcW w:w="2873" w:type="dxa"/>
          </w:tcPr>
          <w:p w14:paraId="491933B7" w14:textId="77777777" w:rsidR="002F1935" w:rsidRPr="003D2054" w:rsidRDefault="002F1935" w:rsidP="002F1935">
            <w:pPr>
              <w:rPr>
                <w:sz w:val="20"/>
                <w:szCs w:val="20"/>
              </w:rPr>
            </w:pPr>
            <w:r>
              <w:rPr>
                <w:sz w:val="20"/>
                <w:szCs w:val="20"/>
              </w:rPr>
              <w:t>Tropical Forest Restoration</w:t>
            </w:r>
          </w:p>
        </w:tc>
        <w:tc>
          <w:tcPr>
            <w:tcW w:w="1620" w:type="dxa"/>
          </w:tcPr>
          <w:p w14:paraId="66E1C5D3" w14:textId="77777777" w:rsidR="002F1935" w:rsidRPr="003D2054" w:rsidRDefault="002F1935" w:rsidP="002F1935">
            <w:pPr>
              <w:jc w:val="center"/>
              <w:rPr>
                <w:sz w:val="20"/>
                <w:szCs w:val="20"/>
              </w:rPr>
            </w:pPr>
            <w:r>
              <w:rPr>
                <w:sz w:val="20"/>
                <w:szCs w:val="20"/>
              </w:rPr>
              <w:t>n/a</w:t>
            </w:r>
          </w:p>
        </w:tc>
        <w:tc>
          <w:tcPr>
            <w:tcW w:w="1619" w:type="dxa"/>
          </w:tcPr>
          <w:p w14:paraId="7E6F2164" w14:textId="77777777" w:rsidR="002F1935" w:rsidRPr="003D2054" w:rsidRDefault="002F1935" w:rsidP="002F1935">
            <w:pPr>
              <w:jc w:val="center"/>
              <w:rPr>
                <w:sz w:val="20"/>
                <w:szCs w:val="20"/>
              </w:rPr>
            </w:pPr>
            <w:r>
              <w:rPr>
                <w:sz w:val="20"/>
                <w:szCs w:val="20"/>
              </w:rPr>
              <w:t>Relevant</w:t>
            </w:r>
          </w:p>
        </w:tc>
        <w:tc>
          <w:tcPr>
            <w:tcW w:w="1620" w:type="dxa"/>
          </w:tcPr>
          <w:p w14:paraId="0860EF32" w14:textId="77777777" w:rsidR="002F1935" w:rsidRPr="003D2054" w:rsidRDefault="002F1935" w:rsidP="002F1935">
            <w:pPr>
              <w:jc w:val="center"/>
              <w:rPr>
                <w:sz w:val="20"/>
                <w:szCs w:val="20"/>
              </w:rPr>
            </w:pPr>
            <w:r>
              <w:rPr>
                <w:sz w:val="20"/>
                <w:szCs w:val="20"/>
              </w:rPr>
              <w:t>High</w:t>
            </w:r>
          </w:p>
        </w:tc>
        <w:tc>
          <w:tcPr>
            <w:tcW w:w="1618" w:type="dxa"/>
          </w:tcPr>
          <w:p w14:paraId="09C4FA01" w14:textId="77777777" w:rsidR="002F1935" w:rsidRPr="003D2054" w:rsidRDefault="002F1935" w:rsidP="002F1935">
            <w:pPr>
              <w:jc w:val="center"/>
              <w:rPr>
                <w:sz w:val="20"/>
                <w:szCs w:val="20"/>
              </w:rPr>
            </w:pPr>
            <w:r>
              <w:rPr>
                <w:sz w:val="20"/>
                <w:szCs w:val="20"/>
              </w:rPr>
              <w:t>Medium</w:t>
            </w:r>
          </w:p>
        </w:tc>
      </w:tr>
    </w:tbl>
    <w:p w14:paraId="753F892A" w14:textId="77777777" w:rsidR="002F1935" w:rsidRPr="000B3EE3" w:rsidRDefault="002F1935" w:rsidP="002F1935">
      <w:pPr>
        <w:autoSpaceDE w:val="0"/>
        <w:spacing w:after="0"/>
        <w:rPr>
          <w:rFonts w:asciiTheme="majorHAnsi" w:eastAsiaTheme="majorEastAsia" w:hAnsiTheme="majorHAnsi" w:cstheme="majorBidi"/>
          <w:b/>
          <w:bCs/>
          <w:smallCaps/>
          <w:color w:val="000000" w:themeColor="text1"/>
          <w:sz w:val="36"/>
          <w:szCs w:val="36"/>
        </w:rPr>
        <w:sectPr w:rsidR="002F1935" w:rsidRPr="000B3EE3" w:rsidSect="00C44058">
          <w:footerReference w:type="default" r:id="rId16"/>
          <w:pgSz w:w="12240" w:h="15840"/>
          <w:pgMar w:top="1440" w:right="1440" w:bottom="1440" w:left="1440" w:header="720" w:footer="720" w:gutter="0"/>
          <w:pgNumType w:start="1"/>
          <w:cols w:space="720"/>
        </w:sectPr>
      </w:pPr>
    </w:p>
    <w:p w14:paraId="756DEC01" w14:textId="1D052D41" w:rsidR="00966563" w:rsidRDefault="551A77D0" w:rsidP="009432C9">
      <w:pPr>
        <w:pStyle w:val="Heading1"/>
        <w:numPr>
          <w:ilvl w:val="0"/>
          <w:numId w:val="15"/>
        </w:numPr>
      </w:pPr>
      <w:bookmarkStart w:id="22" w:name="_Toc18240000"/>
      <w:r>
        <w:lastRenderedPageBreak/>
        <w:t>Methodology</w:t>
      </w:r>
      <w:bookmarkEnd w:id="22"/>
    </w:p>
    <w:p w14:paraId="567926D6" w14:textId="3DCC782C" w:rsidR="00BD136D" w:rsidRDefault="00B51E8C" w:rsidP="00B51E8C">
      <w:pPr>
        <w:pStyle w:val="Heading2"/>
        <w:numPr>
          <w:ilvl w:val="0"/>
          <w:numId w:val="0"/>
        </w:numPr>
      </w:pPr>
      <w:bookmarkStart w:id="23" w:name="_Toc18240001"/>
      <w:r>
        <w:t xml:space="preserve">2.1 </w:t>
      </w:r>
      <w:r w:rsidR="00686965">
        <w:t>Introduction</w:t>
      </w:r>
      <w:bookmarkEnd w:id="23"/>
    </w:p>
    <w:p w14:paraId="6CCEC8A9" w14:textId="1E608B79" w:rsidR="00882559" w:rsidRDefault="00882559" w:rsidP="00882559">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1"/>
      </w:r>
      <w:r>
        <w:t xml:space="preserve">) is what constituted the results. </w:t>
      </w:r>
    </w:p>
    <w:p w14:paraId="4DBDB822" w14:textId="77777777" w:rsidR="00882559" w:rsidRPr="00D57049" w:rsidRDefault="00882559" w:rsidP="00882559">
      <w:pPr>
        <w:rPr>
          <w:i/>
          <w:color w:val="000000" w:themeColor="text1"/>
        </w:rPr>
      </w:pPr>
      <w:bookmarkStart w:id="24" w:name="_3rdcrjn" w:colFirst="0" w:colLast="0"/>
      <w:bookmarkEnd w:id="24"/>
      <w:r w:rsidRPr="00D57049">
        <w:rPr>
          <w:i/>
          <w:color w:val="000000" w:themeColor="text1"/>
        </w:rPr>
        <w:t>Agency Level</w:t>
      </w:r>
    </w:p>
    <w:p w14:paraId="67D191B6" w14:textId="7DD39638" w:rsidR="006B7C0F" w:rsidRPr="00722A53" w:rsidRDefault="006B7C0F" w:rsidP="006B7C0F">
      <w:pPr>
        <w:rPr>
          <w:color w:val="000000" w:themeColor="text1"/>
        </w:rPr>
      </w:pPr>
      <w:r w:rsidRPr="00722A53">
        <w:rPr>
          <w:color w:val="000000" w:themeColor="text1"/>
        </w:rPr>
        <w:t xml:space="preserve">Government is selected as the agency level for this solution. Though certainly other agents can, do, and should play an important role in this solution, government is the most critical player in implementation. </w:t>
      </w:r>
    </w:p>
    <w:p w14:paraId="298F46AB" w14:textId="715BB446" w:rsidR="00F52595" w:rsidRDefault="00B51E8C" w:rsidP="00B51E8C">
      <w:pPr>
        <w:pStyle w:val="Heading2"/>
        <w:numPr>
          <w:ilvl w:val="0"/>
          <w:numId w:val="0"/>
        </w:numPr>
      </w:pPr>
      <w:bookmarkStart w:id="25" w:name="_Toc18240002"/>
      <w:r>
        <w:t>2.2 Data Sources</w:t>
      </w:r>
      <w:bookmarkEnd w:id="25"/>
    </w:p>
    <w:p w14:paraId="1D80543A" w14:textId="24273ADA" w:rsidR="0057159C" w:rsidRPr="0057159C" w:rsidRDefault="0057159C" w:rsidP="0057159C">
      <w:r>
        <w:t xml:space="preserve">Key data sources include the GAEZ database and FAO forest area data. Morales et al (2015) provided estimates of the current area of protected forest. </w:t>
      </w:r>
      <w:r w:rsidR="007C20DB">
        <w:t>Data from 19 peer-reviewed papers was used in the model.</w:t>
      </w:r>
      <w:r>
        <w:t xml:space="preserve"> </w:t>
      </w:r>
    </w:p>
    <w:p w14:paraId="3F6B79A0" w14:textId="2234A7E5" w:rsidR="00DF4904" w:rsidRPr="00882559" w:rsidRDefault="00B51E8C" w:rsidP="00B51E8C">
      <w:pPr>
        <w:pStyle w:val="Heading2"/>
        <w:numPr>
          <w:ilvl w:val="0"/>
          <w:numId w:val="0"/>
        </w:numPr>
      </w:pPr>
      <w:bookmarkStart w:id="26" w:name="_Toc18240003"/>
      <w:r>
        <w:t xml:space="preserve">2.3 </w:t>
      </w:r>
      <w:r w:rsidR="00686965" w:rsidRPr="00882559">
        <w:t xml:space="preserve">Total </w:t>
      </w:r>
      <w:r w:rsidR="00882559" w:rsidRPr="00882559">
        <w:t>Available Land</w:t>
      </w:r>
      <w:bookmarkEnd w:id="26"/>
    </w:p>
    <w:p w14:paraId="1CA5A2EF" w14:textId="15EE6E5B" w:rsidR="00882559" w:rsidRPr="00D5704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w:t>
      </w:r>
      <w:r w:rsidR="00F07D8A">
        <w:rPr>
          <w:rFonts w:eastAsia="Times New Roman" w:cstheme="minorHAnsi"/>
          <w:color w:val="000000" w:themeColor="text1"/>
          <w:shd w:val="clear" w:color="auto" w:fill="FFFFFF"/>
          <w:lang w:eastAsia="zh-CN"/>
        </w:rPr>
        <w:t xml:space="preserve">of </w:t>
      </w:r>
      <w:r w:rsidRPr="00D57049">
        <w:rPr>
          <w:rFonts w:eastAsia="Times New Roman" w:cstheme="minorHAnsi"/>
          <w:color w:val="000000" w:themeColor="text1"/>
          <w:shd w:val="clear" w:color="auto" w:fill="FFFFFF"/>
          <w:lang w:eastAsia="zh-CN"/>
        </w:rPr>
        <w:t xml:space="preserve">a given solution. Data on global land is acquired from Global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based on the following factors: thermal climate, moisture regimes, soil quality, slope, cover type, and degradation status. These </w:t>
      </w:r>
      <w:r w:rsidRPr="00D57049">
        <w:rPr>
          <w:rFonts w:eastAsia="Times New Roman" w:cstheme="minorHAnsi"/>
          <w:color w:val="000000" w:themeColor="text1"/>
          <w:shd w:val="clear" w:color="auto" w:fill="FFFFFF"/>
          <w:lang w:eastAsia="zh-CN"/>
        </w:rPr>
        <w:lastRenderedPageBreak/>
        <w:t>characteristics influence the suitability of different practices, and solution adoption scenarios are restricted by one or more of these factors.</w:t>
      </w:r>
    </w:p>
    <w:p w14:paraId="196877EE" w14:textId="2AD0FFF5" w:rsidR="0088255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 xml:space="preserve">Determining the total available land for a solution is a two-part process. The technical potential is based on: current land cover or land use; the suitability of climate, soils, and slopes; and on degraded or non-degraded status. In the second stage, land is allocated using the Drawdown </w:t>
      </w:r>
      <w:proofErr w:type="spellStart"/>
      <w:r w:rsidRPr="00D57049">
        <w:rPr>
          <w:rFonts w:eastAsia="Times New Roman" w:cstheme="minorHAnsi"/>
          <w:color w:val="000000" w:themeColor="text1"/>
          <w:lang w:eastAsia="zh-CN"/>
        </w:rPr>
        <w:t>Agro</w:t>
      </w:r>
      <w:proofErr w:type="spellEnd"/>
      <w:r w:rsidRPr="00D57049">
        <w:rPr>
          <w:rFonts w:eastAsia="Times New Roman" w:cstheme="minorHAnsi"/>
          <w:color w:val="000000" w:themeColor="text1"/>
          <w:lang w:eastAsia="zh-CN"/>
        </w:rPr>
        <w:t>-Ecological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7F603FE0" w14:textId="57B93327" w:rsidR="00722A53" w:rsidRPr="00722A53" w:rsidRDefault="00722A53" w:rsidP="00722A53">
      <w:pPr>
        <w:rPr>
          <w:rFonts w:eastAsia="Helvetica Neue" w:cs="Times New Roman"/>
          <w:color w:val="000000" w:themeColor="text1"/>
          <w:highlight w:val="white"/>
        </w:rPr>
      </w:pPr>
      <w:r w:rsidRPr="00722A53">
        <w:rPr>
          <w:rFonts w:eastAsia="Helvetica Neue" w:cs="Times New Roman"/>
          <w:color w:val="000000" w:themeColor="text1"/>
          <w:highlight w:val="white"/>
        </w:rPr>
        <w:t>The total land area available for the </w:t>
      </w:r>
      <w:r w:rsidRPr="00722A53">
        <w:rPr>
          <w:rFonts w:eastAsia="Helvetica Neue" w:cs="Times New Roman"/>
          <w:i/>
          <w:color w:val="000000" w:themeColor="text1"/>
          <w:highlight w:val="white"/>
        </w:rPr>
        <w:t>forest protection</w:t>
      </w:r>
      <w:r w:rsidRPr="00722A53">
        <w:rPr>
          <w:rFonts w:eastAsia="Helvetica Neue" w:cs="Times New Roman"/>
          <w:color w:val="000000" w:themeColor="text1"/>
          <w:highlight w:val="white"/>
        </w:rPr>
        <w:t> solution was modeled using the annual rate of forest degradation and calculations of future degraded and non-degraded areas. The projected future non-degraded, non-protected area was set as the total available area for protection. This maximum area allocated to </w:t>
      </w:r>
      <w:r w:rsidRPr="00722A53">
        <w:rPr>
          <w:rFonts w:eastAsia="Helvetica Neue" w:cs="Times New Roman"/>
          <w:i/>
          <w:color w:val="000000" w:themeColor="text1"/>
          <w:highlight w:val="white"/>
        </w:rPr>
        <w:t>forest protection </w:t>
      </w:r>
      <w:r w:rsidRPr="00722A53">
        <w:rPr>
          <w:rFonts w:eastAsia="Helvetica Neue" w:cs="Times New Roman"/>
          <w:color w:val="000000" w:themeColor="text1"/>
          <w:highlight w:val="white"/>
        </w:rPr>
        <w:t>is 1,0</w:t>
      </w:r>
      <w:r w:rsidR="00476F12">
        <w:rPr>
          <w:rFonts w:eastAsia="Helvetica Neue" w:cs="Times New Roman"/>
          <w:color w:val="000000" w:themeColor="text1"/>
          <w:highlight w:val="white"/>
        </w:rPr>
        <w:t>6</w:t>
      </w:r>
      <w:r w:rsidRPr="00722A53">
        <w:rPr>
          <w:rFonts w:eastAsia="Helvetica Neue" w:cs="Times New Roman"/>
          <w:color w:val="000000" w:themeColor="text1"/>
          <w:highlight w:val="white"/>
        </w:rPr>
        <w:t>0 million hectares. </w:t>
      </w:r>
      <w:r w:rsidR="002F1935" w:rsidRPr="00722A53">
        <w:rPr>
          <w:rFonts w:eastAsia="Helvetica Neue" w:cs="Times New Roman"/>
          <w:color w:val="000000" w:themeColor="text1"/>
          <w:highlight w:val="white"/>
        </w:rPr>
        <w:t xml:space="preserve"> </w:t>
      </w:r>
    </w:p>
    <w:p w14:paraId="4303D5C0" w14:textId="4449ABD6" w:rsidR="00B144E5" w:rsidRDefault="00B51E8C" w:rsidP="00B51E8C">
      <w:pPr>
        <w:pStyle w:val="Heading2"/>
        <w:numPr>
          <w:ilvl w:val="0"/>
          <w:numId w:val="0"/>
        </w:numPr>
      </w:pPr>
      <w:bookmarkStart w:id="27" w:name="_Toc18240004"/>
      <w:r>
        <w:t xml:space="preserve">2.4 </w:t>
      </w:r>
      <w:r w:rsidR="00686965">
        <w:t>Adoption Scenarios</w:t>
      </w:r>
      <w:bookmarkEnd w:id="27"/>
    </w:p>
    <w:p w14:paraId="7F9AA39C" w14:textId="0481576B" w:rsidR="00A3451A" w:rsidRDefault="00A3451A" w:rsidP="0000461C">
      <w:pPr>
        <w:rPr>
          <w:rFonts w:cs="Times New Roman"/>
          <w:color w:val="000000" w:themeColor="text1"/>
        </w:rPr>
      </w:pPr>
      <w:bookmarkStart w:id="28" w:name="_Hlk525033174"/>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 xml:space="preserve">Published results show the comparison of one PDS to </w:t>
      </w:r>
      <w:r w:rsidRPr="0000461C">
        <w:rPr>
          <w:rFonts w:cs="Times New Roman"/>
          <w:color w:val="000000" w:themeColor="text1"/>
        </w:rPr>
        <w:t>the REF, and therefore focus on the change to the world relative to a baseline.</w:t>
      </w:r>
    </w:p>
    <w:p w14:paraId="146FD42D" w14:textId="77777777" w:rsidR="002F1935" w:rsidRPr="000E5E76" w:rsidRDefault="002F1935" w:rsidP="002F1935">
      <w:pPr>
        <w:rPr>
          <w:i/>
          <w:iCs/>
        </w:rPr>
      </w:pPr>
      <w:r w:rsidRPr="000E5E76">
        <w:rPr>
          <w:i/>
          <w:iCs/>
        </w:rPr>
        <w:t xml:space="preserve">The estimation of future protected and unprotected land for peatland was estimated based on the following </w:t>
      </w:r>
      <w:r>
        <w:rPr>
          <w:i/>
          <w:iCs/>
        </w:rPr>
        <w:t>indicators</w:t>
      </w:r>
      <w:r w:rsidRPr="000E5E76">
        <w:rPr>
          <w:i/>
          <w:iCs/>
        </w:rPr>
        <w:t xml:space="preserve">. </w:t>
      </w:r>
    </w:p>
    <w:p w14:paraId="212B7A06" w14:textId="77777777" w:rsidR="002F1935" w:rsidRDefault="002F1935" w:rsidP="002F1935">
      <w:pPr>
        <w:pStyle w:val="ListParagraph"/>
        <w:numPr>
          <w:ilvl w:val="0"/>
          <w:numId w:val="9"/>
        </w:numPr>
        <w:rPr>
          <w:b/>
          <w:bCs/>
          <w:i/>
          <w:iCs/>
        </w:rPr>
      </w:pPr>
      <w:r w:rsidRPr="0093120C">
        <w:rPr>
          <w:u w:val="single"/>
        </w:rPr>
        <w:t>Cumulative degraded land that is unprotected in the PDS</w:t>
      </w:r>
      <w:r>
        <w:t xml:space="preserve"> - This represents the total land degraded that was never protected in the PDS considering the rate of annual degradation. This rate is applied only to the land that is not covered by the solution (</w:t>
      </w:r>
      <w:proofErr w:type="spellStart"/>
      <w:r>
        <w:t>ie</w:t>
      </w:r>
      <w:proofErr w:type="spellEnd"/>
      <w:r>
        <w:t xml:space="preserve"> land not artificially protected) and that is not degraded. </w:t>
      </w:r>
    </w:p>
    <w:p w14:paraId="1BF4EA16" w14:textId="77777777" w:rsidR="002F1935" w:rsidRDefault="002F1935" w:rsidP="002F1935">
      <w:pPr>
        <w:pStyle w:val="ListParagraph"/>
        <w:numPr>
          <w:ilvl w:val="0"/>
          <w:numId w:val="9"/>
        </w:numPr>
      </w:pPr>
      <w:r w:rsidRPr="0093120C">
        <w:rPr>
          <w:u w:val="single"/>
        </w:rPr>
        <w:t>Total at risk land in the PDS</w:t>
      </w:r>
      <w:r>
        <w:t xml:space="preserve"> - This represents the total land that is neither covered by the solution nor degraded in the PDS. It's land that is potentially at risk of degradation by anthropogenic or other means. It is calculated by identifying how much land is degraded, and how much is under the solution. </w:t>
      </w:r>
    </w:p>
    <w:p w14:paraId="1DC5006C" w14:textId="77777777" w:rsidR="002F1935" w:rsidRDefault="002F1935" w:rsidP="002F1935">
      <w:pPr>
        <w:pStyle w:val="ListParagraph"/>
        <w:numPr>
          <w:ilvl w:val="0"/>
          <w:numId w:val="9"/>
        </w:numPr>
      </w:pPr>
      <w:r w:rsidRPr="008364BB">
        <w:rPr>
          <w:u w:val="single"/>
        </w:rPr>
        <w:t>Total undegraded land in the PDS</w:t>
      </w:r>
      <w:r>
        <w:t xml:space="preserve"> - </w:t>
      </w:r>
      <w:r w:rsidRPr="008364BB">
        <w:t xml:space="preserve">This represents the total land that is not degraded in any particular year of the PDS. It takes the </w:t>
      </w:r>
      <w:r>
        <w:t>total land area</w:t>
      </w:r>
      <w:r w:rsidRPr="008364BB">
        <w:t xml:space="preserve"> and removes the degraded land, which is the same as summing the undegraded land under the </w:t>
      </w:r>
      <w:r>
        <w:t>solution</w:t>
      </w:r>
      <w:r w:rsidRPr="008364BB">
        <w:t xml:space="preserve"> and </w:t>
      </w:r>
      <w:r>
        <w:t>at-risk</w:t>
      </w:r>
      <w:r w:rsidRPr="008364BB">
        <w:t xml:space="preserve"> land.  </w:t>
      </w:r>
    </w:p>
    <w:p w14:paraId="29ADEC14" w14:textId="77777777" w:rsidR="002F1935" w:rsidRDefault="002F1935" w:rsidP="002F1935">
      <w:pPr>
        <w:pStyle w:val="ListParagraph"/>
        <w:numPr>
          <w:ilvl w:val="0"/>
          <w:numId w:val="9"/>
        </w:numPr>
      </w:pPr>
      <w:r w:rsidRPr="008364BB">
        <w:rPr>
          <w:u w:val="single"/>
        </w:rPr>
        <w:t>Cumulative Degraded Land Under Protection in the PDS</w:t>
      </w:r>
      <w:r>
        <w:t xml:space="preserve"> - </w:t>
      </w:r>
      <w:r w:rsidRPr="008364BB">
        <w:t xml:space="preserve">Even protected land suffers from degradation via disturbances (perhaps due to natural or anthropogenic means such as logging, </w:t>
      </w:r>
      <w:r w:rsidRPr="008364BB">
        <w:lastRenderedPageBreak/>
        <w:t xml:space="preserve">storms, fires or human settlement). </w:t>
      </w:r>
      <w:r>
        <w:t>T</w:t>
      </w:r>
      <w:r w:rsidRPr="008364BB">
        <w:t xml:space="preserve">he rate of this disturbance is assumed equal </w:t>
      </w:r>
      <w:r>
        <w:t xml:space="preserve">both </w:t>
      </w:r>
      <w:r w:rsidRPr="008364BB">
        <w:t>in the PDS and REF. This disturbance rate affects annually, the degradation of protected land, but is expected to be much less than the degradation rate of unprotected land</w:t>
      </w:r>
      <w:r>
        <w:t>.</w:t>
      </w:r>
    </w:p>
    <w:p w14:paraId="104681A0" w14:textId="77777777" w:rsidR="002F1935" w:rsidRDefault="002F1935" w:rsidP="002F1935">
      <w:pPr>
        <w:pStyle w:val="ListParagraph"/>
      </w:pPr>
    </w:p>
    <w:p w14:paraId="7BE7A01A" w14:textId="77777777" w:rsidR="002F1935" w:rsidRDefault="002F1935" w:rsidP="002F1935">
      <w:pPr>
        <w:pStyle w:val="ListParagraph"/>
        <w:ind w:left="0"/>
      </w:pPr>
      <w:r w:rsidRPr="008364BB">
        <w:rPr>
          <w:i/>
          <w:iCs/>
        </w:rPr>
        <w:t xml:space="preserve">The above four variables were also calculated for the REF case and the net area protected in the future under the PDS is estimated based on the following </w:t>
      </w:r>
      <w:r>
        <w:rPr>
          <w:i/>
          <w:iCs/>
        </w:rPr>
        <w:t>indicators</w:t>
      </w:r>
      <w:r>
        <w:t xml:space="preserve">. </w:t>
      </w:r>
    </w:p>
    <w:p w14:paraId="7FF6027F" w14:textId="77777777" w:rsidR="002F1935" w:rsidRPr="008364BB" w:rsidRDefault="002F1935" w:rsidP="002F1935">
      <w:pPr>
        <w:pStyle w:val="ListParagraph"/>
        <w:ind w:left="0"/>
      </w:pPr>
    </w:p>
    <w:p w14:paraId="1BCAC87C" w14:textId="77777777" w:rsidR="002F1935" w:rsidRDefault="002F1935" w:rsidP="002F1935">
      <w:pPr>
        <w:pStyle w:val="ListParagraph"/>
        <w:numPr>
          <w:ilvl w:val="0"/>
          <w:numId w:val="9"/>
        </w:numPr>
      </w:pPr>
      <w:r w:rsidRPr="000E5E76">
        <w:rPr>
          <w:u w:val="single"/>
        </w:rPr>
        <w:t>Annual reduction in total degraded land (or annual increase in total undegraded land) (protected and unprotected)</w:t>
      </w:r>
      <w:r>
        <w:t xml:space="preserve"> - This is the decrease in total degraded land in the PDS versus the REF in each year.</w:t>
      </w:r>
    </w:p>
    <w:p w14:paraId="4D7A0ABF" w14:textId="77777777" w:rsidR="002F1935" w:rsidRDefault="002F1935" w:rsidP="002F1935">
      <w:pPr>
        <w:pStyle w:val="ListParagraph"/>
        <w:numPr>
          <w:ilvl w:val="0"/>
          <w:numId w:val="9"/>
        </w:numPr>
      </w:pPr>
      <w:r w:rsidRPr="000E5E76">
        <w:rPr>
          <w:u w:val="single"/>
        </w:rPr>
        <w:t xml:space="preserve">Net </w:t>
      </w:r>
      <w:r>
        <w:rPr>
          <w:u w:val="single"/>
        </w:rPr>
        <w:t>at-r</w:t>
      </w:r>
      <w:r w:rsidRPr="000E5E76">
        <w:rPr>
          <w:u w:val="single"/>
        </w:rPr>
        <w:t xml:space="preserve">isk </w:t>
      </w:r>
      <w:r>
        <w:rPr>
          <w:u w:val="single"/>
        </w:rPr>
        <w:t>l</w:t>
      </w:r>
      <w:r w:rsidRPr="000E5E76">
        <w:rPr>
          <w:u w:val="single"/>
        </w:rPr>
        <w:t>and</w:t>
      </w:r>
      <w:r>
        <w:t xml:space="preserve"> - This is the increase in land that is neither under the solution nor degraded (</w:t>
      </w:r>
      <w:proofErr w:type="spellStart"/>
      <w:r>
        <w:t>ie</w:t>
      </w:r>
      <w:proofErr w:type="spellEnd"/>
      <w:r>
        <w:t xml:space="preserve"> open to nature and at risk of degradation) in the PDS versus the REF.</w:t>
      </w:r>
    </w:p>
    <w:p w14:paraId="5DFB2916" w14:textId="77777777" w:rsidR="002F1935" w:rsidRPr="0093120C" w:rsidRDefault="002F1935" w:rsidP="002F1935">
      <w:pPr>
        <w:pStyle w:val="ListParagraph"/>
        <w:numPr>
          <w:ilvl w:val="0"/>
          <w:numId w:val="9"/>
        </w:numPr>
        <w:jc w:val="left"/>
        <w:rPr>
          <w:u w:val="single"/>
        </w:rPr>
      </w:pPr>
      <w:r w:rsidRPr="0093120C">
        <w:rPr>
          <w:u w:val="single"/>
        </w:rPr>
        <w:t xml:space="preserve">Cumulative reduction in total degraded land (or cumulative increase in undegraded land) over base year (protected and unprotected) </w:t>
      </w:r>
      <w:r w:rsidRPr="0093120C">
        <w:t xml:space="preserve">- This is the increase in undegraded land in the PDS versus the REF (cumulatively in any year) and can be traced to the direct action of increasing </w:t>
      </w:r>
      <w:r>
        <w:t>solution</w:t>
      </w:r>
      <w:r w:rsidRPr="0093120C">
        <w:t xml:space="preserve"> adoption</w:t>
      </w:r>
      <w:r>
        <w:t>.</w:t>
      </w:r>
    </w:p>
    <w:p w14:paraId="5B923E60" w14:textId="77777777" w:rsidR="002F1935" w:rsidRPr="0000461C" w:rsidRDefault="002F1935" w:rsidP="0000461C">
      <w:pPr>
        <w:rPr>
          <w:rFonts w:cs="Times New Roman"/>
          <w:color w:val="000000" w:themeColor="text1"/>
        </w:rPr>
      </w:pPr>
    </w:p>
    <w:p w14:paraId="3A9C6A0C" w14:textId="48BB9CBB" w:rsidR="007264FD" w:rsidRDefault="007264FD" w:rsidP="004B3A12">
      <w:pPr>
        <w:spacing w:after="0"/>
        <w:rPr>
          <w:rFonts w:eastAsia="Helvetica Neue" w:cs="Times New Roman"/>
          <w:color w:val="000000" w:themeColor="text1"/>
        </w:rPr>
      </w:pPr>
      <w:r>
        <w:rPr>
          <w:rFonts w:eastAsia="Helvetica Neue" w:cs="Times New Roman"/>
          <w:color w:val="000000" w:themeColor="text1"/>
        </w:rPr>
        <w:t>Ten</w:t>
      </w:r>
      <w:r w:rsidR="006B7C0F" w:rsidRPr="0000461C">
        <w:rPr>
          <w:rFonts w:eastAsia="Helvetica Neue" w:cs="Times New Roman"/>
          <w:color w:val="000000" w:themeColor="text1"/>
        </w:rPr>
        <w:t xml:space="preserve"> custom adoption scenarios were developed for </w:t>
      </w:r>
      <w:r w:rsidR="006B7C0F" w:rsidRPr="0000461C">
        <w:rPr>
          <w:rFonts w:eastAsia="Helvetica Neue" w:cs="Times New Roman"/>
          <w:i/>
          <w:color w:val="000000" w:themeColor="text1"/>
        </w:rPr>
        <w:t>forest protection</w:t>
      </w:r>
      <w:r w:rsidR="006B7C0F" w:rsidRPr="0000461C">
        <w:rPr>
          <w:rFonts w:eastAsia="Helvetica Neue" w:cs="Times New Roman"/>
          <w:color w:val="000000" w:themeColor="text1"/>
        </w:rPr>
        <w:t>. All begin with current adoption of 651.0 million hectares (61 percent of the total area allocated to this solution). A total of 1,060</w:t>
      </w:r>
      <w:r w:rsidR="0000461C" w:rsidRPr="0000461C">
        <w:rPr>
          <w:rFonts w:eastAsia="Helvetica Neue" w:cs="Times New Roman"/>
          <w:color w:val="000000" w:themeColor="text1"/>
        </w:rPr>
        <w:t xml:space="preserve"> </w:t>
      </w:r>
      <w:r w:rsidR="006B7C0F" w:rsidRPr="0000461C">
        <w:rPr>
          <w:rFonts w:eastAsia="Helvetica Neue" w:cs="Times New Roman"/>
          <w:color w:val="000000" w:themeColor="text1"/>
        </w:rPr>
        <w:t>million hectares of non-degraded forest area was allocated to this solution.</w:t>
      </w:r>
    </w:p>
    <w:p w14:paraId="60788A89" w14:textId="77777777" w:rsidR="0048018A" w:rsidRDefault="0048018A" w:rsidP="004B3A12">
      <w:pPr>
        <w:spacing w:after="0"/>
        <w:rPr>
          <w:rFonts w:eastAsia="Helvetica Neue" w:cs="Times New Roman"/>
          <w:color w:val="000000" w:themeColor="text1"/>
        </w:rPr>
      </w:pPr>
    </w:p>
    <w:p w14:paraId="49EEBF0E" w14:textId="248FB1F4" w:rsidR="006B7C0F" w:rsidRPr="0000461C" w:rsidRDefault="00023DDD" w:rsidP="004B3A12">
      <w:pPr>
        <w:spacing w:after="0"/>
        <w:rPr>
          <w:rFonts w:eastAsia="Helvetica Neue" w:cs="Times New Roman"/>
          <w:color w:val="000000" w:themeColor="text1"/>
        </w:rPr>
      </w:pPr>
      <w:r w:rsidRPr="00023DDD">
        <w:rPr>
          <w:rFonts w:eastAsia="Helvetica Neue" w:cs="Times New Roman"/>
          <w:color w:val="000000" w:themeColor="text1"/>
        </w:rPr>
        <w:t>The historical protected area evolution (1990-2015) in Morales-Hidalgo</w:t>
      </w:r>
      <w:r w:rsidR="000063C3">
        <w:rPr>
          <w:rFonts w:eastAsia="Helvetica Neue" w:cs="Times New Roman"/>
          <w:color w:val="000000" w:themeColor="text1"/>
        </w:rPr>
        <w:t xml:space="preserve"> et al. (2015) </w:t>
      </w:r>
      <w:r w:rsidRPr="00023DDD">
        <w:rPr>
          <w:rFonts w:eastAsia="Helvetica Neue" w:cs="Times New Roman"/>
          <w:color w:val="000000" w:themeColor="text1"/>
        </w:rPr>
        <w:t xml:space="preserve">was used to estimate three protected areas' yearly increase rates: 1,98%; 1,02% and 0,55% for the forest </w:t>
      </w:r>
      <w:r w:rsidR="00381321">
        <w:rPr>
          <w:rFonts w:eastAsia="Helvetica Neue" w:cs="Times New Roman"/>
          <w:color w:val="000000" w:themeColor="text1"/>
        </w:rPr>
        <w:t>protected area increases</w:t>
      </w:r>
      <w:r w:rsidRPr="00023DDD">
        <w:rPr>
          <w:rFonts w:eastAsia="Helvetica Neue" w:cs="Times New Roman"/>
          <w:color w:val="000000" w:themeColor="text1"/>
        </w:rPr>
        <w:t xml:space="preserve"> corresponding to 1990-2015, 2005- 2015 and 2010- 2015 respectively. This, coupled with the TLA's current degradation rate of 0.47% result in scenarios 1, 2 and 3. The New York declaration on Forests is used to estimate an alternative degradation rate which starts from 0.47% and linearly decreases to half its value in 2020 and then to zero in 2030. The yearly increase rates from Morales- Hidalgo</w:t>
      </w:r>
      <w:r w:rsidR="000063C3" w:rsidRPr="000063C3">
        <w:rPr>
          <w:rFonts w:eastAsia="Helvetica Neue" w:cs="Times New Roman"/>
          <w:color w:val="000000" w:themeColor="text1"/>
        </w:rPr>
        <w:t xml:space="preserve"> </w:t>
      </w:r>
      <w:r w:rsidR="000063C3">
        <w:rPr>
          <w:rFonts w:eastAsia="Helvetica Neue" w:cs="Times New Roman"/>
          <w:color w:val="000000" w:themeColor="text1"/>
        </w:rPr>
        <w:t>et al. (2015)</w:t>
      </w:r>
      <w:r w:rsidRPr="00023DDD">
        <w:rPr>
          <w:rFonts w:eastAsia="Helvetica Neue" w:cs="Times New Roman"/>
          <w:color w:val="000000" w:themeColor="text1"/>
        </w:rPr>
        <w:t xml:space="preserve"> plus this degradation rate result in scenarios 4, 5 and 6.</w:t>
      </w:r>
      <w:r>
        <w:rPr>
          <w:rFonts w:eastAsia="Helvetica Neue" w:cs="Times New Roman"/>
          <w:color w:val="000000" w:themeColor="text1"/>
        </w:rPr>
        <w:t xml:space="preserve"> </w:t>
      </w:r>
      <w:r w:rsidR="006B7C0F" w:rsidRPr="0000461C">
        <w:rPr>
          <w:rFonts w:eastAsia="Helvetica Neue" w:cs="Times New Roman"/>
          <w:color w:val="000000" w:themeColor="text1"/>
        </w:rPr>
        <w:t xml:space="preserve">Details on the </w:t>
      </w:r>
      <w:r w:rsidR="00E46CA1">
        <w:rPr>
          <w:rFonts w:eastAsia="Helvetica Neue" w:cs="Times New Roman"/>
          <w:color w:val="000000" w:themeColor="text1"/>
        </w:rPr>
        <w:t>ten</w:t>
      </w:r>
      <w:r w:rsidR="006B7C0F" w:rsidRPr="0000461C">
        <w:rPr>
          <w:rFonts w:eastAsia="Helvetica Neue" w:cs="Times New Roman"/>
          <w:color w:val="000000" w:themeColor="text1"/>
        </w:rPr>
        <w:t xml:space="preserve"> custom adoption scenarios are given below:</w:t>
      </w:r>
    </w:p>
    <w:p w14:paraId="581B48D5" w14:textId="2748A9A8" w:rsidR="006B7C0F" w:rsidRPr="0000461C" w:rsidRDefault="006B7C0F" w:rsidP="004F0A58">
      <w:pPr>
        <w:numPr>
          <w:ilvl w:val="0"/>
          <w:numId w:val="4"/>
        </w:numPr>
        <w:shd w:val="clear" w:color="auto" w:fill="FFFFFF"/>
        <w:spacing w:after="180"/>
        <w:contextualSpacing/>
        <w:rPr>
          <w:rFonts w:eastAsia="Helvetica Neue" w:cs="Times New Roman"/>
          <w:color w:val="000000" w:themeColor="text1"/>
        </w:rPr>
      </w:pPr>
      <w:r w:rsidRPr="0000461C">
        <w:rPr>
          <w:rFonts w:eastAsia="Helvetica Neue" w:cs="Times New Roman"/>
          <w:i/>
          <w:color w:val="000000" w:themeColor="text1"/>
        </w:rPr>
        <w:t>Custom adoption scenario one</w:t>
      </w:r>
      <w:r w:rsidR="00C803E7">
        <w:rPr>
          <w:rFonts w:eastAsia="Helvetica Neue" w:cs="Times New Roman"/>
          <w:i/>
          <w:color w:val="000000" w:themeColor="text1"/>
        </w:rPr>
        <w:t xml:space="preserve"> “</w:t>
      </w:r>
      <w:r w:rsidR="00C803E7" w:rsidRPr="00C803E7">
        <w:rPr>
          <w:rFonts w:eastAsia="Helvetica Neue" w:cs="Times New Roman"/>
          <w:i/>
          <w:color w:val="000000" w:themeColor="text1"/>
        </w:rPr>
        <w:t>High adoption and conservative degradation rate</w:t>
      </w:r>
      <w:r w:rsidR="00C803E7">
        <w:rPr>
          <w:rFonts w:eastAsia="Helvetica Neue" w:cs="Times New Roman"/>
          <w:i/>
          <w:color w:val="000000" w:themeColor="text1"/>
        </w:rPr>
        <w:t>”</w:t>
      </w:r>
      <w:r w:rsidRPr="0000461C">
        <w:rPr>
          <w:rFonts w:eastAsia="Helvetica Neue" w:cs="Times New Roman"/>
          <w:color w:val="000000" w:themeColor="text1"/>
        </w:rPr>
        <w:t xml:space="preserve">: In this scenario, </w:t>
      </w:r>
      <w:r w:rsidR="00E46CA1">
        <w:rPr>
          <w:rFonts w:eastAsia="Helvetica Neue" w:cs="Times New Roman"/>
          <w:color w:val="000000" w:themeColor="text1"/>
        </w:rPr>
        <w:t>there is a 1.98% yearly increase</w:t>
      </w:r>
      <w:r w:rsidR="00FA0AD3">
        <w:rPr>
          <w:rFonts w:eastAsia="Helvetica Neue" w:cs="Times New Roman"/>
          <w:color w:val="000000" w:themeColor="text1"/>
        </w:rPr>
        <w:t xml:space="preserve"> </w:t>
      </w:r>
      <w:r w:rsidR="00E46CA1">
        <w:rPr>
          <w:rFonts w:eastAsia="Helvetica Neue" w:cs="Times New Roman"/>
          <w:color w:val="000000" w:themeColor="text1"/>
        </w:rPr>
        <w:t xml:space="preserve">in forest protected area </w:t>
      </w:r>
      <w:r w:rsidR="00FA0AD3">
        <w:rPr>
          <w:rFonts w:eastAsia="Helvetica Neue" w:cs="Times New Roman"/>
          <w:color w:val="000000" w:themeColor="text1"/>
        </w:rPr>
        <w:t>and the</w:t>
      </w:r>
      <w:r w:rsidR="00C803E7">
        <w:rPr>
          <w:rFonts w:eastAsia="Helvetica Neue" w:cs="Times New Roman"/>
          <w:color w:val="000000" w:themeColor="text1"/>
        </w:rPr>
        <w:t xml:space="preserve"> unprotected forest area is affected by the conservative degradation rate of 0.47%</w:t>
      </w:r>
      <w:r w:rsidRPr="0000461C">
        <w:rPr>
          <w:rFonts w:eastAsia="Helvetica Neue" w:cs="Times New Roman"/>
          <w:color w:val="000000" w:themeColor="text1"/>
        </w:rPr>
        <w:t>.</w:t>
      </w:r>
    </w:p>
    <w:p w14:paraId="29C5FB4E" w14:textId="2D83C06A" w:rsidR="006B7C0F" w:rsidRPr="0000461C" w:rsidRDefault="006B7C0F" w:rsidP="004F0A58">
      <w:pPr>
        <w:numPr>
          <w:ilvl w:val="0"/>
          <w:numId w:val="4"/>
        </w:numPr>
        <w:shd w:val="clear" w:color="auto" w:fill="FFFFFF"/>
        <w:spacing w:after="180"/>
        <w:contextualSpacing/>
        <w:rPr>
          <w:rFonts w:eastAsia="Helvetica Neue" w:cs="Times New Roman"/>
          <w:color w:val="000000" w:themeColor="text1"/>
        </w:rPr>
      </w:pPr>
      <w:r w:rsidRPr="0000461C">
        <w:rPr>
          <w:rFonts w:eastAsia="Helvetica Neue" w:cs="Times New Roman"/>
          <w:i/>
          <w:color w:val="000000" w:themeColor="text1"/>
        </w:rPr>
        <w:lastRenderedPageBreak/>
        <w:t>Custom adoption scenario two</w:t>
      </w:r>
      <w:r w:rsidR="00C803E7">
        <w:rPr>
          <w:rFonts w:eastAsia="Helvetica Neue" w:cs="Times New Roman"/>
          <w:i/>
          <w:color w:val="000000" w:themeColor="text1"/>
        </w:rPr>
        <w:t xml:space="preserve"> “</w:t>
      </w:r>
      <w:r w:rsidR="00C803E7" w:rsidRPr="00C803E7">
        <w:rPr>
          <w:rFonts w:eastAsia="Helvetica Neue" w:cs="Times New Roman"/>
          <w:i/>
          <w:color w:val="000000" w:themeColor="text1"/>
        </w:rPr>
        <w:t>Medium adoption and conservative degradation rate</w:t>
      </w:r>
      <w:r w:rsidR="00C803E7">
        <w:rPr>
          <w:rFonts w:eastAsia="Helvetica Neue" w:cs="Times New Roman"/>
          <w:i/>
          <w:color w:val="000000" w:themeColor="text1"/>
        </w:rPr>
        <w:t>”</w:t>
      </w:r>
      <w:r w:rsidRPr="0000461C">
        <w:rPr>
          <w:rFonts w:eastAsia="Helvetica Neue" w:cs="Times New Roman"/>
          <w:color w:val="000000" w:themeColor="text1"/>
        </w:rPr>
        <w:t xml:space="preserve">: In this scenario, </w:t>
      </w:r>
      <w:r w:rsidR="00C803E7">
        <w:rPr>
          <w:rFonts w:eastAsia="Helvetica Neue" w:cs="Times New Roman"/>
          <w:color w:val="000000" w:themeColor="text1"/>
        </w:rPr>
        <w:t>there is a 1.02% yearly increase in forest protected area and the unprotected forest area is affected by the conservative degradation rate of 0.47%</w:t>
      </w:r>
      <w:r w:rsidR="00C803E7" w:rsidRPr="0000461C">
        <w:rPr>
          <w:rFonts w:eastAsia="Helvetica Neue" w:cs="Times New Roman"/>
          <w:color w:val="000000" w:themeColor="text1"/>
        </w:rPr>
        <w:t>.</w:t>
      </w:r>
    </w:p>
    <w:p w14:paraId="211B27A5" w14:textId="064AA21A" w:rsidR="00C803E7" w:rsidRPr="0000461C" w:rsidRDefault="006B7C0F" w:rsidP="004F0A58">
      <w:pPr>
        <w:numPr>
          <w:ilvl w:val="0"/>
          <w:numId w:val="4"/>
        </w:numPr>
        <w:shd w:val="clear" w:color="auto" w:fill="FFFFFF"/>
        <w:spacing w:after="180"/>
        <w:contextualSpacing/>
        <w:rPr>
          <w:rFonts w:eastAsia="Helvetica Neue" w:cs="Times New Roman"/>
          <w:color w:val="000000" w:themeColor="text1"/>
        </w:rPr>
      </w:pPr>
      <w:r w:rsidRPr="00C803E7">
        <w:rPr>
          <w:rFonts w:eastAsia="Helvetica Neue" w:cs="Times New Roman"/>
          <w:i/>
          <w:color w:val="000000" w:themeColor="text1"/>
        </w:rPr>
        <w:t>Custom adoption scenario three</w:t>
      </w:r>
      <w:r w:rsidR="00C803E7">
        <w:rPr>
          <w:rFonts w:eastAsia="Helvetica Neue" w:cs="Times New Roman"/>
          <w:i/>
          <w:color w:val="000000" w:themeColor="text1"/>
        </w:rPr>
        <w:t xml:space="preserve"> “</w:t>
      </w:r>
      <w:r w:rsidR="00C803E7" w:rsidRPr="00C803E7">
        <w:rPr>
          <w:rFonts w:eastAsia="Helvetica Neue" w:cs="Times New Roman"/>
          <w:i/>
          <w:color w:val="000000" w:themeColor="text1"/>
        </w:rPr>
        <w:t>Low adoption and conservative degradation rate</w:t>
      </w:r>
      <w:r w:rsidR="00C803E7">
        <w:rPr>
          <w:rFonts w:eastAsia="Helvetica Neue" w:cs="Times New Roman"/>
          <w:i/>
          <w:color w:val="000000" w:themeColor="text1"/>
        </w:rPr>
        <w:t>”</w:t>
      </w:r>
      <w:r w:rsidRPr="00C803E7">
        <w:rPr>
          <w:rFonts w:eastAsia="Helvetica Neue" w:cs="Times New Roman"/>
          <w:color w:val="000000" w:themeColor="text1"/>
        </w:rPr>
        <w:t xml:space="preserve">: </w:t>
      </w:r>
      <w:r w:rsidR="00C803E7" w:rsidRPr="0000461C">
        <w:rPr>
          <w:rFonts w:eastAsia="Helvetica Neue" w:cs="Times New Roman"/>
          <w:color w:val="000000" w:themeColor="text1"/>
        </w:rPr>
        <w:t xml:space="preserve">In this scenario, </w:t>
      </w:r>
      <w:r w:rsidR="00C803E7">
        <w:rPr>
          <w:rFonts w:eastAsia="Helvetica Neue" w:cs="Times New Roman"/>
          <w:color w:val="000000" w:themeColor="text1"/>
        </w:rPr>
        <w:t>there is a 0.55% yearly increase in forest protected area and the unprotected forest area is affected by the conservative degradation rate of 0.47%</w:t>
      </w:r>
      <w:r w:rsidR="00C803E7" w:rsidRPr="0000461C">
        <w:rPr>
          <w:rFonts w:eastAsia="Helvetica Neue" w:cs="Times New Roman"/>
          <w:color w:val="000000" w:themeColor="text1"/>
        </w:rPr>
        <w:t>.</w:t>
      </w:r>
    </w:p>
    <w:p w14:paraId="52DBE949" w14:textId="63DA6B6D" w:rsidR="006B7C0F" w:rsidRPr="007A01F0" w:rsidRDefault="006B7C0F" w:rsidP="004F0A58">
      <w:pPr>
        <w:numPr>
          <w:ilvl w:val="0"/>
          <w:numId w:val="4"/>
        </w:numPr>
        <w:shd w:val="clear" w:color="auto" w:fill="FFFFFF"/>
        <w:spacing w:after="180"/>
        <w:contextualSpacing/>
        <w:rPr>
          <w:rFonts w:eastAsia="Helvetica Neue" w:cs="Times New Roman"/>
          <w:color w:val="000000" w:themeColor="text1"/>
        </w:rPr>
      </w:pPr>
      <w:r w:rsidRPr="00C803E7">
        <w:rPr>
          <w:rFonts w:eastAsia="Helvetica Neue" w:cs="Times New Roman"/>
          <w:i/>
          <w:color w:val="000000" w:themeColor="text1"/>
        </w:rPr>
        <w:t>Custom adoption scenario four</w:t>
      </w:r>
      <w:r w:rsidR="009551F5">
        <w:rPr>
          <w:rFonts w:eastAsia="Helvetica Neue" w:cs="Times New Roman"/>
          <w:i/>
          <w:color w:val="000000" w:themeColor="text1"/>
        </w:rPr>
        <w:t xml:space="preserve"> “</w:t>
      </w:r>
      <w:r w:rsidR="009551F5" w:rsidRPr="009551F5">
        <w:rPr>
          <w:rFonts w:eastAsia="Helvetica Neue" w:cs="Times New Roman"/>
          <w:i/>
          <w:color w:val="000000" w:themeColor="text1"/>
        </w:rPr>
        <w:t>High adoption and low degradation rate</w:t>
      </w:r>
      <w:r w:rsidR="009551F5">
        <w:rPr>
          <w:rFonts w:eastAsia="Helvetica Neue" w:cs="Times New Roman"/>
          <w:i/>
          <w:color w:val="000000" w:themeColor="text1"/>
        </w:rPr>
        <w:t>”</w:t>
      </w:r>
      <w:r w:rsidRPr="00C803E7">
        <w:rPr>
          <w:rFonts w:eastAsia="Helvetica Neue" w:cs="Times New Roman"/>
          <w:color w:val="000000" w:themeColor="text1"/>
        </w:rPr>
        <w:t xml:space="preserve">:  </w:t>
      </w:r>
      <w:r w:rsidR="009551F5" w:rsidRPr="0000461C">
        <w:rPr>
          <w:rFonts w:eastAsia="Helvetica Neue" w:cs="Times New Roman"/>
          <w:color w:val="000000" w:themeColor="text1"/>
        </w:rPr>
        <w:t xml:space="preserve">In this scenario, </w:t>
      </w:r>
      <w:r w:rsidR="009551F5">
        <w:rPr>
          <w:rFonts w:eastAsia="Helvetica Neue" w:cs="Times New Roman"/>
          <w:color w:val="000000" w:themeColor="text1"/>
        </w:rPr>
        <w:t>there is a 1.98% yearly increase in forest protected area and the unprotected forest area is affected by the low degradation rate which decreases from 0.47% in 2014 to zero from 2030 onwards</w:t>
      </w:r>
      <w:r w:rsidR="009551F5" w:rsidRPr="0000461C">
        <w:rPr>
          <w:rFonts w:eastAsia="Helvetica Neue" w:cs="Times New Roman"/>
          <w:color w:val="000000" w:themeColor="text1"/>
        </w:rPr>
        <w:t>.</w:t>
      </w:r>
    </w:p>
    <w:p w14:paraId="599183D0" w14:textId="1EA7BFAE" w:rsidR="006B7C0F" w:rsidRPr="0000461C" w:rsidRDefault="006B7C0F" w:rsidP="004F0A58">
      <w:pPr>
        <w:numPr>
          <w:ilvl w:val="0"/>
          <w:numId w:val="4"/>
        </w:numPr>
        <w:shd w:val="clear" w:color="auto" w:fill="FFFFFF"/>
        <w:spacing w:after="180"/>
        <w:contextualSpacing/>
        <w:rPr>
          <w:rFonts w:eastAsia="Helvetica Neue" w:cs="Times New Roman"/>
          <w:color w:val="000000" w:themeColor="text1"/>
        </w:rPr>
      </w:pPr>
      <w:r w:rsidRPr="0000461C">
        <w:rPr>
          <w:rFonts w:eastAsia="Helvetica Neue" w:cs="Times New Roman"/>
          <w:i/>
          <w:color w:val="000000" w:themeColor="text1"/>
        </w:rPr>
        <w:t>Custom adoption scenario f</w:t>
      </w:r>
      <w:r w:rsidR="009551F5">
        <w:rPr>
          <w:rFonts w:eastAsia="Helvetica Neue" w:cs="Times New Roman"/>
          <w:i/>
          <w:color w:val="000000" w:themeColor="text1"/>
        </w:rPr>
        <w:t>ive “Medium</w:t>
      </w:r>
      <w:r w:rsidR="009551F5" w:rsidRPr="009551F5">
        <w:rPr>
          <w:rFonts w:eastAsia="Helvetica Neue" w:cs="Times New Roman"/>
          <w:i/>
          <w:color w:val="000000" w:themeColor="text1"/>
        </w:rPr>
        <w:t xml:space="preserve"> adoption and low degradation rate</w:t>
      </w:r>
      <w:r w:rsidR="009551F5">
        <w:rPr>
          <w:rFonts w:eastAsia="Helvetica Neue" w:cs="Times New Roman"/>
          <w:i/>
          <w:color w:val="000000" w:themeColor="text1"/>
        </w:rPr>
        <w:t>”</w:t>
      </w:r>
      <w:r w:rsidR="009551F5" w:rsidRPr="00C803E7">
        <w:rPr>
          <w:rFonts w:eastAsia="Helvetica Neue" w:cs="Times New Roman"/>
          <w:color w:val="000000" w:themeColor="text1"/>
        </w:rPr>
        <w:t xml:space="preserve">:  </w:t>
      </w:r>
      <w:r w:rsidR="009551F5" w:rsidRPr="0000461C">
        <w:rPr>
          <w:rFonts w:eastAsia="Helvetica Neue" w:cs="Times New Roman"/>
          <w:color w:val="000000" w:themeColor="text1"/>
        </w:rPr>
        <w:t xml:space="preserve">In this scenario, </w:t>
      </w:r>
      <w:r w:rsidR="009551F5">
        <w:rPr>
          <w:rFonts w:eastAsia="Helvetica Neue" w:cs="Times New Roman"/>
          <w:color w:val="000000" w:themeColor="text1"/>
        </w:rPr>
        <w:t>there is a 1.02% yearly increase in forest protected area and the unprotected forest area is affected by the low degradation rate which decreases from 0.47% in 2014 to zero from 2030 onwards</w:t>
      </w:r>
    </w:p>
    <w:p w14:paraId="3E7AAACA" w14:textId="022291BA" w:rsidR="006B7C0F" w:rsidRDefault="006B7C0F" w:rsidP="004F0A58">
      <w:pPr>
        <w:numPr>
          <w:ilvl w:val="0"/>
          <w:numId w:val="4"/>
        </w:numPr>
        <w:shd w:val="clear" w:color="auto" w:fill="FFFFFF"/>
        <w:spacing w:after="180"/>
        <w:contextualSpacing/>
        <w:rPr>
          <w:rFonts w:eastAsia="Helvetica Neue" w:cs="Times New Roman"/>
          <w:color w:val="000000" w:themeColor="text1"/>
        </w:rPr>
      </w:pPr>
      <w:r w:rsidRPr="0000461C">
        <w:rPr>
          <w:rFonts w:eastAsia="Helvetica Neue" w:cs="Times New Roman"/>
          <w:i/>
          <w:color w:val="000000" w:themeColor="text1"/>
        </w:rPr>
        <w:t>Custom adoption scenario six</w:t>
      </w:r>
      <w:r w:rsidR="009551F5">
        <w:rPr>
          <w:rFonts w:eastAsia="Helvetica Neue" w:cs="Times New Roman"/>
          <w:i/>
          <w:color w:val="000000" w:themeColor="text1"/>
        </w:rPr>
        <w:t xml:space="preserve"> “Low</w:t>
      </w:r>
      <w:r w:rsidR="009551F5" w:rsidRPr="009551F5">
        <w:rPr>
          <w:rFonts w:eastAsia="Helvetica Neue" w:cs="Times New Roman"/>
          <w:i/>
          <w:color w:val="000000" w:themeColor="text1"/>
        </w:rPr>
        <w:t xml:space="preserve"> adoption and low degradation rate</w:t>
      </w:r>
      <w:r w:rsidR="009551F5">
        <w:rPr>
          <w:rFonts w:eastAsia="Helvetica Neue" w:cs="Times New Roman"/>
          <w:i/>
          <w:color w:val="000000" w:themeColor="text1"/>
        </w:rPr>
        <w:t>”</w:t>
      </w:r>
      <w:r w:rsidR="009551F5" w:rsidRPr="00C803E7">
        <w:rPr>
          <w:rFonts w:eastAsia="Helvetica Neue" w:cs="Times New Roman"/>
          <w:color w:val="000000" w:themeColor="text1"/>
        </w:rPr>
        <w:t xml:space="preserve">:  </w:t>
      </w:r>
      <w:r w:rsidR="009551F5" w:rsidRPr="0000461C">
        <w:rPr>
          <w:rFonts w:eastAsia="Helvetica Neue" w:cs="Times New Roman"/>
          <w:color w:val="000000" w:themeColor="text1"/>
        </w:rPr>
        <w:t xml:space="preserve">In this scenario, </w:t>
      </w:r>
      <w:r w:rsidR="009551F5">
        <w:rPr>
          <w:rFonts w:eastAsia="Helvetica Neue" w:cs="Times New Roman"/>
          <w:color w:val="000000" w:themeColor="text1"/>
        </w:rPr>
        <w:t>there is a 0.55% yearly increase in forest protected area and the unprotected forest area is affected by the low degradation rate which decreases from 0.47% in 2014 to zero from 2030 onwards</w:t>
      </w:r>
      <w:r w:rsidR="009551F5" w:rsidRPr="0000461C">
        <w:rPr>
          <w:rFonts w:eastAsia="Helvetica Neue" w:cs="Times New Roman"/>
          <w:color w:val="000000" w:themeColor="text1"/>
        </w:rPr>
        <w:t>.</w:t>
      </w:r>
    </w:p>
    <w:p w14:paraId="4AE13C22" w14:textId="28FDE140" w:rsidR="009551F5" w:rsidRPr="0000461C" w:rsidRDefault="009551F5" w:rsidP="004F0A58">
      <w:pPr>
        <w:numPr>
          <w:ilvl w:val="0"/>
          <w:numId w:val="4"/>
        </w:numPr>
        <w:shd w:val="clear" w:color="auto" w:fill="FFFFFF"/>
        <w:spacing w:after="180"/>
        <w:contextualSpacing/>
        <w:rPr>
          <w:rFonts w:eastAsia="Helvetica Neue" w:cs="Times New Roman"/>
          <w:color w:val="000000" w:themeColor="text1"/>
        </w:rPr>
      </w:pPr>
      <w:r w:rsidRPr="0000461C">
        <w:rPr>
          <w:rFonts w:eastAsia="Helvetica Neue" w:cs="Times New Roman"/>
          <w:i/>
          <w:color w:val="000000" w:themeColor="text1"/>
        </w:rPr>
        <w:t xml:space="preserve">Custom adoption scenario </w:t>
      </w:r>
      <w:r>
        <w:rPr>
          <w:rFonts w:eastAsia="Helvetica Neue" w:cs="Times New Roman"/>
          <w:i/>
          <w:color w:val="000000" w:themeColor="text1"/>
        </w:rPr>
        <w:t>seven</w:t>
      </w:r>
      <w:r w:rsidR="00482797">
        <w:rPr>
          <w:rFonts w:eastAsia="Helvetica Neue" w:cs="Times New Roman"/>
          <w:i/>
          <w:color w:val="000000" w:themeColor="text1"/>
        </w:rPr>
        <w:t xml:space="preserve"> “</w:t>
      </w:r>
      <w:r w:rsidR="00482797" w:rsidRPr="00482797">
        <w:rPr>
          <w:rFonts w:eastAsia="Helvetica Neue" w:cs="Times New Roman"/>
          <w:i/>
          <w:color w:val="000000" w:themeColor="text1"/>
        </w:rPr>
        <w:t>100% conservative degradation TLA in 2030</w:t>
      </w:r>
      <w:r w:rsidR="00482797">
        <w:rPr>
          <w:rFonts w:eastAsia="Helvetica Neue" w:cs="Times New Roman"/>
          <w:i/>
          <w:color w:val="000000" w:themeColor="text1"/>
        </w:rPr>
        <w:t>”</w:t>
      </w:r>
      <w:r w:rsidRPr="0000461C">
        <w:rPr>
          <w:rFonts w:eastAsia="Helvetica Neue" w:cs="Times New Roman"/>
          <w:color w:val="000000" w:themeColor="text1"/>
        </w:rPr>
        <w:t xml:space="preserve">: In this scenario, </w:t>
      </w:r>
      <w:r>
        <w:rPr>
          <w:rFonts w:eastAsia="Helvetica Neue" w:cs="Times New Roman"/>
          <w:color w:val="000000" w:themeColor="text1"/>
        </w:rPr>
        <w:t xml:space="preserve">there is a </w:t>
      </w:r>
      <w:r w:rsidR="00A8257A">
        <w:rPr>
          <w:rFonts w:eastAsia="Helvetica Neue" w:cs="Times New Roman"/>
          <w:color w:val="000000" w:themeColor="text1"/>
        </w:rPr>
        <w:t>l</w:t>
      </w:r>
      <w:r w:rsidR="00A8257A" w:rsidRPr="00A8257A">
        <w:rPr>
          <w:rFonts w:eastAsia="Helvetica Neue" w:cs="Times New Roman"/>
          <w:color w:val="000000" w:themeColor="text1"/>
        </w:rPr>
        <w:t>inear increase up to 100% of TLA value</w:t>
      </w:r>
      <w:r w:rsidR="00A8257A">
        <w:rPr>
          <w:rFonts w:eastAsia="Helvetica Neue" w:cs="Times New Roman"/>
          <w:color w:val="000000" w:themeColor="text1"/>
        </w:rPr>
        <w:t xml:space="preserve"> in 2050 reached</w:t>
      </w:r>
      <w:r w:rsidR="00A8257A" w:rsidRPr="00A8257A">
        <w:rPr>
          <w:rFonts w:eastAsia="Helvetica Neue" w:cs="Times New Roman"/>
          <w:color w:val="000000" w:themeColor="text1"/>
        </w:rPr>
        <w:t xml:space="preserve"> in 2030 (calculated with the conservative degradation rate)</w:t>
      </w:r>
      <w:r w:rsidRPr="0000461C">
        <w:rPr>
          <w:rFonts w:eastAsia="Helvetica Neue" w:cs="Times New Roman"/>
          <w:color w:val="000000" w:themeColor="text1"/>
        </w:rPr>
        <w:t>.</w:t>
      </w:r>
    </w:p>
    <w:p w14:paraId="3DCCB9D8" w14:textId="319F9A07" w:rsidR="009551F5" w:rsidRPr="0000461C" w:rsidRDefault="009551F5" w:rsidP="004F0A58">
      <w:pPr>
        <w:numPr>
          <w:ilvl w:val="0"/>
          <w:numId w:val="4"/>
        </w:numPr>
        <w:shd w:val="clear" w:color="auto" w:fill="FFFFFF"/>
        <w:spacing w:after="180"/>
        <w:contextualSpacing/>
        <w:rPr>
          <w:rFonts w:eastAsia="Helvetica Neue" w:cs="Times New Roman"/>
          <w:color w:val="000000" w:themeColor="text1"/>
        </w:rPr>
      </w:pPr>
      <w:r w:rsidRPr="0000461C">
        <w:rPr>
          <w:rFonts w:eastAsia="Helvetica Neue" w:cs="Times New Roman"/>
          <w:i/>
          <w:color w:val="000000" w:themeColor="text1"/>
        </w:rPr>
        <w:t xml:space="preserve">Custom adoption scenario </w:t>
      </w:r>
      <w:r w:rsidR="00A8257A">
        <w:rPr>
          <w:rFonts w:eastAsia="Helvetica Neue" w:cs="Times New Roman"/>
          <w:i/>
          <w:color w:val="000000" w:themeColor="text1"/>
        </w:rPr>
        <w:t>eight</w:t>
      </w:r>
      <w:r>
        <w:rPr>
          <w:rFonts w:eastAsia="Helvetica Neue" w:cs="Times New Roman"/>
          <w:i/>
          <w:color w:val="000000" w:themeColor="text1"/>
        </w:rPr>
        <w:t xml:space="preserve"> </w:t>
      </w:r>
      <w:r w:rsidR="00A8257A">
        <w:rPr>
          <w:rFonts w:eastAsia="Helvetica Neue" w:cs="Times New Roman"/>
          <w:i/>
          <w:color w:val="000000" w:themeColor="text1"/>
        </w:rPr>
        <w:t>“9</w:t>
      </w:r>
      <w:r w:rsidR="00A8257A" w:rsidRPr="00482797">
        <w:rPr>
          <w:rFonts w:eastAsia="Helvetica Neue" w:cs="Times New Roman"/>
          <w:i/>
          <w:color w:val="000000" w:themeColor="text1"/>
        </w:rPr>
        <w:t>0% conservative degradation TLA in 2030</w:t>
      </w:r>
      <w:r w:rsidR="00A8257A">
        <w:rPr>
          <w:rFonts w:eastAsia="Helvetica Neue" w:cs="Times New Roman"/>
          <w:i/>
          <w:color w:val="000000" w:themeColor="text1"/>
        </w:rPr>
        <w:t>”</w:t>
      </w:r>
      <w:r w:rsidR="00A8257A" w:rsidRPr="0000461C">
        <w:rPr>
          <w:rFonts w:eastAsia="Helvetica Neue" w:cs="Times New Roman"/>
          <w:color w:val="000000" w:themeColor="text1"/>
        </w:rPr>
        <w:t xml:space="preserve">: In this scenario, </w:t>
      </w:r>
      <w:r w:rsidR="00A8257A">
        <w:rPr>
          <w:rFonts w:eastAsia="Helvetica Neue" w:cs="Times New Roman"/>
          <w:color w:val="000000" w:themeColor="text1"/>
        </w:rPr>
        <w:t>there is a l</w:t>
      </w:r>
      <w:r w:rsidR="00A8257A" w:rsidRPr="00A8257A">
        <w:rPr>
          <w:rFonts w:eastAsia="Helvetica Neue" w:cs="Times New Roman"/>
          <w:color w:val="000000" w:themeColor="text1"/>
        </w:rPr>
        <w:t xml:space="preserve">inear increase up to </w:t>
      </w:r>
      <w:r w:rsidR="00A8257A">
        <w:rPr>
          <w:rFonts w:eastAsia="Helvetica Neue" w:cs="Times New Roman"/>
          <w:color w:val="000000" w:themeColor="text1"/>
        </w:rPr>
        <w:t>9</w:t>
      </w:r>
      <w:r w:rsidR="00A8257A" w:rsidRPr="00A8257A">
        <w:rPr>
          <w:rFonts w:eastAsia="Helvetica Neue" w:cs="Times New Roman"/>
          <w:color w:val="000000" w:themeColor="text1"/>
        </w:rPr>
        <w:t>0% of TLA value</w:t>
      </w:r>
      <w:r w:rsidR="00A8257A">
        <w:rPr>
          <w:rFonts w:eastAsia="Helvetica Neue" w:cs="Times New Roman"/>
          <w:color w:val="000000" w:themeColor="text1"/>
        </w:rPr>
        <w:t xml:space="preserve"> in 2050 reached</w:t>
      </w:r>
      <w:r w:rsidR="00A8257A" w:rsidRPr="00A8257A">
        <w:rPr>
          <w:rFonts w:eastAsia="Helvetica Neue" w:cs="Times New Roman"/>
          <w:color w:val="000000" w:themeColor="text1"/>
        </w:rPr>
        <w:t xml:space="preserve"> in 2030 (calculated with the conservative degradation rate)</w:t>
      </w:r>
      <w:r w:rsidR="00A8257A" w:rsidRPr="0000461C">
        <w:rPr>
          <w:rFonts w:eastAsia="Helvetica Neue" w:cs="Times New Roman"/>
          <w:color w:val="000000" w:themeColor="text1"/>
        </w:rPr>
        <w:t>.</w:t>
      </w:r>
    </w:p>
    <w:p w14:paraId="31595D99" w14:textId="3CC1C78E" w:rsidR="00A8257A" w:rsidRPr="0000461C" w:rsidRDefault="00A8257A" w:rsidP="004F0A58">
      <w:pPr>
        <w:numPr>
          <w:ilvl w:val="0"/>
          <w:numId w:val="4"/>
        </w:numPr>
        <w:shd w:val="clear" w:color="auto" w:fill="FFFFFF"/>
        <w:spacing w:after="180"/>
        <w:contextualSpacing/>
        <w:rPr>
          <w:rFonts w:eastAsia="Helvetica Neue" w:cs="Times New Roman"/>
          <w:color w:val="000000" w:themeColor="text1"/>
        </w:rPr>
      </w:pPr>
      <w:r w:rsidRPr="0000461C">
        <w:rPr>
          <w:rFonts w:eastAsia="Helvetica Neue" w:cs="Times New Roman"/>
          <w:i/>
          <w:color w:val="000000" w:themeColor="text1"/>
        </w:rPr>
        <w:t xml:space="preserve">Custom adoption scenario </w:t>
      </w:r>
      <w:r>
        <w:rPr>
          <w:rFonts w:eastAsia="Helvetica Neue" w:cs="Times New Roman"/>
          <w:i/>
          <w:color w:val="000000" w:themeColor="text1"/>
        </w:rPr>
        <w:t>nine “</w:t>
      </w:r>
      <w:r w:rsidRPr="00482797">
        <w:rPr>
          <w:rFonts w:eastAsia="Helvetica Neue" w:cs="Times New Roman"/>
          <w:i/>
          <w:color w:val="000000" w:themeColor="text1"/>
        </w:rPr>
        <w:t xml:space="preserve">100% </w:t>
      </w:r>
      <w:r>
        <w:rPr>
          <w:rFonts w:eastAsia="Helvetica Neue" w:cs="Times New Roman"/>
          <w:i/>
          <w:color w:val="000000" w:themeColor="text1"/>
        </w:rPr>
        <w:t>low</w:t>
      </w:r>
      <w:r w:rsidRPr="00482797">
        <w:rPr>
          <w:rFonts w:eastAsia="Helvetica Neue" w:cs="Times New Roman"/>
          <w:i/>
          <w:color w:val="000000" w:themeColor="text1"/>
        </w:rPr>
        <w:t xml:space="preserve"> degradation TLA in 2030</w:t>
      </w:r>
      <w:r>
        <w:rPr>
          <w:rFonts w:eastAsia="Helvetica Neue" w:cs="Times New Roman"/>
          <w:i/>
          <w:color w:val="000000" w:themeColor="text1"/>
        </w:rPr>
        <w:t>”</w:t>
      </w:r>
      <w:r w:rsidRPr="0000461C">
        <w:rPr>
          <w:rFonts w:eastAsia="Helvetica Neue" w:cs="Times New Roman"/>
          <w:color w:val="000000" w:themeColor="text1"/>
        </w:rPr>
        <w:t xml:space="preserve">: In this scenario, </w:t>
      </w:r>
      <w:r>
        <w:rPr>
          <w:rFonts w:eastAsia="Helvetica Neue" w:cs="Times New Roman"/>
          <w:color w:val="000000" w:themeColor="text1"/>
        </w:rPr>
        <w:t>there is a l</w:t>
      </w:r>
      <w:r w:rsidRPr="00A8257A">
        <w:rPr>
          <w:rFonts w:eastAsia="Helvetica Neue" w:cs="Times New Roman"/>
          <w:color w:val="000000" w:themeColor="text1"/>
        </w:rPr>
        <w:t>inear increase up to 100% of TLA value</w:t>
      </w:r>
      <w:r>
        <w:rPr>
          <w:rFonts w:eastAsia="Helvetica Neue" w:cs="Times New Roman"/>
          <w:color w:val="000000" w:themeColor="text1"/>
        </w:rPr>
        <w:t xml:space="preserve"> in 2050 reached</w:t>
      </w:r>
      <w:r w:rsidRPr="00A8257A">
        <w:rPr>
          <w:rFonts w:eastAsia="Helvetica Neue" w:cs="Times New Roman"/>
          <w:color w:val="000000" w:themeColor="text1"/>
        </w:rPr>
        <w:t xml:space="preserve"> in 2030 (calculated with the </w:t>
      </w:r>
      <w:r>
        <w:rPr>
          <w:rFonts w:eastAsia="Helvetica Neue" w:cs="Times New Roman"/>
          <w:color w:val="000000" w:themeColor="text1"/>
        </w:rPr>
        <w:t>low</w:t>
      </w:r>
      <w:r w:rsidRPr="00A8257A">
        <w:rPr>
          <w:rFonts w:eastAsia="Helvetica Neue" w:cs="Times New Roman"/>
          <w:color w:val="000000" w:themeColor="text1"/>
        </w:rPr>
        <w:t xml:space="preserve"> degradation rate)</w:t>
      </w:r>
      <w:r w:rsidRPr="0000461C">
        <w:rPr>
          <w:rFonts w:eastAsia="Helvetica Neue" w:cs="Times New Roman"/>
          <w:color w:val="000000" w:themeColor="text1"/>
        </w:rPr>
        <w:t>.</w:t>
      </w:r>
    </w:p>
    <w:p w14:paraId="4C688542" w14:textId="2F66594C" w:rsidR="00A8257A" w:rsidRPr="0000461C" w:rsidRDefault="00A8257A" w:rsidP="004F0A58">
      <w:pPr>
        <w:numPr>
          <w:ilvl w:val="0"/>
          <w:numId w:val="4"/>
        </w:numPr>
        <w:shd w:val="clear" w:color="auto" w:fill="FFFFFF"/>
        <w:spacing w:after="180"/>
        <w:contextualSpacing/>
        <w:rPr>
          <w:rFonts w:eastAsia="Helvetica Neue" w:cs="Times New Roman"/>
          <w:color w:val="000000" w:themeColor="text1"/>
        </w:rPr>
      </w:pPr>
      <w:r w:rsidRPr="0000461C">
        <w:rPr>
          <w:rFonts w:eastAsia="Helvetica Neue" w:cs="Times New Roman"/>
          <w:i/>
          <w:color w:val="000000" w:themeColor="text1"/>
        </w:rPr>
        <w:t xml:space="preserve">Custom adoption scenario </w:t>
      </w:r>
      <w:r>
        <w:rPr>
          <w:rFonts w:eastAsia="Helvetica Neue" w:cs="Times New Roman"/>
          <w:i/>
          <w:color w:val="000000" w:themeColor="text1"/>
        </w:rPr>
        <w:t>ten “9</w:t>
      </w:r>
      <w:r w:rsidRPr="00482797">
        <w:rPr>
          <w:rFonts w:eastAsia="Helvetica Neue" w:cs="Times New Roman"/>
          <w:i/>
          <w:color w:val="000000" w:themeColor="text1"/>
        </w:rPr>
        <w:t>0% conservative degradation TLA in 2030</w:t>
      </w:r>
      <w:r>
        <w:rPr>
          <w:rFonts w:eastAsia="Helvetica Neue" w:cs="Times New Roman"/>
          <w:i/>
          <w:color w:val="000000" w:themeColor="text1"/>
        </w:rPr>
        <w:t>”</w:t>
      </w:r>
      <w:r w:rsidRPr="0000461C">
        <w:rPr>
          <w:rFonts w:eastAsia="Helvetica Neue" w:cs="Times New Roman"/>
          <w:color w:val="000000" w:themeColor="text1"/>
        </w:rPr>
        <w:t xml:space="preserve">: In this scenario, </w:t>
      </w:r>
      <w:r>
        <w:rPr>
          <w:rFonts w:eastAsia="Helvetica Neue" w:cs="Times New Roman"/>
          <w:color w:val="000000" w:themeColor="text1"/>
        </w:rPr>
        <w:t>there is a l</w:t>
      </w:r>
      <w:r w:rsidRPr="00A8257A">
        <w:rPr>
          <w:rFonts w:eastAsia="Helvetica Neue" w:cs="Times New Roman"/>
          <w:color w:val="000000" w:themeColor="text1"/>
        </w:rPr>
        <w:t xml:space="preserve">inear increase up to </w:t>
      </w:r>
      <w:r>
        <w:rPr>
          <w:rFonts w:eastAsia="Helvetica Neue" w:cs="Times New Roman"/>
          <w:color w:val="000000" w:themeColor="text1"/>
        </w:rPr>
        <w:t>9</w:t>
      </w:r>
      <w:r w:rsidRPr="00A8257A">
        <w:rPr>
          <w:rFonts w:eastAsia="Helvetica Neue" w:cs="Times New Roman"/>
          <w:color w:val="000000" w:themeColor="text1"/>
        </w:rPr>
        <w:t>0% of TLA value</w:t>
      </w:r>
      <w:r>
        <w:rPr>
          <w:rFonts w:eastAsia="Helvetica Neue" w:cs="Times New Roman"/>
          <w:color w:val="000000" w:themeColor="text1"/>
        </w:rPr>
        <w:t xml:space="preserve"> in 2050 reached</w:t>
      </w:r>
      <w:r w:rsidRPr="00A8257A">
        <w:rPr>
          <w:rFonts w:eastAsia="Helvetica Neue" w:cs="Times New Roman"/>
          <w:color w:val="000000" w:themeColor="text1"/>
        </w:rPr>
        <w:t xml:space="preserve"> in 2030 (calculated with the </w:t>
      </w:r>
      <w:r>
        <w:rPr>
          <w:rFonts w:eastAsia="Helvetica Neue" w:cs="Times New Roman"/>
          <w:color w:val="000000" w:themeColor="text1"/>
        </w:rPr>
        <w:t>low</w:t>
      </w:r>
      <w:r w:rsidRPr="00A8257A">
        <w:rPr>
          <w:rFonts w:eastAsia="Helvetica Neue" w:cs="Times New Roman"/>
          <w:color w:val="000000" w:themeColor="text1"/>
        </w:rPr>
        <w:t xml:space="preserve"> degradation rate)</w:t>
      </w:r>
      <w:r w:rsidRPr="0000461C">
        <w:rPr>
          <w:rFonts w:eastAsia="Helvetica Neue" w:cs="Times New Roman"/>
          <w:color w:val="000000" w:themeColor="text1"/>
        </w:rPr>
        <w:t>.</w:t>
      </w:r>
    </w:p>
    <w:p w14:paraId="5EBD2374" w14:textId="1DF0FD9B" w:rsidR="006B7C0F" w:rsidRPr="0000461C" w:rsidRDefault="006B7C0F" w:rsidP="00381321">
      <w:pPr>
        <w:shd w:val="clear" w:color="auto" w:fill="FFFFFF"/>
        <w:spacing w:after="180"/>
        <w:rPr>
          <w:rFonts w:eastAsia="Helvetica Neue" w:cs="Times New Roman"/>
          <w:color w:val="000000" w:themeColor="text1"/>
        </w:rPr>
      </w:pPr>
      <w:r w:rsidRPr="0000461C">
        <w:rPr>
          <w:rFonts w:eastAsia="Helvetica Neue" w:cs="Times New Roman"/>
          <w:color w:val="000000" w:themeColor="text1"/>
        </w:rPr>
        <w:t>Impacts of increased adoption of </w:t>
      </w:r>
      <w:r w:rsidRPr="0000461C">
        <w:rPr>
          <w:rFonts w:eastAsia="Helvetica Neue" w:cs="Times New Roman"/>
          <w:i/>
          <w:color w:val="000000" w:themeColor="text1"/>
        </w:rPr>
        <w:t>forest protection </w:t>
      </w:r>
      <w:r w:rsidRPr="0000461C">
        <w:rPr>
          <w:rFonts w:eastAsia="Helvetica Neue" w:cs="Times New Roman"/>
          <w:color w:val="000000" w:themeColor="text1"/>
        </w:rPr>
        <w:t>from 2020-2050 were generated based on three growth scenarios, which were assessed in comparison to a </w:t>
      </w:r>
      <w:r w:rsidRPr="0000461C">
        <w:rPr>
          <w:rFonts w:eastAsia="Helvetica Neue" w:cs="Times New Roman"/>
          <w:i/>
          <w:color w:val="000000" w:themeColor="text1"/>
        </w:rPr>
        <w:t>Reference </w:t>
      </w:r>
      <w:r w:rsidRPr="0000461C">
        <w:rPr>
          <w:rFonts w:eastAsia="Helvetica Neue" w:cs="Times New Roman"/>
          <w:color w:val="000000" w:themeColor="text1"/>
        </w:rPr>
        <w:t>Scenario where the solution’s market share was fixed at the current levels.</w:t>
      </w:r>
    </w:p>
    <w:p w14:paraId="5BB095A5" w14:textId="7DA8D5B9" w:rsidR="000875B5" w:rsidRDefault="004912EE" w:rsidP="004912EE">
      <w:pPr>
        <w:pStyle w:val="Heading3"/>
        <w:numPr>
          <w:ilvl w:val="0"/>
          <w:numId w:val="0"/>
        </w:numPr>
        <w:ind w:left="720" w:hanging="720"/>
      </w:pPr>
      <w:bookmarkStart w:id="29" w:name="_Toc18240005"/>
      <w:bookmarkEnd w:id="28"/>
      <w:r>
        <w:lastRenderedPageBreak/>
        <w:t xml:space="preserve">2.4.1 </w:t>
      </w:r>
      <w:r w:rsidR="000875B5">
        <w:t>Reference Case / Current Adoption</w:t>
      </w:r>
      <w:r w:rsidR="004147AB">
        <w:rPr>
          <w:rStyle w:val="FootnoteReference"/>
        </w:rPr>
        <w:footnoteReference w:id="2"/>
      </w:r>
      <w:bookmarkEnd w:id="29"/>
    </w:p>
    <w:p w14:paraId="7ABF145F" w14:textId="445CFA0B" w:rsidR="00722A53" w:rsidRPr="00762E8A" w:rsidRDefault="00722A53" w:rsidP="00381321">
      <w:pPr>
        <w:rPr>
          <w:color w:val="9F2936"/>
        </w:rPr>
      </w:pPr>
      <w:r w:rsidRPr="00722A53">
        <w:rPr>
          <w:rFonts w:eastAsia="Helvetica Neue" w:cs="Times New Roman"/>
          <w:color w:val="000000" w:themeColor="text1"/>
          <w:highlight w:val="white"/>
        </w:rPr>
        <w:t>Current adoption of </w:t>
      </w:r>
      <w:r w:rsidRPr="00722A53">
        <w:rPr>
          <w:rFonts w:eastAsia="Helvetica Neue" w:cs="Times New Roman"/>
          <w:i/>
          <w:color w:val="000000" w:themeColor="text1"/>
          <w:highlight w:val="white"/>
        </w:rPr>
        <w:t>forest protection</w:t>
      </w:r>
      <w:r w:rsidRPr="00722A53">
        <w:rPr>
          <w:rFonts w:eastAsia="Helvetica Neue" w:cs="Times New Roman"/>
          <w:color w:val="000000" w:themeColor="text1"/>
          <w:highlight w:val="white"/>
        </w:rPr>
        <w:t> is 651.0 million hectares (</w:t>
      </w:r>
      <w:proofErr w:type="spellStart"/>
      <w:r w:rsidRPr="00722A53">
        <w:rPr>
          <w:rFonts w:eastAsia="Helvetica Neue" w:cs="Times New Roman"/>
          <w:color w:val="000000" w:themeColor="text1"/>
          <w:highlight w:val="white"/>
        </w:rPr>
        <w:t>MacDicken</w:t>
      </w:r>
      <w:proofErr w:type="spellEnd"/>
      <w:r w:rsidRPr="00722A53">
        <w:rPr>
          <w:rFonts w:eastAsia="Helvetica Neue" w:cs="Times New Roman"/>
          <w:color w:val="000000" w:themeColor="text1"/>
          <w:highlight w:val="white"/>
        </w:rPr>
        <w:t xml:space="preserve"> et. al., 2015).</w:t>
      </w:r>
    </w:p>
    <w:p w14:paraId="2FE0BC9D" w14:textId="6D62248C" w:rsidR="000875B5" w:rsidRPr="00D2050B" w:rsidRDefault="004912EE" w:rsidP="004912EE">
      <w:pPr>
        <w:pStyle w:val="Heading3"/>
        <w:numPr>
          <w:ilvl w:val="0"/>
          <w:numId w:val="0"/>
        </w:numPr>
        <w:ind w:left="720" w:hanging="720"/>
      </w:pPr>
      <w:bookmarkStart w:id="30" w:name="_Toc18240006"/>
      <w:r>
        <w:t xml:space="preserve">2.4.2 </w:t>
      </w:r>
      <w:r w:rsidR="00D2050B" w:rsidRPr="00D2050B">
        <w:t>Project Drawdown</w:t>
      </w:r>
      <w:r w:rsidR="000875B5" w:rsidRPr="00D2050B">
        <w:t xml:space="preserve"> Scenarios</w:t>
      </w:r>
      <w:bookmarkEnd w:id="30"/>
    </w:p>
    <w:p w14:paraId="006DA369" w14:textId="218DD299" w:rsidR="005A6986" w:rsidRPr="005A6986" w:rsidRDefault="000875B5" w:rsidP="00381321">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p>
    <w:p w14:paraId="4DCFB02E" w14:textId="77777777" w:rsidR="00A15A1F" w:rsidRDefault="00AC493E" w:rsidP="00A3451A">
      <w:pPr>
        <w:pStyle w:val="Heading4"/>
        <w:rPr>
          <w:rFonts w:ascii="Times New Roman" w:eastAsia="Helvetica Neue" w:hAnsi="Times New Roman" w:cs="Times New Roman"/>
          <w:b w:val="0"/>
          <w:i w:val="0"/>
          <w:color w:val="000000" w:themeColor="text1"/>
        </w:rPr>
      </w:pPr>
      <w:bookmarkStart w:id="31" w:name="_Toc507486009"/>
      <w:r w:rsidRPr="004B4939">
        <w:t>Plausible Scenario</w:t>
      </w:r>
      <w:bookmarkEnd w:id="31"/>
      <w:r w:rsidR="00FB2C53">
        <w:t xml:space="preserve"> -  </w:t>
      </w:r>
      <w:bookmarkStart w:id="32" w:name="_Toc507486010"/>
      <w:r w:rsidR="00A15A1F" w:rsidRPr="00A15A1F">
        <w:rPr>
          <w:rFonts w:ascii="Times New Roman" w:eastAsia="Helvetica Neue" w:hAnsi="Times New Roman" w:cs="Times New Roman"/>
          <w:b w:val="0"/>
          <w:i w:val="0"/>
          <w:color w:val="000000" w:themeColor="text1"/>
        </w:rPr>
        <w:t>A conservative approach is adopted for the plausible scenario, and future growth of the solution is estimated based on the “average of all” custom adoption scenarios as listed above.</w:t>
      </w:r>
    </w:p>
    <w:p w14:paraId="63A69AC2" w14:textId="3160B642" w:rsidR="00A3451A" w:rsidRPr="00A3451A" w:rsidRDefault="00AC493E" w:rsidP="00A3451A">
      <w:pPr>
        <w:pStyle w:val="Heading4"/>
        <w:rPr>
          <w:rFonts w:ascii="Times New Roman" w:eastAsiaTheme="minorEastAsia" w:hAnsi="Times New Roman" w:cstheme="minorBidi"/>
          <w:b w:val="0"/>
          <w:bCs w:val="0"/>
          <w:i w:val="0"/>
          <w:iCs w:val="0"/>
          <w:color w:val="auto"/>
          <w:highlight w:val="yellow"/>
        </w:rPr>
      </w:pPr>
      <w:r w:rsidRPr="004B4939">
        <w:t>Drawdown Scenario</w:t>
      </w:r>
      <w:bookmarkEnd w:id="32"/>
      <w:r w:rsidR="00FB2C53">
        <w:t xml:space="preserve"> </w:t>
      </w:r>
      <w:r w:rsidR="00A3451A">
        <w:t>–</w:t>
      </w:r>
      <w:r w:rsidR="00FB2C53">
        <w:t xml:space="preserve"> </w:t>
      </w:r>
      <w:r w:rsidR="00A15A1F" w:rsidRPr="00A15A1F">
        <w:rPr>
          <w:rFonts w:ascii="Times New Roman" w:eastAsia="Helvetica Neue" w:hAnsi="Times New Roman" w:cs="Times New Roman"/>
          <w:b w:val="0"/>
          <w:i w:val="0"/>
          <w:color w:val="auto"/>
        </w:rPr>
        <w:t xml:space="preserve">For the </w:t>
      </w:r>
      <w:r w:rsidR="00A15A1F">
        <w:rPr>
          <w:rFonts w:ascii="Times New Roman" w:eastAsia="Helvetica Neue" w:hAnsi="Times New Roman" w:cs="Times New Roman"/>
          <w:b w:val="0"/>
          <w:i w:val="0"/>
          <w:color w:val="auto"/>
        </w:rPr>
        <w:t>drawdown</w:t>
      </w:r>
      <w:r w:rsidR="00A15A1F" w:rsidRPr="00A15A1F">
        <w:rPr>
          <w:rFonts w:ascii="Times New Roman" w:eastAsia="Helvetica Neue" w:hAnsi="Times New Roman" w:cs="Times New Roman"/>
          <w:b w:val="0"/>
          <w:i w:val="0"/>
          <w:color w:val="auto"/>
        </w:rPr>
        <w:t xml:space="preserve"> scenario, </w:t>
      </w:r>
      <w:r w:rsidR="00A15A1F">
        <w:rPr>
          <w:rFonts w:ascii="Times New Roman" w:eastAsia="Helvetica Neue" w:hAnsi="Times New Roman" w:cs="Times New Roman"/>
          <w:b w:val="0"/>
          <w:i w:val="0"/>
          <w:color w:val="auto"/>
        </w:rPr>
        <w:t>highly</w:t>
      </w:r>
      <w:r w:rsidR="00A15A1F" w:rsidRPr="00A15A1F">
        <w:rPr>
          <w:rFonts w:ascii="Times New Roman" w:eastAsia="Helvetica Neue" w:hAnsi="Times New Roman" w:cs="Times New Roman"/>
          <w:b w:val="0"/>
          <w:i w:val="0"/>
          <w:color w:val="auto"/>
        </w:rPr>
        <w:t xml:space="preserve"> ambitious approach is adopted, and future growth of the solution is estimated based on the “</w:t>
      </w:r>
      <w:r w:rsidR="00A15A1F">
        <w:rPr>
          <w:rFonts w:ascii="Times New Roman" w:eastAsia="Helvetica Neue" w:hAnsi="Times New Roman" w:cs="Times New Roman"/>
          <w:b w:val="0"/>
          <w:i w:val="0"/>
          <w:color w:val="auto"/>
        </w:rPr>
        <w:t>custom adoption scenario 4</w:t>
      </w:r>
      <w:r w:rsidR="00A15A1F" w:rsidRPr="00A15A1F">
        <w:rPr>
          <w:rFonts w:ascii="Times New Roman" w:eastAsia="Helvetica Neue" w:hAnsi="Times New Roman" w:cs="Times New Roman"/>
          <w:b w:val="0"/>
          <w:i w:val="0"/>
          <w:color w:val="auto"/>
        </w:rPr>
        <w:t>”</w:t>
      </w:r>
      <w:r w:rsidR="00A15A1F">
        <w:rPr>
          <w:rFonts w:ascii="Times New Roman" w:eastAsia="Helvetica Neue" w:hAnsi="Times New Roman" w:cs="Times New Roman"/>
          <w:b w:val="0"/>
          <w:i w:val="0"/>
          <w:color w:val="auto"/>
        </w:rPr>
        <w:t>, scenario with high adoption and low degradation rate.</w:t>
      </w:r>
    </w:p>
    <w:p w14:paraId="73045A07" w14:textId="268F7CA9" w:rsidR="00A3451A" w:rsidRPr="00A3451A" w:rsidRDefault="00AC493E" w:rsidP="00A3451A">
      <w:pPr>
        <w:pStyle w:val="Heading4"/>
      </w:pPr>
      <w:bookmarkStart w:id="33" w:name="_Toc507486011"/>
      <w:r w:rsidRPr="004B4939">
        <w:t>Optimum Scenario</w:t>
      </w:r>
      <w:bookmarkEnd w:id="33"/>
      <w:r w:rsidR="00FB2C53">
        <w:t xml:space="preserve"> - </w:t>
      </w:r>
      <w:r w:rsidR="00A15A1F" w:rsidRPr="00A15A1F">
        <w:rPr>
          <w:rFonts w:ascii="Times New Roman" w:eastAsia="Helvetica Neue" w:hAnsi="Times New Roman" w:cs="Times New Roman"/>
          <w:b w:val="0"/>
          <w:i w:val="0"/>
          <w:color w:val="auto"/>
        </w:rPr>
        <w:t xml:space="preserve">For the </w:t>
      </w:r>
      <w:r w:rsidR="00A15A1F">
        <w:rPr>
          <w:rFonts w:ascii="Times New Roman" w:eastAsia="Helvetica Neue" w:hAnsi="Times New Roman" w:cs="Times New Roman"/>
          <w:b w:val="0"/>
          <w:i w:val="0"/>
          <w:color w:val="auto"/>
        </w:rPr>
        <w:t>optimum</w:t>
      </w:r>
      <w:r w:rsidR="00A15A1F" w:rsidRPr="00A15A1F">
        <w:rPr>
          <w:rFonts w:ascii="Times New Roman" w:eastAsia="Helvetica Neue" w:hAnsi="Times New Roman" w:cs="Times New Roman"/>
          <w:b w:val="0"/>
          <w:i w:val="0"/>
          <w:color w:val="auto"/>
        </w:rPr>
        <w:t xml:space="preserve"> scenario, </w:t>
      </w:r>
      <w:r w:rsidR="00A15A1F">
        <w:rPr>
          <w:rFonts w:ascii="Times New Roman" w:eastAsia="Helvetica Neue" w:hAnsi="Times New Roman" w:cs="Times New Roman"/>
          <w:b w:val="0"/>
          <w:i w:val="0"/>
          <w:color w:val="auto"/>
        </w:rPr>
        <w:t>highly</w:t>
      </w:r>
      <w:r w:rsidR="00A15A1F" w:rsidRPr="00A15A1F">
        <w:rPr>
          <w:rFonts w:ascii="Times New Roman" w:eastAsia="Helvetica Neue" w:hAnsi="Times New Roman" w:cs="Times New Roman"/>
          <w:b w:val="0"/>
          <w:i w:val="0"/>
          <w:color w:val="auto"/>
        </w:rPr>
        <w:t xml:space="preserve"> ambitious approach is adopted, and future growth of the solution is estimated based on the “high of all” custom adoption scenarios as listed above.</w:t>
      </w:r>
    </w:p>
    <w:p w14:paraId="3FCA5D31" w14:textId="77777777" w:rsidR="004147AB" w:rsidRDefault="004147AB" w:rsidP="004147AB"/>
    <w:p w14:paraId="46242D66" w14:textId="3E789598" w:rsidR="004147AB" w:rsidRPr="008426F8" w:rsidRDefault="004147AB" w:rsidP="004147AB">
      <w:r w:rsidRPr="008426F8">
        <w:t>Note that even in most optimistic scenario, 100 percent pr</w:t>
      </w:r>
      <w:r>
        <w:t xml:space="preserve">otection of forest </w:t>
      </w:r>
      <w:r w:rsidRPr="008426F8">
        <w:t>is not possible as annual degradation continuous. Thus, to protect these important ecosystems aggressive adoption has been considered both during the drawdown and optimum scenarios.</w:t>
      </w:r>
    </w:p>
    <w:p w14:paraId="5B61B0F2" w14:textId="4DDEEF83" w:rsidR="00FB2C53" w:rsidRPr="00FB2C53" w:rsidRDefault="004912EE" w:rsidP="004912EE">
      <w:pPr>
        <w:pStyle w:val="Heading2"/>
        <w:numPr>
          <w:ilvl w:val="0"/>
          <w:numId w:val="0"/>
        </w:numPr>
      </w:pPr>
      <w:bookmarkStart w:id="34" w:name="_Toc18240007"/>
      <w:r>
        <w:t xml:space="preserve">2.5 </w:t>
      </w:r>
      <w:r w:rsidR="00686965">
        <w:t>Inputs</w:t>
      </w:r>
      <w:bookmarkEnd w:id="34"/>
    </w:p>
    <w:p w14:paraId="3EBCEF57" w14:textId="47F1979D" w:rsidR="00FB3AB3" w:rsidRDefault="004912EE" w:rsidP="004912EE">
      <w:pPr>
        <w:pStyle w:val="Heading3"/>
        <w:numPr>
          <w:ilvl w:val="0"/>
          <w:numId w:val="0"/>
        </w:numPr>
        <w:ind w:left="720" w:hanging="720"/>
      </w:pPr>
      <w:bookmarkStart w:id="35" w:name="_Toc18240008"/>
      <w:r>
        <w:t xml:space="preserve">2.5.1 </w:t>
      </w:r>
      <w:r w:rsidR="00686965">
        <w:t>Climate Inputs</w:t>
      </w:r>
      <w:bookmarkEnd w:id="35"/>
    </w:p>
    <w:p w14:paraId="06F98D52" w14:textId="59557BA1" w:rsidR="002E6BA6" w:rsidRPr="00BD3A68" w:rsidRDefault="002E6BA6" w:rsidP="00BD3A68">
      <w:pPr>
        <w:spacing w:after="0"/>
        <w:jc w:val="left"/>
        <w:rPr>
          <w:rFonts w:eastAsia="Times New Roman" w:cs="Times New Roman"/>
          <w:color w:val="000000" w:themeColor="text1"/>
        </w:rPr>
      </w:pPr>
      <w:r w:rsidRPr="00BD3A68">
        <w:rPr>
          <w:rFonts w:eastAsia="Helvetica Neue" w:cs="Times New Roman"/>
          <w:color w:val="000000" w:themeColor="text1"/>
          <w:highlight w:val="white"/>
        </w:rPr>
        <w:t xml:space="preserve">One-time emissions from deforestation </w:t>
      </w:r>
      <w:r w:rsidR="00215CF4">
        <w:rPr>
          <w:rFonts w:eastAsia="Helvetica Neue" w:cs="Times New Roman"/>
          <w:color w:val="000000" w:themeColor="text1"/>
          <w:highlight w:val="white"/>
        </w:rPr>
        <w:t>(above</w:t>
      </w:r>
      <w:r w:rsidR="00A15A1F">
        <w:rPr>
          <w:rFonts w:eastAsia="Helvetica Neue" w:cs="Times New Roman"/>
          <w:color w:val="000000" w:themeColor="text1"/>
          <w:highlight w:val="white"/>
        </w:rPr>
        <w:t xml:space="preserve"> and</w:t>
      </w:r>
      <w:r w:rsidR="00215CF4">
        <w:rPr>
          <w:rFonts w:eastAsia="Helvetica Neue" w:cs="Times New Roman"/>
          <w:color w:val="000000" w:themeColor="text1"/>
          <w:highlight w:val="white"/>
        </w:rPr>
        <w:t xml:space="preserve"> below- ground carbon) </w:t>
      </w:r>
      <w:r w:rsidRPr="00BD3A68">
        <w:rPr>
          <w:rFonts w:eastAsia="Helvetica Neue" w:cs="Times New Roman"/>
          <w:color w:val="000000" w:themeColor="text1"/>
          <w:highlight w:val="white"/>
        </w:rPr>
        <w:t xml:space="preserve">are set at </w:t>
      </w:r>
      <w:r w:rsidR="00A15A1F">
        <w:rPr>
          <w:rFonts w:eastAsia="Helvetica Neue" w:cs="Times New Roman"/>
          <w:color w:val="000000" w:themeColor="text1"/>
          <w:highlight w:val="white"/>
        </w:rPr>
        <w:t>280.87</w:t>
      </w:r>
      <w:r w:rsidR="00BD3A68">
        <w:rPr>
          <w:rFonts w:eastAsia="Helvetica Neue" w:cs="Times New Roman"/>
          <w:color w:val="000000" w:themeColor="text1"/>
          <w:highlight w:val="white"/>
        </w:rPr>
        <w:t xml:space="preserve"> </w:t>
      </w:r>
      <w:r w:rsidRPr="00BD3A68">
        <w:rPr>
          <w:rFonts w:eastAsia="Helvetica Neue" w:cs="Times New Roman"/>
          <w:color w:val="000000" w:themeColor="text1"/>
          <w:highlight w:val="white"/>
        </w:rPr>
        <w:t>tons of carbon dioxide-equivalent per hectare,</w:t>
      </w:r>
      <w:r w:rsidR="00A15A1F">
        <w:rPr>
          <w:rFonts w:eastAsia="Helvetica Neue" w:cs="Times New Roman"/>
          <w:color w:val="000000" w:themeColor="text1"/>
          <w:highlight w:val="white"/>
        </w:rPr>
        <w:t xml:space="preserve"> a low conservative estimate</w:t>
      </w:r>
      <w:r w:rsidRPr="00BD3A68">
        <w:rPr>
          <w:rFonts w:eastAsia="Helvetica Neue" w:cs="Times New Roman"/>
          <w:color w:val="000000" w:themeColor="text1"/>
          <w:highlight w:val="white"/>
        </w:rPr>
        <w:t xml:space="preserve"> based on meta-analysis of </w:t>
      </w:r>
      <w:r w:rsidR="00A15A1F">
        <w:rPr>
          <w:rFonts w:eastAsia="Helvetica Neue" w:cs="Times New Roman"/>
          <w:color w:val="000000" w:themeColor="text1"/>
          <w:highlight w:val="white"/>
        </w:rPr>
        <w:t>19</w:t>
      </w:r>
      <w:r w:rsidRPr="00BD3A68">
        <w:rPr>
          <w:rFonts w:eastAsia="Helvetica Neue" w:cs="Times New Roman"/>
          <w:color w:val="000000" w:themeColor="text1"/>
          <w:highlight w:val="white"/>
        </w:rPr>
        <w:t xml:space="preserve"> data points from </w:t>
      </w:r>
      <w:r w:rsidR="00215CF4">
        <w:rPr>
          <w:rFonts w:eastAsia="Helvetica Neue" w:cs="Times New Roman"/>
          <w:color w:val="000000" w:themeColor="text1"/>
          <w:highlight w:val="white"/>
        </w:rPr>
        <w:t>6</w:t>
      </w:r>
      <w:r w:rsidR="00F302A7">
        <w:rPr>
          <w:rFonts w:eastAsia="Helvetica Neue" w:cs="Times New Roman"/>
          <w:color w:val="000000" w:themeColor="text1"/>
          <w:highlight w:val="white"/>
        </w:rPr>
        <w:t xml:space="preserve"> </w:t>
      </w:r>
      <w:r w:rsidRPr="00BD3A68">
        <w:rPr>
          <w:rFonts w:eastAsia="Helvetica Neue" w:cs="Times New Roman"/>
          <w:color w:val="000000" w:themeColor="text1"/>
          <w:highlight w:val="white"/>
        </w:rPr>
        <w:t>source</w:t>
      </w:r>
      <w:r w:rsidR="00A15A1F">
        <w:rPr>
          <w:rFonts w:eastAsia="Helvetica Neue" w:cs="Times New Roman"/>
          <w:color w:val="000000" w:themeColor="text1"/>
        </w:rPr>
        <w:t>s was considered.</w:t>
      </w:r>
    </w:p>
    <w:p w14:paraId="7C0FD8B5" w14:textId="77777777" w:rsidR="002E6BA6" w:rsidRPr="002E6BA6" w:rsidRDefault="002E6BA6" w:rsidP="002E6BA6"/>
    <w:p w14:paraId="74F18E4C" w14:textId="77777777" w:rsidR="009432C9" w:rsidRDefault="009432C9" w:rsidP="00DB4CC8">
      <w:pPr>
        <w:pStyle w:val="Caption"/>
        <w:jc w:val="center"/>
      </w:pPr>
    </w:p>
    <w:p w14:paraId="2A133F81" w14:textId="77777777" w:rsidR="009432C9" w:rsidRDefault="009432C9" w:rsidP="00DB4CC8">
      <w:pPr>
        <w:pStyle w:val="Caption"/>
        <w:jc w:val="center"/>
      </w:pPr>
    </w:p>
    <w:p w14:paraId="7749F1BD" w14:textId="77777777" w:rsidR="009432C9" w:rsidRDefault="009432C9" w:rsidP="00DB4CC8">
      <w:pPr>
        <w:pStyle w:val="Caption"/>
        <w:jc w:val="center"/>
      </w:pPr>
    </w:p>
    <w:p w14:paraId="67ED68E5" w14:textId="3F77F049" w:rsidR="0021082B" w:rsidRPr="00FA5114" w:rsidRDefault="004F5425" w:rsidP="00DB4CC8">
      <w:pPr>
        <w:pStyle w:val="Caption"/>
        <w:jc w:val="center"/>
        <w:rPr>
          <w:b/>
          <w:bCs/>
          <w:color w:val="000000" w:themeColor="text1"/>
          <w:sz w:val="20"/>
          <w:szCs w:val="20"/>
          <w:lang w:eastAsia="zh-CN"/>
        </w:rPr>
      </w:pPr>
      <w:r w:rsidRPr="00FB2C53">
        <w:lastRenderedPageBreak/>
        <w:t xml:space="preserve">Table </w:t>
      </w:r>
      <w:r w:rsidR="00DC5104">
        <w:t>2.1</w:t>
      </w:r>
      <w:r w:rsidRPr="00FB2C53">
        <w:t xml:space="preserve"> Climate Inputs</w:t>
      </w:r>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3922A1" w:rsidRPr="00FA5114" w14:paraId="2A24A00A" w14:textId="77777777" w:rsidTr="003922A1">
        <w:trPr>
          <w:trHeight w:val="508"/>
        </w:trPr>
        <w:tc>
          <w:tcPr>
            <w:tcW w:w="2076" w:type="dxa"/>
            <w:vAlign w:val="center"/>
          </w:tcPr>
          <w:p w14:paraId="4F2A39BC" w14:textId="5EE9A309" w:rsidR="003922A1" w:rsidRPr="00FA5114" w:rsidRDefault="004A2D1D" w:rsidP="00DB4CC8">
            <w:pPr>
              <w:spacing w:after="180"/>
              <w:jc w:val="center"/>
              <w:rPr>
                <w:rFonts w:eastAsia="Helvetica,Times New Roman" w:cstheme="minorHAnsi"/>
                <w:color w:val="000000" w:themeColor="text1"/>
                <w:sz w:val="20"/>
                <w:szCs w:val="20"/>
              </w:rPr>
            </w:pPr>
            <w:r>
              <w:t>Avoided emissions from deforestation</w:t>
            </w:r>
          </w:p>
        </w:tc>
        <w:tc>
          <w:tcPr>
            <w:tcW w:w="1427" w:type="dxa"/>
            <w:shd w:val="clear" w:color="auto" w:fill="auto"/>
            <w:vAlign w:val="center"/>
          </w:tcPr>
          <w:p w14:paraId="48D37B75" w14:textId="1FC3C79A" w:rsidR="003922A1" w:rsidRPr="003922A1" w:rsidRDefault="004A2D1D" w:rsidP="00DB4CC8">
            <w:pPr>
              <w:spacing w:after="180"/>
              <w:jc w:val="center"/>
              <w:rPr>
                <w:rFonts w:eastAsia="Helvetica,Times New Roman" w:cstheme="minorHAnsi"/>
                <w:i/>
                <w:sz w:val="20"/>
                <w:szCs w:val="20"/>
              </w:rPr>
            </w:pPr>
            <w:r>
              <w:rPr>
                <w:rFonts w:eastAsia="Helvetica,Times New Roman" w:cstheme="minorHAnsi"/>
                <w:i/>
                <w:sz w:val="20"/>
                <w:szCs w:val="20"/>
              </w:rPr>
              <w:t>tCO2-e (one-time)</w:t>
            </w:r>
          </w:p>
        </w:tc>
        <w:tc>
          <w:tcPr>
            <w:tcW w:w="1486" w:type="dxa"/>
            <w:vAlign w:val="center"/>
          </w:tcPr>
          <w:p w14:paraId="21F5B106" w14:textId="30B79D80" w:rsidR="003922A1" w:rsidRPr="00FA5114" w:rsidRDefault="00A15A1F" w:rsidP="00A15A1F">
            <w:pPr>
              <w:spacing w:after="180"/>
              <w:jc w:val="center"/>
              <w:rPr>
                <w:rFonts w:eastAsia="Helvetica,Times New Roman" w:cstheme="minorHAnsi"/>
                <w:color w:val="000000" w:themeColor="text1"/>
                <w:sz w:val="20"/>
                <w:szCs w:val="20"/>
              </w:rPr>
            </w:pPr>
            <w:r w:rsidRPr="00A15A1F">
              <w:rPr>
                <w:rFonts w:eastAsia="Helvetica,Times New Roman" w:cstheme="minorHAnsi"/>
                <w:color w:val="000000" w:themeColor="text1"/>
                <w:sz w:val="20"/>
                <w:szCs w:val="20"/>
              </w:rPr>
              <w:t>280.87</w:t>
            </w:r>
            <w:r>
              <w:rPr>
                <w:rFonts w:eastAsia="Helvetica,Times New Roman" w:cstheme="minorHAnsi"/>
                <w:color w:val="000000" w:themeColor="text1"/>
                <w:sz w:val="20"/>
                <w:szCs w:val="20"/>
              </w:rPr>
              <w:t xml:space="preserve"> - </w:t>
            </w:r>
            <w:r w:rsidRPr="00A15A1F">
              <w:rPr>
                <w:rFonts w:eastAsia="Helvetica,Times New Roman" w:cstheme="minorHAnsi"/>
                <w:color w:val="000000" w:themeColor="text1"/>
                <w:sz w:val="20"/>
                <w:szCs w:val="20"/>
              </w:rPr>
              <w:t>578.34</w:t>
            </w:r>
          </w:p>
        </w:tc>
        <w:tc>
          <w:tcPr>
            <w:tcW w:w="1467" w:type="dxa"/>
            <w:vAlign w:val="center"/>
          </w:tcPr>
          <w:p w14:paraId="11E87B1E" w14:textId="1D220126" w:rsidR="003922A1" w:rsidRPr="00FA5114" w:rsidRDefault="00A15A1F" w:rsidP="00DB4CC8">
            <w:pPr>
              <w:spacing w:after="180"/>
              <w:jc w:val="center"/>
              <w:rPr>
                <w:rFonts w:eastAsia="Helvetica,Times New Roman" w:cstheme="minorHAnsi"/>
                <w:color w:val="000000" w:themeColor="text1"/>
                <w:sz w:val="20"/>
                <w:szCs w:val="20"/>
              </w:rPr>
            </w:pPr>
            <w:r w:rsidRPr="00A15A1F">
              <w:rPr>
                <w:rFonts w:eastAsia="Helvetica,Times New Roman" w:cstheme="minorHAnsi"/>
                <w:color w:val="000000" w:themeColor="text1"/>
                <w:sz w:val="20"/>
                <w:szCs w:val="20"/>
              </w:rPr>
              <w:t>280.87</w:t>
            </w:r>
          </w:p>
        </w:tc>
        <w:tc>
          <w:tcPr>
            <w:tcW w:w="1366" w:type="dxa"/>
            <w:vAlign w:val="center"/>
          </w:tcPr>
          <w:p w14:paraId="1EC7EFEA" w14:textId="789AD330" w:rsidR="003922A1" w:rsidRPr="00FA5114" w:rsidRDefault="00A15A1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w:t>
            </w:r>
          </w:p>
        </w:tc>
        <w:tc>
          <w:tcPr>
            <w:tcW w:w="1528" w:type="dxa"/>
            <w:vAlign w:val="center"/>
          </w:tcPr>
          <w:p w14:paraId="774B9874" w14:textId="56B2B81D" w:rsidR="003922A1" w:rsidRPr="00FB649C" w:rsidRDefault="00215CF4"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4A2D1D" w:rsidRPr="00FA5114" w14:paraId="398ECA1C" w14:textId="77777777" w:rsidTr="003922A1">
        <w:trPr>
          <w:trHeight w:val="508"/>
        </w:trPr>
        <w:tc>
          <w:tcPr>
            <w:tcW w:w="2076" w:type="dxa"/>
            <w:vAlign w:val="center"/>
          </w:tcPr>
          <w:p w14:paraId="312AC266" w14:textId="3C648FA3" w:rsidR="004A2D1D" w:rsidRPr="2D56E7D4" w:rsidRDefault="004A2D1D" w:rsidP="00DB4CC8">
            <w:pPr>
              <w:spacing w:after="180"/>
              <w:jc w:val="center"/>
            </w:pPr>
            <w:proofErr w:type="spellStart"/>
            <w:r>
              <w:t>Biosequestration</w:t>
            </w:r>
            <w:proofErr w:type="spellEnd"/>
          </w:p>
        </w:tc>
        <w:tc>
          <w:tcPr>
            <w:tcW w:w="1427" w:type="dxa"/>
            <w:shd w:val="clear" w:color="auto" w:fill="auto"/>
            <w:vAlign w:val="center"/>
          </w:tcPr>
          <w:p w14:paraId="50709267" w14:textId="07F3A91F" w:rsidR="004A2D1D" w:rsidRDefault="004A2D1D" w:rsidP="00DB4CC8">
            <w:pPr>
              <w:spacing w:after="180"/>
              <w:jc w:val="center"/>
              <w:rPr>
                <w:rFonts w:eastAsia="Helvetica,Times New Roman" w:cstheme="minorHAnsi"/>
                <w:i/>
                <w:sz w:val="20"/>
                <w:szCs w:val="20"/>
              </w:rPr>
            </w:pPr>
            <w:proofErr w:type="spellStart"/>
            <w:r>
              <w:rPr>
                <w:rFonts w:eastAsia="Helvetica,Times New Roman" w:cstheme="minorHAnsi"/>
                <w:i/>
                <w:sz w:val="20"/>
                <w:szCs w:val="20"/>
              </w:rPr>
              <w:t>tC</w:t>
            </w:r>
            <w:proofErr w:type="spellEnd"/>
            <w:r>
              <w:rPr>
                <w:rFonts w:eastAsia="Helvetica,Times New Roman" w:cstheme="minorHAnsi"/>
                <w:i/>
                <w:sz w:val="20"/>
                <w:szCs w:val="20"/>
              </w:rPr>
              <w:t>/ha/</w:t>
            </w:r>
            <w:proofErr w:type="spellStart"/>
            <w:r>
              <w:rPr>
                <w:rFonts w:eastAsia="Helvetica,Times New Roman" w:cstheme="minorHAnsi"/>
                <w:i/>
                <w:sz w:val="20"/>
                <w:szCs w:val="20"/>
              </w:rPr>
              <w:t>yr</w:t>
            </w:r>
            <w:proofErr w:type="spellEnd"/>
          </w:p>
        </w:tc>
        <w:tc>
          <w:tcPr>
            <w:tcW w:w="1486" w:type="dxa"/>
            <w:vAlign w:val="center"/>
          </w:tcPr>
          <w:p w14:paraId="09AD60F9" w14:textId="1CB34421" w:rsidR="004A2D1D" w:rsidRPr="00FA5114" w:rsidRDefault="009276B3"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215CF4">
              <w:rPr>
                <w:rFonts w:eastAsia="Helvetica,Times New Roman" w:cstheme="minorHAnsi"/>
                <w:color w:val="000000" w:themeColor="text1"/>
                <w:sz w:val="20"/>
                <w:szCs w:val="20"/>
              </w:rPr>
              <w:t>7</w:t>
            </w:r>
            <w:r w:rsidR="00A15A1F">
              <w:rPr>
                <w:rFonts w:eastAsia="Helvetica,Times New Roman" w:cstheme="minorHAnsi"/>
                <w:color w:val="000000" w:themeColor="text1"/>
                <w:sz w:val="20"/>
                <w:szCs w:val="20"/>
              </w:rPr>
              <w:t>0</w:t>
            </w:r>
            <w:r>
              <w:rPr>
                <w:rFonts w:eastAsia="Helvetica,Times New Roman" w:cstheme="minorHAnsi"/>
                <w:color w:val="000000" w:themeColor="text1"/>
                <w:sz w:val="20"/>
                <w:szCs w:val="20"/>
              </w:rPr>
              <w:t>-0.</w:t>
            </w:r>
            <w:r w:rsidR="00215CF4">
              <w:rPr>
                <w:rFonts w:eastAsia="Helvetica,Times New Roman" w:cstheme="minorHAnsi"/>
                <w:color w:val="000000" w:themeColor="text1"/>
                <w:sz w:val="20"/>
                <w:szCs w:val="20"/>
              </w:rPr>
              <w:t>9</w:t>
            </w:r>
            <w:r w:rsidR="00230A7E">
              <w:rPr>
                <w:rFonts w:eastAsia="Helvetica,Times New Roman" w:cstheme="minorHAnsi"/>
                <w:color w:val="000000" w:themeColor="text1"/>
                <w:sz w:val="20"/>
                <w:szCs w:val="20"/>
              </w:rPr>
              <w:t>7</w:t>
            </w:r>
          </w:p>
        </w:tc>
        <w:tc>
          <w:tcPr>
            <w:tcW w:w="1467" w:type="dxa"/>
            <w:vAlign w:val="center"/>
          </w:tcPr>
          <w:p w14:paraId="5B6DE4FB" w14:textId="5F8D46AA" w:rsidR="004A2D1D" w:rsidRPr="00FA5114" w:rsidRDefault="00050B0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215CF4">
              <w:rPr>
                <w:rFonts w:eastAsia="Helvetica,Times New Roman" w:cstheme="minorHAnsi"/>
                <w:color w:val="000000" w:themeColor="text1"/>
                <w:sz w:val="20"/>
                <w:szCs w:val="20"/>
              </w:rPr>
              <w:t>8</w:t>
            </w:r>
            <w:r w:rsidR="00230A7E">
              <w:rPr>
                <w:rFonts w:eastAsia="Helvetica,Times New Roman" w:cstheme="minorHAnsi"/>
                <w:color w:val="000000" w:themeColor="text1"/>
                <w:sz w:val="20"/>
                <w:szCs w:val="20"/>
              </w:rPr>
              <w:t>4</w:t>
            </w:r>
          </w:p>
        </w:tc>
        <w:tc>
          <w:tcPr>
            <w:tcW w:w="1366" w:type="dxa"/>
            <w:vAlign w:val="center"/>
          </w:tcPr>
          <w:p w14:paraId="21F657B0" w14:textId="38DB8FA3" w:rsidR="004A2D1D" w:rsidRPr="00FA5114" w:rsidRDefault="00215CF4"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c>
          <w:tcPr>
            <w:tcW w:w="1528" w:type="dxa"/>
            <w:vAlign w:val="center"/>
          </w:tcPr>
          <w:p w14:paraId="028EC100" w14:textId="214BBC99" w:rsidR="004A2D1D" w:rsidRPr="00FB649C" w:rsidRDefault="00E91F49"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r>
    </w:tbl>
    <w:p w14:paraId="44CA1A82" w14:textId="321FC07E" w:rsidR="005C6EC2" w:rsidRDefault="003922A1" w:rsidP="00DB4CC8">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DF0D64">
        <w:rPr>
          <w:rStyle w:val="FootnoteReference"/>
        </w:rPr>
        <w:footnoteReference w:id="3"/>
      </w:r>
      <w:r w:rsidR="00AB783D" w:rsidRPr="00DF0D64">
        <w:t>.</w:t>
      </w:r>
    </w:p>
    <w:p w14:paraId="779A09A6" w14:textId="77777777" w:rsidR="000063C3" w:rsidRDefault="000063C3" w:rsidP="00F44C6D">
      <w:pPr>
        <w:shd w:val="clear" w:color="auto" w:fill="FFFFFF"/>
        <w:spacing w:after="135"/>
        <w:rPr>
          <w:rFonts w:eastAsia="Times New Roman" w:cs="Times New Roman"/>
          <w:i/>
          <w:iCs/>
          <w:color w:val="000000" w:themeColor="text1"/>
          <w:lang w:eastAsia="zh-CN"/>
        </w:rPr>
      </w:pPr>
    </w:p>
    <w:p w14:paraId="336F11FF" w14:textId="53582541"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5A223748" w:rsidR="00F44C6D" w:rsidRPr="00F44C6D" w:rsidRDefault="00F44C6D" w:rsidP="00F44C6D">
      <w:pPr>
        <w:shd w:val="clear" w:color="auto" w:fill="FFFFFF"/>
        <w:spacing w:after="135"/>
        <w:rPr>
          <w:rFonts w:eastAsia="Times New Roman" w:cs="Times New Roman"/>
          <w:color w:val="000000" w:themeColor="text1"/>
          <w:lang w:eastAsia="zh-CN"/>
        </w:rPr>
      </w:pPr>
      <w:proofErr w:type="spellStart"/>
      <w:r w:rsidRPr="00F44C6D">
        <w:rPr>
          <w:rFonts w:eastAsia="Times New Roman" w:cs="Times New Roman"/>
          <w:color w:val="000000" w:themeColor="text1"/>
          <w:lang w:eastAsia="zh-CN"/>
        </w:rPr>
        <w:t>Biosequestration</w:t>
      </w:r>
      <w:proofErr w:type="spellEnd"/>
      <w:r w:rsidRPr="00F44C6D">
        <w:rPr>
          <w:rFonts w:eastAsia="Times New Roman" w:cs="Times New Roman"/>
          <w:color w:val="000000" w:themeColor="text1"/>
          <w:lang w:eastAsia="zh-CN"/>
        </w:rPr>
        <w:t xml:space="preserve"> does not have limitless potential. In most cases, there is a maximum amount of carbon that can be stored in soils and aboveground perennial biomass before they become saturated. </w:t>
      </w:r>
      <w:proofErr w:type="spellStart"/>
      <w:r w:rsidRPr="00F44C6D">
        <w:rPr>
          <w:rFonts w:eastAsia="Times New Roman" w:cs="Times New Roman"/>
          <w:color w:val="000000" w:themeColor="text1"/>
          <w:lang w:eastAsia="zh-CN"/>
        </w:rPr>
        <w:t>Biosequestration</w:t>
      </w:r>
      <w:proofErr w:type="spellEnd"/>
      <w:r w:rsidRPr="00F44C6D">
        <w:rPr>
          <w:rFonts w:eastAsia="Times New Roman" w:cs="Times New Roman"/>
          <w:color w:val="000000" w:themeColor="text1"/>
          <w:lang w:eastAsia="zh-CN"/>
        </w:rPr>
        <w:t xml:space="preserve"> continues after saturation but is offset by more or less equal emissions. In most cases</w:t>
      </w:r>
      <w:r w:rsidR="00F302A7">
        <w:rPr>
          <w:rFonts w:eastAsia="Times New Roman" w:cs="Times New Roman"/>
          <w:color w:val="000000" w:themeColor="text1"/>
          <w:lang w:eastAsia="zh-CN"/>
        </w:rPr>
        <w:t>,</w:t>
      </w:r>
      <w:r w:rsidRPr="00F44C6D">
        <w:rPr>
          <w:rFonts w:eastAsia="Times New Roman" w:cs="Times New Roman"/>
          <w:color w:val="000000" w:themeColor="text1"/>
          <w:lang w:eastAsia="zh-CN"/>
        </w:rPr>
        <w:t xml:space="preserve">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The Drawdown land model takes the conservative approach that all land units currently adopted for agricultural solutions (including </w:t>
      </w:r>
      <w:proofErr w:type="spellStart"/>
      <w:r w:rsidRPr="00F44C6D">
        <w:rPr>
          <w:rFonts w:eastAsia="Times New Roman" w:cs="Times New Roman"/>
          <w:color w:val="000000" w:themeColor="text1"/>
          <w:lang w:eastAsia="zh-CN"/>
        </w:rPr>
        <w:t>multistrata</w:t>
      </w:r>
      <w:proofErr w:type="spellEnd"/>
      <w:r w:rsidRPr="00F44C6D">
        <w:rPr>
          <w:rFonts w:eastAsia="Times New Roman" w:cs="Times New Roman"/>
          <w:color w:val="000000" w:themeColor="text1"/>
          <w:lang w:eastAsia="zh-CN"/>
        </w:rPr>
        <w:t xml:space="preserve"> agroforestry) have already achieved saturation, and will not be contributing additional sequestration. New adopted land is assumed to sequester for at least 30 years before achieving saturation.</w:t>
      </w:r>
    </w:p>
    <w:p w14:paraId="44CA4B36" w14:textId="74B87245"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24C491B8" w14:textId="78B37193" w:rsidR="00F52595" w:rsidRDefault="004912EE" w:rsidP="004912EE">
      <w:pPr>
        <w:pStyle w:val="Heading3"/>
        <w:numPr>
          <w:ilvl w:val="0"/>
          <w:numId w:val="0"/>
        </w:numPr>
        <w:ind w:left="720" w:hanging="720"/>
      </w:pPr>
      <w:bookmarkStart w:id="36" w:name="_Toc18240009"/>
      <w:r>
        <w:lastRenderedPageBreak/>
        <w:t xml:space="preserve">2.5.2 </w:t>
      </w:r>
      <w:r w:rsidR="00686965">
        <w:t>Financial Inputs</w:t>
      </w:r>
      <w:bookmarkEnd w:id="36"/>
    </w:p>
    <w:p w14:paraId="12BBE0A3" w14:textId="77777777" w:rsidR="002E6BA6" w:rsidRPr="001D6C44" w:rsidRDefault="002E6BA6" w:rsidP="001D6C44">
      <w:pPr>
        <w:spacing w:after="0"/>
        <w:rPr>
          <w:rFonts w:eastAsia="Times New Roman" w:cs="Times New Roman"/>
          <w:color w:val="000000" w:themeColor="text1"/>
        </w:rPr>
      </w:pPr>
      <w:r w:rsidRPr="001D6C44">
        <w:rPr>
          <w:rFonts w:eastAsia="Helvetica Neue" w:cs="Times New Roman"/>
          <w:color w:val="000000" w:themeColor="text1"/>
          <w:highlight w:val="white"/>
        </w:rPr>
        <w:t>It is assumed that any costs for </w:t>
      </w:r>
      <w:r w:rsidRPr="001D6C44">
        <w:rPr>
          <w:rFonts w:eastAsia="Helvetica Neue" w:cs="Times New Roman"/>
          <w:i/>
          <w:color w:val="000000" w:themeColor="text1"/>
          <w:highlight w:val="white"/>
        </w:rPr>
        <w:t>forest protection</w:t>
      </w:r>
      <w:r w:rsidRPr="001D6C44">
        <w:rPr>
          <w:rFonts w:eastAsia="Helvetica Neue" w:cs="Times New Roman"/>
          <w:color w:val="000000" w:themeColor="text1"/>
          <w:highlight w:val="white"/>
        </w:rPr>
        <w:t> (e.g. carbon payments or payment for ecosystem services) are borne at a government or NGO level. Drawdown land solutions only model costs that are incurred at the landowner or manager level.</w:t>
      </w:r>
    </w:p>
    <w:p w14:paraId="0D3D0510" w14:textId="4BEA08CC" w:rsidR="005F6B8C" w:rsidRDefault="00C11034" w:rsidP="00C11034">
      <w:pPr>
        <w:pStyle w:val="Heading3"/>
        <w:numPr>
          <w:ilvl w:val="0"/>
          <w:numId w:val="0"/>
        </w:numPr>
        <w:ind w:left="720" w:hanging="720"/>
      </w:pPr>
      <w:bookmarkStart w:id="37" w:name="_Toc18240010"/>
      <w:bookmarkStart w:id="38" w:name="_Hlk18239113"/>
      <w:r>
        <w:t xml:space="preserve">2.5.3 </w:t>
      </w:r>
      <w:r w:rsidR="005F6B8C">
        <w:t>Other Inputs</w:t>
      </w:r>
      <w:bookmarkEnd w:id="37"/>
    </w:p>
    <w:p w14:paraId="3188E232" w14:textId="66D2A122" w:rsidR="005F6B8C" w:rsidRDefault="005E1943" w:rsidP="005E1943">
      <w:r>
        <w:t xml:space="preserve">The average annual forest degradation rate was calculated using the country level data on total forest area loss (excluding protected forest area) for 2000-2012 from </w:t>
      </w:r>
      <w:proofErr w:type="spellStart"/>
      <w:r>
        <w:t>Heino</w:t>
      </w:r>
      <w:proofErr w:type="spellEnd"/>
      <w:r>
        <w:t xml:space="preserve"> et al. (2015). The other dataset includes Global Forest Assessment Report 2015 report, having country level data on forest extent. Despite the report includes an evolution of the total forest area for 1990- 2015, the information on protected forest area is scarcer, consisting of only two values: 651 </w:t>
      </w:r>
      <w:proofErr w:type="spellStart"/>
      <w:r>
        <w:t>Mha</w:t>
      </w:r>
      <w:proofErr w:type="spellEnd"/>
      <w:r>
        <w:t xml:space="preserve"> for 2015 and a reference to the protected forest area having increased by 200 </w:t>
      </w:r>
      <w:proofErr w:type="spellStart"/>
      <w:r>
        <w:t>Mha</w:t>
      </w:r>
      <w:proofErr w:type="spellEnd"/>
      <w:r>
        <w:t xml:space="preserve"> since 1990. Moreover, </w:t>
      </w:r>
      <w:proofErr w:type="spellStart"/>
      <w:r>
        <w:t>Heino</w:t>
      </w:r>
      <w:proofErr w:type="spellEnd"/>
      <w:r>
        <w:t xml:space="preserve"> et al. (2015) provides information on country level disturbance rate. Thus, the current estimates on annual rate of forest degradation and disturbance at the global scale was calculated based on the </w:t>
      </w:r>
      <w:proofErr w:type="spellStart"/>
      <w:r>
        <w:t>Heino</w:t>
      </w:r>
      <w:proofErr w:type="spellEnd"/>
      <w:r>
        <w:t xml:space="preserve"> et al. (2015) country level data. </w:t>
      </w:r>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5F6B8C" w:rsidRPr="00057050" w14:paraId="0F58F0E5" w14:textId="77777777" w:rsidTr="004E0D66">
        <w:trPr>
          <w:cantSplit/>
          <w:trHeight w:val="1163"/>
          <w:tblHeader/>
          <w:jc w:val="center"/>
        </w:trPr>
        <w:tc>
          <w:tcPr>
            <w:tcW w:w="1220" w:type="pct"/>
            <w:shd w:val="clear" w:color="auto" w:fill="4F81BD" w:themeFill="accent1"/>
            <w:vAlign w:val="center"/>
          </w:tcPr>
          <w:p w14:paraId="30709CB2" w14:textId="77777777" w:rsidR="005F6B8C" w:rsidRPr="00057050" w:rsidRDefault="005F6B8C" w:rsidP="004E0D66">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6B38173A" w14:textId="77777777" w:rsidR="005F6B8C" w:rsidRPr="00D25FC7" w:rsidRDefault="005F6B8C" w:rsidP="004E0D66">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61DFFF9C" w14:textId="77777777" w:rsidR="005F6B8C" w:rsidRPr="005C6EC2" w:rsidRDefault="005F6B8C" w:rsidP="004E0D66">
            <w:pPr>
              <w:spacing w:after="180"/>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695DE11B" w14:textId="77777777" w:rsidR="005F6B8C" w:rsidRPr="005C6EC2" w:rsidRDefault="005F6B8C" w:rsidP="004E0D66">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5191B60E" w14:textId="77777777" w:rsidR="005F6B8C" w:rsidRPr="005C6EC2" w:rsidRDefault="005F6B8C" w:rsidP="004E0D66">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5E020A7B" w14:textId="77777777" w:rsidR="005F6B8C" w:rsidRPr="005C6EC2" w:rsidRDefault="005F6B8C" w:rsidP="004E0D66">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5F6B8C" w:rsidRPr="00057050" w14:paraId="31CF2EDD" w14:textId="77777777" w:rsidTr="004E0D66">
        <w:trPr>
          <w:trHeight w:val="392"/>
          <w:jc w:val="center"/>
        </w:trPr>
        <w:tc>
          <w:tcPr>
            <w:tcW w:w="1220" w:type="pct"/>
            <w:vAlign w:val="center"/>
          </w:tcPr>
          <w:p w14:paraId="621E3D5B" w14:textId="04F48A2C" w:rsidR="005F6B8C" w:rsidRPr="00057050" w:rsidRDefault="005F6B8C" w:rsidP="004E0D66">
            <w:pPr>
              <w:spacing w:after="180"/>
              <w:jc w:val="center"/>
              <w:rPr>
                <w:color w:val="000000" w:themeColor="text1"/>
                <w:sz w:val="20"/>
                <w:szCs w:val="20"/>
              </w:rPr>
            </w:pPr>
            <w:r>
              <w:rPr>
                <w:color w:val="000000" w:themeColor="text1"/>
                <w:sz w:val="20"/>
                <w:szCs w:val="20"/>
              </w:rPr>
              <w:t>Growth rate of land degradation</w:t>
            </w:r>
          </w:p>
        </w:tc>
        <w:tc>
          <w:tcPr>
            <w:tcW w:w="862" w:type="pct"/>
          </w:tcPr>
          <w:p w14:paraId="3D24C6CB" w14:textId="787C1A90" w:rsidR="005F6B8C" w:rsidRPr="00D25FC7" w:rsidRDefault="00033BA7" w:rsidP="004E0D66">
            <w:pPr>
              <w:spacing w:after="180"/>
              <w:jc w:val="center"/>
              <w:rPr>
                <w:rFonts w:eastAsia="Helvetica,Times New Roman" w:cstheme="minorHAnsi"/>
                <w:sz w:val="20"/>
                <w:szCs w:val="20"/>
              </w:rPr>
            </w:pPr>
            <w:r>
              <w:rPr>
                <w:bCs/>
                <w:i/>
                <w:sz w:val="20"/>
                <w:szCs w:val="20"/>
              </w:rPr>
              <w:t>% of land degraded annually</w:t>
            </w:r>
          </w:p>
        </w:tc>
        <w:tc>
          <w:tcPr>
            <w:tcW w:w="985" w:type="pct"/>
            <w:vAlign w:val="center"/>
          </w:tcPr>
          <w:p w14:paraId="46EB2174" w14:textId="29770F4D" w:rsidR="005F6B8C" w:rsidRPr="00057050" w:rsidRDefault="005E1943" w:rsidP="004E0D6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738" w:type="pct"/>
            <w:vAlign w:val="center"/>
          </w:tcPr>
          <w:p w14:paraId="456F3276" w14:textId="05D529EA" w:rsidR="005F6B8C" w:rsidRPr="00057050" w:rsidRDefault="00033BA7" w:rsidP="004E0D6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7E3AFC">
              <w:rPr>
                <w:rFonts w:eastAsia="Helvetica,Times New Roman" w:cstheme="minorHAnsi"/>
                <w:color w:val="000000" w:themeColor="text1"/>
                <w:sz w:val="20"/>
                <w:szCs w:val="20"/>
              </w:rPr>
              <w:t>47</w:t>
            </w:r>
            <w:r>
              <w:rPr>
                <w:rFonts w:eastAsia="Helvetica,Times New Roman" w:cstheme="minorHAnsi"/>
                <w:color w:val="000000" w:themeColor="text1"/>
                <w:sz w:val="20"/>
                <w:szCs w:val="20"/>
              </w:rPr>
              <w:t>%</w:t>
            </w:r>
          </w:p>
        </w:tc>
        <w:tc>
          <w:tcPr>
            <w:tcW w:w="617" w:type="pct"/>
            <w:vAlign w:val="center"/>
          </w:tcPr>
          <w:p w14:paraId="55EFB21B" w14:textId="5DB5B65F" w:rsidR="005F6B8C" w:rsidRPr="00057050" w:rsidRDefault="007E3AFC" w:rsidP="004E0D6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c>
          <w:tcPr>
            <w:tcW w:w="578" w:type="pct"/>
            <w:vAlign w:val="center"/>
          </w:tcPr>
          <w:p w14:paraId="67909C75" w14:textId="7E6A506C" w:rsidR="005F6B8C" w:rsidRPr="00057050" w:rsidRDefault="007E3AFC" w:rsidP="00314F03">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5F6B8C" w:rsidRPr="00057050" w14:paraId="608D829E" w14:textId="77777777" w:rsidTr="004E0D66">
        <w:trPr>
          <w:trHeight w:val="906"/>
          <w:jc w:val="center"/>
        </w:trPr>
        <w:tc>
          <w:tcPr>
            <w:tcW w:w="1220" w:type="pct"/>
            <w:vAlign w:val="center"/>
          </w:tcPr>
          <w:p w14:paraId="74459F83" w14:textId="7A637823" w:rsidR="005F6B8C" w:rsidRPr="00057050" w:rsidRDefault="00547000" w:rsidP="004E0D66">
            <w:pPr>
              <w:spacing w:after="180"/>
              <w:jc w:val="center"/>
              <w:rPr>
                <w:color w:val="000000" w:themeColor="text1"/>
                <w:sz w:val="20"/>
                <w:szCs w:val="20"/>
              </w:rPr>
            </w:pPr>
            <w:r>
              <w:rPr>
                <w:color w:val="000000" w:themeColor="text1"/>
                <w:sz w:val="20"/>
                <w:szCs w:val="20"/>
              </w:rPr>
              <w:t>Disturbance rate</w:t>
            </w:r>
          </w:p>
        </w:tc>
        <w:tc>
          <w:tcPr>
            <w:tcW w:w="862" w:type="pct"/>
          </w:tcPr>
          <w:p w14:paraId="2E054C84" w14:textId="168BF858" w:rsidR="005F6B8C" w:rsidRPr="005C27E2" w:rsidRDefault="005C27E2" w:rsidP="004E0D66">
            <w:pPr>
              <w:spacing w:after="180"/>
              <w:jc w:val="center"/>
              <w:rPr>
                <w:rFonts w:eastAsia="Helvetica,Times New Roman" w:cstheme="minorHAnsi"/>
                <w:i/>
                <w:sz w:val="20"/>
                <w:szCs w:val="20"/>
              </w:rPr>
            </w:pPr>
            <w:r w:rsidRPr="005C27E2">
              <w:rPr>
                <w:rFonts w:eastAsia="Helvetica,Times New Roman" w:cstheme="minorHAnsi"/>
                <w:i/>
                <w:sz w:val="20"/>
                <w:szCs w:val="20"/>
              </w:rPr>
              <w:t>% of land disturbed annually</w:t>
            </w:r>
          </w:p>
        </w:tc>
        <w:tc>
          <w:tcPr>
            <w:tcW w:w="985" w:type="pct"/>
            <w:vAlign w:val="center"/>
          </w:tcPr>
          <w:p w14:paraId="1C553B66" w14:textId="2E86B4BC" w:rsidR="005F6B8C" w:rsidRPr="00057050" w:rsidRDefault="005E1943" w:rsidP="004E0D6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738" w:type="pct"/>
            <w:vAlign w:val="center"/>
          </w:tcPr>
          <w:p w14:paraId="0CD46A8F" w14:textId="59FDE0B5" w:rsidR="005F6B8C" w:rsidRPr="00057050" w:rsidRDefault="00B777BE" w:rsidP="004E0D6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7E3AFC">
              <w:rPr>
                <w:rFonts w:eastAsia="Helvetica,Times New Roman" w:cstheme="minorHAnsi"/>
                <w:color w:val="000000" w:themeColor="text1"/>
                <w:sz w:val="20"/>
                <w:szCs w:val="20"/>
              </w:rPr>
              <w:t>23</w:t>
            </w:r>
            <w:r>
              <w:rPr>
                <w:rFonts w:eastAsia="Helvetica,Times New Roman" w:cstheme="minorHAnsi"/>
                <w:color w:val="000000" w:themeColor="text1"/>
                <w:sz w:val="20"/>
                <w:szCs w:val="20"/>
              </w:rPr>
              <w:t>%</w:t>
            </w:r>
          </w:p>
        </w:tc>
        <w:tc>
          <w:tcPr>
            <w:tcW w:w="617" w:type="pct"/>
            <w:vAlign w:val="center"/>
          </w:tcPr>
          <w:p w14:paraId="4C08B3C2" w14:textId="7BA26FEB" w:rsidR="005F6B8C" w:rsidRPr="00057050" w:rsidRDefault="00F302A7" w:rsidP="004E0D6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c>
          <w:tcPr>
            <w:tcW w:w="578" w:type="pct"/>
            <w:vAlign w:val="center"/>
          </w:tcPr>
          <w:p w14:paraId="3B24DB25" w14:textId="77777777" w:rsidR="00F302A7" w:rsidRDefault="00F302A7" w:rsidP="004E0D66">
            <w:pPr>
              <w:spacing w:after="180"/>
              <w:jc w:val="center"/>
              <w:rPr>
                <w:rFonts w:eastAsia="Helvetica,Times New Roman" w:cstheme="minorHAnsi"/>
                <w:color w:val="000000" w:themeColor="text1"/>
                <w:sz w:val="20"/>
                <w:szCs w:val="20"/>
              </w:rPr>
            </w:pPr>
          </w:p>
          <w:p w14:paraId="6DD2DEAC" w14:textId="72D160A2" w:rsidR="005F6B8C" w:rsidRDefault="007E3AFC" w:rsidP="004E0D6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p w14:paraId="04E50215" w14:textId="12309BBA" w:rsidR="004B42E2" w:rsidRPr="00057050" w:rsidRDefault="004B42E2" w:rsidP="004E0D66">
            <w:pPr>
              <w:spacing w:after="180"/>
              <w:jc w:val="center"/>
              <w:rPr>
                <w:rFonts w:eastAsia="Helvetica,Times New Roman" w:cstheme="minorHAnsi"/>
                <w:color w:val="000000" w:themeColor="text1"/>
                <w:sz w:val="20"/>
                <w:szCs w:val="20"/>
              </w:rPr>
            </w:pPr>
          </w:p>
        </w:tc>
      </w:tr>
    </w:tbl>
    <w:p w14:paraId="59349271" w14:textId="77777777" w:rsidR="005F6B8C" w:rsidRDefault="005F6B8C" w:rsidP="00DB4CC8"/>
    <w:p w14:paraId="4E32D218" w14:textId="64BAFD18" w:rsidR="00B144E5" w:rsidRDefault="00C11034" w:rsidP="00C11034">
      <w:pPr>
        <w:pStyle w:val="Heading2"/>
        <w:numPr>
          <w:ilvl w:val="0"/>
          <w:numId w:val="0"/>
        </w:numPr>
      </w:pPr>
      <w:bookmarkStart w:id="39" w:name="_Toc18240011"/>
      <w:bookmarkEnd w:id="38"/>
      <w:r>
        <w:t xml:space="preserve">2.6 </w:t>
      </w:r>
      <w:r w:rsidR="00686965">
        <w:t>Assumptions</w:t>
      </w:r>
      <w:bookmarkEnd w:id="39"/>
    </w:p>
    <w:p w14:paraId="1C71D5EB" w14:textId="7118F4DA" w:rsidR="00E33621" w:rsidRDefault="00E33621" w:rsidP="00955E54">
      <w:pPr>
        <w:spacing w:after="240"/>
      </w:pPr>
      <w:r w:rsidRPr="00D8238F">
        <w:t>Six overarching assumptions have been made for Project Drawdown models</w:t>
      </w:r>
      <w:r>
        <w:t xml:space="preserve"> to enable the development and integration of individual model solutions. These are that</w:t>
      </w:r>
      <w:r w:rsidR="001A3F40">
        <w:t xml:space="preserve"> the</w:t>
      </w:r>
      <w:r>
        <w:t xml:space="preserve"> infrastructure required for</w:t>
      </w:r>
      <w:r w:rsidR="001A3F40">
        <w:t xml:space="preserve"> the</w:t>
      </w:r>
      <w:r>
        <w:t xml:space="preserve"> solution is available and in-place, policies required are already in-place, no carbon price is modeled, all costs accrue at the level of agency </w:t>
      </w:r>
      <w:r w:rsidR="001A3F40">
        <w:t xml:space="preserve">are </w:t>
      </w:r>
      <w:r w:rsidRPr="005C77F5">
        <w:t xml:space="preserve">modeled, improvements in technology are not modeled, and that first costs may change according to learning. Full details of core assumptions and methodology will be available at </w:t>
      </w:r>
      <w:hyperlink r:id="rId17"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2B5F0B9B" w14:textId="7625C9E5" w:rsidR="006E510C" w:rsidRDefault="006E510C" w:rsidP="004B3A12">
      <w:pPr>
        <w:spacing w:after="240"/>
        <w:rPr>
          <w:b/>
        </w:rPr>
      </w:pPr>
      <w:r>
        <w:rPr>
          <w:b/>
        </w:rPr>
        <w:t>Assumption 1:</w:t>
      </w:r>
      <w:r w:rsidRPr="006E510C">
        <w:t xml:space="preserve"> </w:t>
      </w:r>
      <w:r>
        <w:t>The deforestation and disturbance will continue with the current rate of deforestation and disturbance both under the solution and the conventional case.</w:t>
      </w:r>
    </w:p>
    <w:p w14:paraId="181BC85A" w14:textId="23C6DF62" w:rsidR="006E510C" w:rsidRDefault="006E510C" w:rsidP="004B3A12">
      <w:pPr>
        <w:spacing w:after="240"/>
        <w:rPr>
          <w:b/>
        </w:rPr>
      </w:pPr>
      <w:r>
        <w:rPr>
          <w:b/>
        </w:rPr>
        <w:t>Assumption 2:</w:t>
      </w:r>
      <w:r w:rsidRPr="006E510C">
        <w:t xml:space="preserve"> </w:t>
      </w:r>
      <w:r>
        <w:t>Countries with larger forest area and with high rate of deforestation are more at risk of future deforestation.</w:t>
      </w:r>
    </w:p>
    <w:p w14:paraId="7D5013BC" w14:textId="2DF1F33D" w:rsidR="006E510C" w:rsidRDefault="006E510C" w:rsidP="004B3A12">
      <w:pPr>
        <w:spacing w:after="240"/>
        <w:rPr>
          <w:b/>
        </w:rPr>
      </w:pPr>
      <w:r>
        <w:rPr>
          <w:b/>
        </w:rPr>
        <w:t>Assumption 3:</w:t>
      </w:r>
      <w:r w:rsidRPr="006E510C">
        <w:t xml:space="preserve"> </w:t>
      </w:r>
      <w:r>
        <w:t xml:space="preserve">Efforts will be laid at the national and international level to protect forest resources. Countries will make binding commitments and will protect </w:t>
      </w:r>
      <w:r w:rsidR="000063C3">
        <w:t xml:space="preserve">a </w:t>
      </w:r>
      <w:r>
        <w:t>significant portion of their forest area.</w:t>
      </w:r>
    </w:p>
    <w:p w14:paraId="3B9E6468" w14:textId="1F746E52" w:rsidR="006E510C" w:rsidRDefault="006E510C" w:rsidP="004B3A12">
      <w:pPr>
        <w:spacing w:after="240"/>
        <w:rPr>
          <w:b/>
        </w:rPr>
      </w:pPr>
      <w:r>
        <w:rPr>
          <w:b/>
        </w:rPr>
        <w:t>Assumption 4:</w:t>
      </w:r>
      <w:r w:rsidRPr="006E510C">
        <w:t xml:space="preserve"> </w:t>
      </w:r>
      <w:r>
        <w:t>A lower rate of carbon sequestration is observed and used in the model, as it is believed that these primary forests have already reached or are near saturation of their carbon sequestration saturation level.</w:t>
      </w:r>
    </w:p>
    <w:p w14:paraId="69D1C8D7" w14:textId="78B20DC2" w:rsidR="006E510C" w:rsidRPr="004B3A12" w:rsidRDefault="006E510C" w:rsidP="004B3A12">
      <w:pPr>
        <w:spacing w:after="240"/>
      </w:pPr>
      <w:r>
        <w:rPr>
          <w:b/>
        </w:rPr>
        <w:t>Assumption 5:</w:t>
      </w:r>
      <w:r w:rsidRPr="006E510C">
        <w:t xml:space="preserve"> </w:t>
      </w:r>
      <w:r>
        <w:t xml:space="preserve">Leakage effect which is defined as “the unanticipated decrease or increase in GHG benefits outside of the project's accounting boundary (the boundary defined for the purposes of estimating the project's net GHG impact) as a result of project activities. For example, conserving forests that otherwise would have been deforested for agricultural land may displace farmers to an area outside of the project's boundaries. There, the displaced farmers may engage in deforestation-and the resulting carbon emissions are referred to as leakage (IPCC)" is considered in the present modeling of the solution. Thus, in the present model, it is assumed that </w:t>
      </w:r>
      <w:r w:rsidR="00D56683">
        <w:t xml:space="preserve">the </w:t>
      </w:r>
      <w:r>
        <w:t>protection of forest in the solution case will lead to some sort of leakage in the adjacent areas of the reference case. However, the leakage related degradation is a time bound phenomenon and get</w:t>
      </w:r>
      <w:r w:rsidR="00D56683">
        <w:t>s</w:t>
      </w:r>
      <w:r>
        <w:t xml:space="preserve"> stabilized after some years; which is uncertain to estimate at the global level. Therefore, to incorporate the leakage effect, in the present protect</w:t>
      </w:r>
      <w:r w:rsidR="00D56683">
        <w:t>ion</w:t>
      </w:r>
      <w:r>
        <w:t xml:space="preserve"> model, it is assumed that the carbon benefits of protecting the forest will be realized one year later.</w:t>
      </w:r>
    </w:p>
    <w:p w14:paraId="03C55E7C" w14:textId="38345B86" w:rsidR="006E510C" w:rsidRPr="006E510C" w:rsidRDefault="006E510C" w:rsidP="004F0A58">
      <w:pPr>
        <w:numPr>
          <w:ilvl w:val="0"/>
          <w:numId w:val="5"/>
        </w:numPr>
        <w:ind w:left="0" w:firstLine="0"/>
      </w:pPr>
      <w:r w:rsidRPr="006E510C">
        <w:t xml:space="preserve"> </w:t>
      </w:r>
      <w:r w:rsidRPr="004B3A12">
        <w:t xml:space="preserve">It is assumed that the re-growth of the degraded forest area will start one year later after the forest will be brought under protection. </w:t>
      </w:r>
    </w:p>
    <w:p w14:paraId="18B67341" w14:textId="14800B49" w:rsidR="006E510C" w:rsidRDefault="006E510C" w:rsidP="004F0A58">
      <w:pPr>
        <w:numPr>
          <w:ilvl w:val="0"/>
          <w:numId w:val="5"/>
        </w:numPr>
        <w:ind w:left="0" w:firstLine="0"/>
      </w:pPr>
      <w:r>
        <w:t>Assumption for incorporating the delay in impact due to the time taken by the agencies to actually bring a forest under protection - It is assumed that the required agency level legalities to bring a forest under protection will be in place by the year of adoption. Thus, there will be no delay in the climate benefits as a result of delay in agency level efforts to bring a forest area under protection. Therefore the "year of protection" is assumed to be the "year of implementation".</w:t>
      </w:r>
    </w:p>
    <w:p w14:paraId="4896E1D2" w14:textId="77777777" w:rsidR="00BD7079" w:rsidRPr="00D8238F" w:rsidRDefault="00BD7079" w:rsidP="00DB4CC8">
      <w:pPr>
        <w:spacing w:after="240"/>
      </w:pPr>
    </w:p>
    <w:p w14:paraId="04FBF2E3" w14:textId="7B93BA38" w:rsidR="009D118F" w:rsidRDefault="00C11034" w:rsidP="00C11034">
      <w:pPr>
        <w:pStyle w:val="Heading2"/>
        <w:numPr>
          <w:ilvl w:val="0"/>
          <w:numId w:val="0"/>
        </w:numPr>
      </w:pPr>
      <w:bookmarkStart w:id="40" w:name="_Toc18240012"/>
      <w:r>
        <w:lastRenderedPageBreak/>
        <w:t xml:space="preserve">2.7 </w:t>
      </w:r>
      <w:r w:rsidR="00686965">
        <w:t>Integration</w:t>
      </w:r>
      <w:bookmarkEnd w:id="40"/>
    </w:p>
    <w:p w14:paraId="4F1C20E8" w14:textId="6CF22C6E" w:rsidR="0032353F" w:rsidRDefault="0032353F" w:rsidP="00DB4CC8">
      <w:r w:rsidRPr="00DC3559">
        <w:t xml:space="preserve">The </w:t>
      </w:r>
      <w:r>
        <w:t xml:space="preserve">complete Project Drawdown integration documentation (will be available at </w:t>
      </w:r>
      <w:hyperlink r:id="rId18"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E17CB25" w14:textId="42BCE54E" w:rsidR="00BD7079" w:rsidRDefault="002E6BA6" w:rsidP="00BD7079">
      <w:pPr>
        <w:rPr>
          <w:color w:val="000000" w:themeColor="text1"/>
        </w:rPr>
      </w:pPr>
      <w:r>
        <w:rPr>
          <w:i/>
          <w:color w:val="000000" w:themeColor="text1"/>
        </w:rPr>
        <w:t>Forest protection</w:t>
      </w:r>
      <w:r w:rsidR="00BD7079" w:rsidRPr="00D067F6">
        <w:rPr>
          <w:i/>
          <w:color w:val="000000" w:themeColor="text1"/>
        </w:rPr>
        <w:t xml:space="preserve"> </w:t>
      </w:r>
      <w:r w:rsidR="00BD7079" w:rsidRPr="00D067F6">
        <w:rPr>
          <w:color w:val="000000" w:themeColor="text1"/>
        </w:rPr>
        <w:t xml:space="preserve">is part of Drawdown’s </w:t>
      </w:r>
      <w:r>
        <w:rPr>
          <w:color w:val="000000" w:themeColor="text1"/>
        </w:rPr>
        <w:t>Land Use</w:t>
      </w:r>
      <w:r w:rsidR="00BD7079" w:rsidRPr="00D067F6">
        <w:rPr>
          <w:color w:val="000000" w:themeColor="text1"/>
        </w:rPr>
        <w:t xml:space="preserve"> sector. Within </w:t>
      </w:r>
      <w:r>
        <w:rPr>
          <w:color w:val="000000" w:themeColor="text1"/>
        </w:rPr>
        <w:t>land use</w:t>
      </w:r>
      <w:r w:rsidR="00BD7079" w:rsidRPr="00D067F6">
        <w:rPr>
          <w:color w:val="000000" w:themeColor="text1"/>
        </w:rPr>
        <w:t xml:space="preserve"> it is part of a cluster of solutions based on </w:t>
      </w:r>
      <w:r>
        <w:rPr>
          <w:color w:val="000000" w:themeColor="text1"/>
        </w:rPr>
        <w:t>ecosystem protection.</w:t>
      </w:r>
      <w:r w:rsidR="00BD7079" w:rsidRPr="00D067F6">
        <w:rPr>
          <w:color w:val="000000" w:themeColor="text1"/>
        </w:rPr>
        <w:t xml:space="preserve"> </w:t>
      </w:r>
    </w:p>
    <w:p w14:paraId="63B5B6AD" w14:textId="77777777" w:rsidR="00284427" w:rsidRPr="00D067F6" w:rsidRDefault="00284427" w:rsidP="00BD7079">
      <w:pPr>
        <w:rPr>
          <w:color w:val="000000" w:themeColor="text1"/>
        </w:rPr>
      </w:pPr>
    </w:p>
    <w:p w14:paraId="31D91080" w14:textId="77777777" w:rsidR="00BD7079" w:rsidRPr="00D067F6" w:rsidRDefault="00BD7079" w:rsidP="00BD7079">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66C2F68C"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approach seeks to model integration between and within </w:t>
      </w:r>
      <w:r w:rsidR="00785C3B" w:rsidRPr="00D067F6">
        <w:rPr>
          <w:rFonts w:eastAsia="Times New Roman" w:cstheme="minorHAnsi"/>
          <w:color w:val="000000" w:themeColor="text1"/>
          <w:lang w:eastAsia="zh-CN"/>
        </w:rPr>
        <w:t>sectors and</w:t>
      </w:r>
      <w:r w:rsidRPr="00D067F6">
        <w:rPr>
          <w:rFonts w:eastAsia="Times New Roman" w:cstheme="minorHAnsi"/>
          <w:color w:val="000000" w:themeColor="text1"/>
          <w:lang w:eastAsia="zh-CN"/>
        </w:rPr>
        <w:t xml:space="preserve">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proofErr w:type="spellStart"/>
      <w:r w:rsidRPr="00D067F6">
        <w:rPr>
          <w:rFonts w:eastAsia="Times New Roman" w:cstheme="minorHAnsi"/>
          <w:i/>
          <w:iCs/>
          <w:color w:val="000000" w:themeColor="text1"/>
          <w:lang w:eastAsia="zh-CN"/>
        </w:rPr>
        <w:t>Multistrata</w:t>
      </w:r>
      <w:proofErr w:type="spellEnd"/>
      <w:r w:rsidRPr="00D067F6">
        <w:rPr>
          <w:rFonts w:eastAsia="Times New Roman" w:cstheme="minorHAnsi"/>
          <w:i/>
          <w:iCs/>
          <w:color w:val="000000" w:themeColor="text1"/>
          <w:lang w:eastAsia="zh-CN"/>
        </w:rPr>
        <w:t xml:space="preserve">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0A35FE46" w14:textId="77777777" w:rsidR="00BD7079" w:rsidRPr="00B67C4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Each unit of land was allocated to a separate solution to avoid overlap between practices. The exception to this are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B26D7B7" w:rsidR="00BD7079" w:rsidRDefault="00BD7079" w:rsidP="00BD707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w:t>
      </w:r>
      <w:r w:rsidR="009519E9">
        <w:rPr>
          <w:rFonts w:eastAsia="Times New Roman" w:cstheme="minorHAnsi"/>
          <w:color w:val="000000" w:themeColor="text1"/>
          <w:shd w:val="clear" w:color="auto" w:fill="FFFFFF"/>
          <w:lang w:eastAsia="zh-CN"/>
        </w:rPr>
        <w:t xml:space="preserve">of </w:t>
      </w:r>
      <w:r w:rsidRPr="00D57049">
        <w:rPr>
          <w:rFonts w:eastAsia="Times New Roman" w:cstheme="minorHAnsi"/>
          <w:color w:val="000000" w:themeColor="text1"/>
          <w:shd w:val="clear" w:color="auto" w:fill="FFFFFF"/>
          <w:lang w:eastAsia="zh-CN"/>
        </w:rPr>
        <w:t xml:space="preserve">a given solution. Data on global land is acquired from </w:t>
      </w:r>
      <w:r w:rsidR="00C562A9">
        <w:rPr>
          <w:rFonts w:eastAsia="Times New Roman" w:cstheme="minorHAnsi"/>
          <w:color w:val="000000" w:themeColor="text1"/>
          <w:shd w:val="clear" w:color="auto" w:fill="FFFFFF"/>
          <w:lang w:eastAsia="zh-CN"/>
        </w:rPr>
        <w:t xml:space="preserve">the </w:t>
      </w:r>
      <w:r w:rsidRPr="00D57049">
        <w:rPr>
          <w:rFonts w:eastAsia="Times New Roman" w:cstheme="minorHAnsi"/>
          <w:color w:val="000000" w:themeColor="text1"/>
          <w:shd w:val="clear" w:color="auto" w:fill="FFFFFF"/>
          <w:lang w:eastAsia="zh-CN"/>
        </w:rPr>
        <w:t xml:space="preserve">Global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based on the following factors: thermal climate, moisture regimes, soil quality, slope, cover type, and degradation </w:t>
      </w:r>
      <w:r w:rsidRPr="00D57049">
        <w:rPr>
          <w:rFonts w:eastAsia="Times New Roman" w:cstheme="minorHAnsi"/>
          <w:color w:val="000000" w:themeColor="text1"/>
          <w:shd w:val="clear" w:color="auto" w:fill="FFFFFF"/>
          <w:lang w:eastAsia="zh-CN"/>
        </w:rPr>
        <w:lastRenderedPageBreak/>
        <w:t>status. These characteristics influence the suitability of different practices, and solution adoption scenarios are restricted by one or more of these factors.</w:t>
      </w:r>
    </w:p>
    <w:p w14:paraId="2FC8D641" w14:textId="1559A93C" w:rsidR="00BD7079" w:rsidRDefault="00BD7079" w:rsidP="00BD707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 xml:space="preserve">Determining the total available land for a solution is a two-part process. The technical potential is based on: current land cover or land use; the suitability of climate, soils, and slopes; and on degraded or non-degraded status. In the second stage, land is allocated using the Drawdown </w:t>
      </w:r>
      <w:proofErr w:type="spellStart"/>
      <w:r w:rsidRPr="00D57049">
        <w:rPr>
          <w:rFonts w:eastAsia="Times New Roman" w:cstheme="minorHAnsi"/>
          <w:color w:val="000000" w:themeColor="text1"/>
          <w:lang w:eastAsia="zh-CN"/>
        </w:rPr>
        <w:t>Agro</w:t>
      </w:r>
      <w:proofErr w:type="spellEnd"/>
      <w:r w:rsidRPr="00D57049">
        <w:rPr>
          <w:rFonts w:eastAsia="Times New Roman" w:cstheme="minorHAnsi"/>
          <w:color w:val="000000" w:themeColor="text1"/>
          <w:lang w:eastAsia="zh-CN"/>
        </w:rPr>
        <w:t>-Ecological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02505E5D" w14:textId="26DA015C" w:rsidR="0098463A" w:rsidRPr="005505CA" w:rsidRDefault="0098463A" w:rsidP="0098463A">
      <w:pPr>
        <w:spacing w:after="0"/>
        <w:rPr>
          <w:rFonts w:eastAsia="Times New Roman" w:cs="Times New Roman"/>
          <w:color w:val="000000" w:themeColor="text1"/>
        </w:rPr>
      </w:pPr>
      <w:r w:rsidRPr="0098463A">
        <w:rPr>
          <w:rFonts w:eastAsia="Helvetica Neue" w:cs="Times New Roman"/>
          <w:color w:val="000000" w:themeColor="text1"/>
          <w:highlight w:val="white"/>
        </w:rPr>
        <w:t xml:space="preserve">Drawdown’s </w:t>
      </w:r>
      <w:proofErr w:type="spellStart"/>
      <w:r w:rsidRPr="0098463A">
        <w:rPr>
          <w:rFonts w:eastAsia="Helvetica Neue" w:cs="Times New Roman"/>
          <w:color w:val="000000" w:themeColor="text1"/>
          <w:highlight w:val="white"/>
        </w:rPr>
        <w:t>Agro</w:t>
      </w:r>
      <w:proofErr w:type="spellEnd"/>
      <w:r w:rsidRPr="0098463A">
        <w:rPr>
          <w:rFonts w:eastAsia="Helvetica Neue" w:cs="Times New Roman"/>
          <w:color w:val="000000" w:themeColor="text1"/>
          <w:highlight w:val="white"/>
        </w:rPr>
        <w:t>-Ecological Zone model allocates current and projected adoption of solutions to the planet’s forest, grassland, rainfed cropland, and irrigated cropland areas. </w:t>
      </w:r>
      <w:r w:rsidRPr="0098463A">
        <w:rPr>
          <w:rFonts w:eastAsia="Helvetica Neue" w:cs="Times New Roman"/>
          <w:i/>
          <w:color w:val="000000" w:themeColor="text1"/>
          <w:highlight w:val="white"/>
        </w:rPr>
        <w:t>Forest protection</w:t>
      </w:r>
      <w:r w:rsidRPr="0098463A">
        <w:rPr>
          <w:rFonts w:eastAsia="Helvetica Neue" w:cs="Times New Roman"/>
          <w:color w:val="000000" w:themeColor="text1"/>
          <w:highlight w:val="white"/>
        </w:rPr>
        <w:t> was the fourth priority for use of non-degraded forest, following </w:t>
      </w:r>
      <w:r w:rsidRPr="0098463A">
        <w:rPr>
          <w:rFonts w:eastAsia="Helvetica Neue" w:cs="Times New Roman"/>
          <w:i/>
          <w:color w:val="000000" w:themeColor="text1"/>
          <w:highlight w:val="white"/>
        </w:rPr>
        <w:t>peatlands</w:t>
      </w:r>
      <w:r w:rsidRPr="0098463A">
        <w:rPr>
          <w:rFonts w:eastAsia="Helvetica Neue" w:cs="Times New Roman"/>
          <w:color w:val="000000" w:themeColor="text1"/>
          <w:highlight w:val="white"/>
        </w:rPr>
        <w:t>, mangrove protection (in the </w:t>
      </w:r>
      <w:r w:rsidRPr="0098463A">
        <w:rPr>
          <w:rFonts w:eastAsia="Helvetica Neue" w:cs="Times New Roman"/>
          <w:i/>
          <w:color w:val="000000" w:themeColor="text1"/>
          <w:highlight w:val="white"/>
        </w:rPr>
        <w:t>coastal wetlands</w:t>
      </w:r>
      <w:r w:rsidRPr="0098463A">
        <w:rPr>
          <w:rFonts w:eastAsia="Helvetica Neue" w:cs="Times New Roman"/>
          <w:color w:val="000000" w:themeColor="text1"/>
          <w:highlight w:val="white"/>
        </w:rPr>
        <w:t> solution), and </w:t>
      </w:r>
      <w:r w:rsidRPr="0098463A">
        <w:rPr>
          <w:rFonts w:eastAsia="Helvetica Neue" w:cs="Times New Roman"/>
          <w:i/>
          <w:color w:val="000000" w:themeColor="text1"/>
          <w:highlight w:val="white"/>
        </w:rPr>
        <w:t>indigenous peoples’ land management</w:t>
      </w:r>
      <w:r w:rsidR="005505CA">
        <w:rPr>
          <w:rFonts w:eastAsia="Helvetica Neue" w:cs="Times New Roman"/>
          <w:color w:val="000000" w:themeColor="text1"/>
          <w:highlight w:val="white"/>
        </w:rPr>
        <w:t xml:space="preserve"> (all of these are forms of forest protection).</w:t>
      </w:r>
    </w:p>
    <w:p w14:paraId="7E1801EC" w14:textId="77777777" w:rsidR="0055140A" w:rsidRPr="0055140A" w:rsidRDefault="0055140A" w:rsidP="0055140A">
      <w:pPr>
        <w:shd w:val="clear" w:color="auto" w:fill="FFFFFF"/>
        <w:spacing w:after="135" w:line="330" w:lineRule="atLeast"/>
        <w:rPr>
          <w:rFonts w:eastAsia="Times New Roman" w:cs="Times New Roman"/>
          <w:color w:val="222222"/>
          <w:lang w:eastAsia="zh-CN"/>
        </w:rPr>
      </w:pPr>
      <w:r w:rsidRPr="0055140A">
        <w:rPr>
          <w:rFonts w:eastAsia="Times New Roman" w:cs="Times New Roman"/>
          <w:b/>
          <w:bCs/>
          <w:i/>
          <w:iCs/>
          <w:color w:val="000000"/>
          <w:lang w:eastAsia="zh-CN"/>
        </w:rPr>
        <w:t>The Biomass Model</w:t>
      </w:r>
    </w:p>
    <w:p w14:paraId="7A0EBDEE" w14:textId="77777777" w:rsidR="0055140A" w:rsidRPr="0055140A" w:rsidRDefault="0055140A" w:rsidP="0055140A">
      <w:pPr>
        <w:shd w:val="clear" w:color="auto" w:fill="FFFFFF"/>
        <w:spacing w:after="135" w:line="330" w:lineRule="atLeast"/>
        <w:rPr>
          <w:rFonts w:eastAsia="Times New Roman" w:cs="Times New Roman"/>
          <w:color w:val="222222"/>
          <w:lang w:eastAsia="zh-CN"/>
        </w:rPr>
      </w:pPr>
      <w:r w:rsidRPr="0055140A">
        <w:rPr>
          <w:rFonts w:eastAsia="Times New Roman" w:cs="Times New Roman"/>
          <w:color w:val="000000"/>
          <w:lang w:eastAsia="zh-CN"/>
        </w:rPr>
        <w:t xml:space="preserve">Drawdown’s Biomass model begins with projected global biomass demand through 2060, based on FAO historical data and other sources, in categories including </w:t>
      </w:r>
      <w:proofErr w:type="spellStart"/>
      <w:r w:rsidRPr="0055140A">
        <w:rPr>
          <w:rFonts w:eastAsia="Times New Roman" w:cs="Times New Roman"/>
          <w:color w:val="000000"/>
          <w:lang w:eastAsia="zh-CN"/>
        </w:rPr>
        <w:t>sawnwood</w:t>
      </w:r>
      <w:proofErr w:type="spellEnd"/>
      <w:r w:rsidRPr="0055140A">
        <w:rPr>
          <w:rFonts w:eastAsia="Times New Roman" w:cs="Times New Roman"/>
          <w:color w:val="000000"/>
          <w:lang w:eastAsia="zh-CN"/>
        </w:rPr>
        <w:t>, other woody biomass, and herbaceous biomass (which includes crop residues). It determines the impact of demand reduction solutions including </w:t>
      </w:r>
      <w:r w:rsidRPr="0055140A">
        <w:rPr>
          <w:rFonts w:eastAsia="Times New Roman" w:cs="Times New Roman"/>
          <w:i/>
          <w:iCs/>
          <w:color w:val="000000"/>
          <w:lang w:eastAsia="zh-CN"/>
        </w:rPr>
        <w:t>clean cookstoves</w:t>
      </w:r>
      <w:r w:rsidRPr="0055140A">
        <w:rPr>
          <w:rFonts w:eastAsia="Times New Roman" w:cs="Times New Roman"/>
          <w:color w:val="000000"/>
          <w:lang w:eastAsia="zh-CN"/>
        </w:rPr>
        <w:t> and </w:t>
      </w:r>
      <w:r w:rsidRPr="0055140A">
        <w:rPr>
          <w:rFonts w:eastAsia="Times New Roman" w:cs="Times New Roman"/>
          <w:i/>
          <w:iCs/>
          <w:color w:val="000000"/>
          <w:lang w:eastAsia="zh-CN"/>
        </w:rPr>
        <w:t>recycled paper</w:t>
      </w:r>
      <w:r w:rsidRPr="0055140A">
        <w:rPr>
          <w:rFonts w:eastAsia="Times New Roman" w:cs="Times New Roman"/>
          <w:color w:val="000000"/>
          <w:lang w:eastAsia="zh-CN"/>
        </w:rPr>
        <w:t>, resulting in an adjusted demand projection through 2060. Biomass supply reductions are modeled as well, which result from protection of forests, reducing biomass availability. Biomass supply increases are modeled through the increased adoption of solutions including </w:t>
      </w:r>
      <w:r w:rsidRPr="0055140A">
        <w:rPr>
          <w:rFonts w:eastAsia="Times New Roman" w:cs="Times New Roman"/>
          <w:i/>
          <w:iCs/>
          <w:color w:val="000000"/>
          <w:lang w:eastAsia="zh-CN"/>
        </w:rPr>
        <w:t>afforestation, bamboo, perennial biomass </w:t>
      </w:r>
      <w:r w:rsidRPr="0055140A">
        <w:rPr>
          <w:rFonts w:eastAsia="Times New Roman" w:cs="Times New Roman"/>
          <w:color w:val="000000"/>
          <w:lang w:eastAsia="zh-CN"/>
        </w:rPr>
        <w:t>and</w:t>
      </w:r>
      <w:r w:rsidRPr="0055140A">
        <w:rPr>
          <w:rFonts w:eastAsia="Times New Roman" w:cs="Times New Roman"/>
          <w:i/>
          <w:iCs/>
          <w:color w:val="000000"/>
          <w:lang w:eastAsia="zh-CN"/>
        </w:rPr>
        <w:t> </w:t>
      </w:r>
      <w:r w:rsidRPr="0055140A">
        <w:rPr>
          <w:rFonts w:eastAsia="Times New Roman" w:cs="Times New Roman"/>
          <w:color w:val="000000"/>
          <w:lang w:eastAsia="zh-CN"/>
        </w:rPr>
        <w:t>agroforestry solutions like </w:t>
      </w:r>
      <w:r w:rsidRPr="0055140A">
        <w:rPr>
          <w:rFonts w:eastAsia="Times New Roman" w:cs="Times New Roman"/>
          <w:i/>
          <w:iCs/>
          <w:color w:val="000000"/>
          <w:lang w:eastAsia="zh-CN"/>
        </w:rPr>
        <w:t xml:space="preserve">tree intercropping, </w:t>
      </w:r>
      <w:proofErr w:type="spellStart"/>
      <w:r w:rsidRPr="0055140A">
        <w:rPr>
          <w:rFonts w:eastAsia="Times New Roman" w:cs="Times New Roman"/>
          <w:i/>
          <w:iCs/>
          <w:color w:val="000000"/>
          <w:lang w:eastAsia="zh-CN"/>
        </w:rPr>
        <w:t>silvopasture</w:t>
      </w:r>
      <w:proofErr w:type="spellEnd"/>
      <w:r w:rsidRPr="0055140A">
        <w:rPr>
          <w:rFonts w:eastAsia="Times New Roman" w:cs="Times New Roman"/>
          <w:i/>
          <w:iCs/>
          <w:color w:val="000000"/>
          <w:lang w:eastAsia="zh-CN"/>
        </w:rPr>
        <w:t>, </w:t>
      </w:r>
      <w:r w:rsidRPr="0055140A">
        <w:rPr>
          <w:rFonts w:eastAsia="Times New Roman" w:cs="Times New Roman"/>
          <w:color w:val="000000"/>
          <w:lang w:eastAsia="zh-CN"/>
        </w:rPr>
        <w:t>and </w:t>
      </w:r>
      <w:proofErr w:type="spellStart"/>
      <w:r w:rsidRPr="0055140A">
        <w:rPr>
          <w:rFonts w:eastAsia="Times New Roman" w:cs="Times New Roman"/>
          <w:i/>
          <w:iCs/>
          <w:color w:val="000000"/>
          <w:lang w:eastAsia="zh-CN"/>
        </w:rPr>
        <w:t>multistrata</w:t>
      </w:r>
      <w:proofErr w:type="spellEnd"/>
      <w:r w:rsidRPr="0055140A">
        <w:rPr>
          <w:rFonts w:eastAsia="Times New Roman" w:cs="Times New Roman"/>
          <w:i/>
          <w:iCs/>
          <w:color w:val="000000"/>
          <w:lang w:eastAsia="zh-CN"/>
        </w:rPr>
        <w:t xml:space="preserve"> agroforestry. </w:t>
      </w:r>
      <w:r w:rsidRPr="0055140A">
        <w:rPr>
          <w:rFonts w:eastAsia="Times New Roman" w:cs="Times New Roman"/>
          <w:color w:val="000000"/>
          <w:lang w:eastAsia="zh-CN"/>
        </w:rPr>
        <w:t>Biomass availability from crop residues, </w:t>
      </w:r>
      <w:r w:rsidRPr="0055140A">
        <w:rPr>
          <w:rFonts w:eastAsia="Times New Roman" w:cs="Times New Roman"/>
          <w:i/>
          <w:iCs/>
          <w:color w:val="000000"/>
          <w:lang w:eastAsia="zh-CN"/>
        </w:rPr>
        <w:t>seaweed farming</w:t>
      </w:r>
      <w:r w:rsidRPr="0055140A">
        <w:rPr>
          <w:rFonts w:eastAsia="Times New Roman" w:cs="Times New Roman"/>
          <w:color w:val="000000"/>
          <w:lang w:eastAsia="zh-CN"/>
        </w:rPr>
        <w:t>, and dedicated biomass crops planted on cropland freed up by </w:t>
      </w:r>
      <w:r w:rsidRPr="0055140A">
        <w:rPr>
          <w:rFonts w:eastAsia="Times New Roman" w:cs="Times New Roman"/>
          <w:i/>
          <w:iCs/>
          <w:color w:val="000000"/>
          <w:lang w:eastAsia="zh-CN"/>
        </w:rPr>
        <w:t>sustainable intensification</w:t>
      </w:r>
      <w:r w:rsidRPr="0055140A">
        <w:rPr>
          <w:rFonts w:eastAsia="Times New Roman" w:cs="Times New Roman"/>
          <w:color w:val="000000"/>
          <w:lang w:eastAsia="zh-CN"/>
        </w:rPr>
        <w:t> is also modeled.</w:t>
      </w:r>
    </w:p>
    <w:p w14:paraId="229955C3" w14:textId="383E34F2" w:rsidR="0055140A" w:rsidRPr="0055140A" w:rsidRDefault="0055140A" w:rsidP="0055140A">
      <w:pPr>
        <w:shd w:val="clear" w:color="auto" w:fill="FFFFFF"/>
        <w:spacing w:after="135" w:line="330" w:lineRule="atLeast"/>
        <w:rPr>
          <w:rFonts w:eastAsia="Times New Roman" w:cs="Times New Roman"/>
          <w:color w:val="222222"/>
          <w:lang w:eastAsia="zh-CN"/>
        </w:rPr>
      </w:pPr>
      <w:r w:rsidRPr="0055140A">
        <w:rPr>
          <w:rFonts w:eastAsia="Times New Roman" w:cs="Times New Roman"/>
          <w:color w:val="000000"/>
          <w:lang w:eastAsia="zh-CN"/>
        </w:rPr>
        <w:t>Surplus biomass is allocated to climate solutions that require biomass as feedstock. These include </w:t>
      </w:r>
      <w:r w:rsidRPr="0055140A">
        <w:rPr>
          <w:rFonts w:eastAsia="Times New Roman" w:cs="Times New Roman"/>
          <w:i/>
          <w:iCs/>
          <w:color w:val="000000"/>
          <w:lang w:eastAsia="zh-CN"/>
        </w:rPr>
        <w:t>biochar, biomass electricity, bioplastic, 2</w:t>
      </w:r>
      <w:r w:rsidRPr="0055140A">
        <w:rPr>
          <w:rFonts w:eastAsia="Times New Roman" w:cs="Times New Roman"/>
          <w:i/>
          <w:iCs/>
          <w:color w:val="000000"/>
          <w:vertAlign w:val="superscript"/>
          <w:lang w:eastAsia="zh-CN"/>
        </w:rPr>
        <w:t>nd</w:t>
      </w:r>
      <w:r w:rsidRPr="0055140A">
        <w:rPr>
          <w:rFonts w:eastAsia="Times New Roman" w:cs="Times New Roman"/>
          <w:i/>
          <w:iCs/>
          <w:color w:val="000000"/>
          <w:lang w:eastAsia="zh-CN"/>
        </w:rPr>
        <w:t> generation biofuels, building with wood, insulation, small-scale biogas, </w:t>
      </w:r>
      <w:r w:rsidRPr="0055140A">
        <w:rPr>
          <w:rFonts w:eastAsia="Times New Roman" w:cs="Times New Roman"/>
          <w:color w:val="000000"/>
          <w:lang w:eastAsia="zh-CN"/>
        </w:rPr>
        <w:t>and </w:t>
      </w:r>
      <w:r w:rsidRPr="0055140A">
        <w:rPr>
          <w:rFonts w:eastAsia="Times New Roman" w:cs="Times New Roman"/>
          <w:i/>
          <w:iCs/>
          <w:color w:val="000000"/>
          <w:lang w:eastAsia="zh-CN"/>
        </w:rPr>
        <w:t>district heating. </w:t>
      </w:r>
      <w:r>
        <w:rPr>
          <w:rFonts w:eastAsia="Times New Roman" w:cs="Times New Roman"/>
          <w:color w:val="000000"/>
          <w:lang w:eastAsia="zh-CN"/>
        </w:rPr>
        <w:t>Adoption of this solution reduces biomass availability from forests.</w:t>
      </w:r>
      <w:r w:rsidRPr="0055140A">
        <w:rPr>
          <w:rFonts w:eastAsia="Times New Roman" w:cs="Times New Roman"/>
          <w:color w:val="000000"/>
          <w:lang w:eastAsia="zh-CN"/>
        </w:rPr>
        <w:t> </w:t>
      </w:r>
      <w:r w:rsidRPr="0055140A">
        <w:rPr>
          <w:rFonts w:eastAsia="Times New Roman" w:cs="Times New Roman"/>
          <w:i/>
          <w:iCs/>
          <w:color w:val="000000"/>
          <w:lang w:eastAsia="zh-CN"/>
        </w:rPr>
        <w:t> </w:t>
      </w:r>
    </w:p>
    <w:p w14:paraId="219F5F4A" w14:textId="77777777" w:rsidR="00BD7079" w:rsidRPr="00DC3559" w:rsidRDefault="00BD7079" w:rsidP="00DB4CC8"/>
    <w:p w14:paraId="0ED84BEA" w14:textId="6516F7DF" w:rsidR="009D118F" w:rsidRDefault="00E101A9" w:rsidP="00E101A9">
      <w:pPr>
        <w:pStyle w:val="Heading2"/>
        <w:numPr>
          <w:ilvl w:val="0"/>
          <w:numId w:val="0"/>
        </w:numPr>
      </w:pPr>
      <w:bookmarkStart w:id="41" w:name="_Toc18240013"/>
      <w:r>
        <w:t xml:space="preserve">2.8 </w:t>
      </w:r>
      <w:r w:rsidR="00686965">
        <w:t>Limitations/Further Development</w:t>
      </w:r>
      <w:bookmarkEnd w:id="41"/>
    </w:p>
    <w:p w14:paraId="34BE4080" w14:textId="01D5AAC7" w:rsidR="008B7E2F" w:rsidRPr="00C02B08" w:rsidRDefault="00C02B08" w:rsidP="00DB4CC8">
      <w:r w:rsidRPr="00C02B08">
        <w:t>Currently a limitation of this study is the lack of financial data.</w:t>
      </w:r>
    </w:p>
    <w:p w14:paraId="4EFDFDF9" w14:textId="77777777" w:rsidR="00C02B08" w:rsidRDefault="00C02B08">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CAFC693" w14:textId="24C5D807" w:rsidR="007C645A" w:rsidRDefault="551A77D0" w:rsidP="009432C9">
      <w:pPr>
        <w:pStyle w:val="Heading1"/>
      </w:pPr>
      <w:bookmarkStart w:id="42" w:name="_Toc18240014"/>
      <w:r>
        <w:lastRenderedPageBreak/>
        <w:t>Results</w:t>
      </w:r>
      <w:bookmarkEnd w:id="42"/>
    </w:p>
    <w:p w14:paraId="7E39F2AB" w14:textId="56CA1D99" w:rsidR="00B261E0" w:rsidRDefault="007A01F0" w:rsidP="004B3A12">
      <w:pPr>
        <w:pStyle w:val="Heading2"/>
        <w:numPr>
          <w:ilvl w:val="0"/>
          <w:numId w:val="0"/>
        </w:numPr>
      </w:pPr>
      <w:bookmarkStart w:id="43" w:name="_Toc18240015"/>
      <w:r>
        <w:t xml:space="preserve">3.1 </w:t>
      </w:r>
      <w:r w:rsidR="007C645A">
        <w:t>Adoption</w:t>
      </w:r>
      <w:bookmarkEnd w:id="43"/>
    </w:p>
    <w:p w14:paraId="10EC0E5D" w14:textId="1E47FC65" w:rsidR="0032353F" w:rsidRDefault="0032353F" w:rsidP="00DB4CC8">
      <w:pPr>
        <w:rPr>
          <w:lang w:eastAsia="zh-CN"/>
        </w:rPr>
      </w:pPr>
      <w:r w:rsidRPr="00DC3559">
        <w:rPr>
          <w:lang w:eastAsia="zh-CN"/>
        </w:rPr>
        <w:t>Below</w:t>
      </w:r>
      <w:r w:rsidR="00284427">
        <w:rPr>
          <w:lang w:eastAsia="zh-CN"/>
        </w:rPr>
        <w:t>,</w:t>
      </w:r>
      <w:r w:rsidRPr="00DC3559">
        <w:rPr>
          <w:lang w:eastAsia="zh-CN"/>
        </w:rPr>
        <w:t xml:space="preserve"> the </w:t>
      </w:r>
      <w:r>
        <w:rPr>
          <w:lang w:eastAsia="zh-CN"/>
        </w:rPr>
        <w:t xml:space="preserve">world </w:t>
      </w:r>
      <w:r w:rsidRPr="00DC3559">
        <w:rPr>
          <w:lang w:eastAsia="zh-CN"/>
        </w:rPr>
        <w:t>adoptions of the solution</w:t>
      </w:r>
      <w:r w:rsidR="00FF7B93">
        <w:rPr>
          <w:lang w:eastAsia="zh-CN"/>
        </w:rPr>
        <w:t xml:space="preserve"> </w:t>
      </w:r>
      <w:r w:rsidR="00FF7B93" w:rsidRPr="00DC3559">
        <w:rPr>
          <w:lang w:eastAsia="zh-CN"/>
        </w:rPr>
        <w:t>are shown</w:t>
      </w:r>
      <w:r w:rsidRPr="00DC3559">
        <w:rPr>
          <w:lang w:eastAsia="zh-CN"/>
        </w:rPr>
        <w:t xml:space="preserve"> in some key years of analysis in functional units and </w:t>
      </w:r>
      <w:r w:rsidR="00FF7B93">
        <w:rPr>
          <w:lang w:eastAsia="zh-CN"/>
        </w:rPr>
        <w:t xml:space="preserve">as a </w:t>
      </w:r>
      <w:r w:rsidRPr="00DC3559">
        <w:rPr>
          <w:lang w:eastAsia="zh-CN"/>
        </w:rPr>
        <w:t>percent</w:t>
      </w:r>
      <w:r w:rsidR="00FF7B93">
        <w:rPr>
          <w:lang w:eastAsia="zh-CN"/>
        </w:rPr>
        <w:t>age</w:t>
      </w:r>
      <w:r>
        <w:rPr>
          <w:lang w:eastAsia="zh-CN"/>
        </w:rPr>
        <w:t xml:space="preserve"> for the three Project Drawdown scenarios</w:t>
      </w:r>
      <w:r w:rsidRPr="00DC3559">
        <w:rPr>
          <w:lang w:eastAsia="zh-CN"/>
        </w:rPr>
        <w:t xml:space="preserve">. </w:t>
      </w:r>
    </w:p>
    <w:p w14:paraId="2A5A9E57" w14:textId="21428092" w:rsidR="00341625" w:rsidRPr="00916F33" w:rsidRDefault="00341625" w:rsidP="00341625">
      <w:pPr>
        <w:shd w:val="clear" w:color="auto" w:fill="FFFFFF"/>
        <w:spacing w:after="180"/>
        <w:rPr>
          <w:rFonts w:eastAsia="Helvetica Neue" w:cstheme="minorHAnsi"/>
          <w:color w:val="000000"/>
        </w:rPr>
      </w:pPr>
      <w:r w:rsidRPr="00916F33">
        <w:rPr>
          <w:rFonts w:eastAsia="Helvetica Neue" w:cstheme="minorHAnsi"/>
          <w:color w:val="000000"/>
        </w:rPr>
        <w:t>Total adoption in the </w:t>
      </w:r>
      <w:r w:rsidRPr="00916F33">
        <w:rPr>
          <w:rFonts w:eastAsia="Helvetica Neue" w:cstheme="minorHAnsi"/>
          <w:i/>
          <w:color w:val="000000"/>
        </w:rPr>
        <w:t>Plausible</w:t>
      </w:r>
      <w:r w:rsidRPr="00916F33">
        <w:rPr>
          <w:rFonts w:eastAsia="Helvetica Neue" w:cstheme="minorHAnsi"/>
          <w:color w:val="000000"/>
        </w:rPr>
        <w:t xml:space="preserve"> Scenario is </w:t>
      </w:r>
      <w:r w:rsidR="005B1FB9">
        <w:rPr>
          <w:rFonts w:eastAsia="Helvetica Neue" w:cstheme="minorHAnsi"/>
          <w:color w:val="000000"/>
        </w:rPr>
        <w:t>96</w:t>
      </w:r>
      <w:r w:rsidR="001955AB">
        <w:rPr>
          <w:rFonts w:eastAsia="Helvetica Neue" w:cstheme="minorHAnsi"/>
          <w:color w:val="000000"/>
        </w:rPr>
        <w:t>1.</w:t>
      </w:r>
      <w:r w:rsidR="005B1FB9">
        <w:rPr>
          <w:rFonts w:eastAsia="Helvetica Neue" w:cstheme="minorHAnsi"/>
          <w:color w:val="000000"/>
        </w:rPr>
        <w:t>8</w:t>
      </w:r>
      <w:r w:rsidR="001955AB">
        <w:rPr>
          <w:rFonts w:eastAsia="Helvetica Neue" w:cstheme="minorHAnsi"/>
          <w:color w:val="000000"/>
        </w:rPr>
        <w:t>7</w:t>
      </w:r>
      <w:r w:rsidRPr="00916F33">
        <w:rPr>
          <w:rFonts w:eastAsia="Helvetica Neue" w:cstheme="minorHAnsi"/>
          <w:color w:val="000000"/>
        </w:rPr>
        <w:t xml:space="preserve"> million hectares in 2050, representing </w:t>
      </w:r>
      <w:r w:rsidR="005B1FB9">
        <w:rPr>
          <w:rFonts w:eastAsia="Helvetica Neue" w:cstheme="minorHAnsi"/>
          <w:color w:val="000000"/>
        </w:rPr>
        <w:t>91</w:t>
      </w:r>
      <w:r w:rsidR="005B1FB9" w:rsidRPr="00916F33">
        <w:rPr>
          <w:rFonts w:eastAsia="Helvetica Neue" w:cstheme="minorHAnsi"/>
          <w:color w:val="000000"/>
        </w:rPr>
        <w:t xml:space="preserve"> </w:t>
      </w:r>
      <w:r w:rsidRPr="00916F33">
        <w:rPr>
          <w:rFonts w:eastAsia="Helvetica Neue" w:cstheme="minorHAnsi"/>
          <w:color w:val="000000"/>
        </w:rPr>
        <w:t>percent of the total suitable land</w:t>
      </w:r>
      <w:r w:rsidR="005B1FB9">
        <w:rPr>
          <w:rFonts w:eastAsia="Helvetica Neue" w:cstheme="minorHAnsi"/>
          <w:color w:val="000000"/>
        </w:rPr>
        <w:t xml:space="preserve"> in 2014</w:t>
      </w:r>
      <w:r w:rsidRPr="00916F33">
        <w:rPr>
          <w:rFonts w:eastAsia="Helvetica Neue" w:cstheme="minorHAnsi"/>
          <w:color w:val="000000"/>
        </w:rPr>
        <w:t xml:space="preserve">. Of this, </w:t>
      </w:r>
      <w:r w:rsidR="00D11CDE">
        <w:rPr>
          <w:lang w:eastAsia="zh-CN"/>
        </w:rPr>
        <w:t xml:space="preserve">310.87 </w:t>
      </w:r>
      <w:r w:rsidRPr="00916F33">
        <w:rPr>
          <w:rFonts w:eastAsia="Helvetica Neue" w:cstheme="minorHAnsi"/>
          <w:color w:val="000000"/>
        </w:rPr>
        <w:t xml:space="preserve">million hectares are adopted from 2020-2050. </w:t>
      </w:r>
    </w:p>
    <w:p w14:paraId="71793B5B" w14:textId="654CF681" w:rsidR="00341625" w:rsidRPr="00916F33" w:rsidRDefault="00341625" w:rsidP="00341625">
      <w:pPr>
        <w:shd w:val="clear" w:color="auto" w:fill="FFFFFF"/>
        <w:spacing w:after="180"/>
        <w:rPr>
          <w:rFonts w:eastAsia="Helvetica Neue" w:cstheme="minorHAnsi"/>
          <w:color w:val="000000"/>
        </w:rPr>
      </w:pPr>
      <w:r w:rsidRPr="00916F33">
        <w:rPr>
          <w:rFonts w:eastAsia="Helvetica Neue" w:cstheme="minorHAnsi"/>
          <w:color w:val="000000"/>
        </w:rPr>
        <w:t>Total adoption in the </w:t>
      </w:r>
      <w:r w:rsidRPr="00916F33">
        <w:rPr>
          <w:rFonts w:eastAsia="Helvetica Neue" w:cstheme="minorHAnsi"/>
          <w:i/>
          <w:color w:val="000000"/>
        </w:rPr>
        <w:t>Drawdown</w:t>
      </w:r>
      <w:r w:rsidRPr="00916F33">
        <w:rPr>
          <w:rFonts w:eastAsia="Helvetica Neue" w:cstheme="minorHAnsi"/>
          <w:color w:val="000000"/>
        </w:rPr>
        <w:t xml:space="preserve"> Scenario is </w:t>
      </w:r>
      <w:r w:rsidR="00651B87">
        <w:rPr>
          <w:rFonts w:eastAsia="Helvetica Neue" w:cstheme="minorHAnsi"/>
          <w:color w:val="000000"/>
        </w:rPr>
        <w:t>104</w:t>
      </w:r>
      <w:r w:rsidR="001955AB">
        <w:rPr>
          <w:rFonts w:eastAsia="Helvetica Neue" w:cstheme="minorHAnsi"/>
          <w:color w:val="000000"/>
        </w:rPr>
        <w:t>7.90</w:t>
      </w:r>
      <w:r w:rsidRPr="00916F33">
        <w:rPr>
          <w:rFonts w:eastAsia="Helvetica Neue" w:cstheme="minorHAnsi"/>
          <w:color w:val="000000"/>
        </w:rPr>
        <w:t xml:space="preserve"> million hectares in 2050, representing </w:t>
      </w:r>
      <w:r w:rsidR="00651B87">
        <w:rPr>
          <w:rFonts w:eastAsia="Helvetica Neue" w:cstheme="minorHAnsi"/>
          <w:color w:val="000000"/>
        </w:rPr>
        <w:t>99</w:t>
      </w:r>
      <w:r w:rsidR="001955AB">
        <w:rPr>
          <w:rFonts w:eastAsia="Helvetica Neue" w:cstheme="minorHAnsi"/>
          <w:color w:val="000000"/>
        </w:rPr>
        <w:t>.14</w:t>
      </w:r>
      <w:r w:rsidRPr="00916F33">
        <w:rPr>
          <w:rFonts w:eastAsia="Helvetica Neue" w:cstheme="minorHAnsi"/>
          <w:color w:val="000000"/>
        </w:rPr>
        <w:t xml:space="preserve"> percent of the total suitable land</w:t>
      </w:r>
      <w:r w:rsidR="00651B87">
        <w:rPr>
          <w:rFonts w:eastAsia="Helvetica Neue" w:cstheme="minorHAnsi"/>
          <w:color w:val="000000"/>
        </w:rPr>
        <w:t xml:space="preserve"> in 2014</w:t>
      </w:r>
      <w:r w:rsidRPr="00916F33">
        <w:rPr>
          <w:rFonts w:eastAsia="Helvetica Neue" w:cstheme="minorHAnsi"/>
          <w:color w:val="000000"/>
        </w:rPr>
        <w:t xml:space="preserve">. Of this, </w:t>
      </w:r>
      <w:r w:rsidR="00D11CDE">
        <w:rPr>
          <w:lang w:eastAsia="zh-CN"/>
        </w:rPr>
        <w:t xml:space="preserve">396.90 </w:t>
      </w:r>
      <w:r w:rsidRPr="00916F33">
        <w:rPr>
          <w:rFonts w:eastAsia="Helvetica Neue" w:cstheme="minorHAnsi"/>
          <w:color w:val="000000"/>
        </w:rPr>
        <w:t xml:space="preserve">million hectares are adopted from 2020-2050. </w:t>
      </w:r>
    </w:p>
    <w:p w14:paraId="52E70466" w14:textId="4FF51E84" w:rsidR="00341625" w:rsidRPr="00C66A24" w:rsidRDefault="00341625" w:rsidP="00341625">
      <w:pPr>
        <w:shd w:val="clear" w:color="auto" w:fill="FFFFFF"/>
        <w:spacing w:after="180"/>
        <w:rPr>
          <w:rFonts w:eastAsia="Helvetica Neue" w:cstheme="minorHAnsi"/>
          <w:color w:val="000000"/>
        </w:rPr>
      </w:pPr>
      <w:r w:rsidRPr="003B62E2">
        <w:rPr>
          <w:rFonts w:eastAsia="Helvetica Neue" w:cstheme="minorHAnsi"/>
          <w:color w:val="000000"/>
        </w:rPr>
        <w:t>Total adoption in the </w:t>
      </w:r>
      <w:r w:rsidRPr="003B62E2">
        <w:rPr>
          <w:rFonts w:eastAsia="Helvetica Neue" w:cstheme="minorHAnsi"/>
          <w:i/>
          <w:color w:val="000000"/>
        </w:rPr>
        <w:t>Optimum</w:t>
      </w:r>
      <w:r w:rsidRPr="003B62E2">
        <w:rPr>
          <w:rFonts w:eastAsia="Helvetica Neue" w:cstheme="minorHAnsi"/>
          <w:color w:val="000000"/>
        </w:rPr>
        <w:t xml:space="preserve"> Scenario is </w:t>
      </w:r>
      <w:r w:rsidR="001955AB" w:rsidRPr="001955AB">
        <w:rPr>
          <w:rFonts w:eastAsia="Helvetica Neue" w:cstheme="minorHAnsi"/>
          <w:color w:val="000000"/>
        </w:rPr>
        <w:t xml:space="preserve"> 1,054.46 </w:t>
      </w:r>
      <w:r w:rsidRPr="003B62E2">
        <w:rPr>
          <w:rFonts w:eastAsia="Helvetica Neue" w:cstheme="minorHAnsi"/>
          <w:color w:val="000000"/>
        </w:rPr>
        <w:t xml:space="preserve">million hectares in 2050, representing </w:t>
      </w:r>
      <w:r w:rsidR="001955AB">
        <w:rPr>
          <w:rFonts w:eastAsia="Helvetica Neue" w:cstheme="minorHAnsi"/>
          <w:color w:val="000000"/>
        </w:rPr>
        <w:t>99.76</w:t>
      </w:r>
      <w:r w:rsidR="00651B87" w:rsidRPr="003B62E2">
        <w:rPr>
          <w:rFonts w:eastAsia="Helvetica Neue" w:cstheme="minorHAnsi"/>
          <w:color w:val="000000"/>
        </w:rPr>
        <w:t xml:space="preserve"> </w:t>
      </w:r>
      <w:r w:rsidRPr="003B62E2">
        <w:rPr>
          <w:rFonts w:eastAsia="Helvetica Neue" w:cstheme="minorHAnsi"/>
          <w:color w:val="000000"/>
        </w:rPr>
        <w:t xml:space="preserve">percent of the total suitable land. Of this, </w:t>
      </w:r>
      <w:r w:rsidR="00D11CDE">
        <w:rPr>
          <w:lang w:eastAsia="zh-CN"/>
        </w:rPr>
        <w:t xml:space="preserve">403.46 </w:t>
      </w:r>
      <w:r w:rsidRPr="003B62E2">
        <w:rPr>
          <w:rFonts w:eastAsia="Helvetica Neue" w:cstheme="minorHAnsi"/>
          <w:color w:val="000000"/>
        </w:rPr>
        <w:t>million hectares are adopted from 2020-2050.</w:t>
      </w:r>
      <w:r w:rsidRPr="00C66A24">
        <w:rPr>
          <w:rFonts w:eastAsia="Helvetica Neue" w:cstheme="minorHAnsi"/>
          <w:color w:val="000000"/>
        </w:rPr>
        <w:t xml:space="preserve"> </w:t>
      </w:r>
    </w:p>
    <w:p w14:paraId="4D63FADF" w14:textId="104E635B" w:rsidR="00341625" w:rsidRDefault="00341625" w:rsidP="00DB4CC8">
      <w:pPr>
        <w:pStyle w:val="Caption"/>
        <w:jc w:val="center"/>
      </w:pPr>
    </w:p>
    <w:p w14:paraId="2C317FDC" w14:textId="59F7736B" w:rsidR="000602CA" w:rsidRDefault="001955AB" w:rsidP="00DB4CC8">
      <w:pPr>
        <w:pStyle w:val="Caption"/>
        <w:jc w:val="center"/>
      </w:pPr>
      <w:r>
        <w:rPr>
          <w:noProof/>
        </w:rPr>
        <w:drawing>
          <wp:inline distT="0" distB="0" distL="0" distR="0" wp14:anchorId="4901A684" wp14:editId="5F5DF436">
            <wp:extent cx="4757738" cy="3263813"/>
            <wp:effectExtent l="0" t="0" r="5080" b="13335"/>
            <wp:docPr id="1" name="Chart 1">
              <a:extLst xmlns:a="http://schemas.openxmlformats.org/drawingml/2006/main">
                <a:ext uri="{FF2B5EF4-FFF2-40B4-BE49-F238E27FC236}">
                  <a16:creationId xmlns:a16="http://schemas.microsoft.com/office/drawing/2014/main" id="{815D8FCD-A3E5-4602-BBEC-7D88E80FA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513B7A7" w14:textId="7C80D2F7" w:rsidR="001955AB" w:rsidRPr="001955AB" w:rsidRDefault="001955AB" w:rsidP="001955AB">
      <w:pPr>
        <w:jc w:val="center"/>
      </w:pPr>
      <w:r>
        <w:rPr>
          <w:noProof/>
        </w:rPr>
        <w:lastRenderedPageBreak/>
        <w:drawing>
          <wp:inline distT="0" distB="0" distL="0" distR="0" wp14:anchorId="752A53A0" wp14:editId="73D711BD">
            <wp:extent cx="4772025" cy="3106650"/>
            <wp:effectExtent l="0" t="0" r="9525" b="17780"/>
            <wp:docPr id="5" name="Chart 5">
              <a:extLst xmlns:a="http://schemas.openxmlformats.org/drawingml/2006/main">
                <a:ext uri="{FF2B5EF4-FFF2-40B4-BE49-F238E27FC236}">
                  <a16:creationId xmlns:a16="http://schemas.microsoft.com/office/drawing/2014/main" id="{AE39710D-ABE2-4D42-A08A-33A7057F9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38ACEB" w14:textId="3A2E1DB4" w:rsidR="000602CA" w:rsidRPr="00FE712D" w:rsidRDefault="000602CA" w:rsidP="000602CA">
      <w:pPr>
        <w:pStyle w:val="Caption"/>
        <w:jc w:val="center"/>
      </w:pPr>
      <w:bookmarkStart w:id="44" w:name="_Toc18439370"/>
      <w:r>
        <w:t xml:space="preserve">Figure </w:t>
      </w:r>
      <w:r w:rsidR="00DC5104">
        <w:rPr>
          <w:noProof/>
        </w:rPr>
        <w:t>3</w:t>
      </w:r>
      <w:r>
        <w:t>.</w:t>
      </w:r>
      <w:r>
        <w:rPr>
          <w:noProof/>
        </w:rPr>
        <w:fldChar w:fldCharType="begin"/>
      </w:r>
      <w:r>
        <w:rPr>
          <w:noProof/>
        </w:rPr>
        <w:instrText xml:space="preserve"> SEQ Figure \* ARABIC \s 1 </w:instrText>
      </w:r>
      <w:r>
        <w:rPr>
          <w:noProof/>
        </w:rPr>
        <w:fldChar w:fldCharType="separate"/>
      </w:r>
      <w:r w:rsidR="00E26324">
        <w:rPr>
          <w:noProof/>
        </w:rPr>
        <w:t>1</w:t>
      </w:r>
      <w:r>
        <w:rPr>
          <w:noProof/>
        </w:rPr>
        <w:fldChar w:fldCharType="end"/>
      </w:r>
      <w:r>
        <w:t xml:space="preserve"> World Annual Adoption 2020-2050 [</w:t>
      </w:r>
      <w:proofErr w:type="spellStart"/>
      <w:r>
        <w:t>Mha</w:t>
      </w:r>
      <w:proofErr w:type="spellEnd"/>
      <w:r>
        <w:t>]</w:t>
      </w:r>
      <w:bookmarkEnd w:id="44"/>
    </w:p>
    <w:p w14:paraId="48C43F05" w14:textId="5EC2FE66" w:rsidR="000602CA" w:rsidRDefault="009432C9" w:rsidP="009432C9">
      <w:pPr>
        <w:pStyle w:val="Caption"/>
      </w:pPr>
      <w:bookmarkStart w:id="45" w:name="_Toc18439378"/>
      <w:r>
        <w:t xml:space="preserve">Table </w:t>
      </w:r>
      <w:r w:rsidR="005D2ED8">
        <w:fldChar w:fldCharType="begin"/>
      </w:r>
      <w:r w:rsidR="005D2ED8">
        <w:instrText xml:space="preserve"> STYLEREF 1 \s </w:instrText>
      </w:r>
      <w:r w:rsidR="005D2ED8">
        <w:fldChar w:fldCharType="separate"/>
      </w:r>
      <w:r w:rsidR="00E26324">
        <w:rPr>
          <w:noProof/>
        </w:rPr>
        <w:t>3</w:t>
      </w:r>
      <w:r w:rsidR="005D2ED8">
        <w:fldChar w:fldCharType="end"/>
      </w:r>
      <w:r w:rsidR="005D2ED8">
        <w:t>.</w:t>
      </w:r>
      <w:r w:rsidR="005D2ED8">
        <w:fldChar w:fldCharType="begin"/>
      </w:r>
      <w:r w:rsidR="005D2ED8">
        <w:instrText xml:space="preserve"> SEQ Table \* ARABIC \s 1 </w:instrText>
      </w:r>
      <w:r w:rsidR="005D2ED8">
        <w:fldChar w:fldCharType="separate"/>
      </w:r>
      <w:r w:rsidR="00E26324">
        <w:rPr>
          <w:noProof/>
        </w:rPr>
        <w:t>1</w:t>
      </w:r>
      <w:r w:rsidR="005D2ED8">
        <w:fldChar w:fldCharType="end"/>
      </w:r>
      <w:r>
        <w:t xml:space="preserve"> World Adoption of the Solution</w:t>
      </w:r>
      <w:bookmarkEnd w:id="45"/>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D11CDE" w:rsidRPr="008D1491" w14:paraId="305C72A7" w14:textId="77777777" w:rsidTr="00D11CDE">
        <w:trPr>
          <w:trHeight w:val="840"/>
        </w:trPr>
        <w:tc>
          <w:tcPr>
            <w:tcW w:w="1951" w:type="dxa"/>
            <w:vMerge w:val="restart"/>
            <w:vAlign w:val="center"/>
          </w:tcPr>
          <w:p w14:paraId="2B8FFE1B" w14:textId="6E4E67B9" w:rsidR="00D11CDE" w:rsidRPr="008D1491" w:rsidRDefault="00D11CDE" w:rsidP="00D11CDE">
            <w:pPr>
              <w:jc w:val="center"/>
              <w:rPr>
                <w:sz w:val="20"/>
                <w:szCs w:val="20"/>
              </w:rPr>
            </w:pPr>
            <w:r>
              <w:rPr>
                <w:sz w:val="20"/>
                <w:szCs w:val="20"/>
              </w:rPr>
              <w:t>Forest Protection</w:t>
            </w:r>
          </w:p>
        </w:tc>
        <w:tc>
          <w:tcPr>
            <w:tcW w:w="1730" w:type="dxa"/>
            <w:vAlign w:val="center"/>
          </w:tcPr>
          <w:p w14:paraId="5BDA7373" w14:textId="7A13D18D" w:rsidR="00D11CDE" w:rsidRPr="00341625" w:rsidRDefault="00D11CDE" w:rsidP="00D11CDE">
            <w:pPr>
              <w:jc w:val="center"/>
              <w:rPr>
                <w:rFonts w:cstheme="minorHAnsi"/>
                <w:bCs/>
                <w:color w:val="000000" w:themeColor="text1"/>
                <w:sz w:val="20"/>
                <w:szCs w:val="20"/>
              </w:rPr>
            </w:pPr>
            <w:proofErr w:type="spellStart"/>
            <w:r w:rsidRPr="00341625">
              <w:rPr>
                <w:bCs/>
                <w:color w:val="000000" w:themeColor="text1"/>
                <w:sz w:val="20"/>
                <w:szCs w:val="20"/>
              </w:rPr>
              <w:t>Mha</w:t>
            </w:r>
            <w:proofErr w:type="spellEnd"/>
          </w:p>
        </w:tc>
        <w:tc>
          <w:tcPr>
            <w:tcW w:w="1276" w:type="dxa"/>
            <w:vAlign w:val="center"/>
          </w:tcPr>
          <w:p w14:paraId="72C0B03E" w14:textId="0E1596FA" w:rsidR="00D11CDE" w:rsidRPr="00D11CDE" w:rsidRDefault="00D11CDE" w:rsidP="00D11CDE">
            <w:pPr>
              <w:jc w:val="center"/>
              <w:rPr>
                <w:rFonts w:cstheme="minorHAnsi"/>
                <w:bCs/>
                <w:sz w:val="20"/>
                <w:szCs w:val="20"/>
              </w:rPr>
            </w:pPr>
            <w:r w:rsidRPr="00D11CDE">
              <w:rPr>
                <w:sz w:val="20"/>
                <w:szCs w:val="20"/>
              </w:rPr>
              <w:t xml:space="preserve"> 651</w:t>
            </w:r>
          </w:p>
        </w:tc>
        <w:tc>
          <w:tcPr>
            <w:tcW w:w="1417" w:type="dxa"/>
            <w:vAlign w:val="center"/>
          </w:tcPr>
          <w:p w14:paraId="2A8FE7A2" w14:textId="11919308" w:rsidR="00D11CDE" w:rsidRPr="00D11CDE" w:rsidRDefault="00D11CDE" w:rsidP="00D11CDE">
            <w:pPr>
              <w:jc w:val="center"/>
              <w:rPr>
                <w:rFonts w:cstheme="minorHAnsi"/>
                <w:bCs/>
                <w:sz w:val="20"/>
                <w:szCs w:val="20"/>
              </w:rPr>
            </w:pPr>
            <w:r w:rsidRPr="00D11CDE">
              <w:rPr>
                <w:sz w:val="20"/>
                <w:szCs w:val="20"/>
              </w:rPr>
              <w:t>310.87</w:t>
            </w:r>
          </w:p>
        </w:tc>
        <w:tc>
          <w:tcPr>
            <w:tcW w:w="1559" w:type="dxa"/>
            <w:vAlign w:val="center"/>
          </w:tcPr>
          <w:p w14:paraId="79EE8DDC" w14:textId="7258CC2D" w:rsidR="00D11CDE" w:rsidRPr="00D11CDE" w:rsidRDefault="00D11CDE" w:rsidP="00D11CDE">
            <w:pPr>
              <w:jc w:val="center"/>
              <w:rPr>
                <w:rFonts w:cstheme="minorHAnsi"/>
                <w:bCs/>
                <w:sz w:val="20"/>
                <w:szCs w:val="20"/>
              </w:rPr>
            </w:pPr>
            <w:r w:rsidRPr="00D11CDE">
              <w:rPr>
                <w:sz w:val="20"/>
                <w:szCs w:val="20"/>
              </w:rPr>
              <w:t>396.90</w:t>
            </w:r>
          </w:p>
        </w:tc>
        <w:tc>
          <w:tcPr>
            <w:tcW w:w="1284" w:type="dxa"/>
            <w:vAlign w:val="center"/>
          </w:tcPr>
          <w:p w14:paraId="5B002A1D" w14:textId="65B174C3" w:rsidR="00D11CDE" w:rsidRPr="00D11CDE" w:rsidRDefault="00D11CDE" w:rsidP="00D11CDE">
            <w:pPr>
              <w:jc w:val="center"/>
              <w:rPr>
                <w:rFonts w:cstheme="minorHAnsi"/>
                <w:bCs/>
                <w:sz w:val="20"/>
                <w:szCs w:val="20"/>
              </w:rPr>
            </w:pPr>
            <w:r w:rsidRPr="00D11CDE">
              <w:rPr>
                <w:sz w:val="20"/>
                <w:szCs w:val="20"/>
              </w:rPr>
              <w:t>403.46</w:t>
            </w:r>
          </w:p>
        </w:tc>
      </w:tr>
      <w:tr w:rsidR="00D11CDE" w:rsidRPr="008D1491" w14:paraId="59E1863D" w14:textId="77777777" w:rsidTr="00D11CDE">
        <w:trPr>
          <w:trHeight w:val="32"/>
        </w:trPr>
        <w:tc>
          <w:tcPr>
            <w:tcW w:w="1951" w:type="dxa"/>
            <w:vMerge/>
            <w:vAlign w:val="center"/>
          </w:tcPr>
          <w:p w14:paraId="518ED63B" w14:textId="77777777" w:rsidR="00D11CDE" w:rsidRDefault="00D11CDE" w:rsidP="00D11CDE">
            <w:pPr>
              <w:jc w:val="center"/>
              <w:rPr>
                <w:sz w:val="20"/>
                <w:szCs w:val="20"/>
              </w:rPr>
            </w:pPr>
          </w:p>
        </w:tc>
        <w:tc>
          <w:tcPr>
            <w:tcW w:w="1730" w:type="dxa"/>
            <w:vAlign w:val="center"/>
          </w:tcPr>
          <w:p w14:paraId="2352B4C1" w14:textId="73B014A0" w:rsidR="00D11CDE" w:rsidRPr="005C77F5" w:rsidRDefault="00D11CDE" w:rsidP="00D11CDE">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0EE5AE87" w:rsidR="00D11CDE" w:rsidRPr="00D11CDE" w:rsidRDefault="00D11CDE" w:rsidP="00D11CDE">
            <w:pPr>
              <w:jc w:val="center"/>
              <w:rPr>
                <w:rFonts w:cstheme="minorHAnsi"/>
                <w:bCs/>
                <w:sz w:val="20"/>
                <w:szCs w:val="20"/>
              </w:rPr>
            </w:pPr>
            <w:r w:rsidRPr="00D11CDE">
              <w:rPr>
                <w:sz w:val="20"/>
                <w:szCs w:val="20"/>
              </w:rPr>
              <w:t>61.6%</w:t>
            </w:r>
          </w:p>
        </w:tc>
        <w:tc>
          <w:tcPr>
            <w:tcW w:w="1417" w:type="dxa"/>
            <w:vAlign w:val="center"/>
          </w:tcPr>
          <w:p w14:paraId="34CAFB53" w14:textId="24C4E151" w:rsidR="00D11CDE" w:rsidRPr="00D11CDE" w:rsidRDefault="00D11CDE" w:rsidP="00D11CDE">
            <w:pPr>
              <w:jc w:val="center"/>
              <w:rPr>
                <w:rFonts w:cstheme="minorHAnsi"/>
                <w:bCs/>
                <w:sz w:val="20"/>
                <w:szCs w:val="20"/>
              </w:rPr>
            </w:pPr>
            <w:r w:rsidRPr="00D11CDE">
              <w:rPr>
                <w:sz w:val="20"/>
                <w:szCs w:val="20"/>
              </w:rPr>
              <w:t>91.00%</w:t>
            </w:r>
          </w:p>
        </w:tc>
        <w:tc>
          <w:tcPr>
            <w:tcW w:w="1559" w:type="dxa"/>
            <w:vAlign w:val="center"/>
          </w:tcPr>
          <w:p w14:paraId="43B375D1" w14:textId="3DB013CD" w:rsidR="00D11CDE" w:rsidRPr="00D11CDE" w:rsidRDefault="00D11CDE" w:rsidP="00D11CDE">
            <w:pPr>
              <w:jc w:val="center"/>
              <w:rPr>
                <w:rFonts w:cstheme="minorHAnsi"/>
                <w:bCs/>
                <w:sz w:val="20"/>
                <w:szCs w:val="20"/>
              </w:rPr>
            </w:pPr>
            <w:r w:rsidRPr="00D11CDE">
              <w:rPr>
                <w:sz w:val="20"/>
                <w:szCs w:val="20"/>
              </w:rPr>
              <w:t>99.14%</w:t>
            </w:r>
          </w:p>
        </w:tc>
        <w:tc>
          <w:tcPr>
            <w:tcW w:w="1284" w:type="dxa"/>
            <w:vAlign w:val="center"/>
          </w:tcPr>
          <w:p w14:paraId="7641EB01" w14:textId="0C65DDA9" w:rsidR="00D11CDE" w:rsidRPr="00D11CDE" w:rsidRDefault="00D11CDE" w:rsidP="00D11CDE">
            <w:pPr>
              <w:jc w:val="center"/>
              <w:rPr>
                <w:rFonts w:cstheme="minorHAnsi"/>
                <w:bCs/>
                <w:sz w:val="20"/>
                <w:szCs w:val="20"/>
              </w:rPr>
            </w:pPr>
            <w:r w:rsidRPr="00D11CDE">
              <w:rPr>
                <w:sz w:val="20"/>
                <w:szCs w:val="20"/>
              </w:rPr>
              <w:t>99.76%</w:t>
            </w:r>
          </w:p>
        </w:tc>
      </w:tr>
    </w:tbl>
    <w:p w14:paraId="2AB38D2C" w14:textId="29C95C65" w:rsidR="00762877" w:rsidRDefault="00762877" w:rsidP="00DB4CC8">
      <w:pPr>
        <w:spacing w:after="0"/>
        <w:jc w:val="center"/>
        <w:rPr>
          <w:rFonts w:cstheme="minorHAnsi"/>
          <w:b/>
          <w:bCs/>
          <w:i/>
        </w:rPr>
      </w:pPr>
    </w:p>
    <w:p w14:paraId="6B6F22E7" w14:textId="57567A78" w:rsidR="003A7929" w:rsidRDefault="007A01F0" w:rsidP="004B3A12">
      <w:pPr>
        <w:pStyle w:val="Heading2"/>
        <w:numPr>
          <w:ilvl w:val="0"/>
          <w:numId w:val="0"/>
        </w:numPr>
      </w:pPr>
      <w:bookmarkStart w:id="46" w:name="_Toc18240016"/>
      <w:r>
        <w:t xml:space="preserve">3.2 </w:t>
      </w:r>
      <w:r w:rsidR="551A77D0" w:rsidRPr="551A77D0">
        <w:t>Climate Impacts</w:t>
      </w:r>
      <w:bookmarkEnd w:id="46"/>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6A752D67" w14:textId="22D77DB6" w:rsidR="005709C0" w:rsidRPr="00C66A24" w:rsidRDefault="0014591F" w:rsidP="00FE712D">
      <w:pPr>
        <w:shd w:val="clear" w:color="auto" w:fill="FFFFFF"/>
        <w:spacing w:after="180"/>
        <w:rPr>
          <w:rFonts w:eastAsia="Helvetica Neue" w:cstheme="minorHAnsi"/>
          <w:color w:val="000000"/>
        </w:rPr>
      </w:pPr>
      <w:r>
        <w:rPr>
          <w:rFonts w:eastAsia="Helvetica Neue" w:cstheme="minorHAnsi"/>
          <w:color w:val="000000"/>
        </w:rPr>
        <w:t xml:space="preserve">Emissions </w:t>
      </w:r>
      <w:r w:rsidR="00801342">
        <w:rPr>
          <w:rFonts w:eastAsia="Helvetica Neue" w:cstheme="minorHAnsi"/>
          <w:color w:val="000000"/>
        </w:rPr>
        <w:t>reduction</w:t>
      </w:r>
      <w:r w:rsidR="00FE712D" w:rsidRPr="0014591F">
        <w:rPr>
          <w:rFonts w:eastAsia="Helvetica Neue" w:cstheme="minorHAnsi"/>
          <w:color w:val="000000"/>
        </w:rPr>
        <w:t xml:space="preserve"> impact is </w:t>
      </w:r>
      <w:r w:rsidR="001955AB">
        <w:rPr>
          <w:rFonts w:eastAsia="Helvetica Neue" w:cstheme="minorHAnsi"/>
          <w:color w:val="000000"/>
        </w:rPr>
        <w:t>5.26</w:t>
      </w:r>
      <w:r w:rsidR="00FE712D" w:rsidRPr="0014591F">
        <w:rPr>
          <w:rFonts w:eastAsia="Helvetica Neue" w:cstheme="minorHAnsi"/>
          <w:color w:val="000000"/>
        </w:rPr>
        <w:t>,</w:t>
      </w:r>
      <w:r w:rsidR="001955AB">
        <w:rPr>
          <w:rFonts w:eastAsia="Helvetica Neue" w:cstheme="minorHAnsi"/>
          <w:color w:val="000000"/>
        </w:rPr>
        <w:t xml:space="preserve"> 6.79</w:t>
      </w:r>
      <w:r w:rsidR="00FE712D" w:rsidRPr="0014591F">
        <w:rPr>
          <w:rFonts w:eastAsia="Helvetica Neue" w:cstheme="minorHAnsi"/>
          <w:color w:val="000000"/>
        </w:rPr>
        <w:t xml:space="preserve"> and </w:t>
      </w:r>
      <w:r w:rsidR="001955AB">
        <w:rPr>
          <w:rFonts w:eastAsia="Helvetica Neue" w:cstheme="minorHAnsi"/>
          <w:color w:val="000000"/>
        </w:rPr>
        <w:t>7.56</w:t>
      </w:r>
      <w:r w:rsidR="00FE712D" w:rsidRPr="0014591F">
        <w:rPr>
          <w:rFonts w:eastAsia="Helvetica Neue" w:cstheme="minorHAnsi"/>
          <w:color w:val="000000"/>
        </w:rPr>
        <w:t xml:space="preserve"> gigatons of carbon-dioxide equivalent in the </w:t>
      </w:r>
      <w:r w:rsidR="00FE712D" w:rsidRPr="0014591F">
        <w:rPr>
          <w:rFonts w:eastAsia="Helvetica Neue" w:cstheme="minorHAnsi"/>
          <w:i/>
          <w:color w:val="000000"/>
        </w:rPr>
        <w:t xml:space="preserve">Plausible, Drawdown, </w:t>
      </w:r>
      <w:r w:rsidR="00FE712D" w:rsidRPr="0014591F">
        <w:rPr>
          <w:rFonts w:eastAsia="Helvetica Neue" w:cstheme="minorHAnsi"/>
          <w:color w:val="000000"/>
        </w:rPr>
        <w:t xml:space="preserve">and </w:t>
      </w:r>
      <w:r w:rsidR="00FE712D" w:rsidRPr="0014591F">
        <w:rPr>
          <w:rFonts w:eastAsia="Helvetica Neue" w:cstheme="minorHAnsi"/>
          <w:i/>
          <w:color w:val="000000"/>
        </w:rPr>
        <w:t>Optimum</w:t>
      </w:r>
      <w:r w:rsidR="00FE712D" w:rsidRPr="0014591F">
        <w:rPr>
          <w:rFonts w:eastAsia="Helvetica Neue" w:cstheme="minorHAnsi"/>
          <w:color w:val="000000"/>
        </w:rPr>
        <w:t xml:space="preserve"> Scenarios respectively.</w:t>
      </w:r>
    </w:p>
    <w:p w14:paraId="4DA2B4CB" w14:textId="44F11B92" w:rsidR="00762877" w:rsidRDefault="00762877" w:rsidP="004B3A12">
      <w:pPr>
        <w:rPr>
          <w:rFonts w:eastAsia="Times New Roman" w:cs="Times New Roman"/>
          <w:sz w:val="24"/>
          <w:szCs w:val="24"/>
          <w:lang w:eastAsia="zh-CN"/>
        </w:rPr>
      </w:pPr>
    </w:p>
    <w:p w14:paraId="70BB768B" w14:textId="434CED20" w:rsidR="009432C9" w:rsidRPr="009432C9" w:rsidRDefault="009432C9" w:rsidP="009432C9">
      <w:pPr>
        <w:pStyle w:val="Caption"/>
      </w:pPr>
      <w:bookmarkStart w:id="47" w:name="_Toc18439379"/>
      <w:r>
        <w:lastRenderedPageBreak/>
        <w:t xml:space="preserve">Table </w:t>
      </w:r>
      <w:r w:rsidR="005D2ED8">
        <w:fldChar w:fldCharType="begin"/>
      </w:r>
      <w:r w:rsidR="005D2ED8">
        <w:instrText xml:space="preserve"> STYLEREF 1 \s </w:instrText>
      </w:r>
      <w:r w:rsidR="005D2ED8">
        <w:fldChar w:fldCharType="separate"/>
      </w:r>
      <w:r w:rsidR="00E26324">
        <w:rPr>
          <w:noProof/>
        </w:rPr>
        <w:t>3</w:t>
      </w:r>
      <w:r w:rsidR="005D2ED8">
        <w:fldChar w:fldCharType="end"/>
      </w:r>
      <w:r w:rsidR="005D2ED8">
        <w:t>.</w:t>
      </w:r>
      <w:r w:rsidR="005D2ED8">
        <w:fldChar w:fldCharType="begin"/>
      </w:r>
      <w:r w:rsidR="005D2ED8">
        <w:instrText xml:space="preserve"> SEQ Table \* ARABIC \s 1 </w:instrText>
      </w:r>
      <w:r w:rsidR="005D2ED8">
        <w:fldChar w:fldCharType="separate"/>
      </w:r>
      <w:r w:rsidR="00E26324">
        <w:rPr>
          <w:noProof/>
        </w:rPr>
        <w:t>2</w:t>
      </w:r>
      <w:r w:rsidR="005D2ED8">
        <w:fldChar w:fldCharType="end"/>
      </w:r>
      <w:r>
        <w:t xml:space="preserve"> Climate Impacts</w:t>
      </w:r>
      <w:bookmarkEnd w:id="47"/>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0D22EA2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6AFB4BD2"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1955AB" w:rsidRPr="006B675D" w14:paraId="354A2249" w14:textId="7B11184C" w:rsidTr="00EB43B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1955AB" w:rsidRPr="006B675D" w:rsidRDefault="001955AB" w:rsidP="001955A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26D9F9A4"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0.18</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3072431E"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4.10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2BF58B80"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 0.09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3467805C"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1.16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536F4960"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5.26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0E1A64F4"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 0.14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79FFA183"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 0.27 </w:t>
            </w:r>
          </w:p>
        </w:tc>
      </w:tr>
      <w:tr w:rsidR="001955AB" w:rsidRPr="006B675D" w14:paraId="7DCB0C2E" w14:textId="35D5AF3A" w:rsidTr="00EB43B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1955AB" w:rsidRPr="006B675D" w:rsidRDefault="001955AB" w:rsidP="001955A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38F72A66"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0.23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62555E21"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5.36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34B264AB"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 0.11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77774A79"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1.43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233A0422"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6.79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6DE3417E"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 0.16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3F1F2890"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 0.34 </w:t>
            </w:r>
          </w:p>
        </w:tc>
      </w:tr>
      <w:tr w:rsidR="001955AB" w:rsidRPr="006B675D" w14:paraId="7CA1AA1B" w14:textId="3D7819CF" w:rsidTr="00EB43B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1955AB" w:rsidRPr="006B675D" w:rsidRDefault="001955AB" w:rsidP="001955A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2C574D6D"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0.23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736E5575"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5.83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5F5C38A6"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 0.13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2824084C"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1.73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1342C045"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7.56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7CA493CA"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 0.22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72C911CA"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 0.36 </w:t>
            </w:r>
          </w:p>
        </w:tc>
      </w:tr>
    </w:tbl>
    <w:p w14:paraId="30AFEE0B" w14:textId="2D6FAFB3" w:rsidR="005C77F5" w:rsidRDefault="00087D3B" w:rsidP="00DB4CC8">
      <w:bookmarkStart w:id="48" w:name="_Toc524993443"/>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0C9C674B" w:rsidR="006B675D" w:rsidRPr="005C77F5" w:rsidRDefault="001955AB" w:rsidP="0014591F">
      <w:pPr>
        <w:jc w:val="center"/>
      </w:pPr>
      <w:r>
        <w:rPr>
          <w:noProof/>
        </w:rPr>
        <w:drawing>
          <wp:inline distT="0" distB="0" distL="0" distR="0" wp14:anchorId="67336CBA" wp14:editId="6824711C">
            <wp:extent cx="4547507" cy="3271977"/>
            <wp:effectExtent l="0" t="0" r="5715" b="5080"/>
            <wp:docPr id="6" name="Chart 6">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C76A0AA" w14:textId="3AABD324" w:rsidR="00157DB7" w:rsidRPr="00996E91" w:rsidRDefault="00157DB7" w:rsidP="00157DB7">
      <w:pPr>
        <w:pStyle w:val="Caption"/>
        <w:jc w:val="center"/>
        <w:rPr>
          <w:rFonts w:eastAsia="Times New Roman" w:cs="Times New Roman"/>
          <w:sz w:val="24"/>
          <w:szCs w:val="24"/>
          <w:lang w:eastAsia="zh-CN"/>
        </w:rPr>
      </w:pPr>
      <w:bookmarkStart w:id="49" w:name="_Toc18439371"/>
      <w:r w:rsidRPr="006B675D">
        <w:t xml:space="preserve">Figure </w:t>
      </w:r>
      <w:r w:rsidR="00DC5104">
        <w:rPr>
          <w:noProof/>
        </w:rPr>
        <w:t>3</w:t>
      </w:r>
      <w:r>
        <w:t>.</w:t>
      </w:r>
      <w:r>
        <w:rPr>
          <w:noProof/>
        </w:rPr>
        <w:fldChar w:fldCharType="begin"/>
      </w:r>
      <w:r>
        <w:rPr>
          <w:noProof/>
        </w:rPr>
        <w:instrText xml:space="preserve"> SEQ Figure \* ARABIC \s 1 </w:instrText>
      </w:r>
      <w:r>
        <w:rPr>
          <w:noProof/>
        </w:rPr>
        <w:fldChar w:fldCharType="separate"/>
      </w:r>
      <w:r w:rsidR="00E26324">
        <w:rPr>
          <w:noProof/>
        </w:rPr>
        <w:t>2</w:t>
      </w:r>
      <w:r>
        <w:rPr>
          <w:noProof/>
        </w:rPr>
        <w:fldChar w:fldCharType="end"/>
      </w:r>
      <w:r w:rsidRPr="006B675D">
        <w:t xml:space="preserve"> World Annual</w:t>
      </w:r>
      <w:r w:rsidRPr="006B675D">
        <w:rPr>
          <w:vertAlign w:val="subscript"/>
        </w:rPr>
        <w:t xml:space="preserve"> </w:t>
      </w:r>
      <w:r w:rsidRPr="006B675D">
        <w:t>Greenhouse Gas Emissions Reduction</w:t>
      </w:r>
      <w:bookmarkEnd w:id="49"/>
    </w:p>
    <w:p w14:paraId="524B77BF" w14:textId="76224BD3" w:rsidR="00762877" w:rsidRPr="009432C9" w:rsidRDefault="009432C9" w:rsidP="009432C9">
      <w:pPr>
        <w:pStyle w:val="Caption"/>
      </w:pPr>
      <w:bookmarkStart w:id="50" w:name="_Toc18439380"/>
      <w:bookmarkEnd w:id="48"/>
      <w:r>
        <w:lastRenderedPageBreak/>
        <w:t xml:space="preserve">Table </w:t>
      </w:r>
      <w:r w:rsidR="005D2ED8">
        <w:fldChar w:fldCharType="begin"/>
      </w:r>
      <w:r w:rsidR="005D2ED8">
        <w:instrText xml:space="preserve"> STYLEREF 1 \s </w:instrText>
      </w:r>
      <w:r w:rsidR="005D2ED8">
        <w:fldChar w:fldCharType="separate"/>
      </w:r>
      <w:r w:rsidR="00E26324">
        <w:rPr>
          <w:noProof/>
        </w:rPr>
        <w:t>3</w:t>
      </w:r>
      <w:r w:rsidR="005D2ED8">
        <w:fldChar w:fldCharType="end"/>
      </w:r>
      <w:r w:rsidR="005D2ED8">
        <w:t>.</w:t>
      </w:r>
      <w:r w:rsidR="005D2ED8">
        <w:fldChar w:fldCharType="begin"/>
      </w:r>
      <w:r w:rsidR="005D2ED8">
        <w:instrText xml:space="preserve"> SEQ Table \* ARABIC \s 1 </w:instrText>
      </w:r>
      <w:r w:rsidR="005D2ED8">
        <w:fldChar w:fldCharType="separate"/>
      </w:r>
      <w:r w:rsidR="00E26324">
        <w:rPr>
          <w:noProof/>
        </w:rPr>
        <w:t>3</w:t>
      </w:r>
      <w:r w:rsidR="005D2ED8">
        <w:fldChar w:fldCharType="end"/>
      </w:r>
      <w:r w:rsidRPr="004B3A12">
        <w:t xml:space="preserve"> Impacts on Atmospheric Concentrations of CO2-eq</w:t>
      </w:r>
      <w:bookmarkEnd w:id="50"/>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1955AB">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1BCFAA" w14:textId="1F0CA0C3" w:rsidR="003A7929" w:rsidRPr="0066753A"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rFonts w:eastAsia="Times New Roman" w:cstheme="minorHAnsi"/>
                <w:color w:val="000000" w:themeColor="text1"/>
                <w:sz w:val="20"/>
                <w:szCs w:val="20"/>
                <w:lang w:eastAsia="zh-CN"/>
              </w:rPr>
              <w:t xml:space="preserve">0.437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A7AAF" w14:textId="2C06E1AE" w:rsidR="003A7929" w:rsidRPr="0066753A" w:rsidRDefault="001955AB" w:rsidP="00DB4CC8">
            <w:pPr>
              <w:shd w:val="clear" w:color="auto" w:fill="FFFFFF"/>
              <w:spacing w:after="0"/>
              <w:jc w:val="center"/>
              <w:rPr>
                <w:rFonts w:eastAsia="Times New Roman" w:cstheme="minorHAnsi"/>
                <w:color w:val="000000" w:themeColor="text1"/>
                <w:sz w:val="20"/>
                <w:szCs w:val="20"/>
                <w:lang w:eastAsia="zh-CN"/>
              </w:rPr>
            </w:pPr>
            <w:r w:rsidRPr="001955AB">
              <w:rPr>
                <w:rFonts w:eastAsia="Times New Roman" w:cstheme="minorHAnsi"/>
                <w:color w:val="000000" w:themeColor="text1"/>
                <w:sz w:val="20"/>
                <w:szCs w:val="20"/>
                <w:lang w:eastAsia="zh-CN"/>
              </w:rPr>
              <w:t>0.020</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01EC533F" w:rsidR="0030099E" w:rsidRPr="0066753A"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rFonts w:eastAsia="Times New Roman" w:cstheme="minorHAnsi"/>
                <w:color w:val="000000" w:themeColor="text1"/>
                <w:sz w:val="20"/>
                <w:szCs w:val="20"/>
                <w:lang w:eastAsia="zh-CN"/>
              </w:rPr>
              <w:t xml:space="preserve">0.568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0E7036A0" w:rsidR="0030099E" w:rsidRPr="0066753A" w:rsidRDefault="001955AB" w:rsidP="00DB4CC8">
            <w:pPr>
              <w:shd w:val="clear" w:color="auto" w:fill="FFFFFF"/>
              <w:spacing w:after="0"/>
              <w:jc w:val="center"/>
              <w:rPr>
                <w:rFonts w:eastAsia="Times New Roman" w:cstheme="minorHAnsi"/>
                <w:color w:val="000000" w:themeColor="text1"/>
                <w:sz w:val="20"/>
                <w:szCs w:val="20"/>
                <w:lang w:eastAsia="zh-CN"/>
              </w:rPr>
            </w:pPr>
            <w:r w:rsidRPr="001955AB">
              <w:rPr>
                <w:rFonts w:eastAsia="Times New Roman" w:cstheme="minorHAnsi"/>
                <w:color w:val="000000" w:themeColor="text1"/>
                <w:sz w:val="20"/>
                <w:szCs w:val="20"/>
                <w:lang w:eastAsia="zh-CN"/>
              </w:rPr>
              <w:t>0.025</w:t>
            </w:r>
          </w:p>
        </w:tc>
      </w:tr>
      <w:tr w:rsidR="001955AB"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1955AB" w:rsidRPr="0066753A" w:rsidRDefault="001955AB" w:rsidP="001955AB">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D0D2B7" w14:textId="77777777" w:rsidR="001955AB" w:rsidRPr="001955AB"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rFonts w:eastAsia="Times New Roman" w:cstheme="minorHAnsi"/>
                <w:color w:val="000000" w:themeColor="text1"/>
                <w:sz w:val="20"/>
                <w:szCs w:val="20"/>
                <w:lang w:eastAsia="zh-CN"/>
              </w:rPr>
              <w:t xml:space="preserve">0.624 </w:t>
            </w:r>
          </w:p>
          <w:p w14:paraId="1FCA082F" w14:textId="304AE8C6" w:rsidR="001955AB" w:rsidRPr="0066753A" w:rsidRDefault="001955AB" w:rsidP="001955AB">
            <w:pPr>
              <w:shd w:val="clear" w:color="auto" w:fill="FFFFFF"/>
              <w:spacing w:after="0"/>
              <w:jc w:val="center"/>
              <w:rPr>
                <w:rFonts w:eastAsia="Times New Roman" w:cstheme="minorHAnsi"/>
                <w:color w:val="000000" w:themeColor="text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52D2DA55" w:rsidR="001955AB" w:rsidRPr="0066753A"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rFonts w:eastAsia="Times New Roman" w:cstheme="minorHAnsi"/>
                <w:color w:val="000000" w:themeColor="text1"/>
                <w:sz w:val="20"/>
                <w:szCs w:val="20"/>
                <w:lang w:eastAsia="zh-CN"/>
              </w:rPr>
              <w:t>0.025</w:t>
            </w:r>
          </w:p>
        </w:tc>
      </w:tr>
    </w:tbl>
    <w:p w14:paraId="6DD4F749" w14:textId="77777777" w:rsidR="006B675D" w:rsidRPr="006B675D" w:rsidRDefault="006B675D" w:rsidP="00DB4CC8"/>
    <w:p w14:paraId="66EC2EBB" w14:textId="2A3068E7" w:rsidR="00B261E0" w:rsidRDefault="551A77D0" w:rsidP="004F0A58">
      <w:pPr>
        <w:pStyle w:val="Heading2"/>
        <w:numPr>
          <w:ilvl w:val="1"/>
          <w:numId w:val="3"/>
        </w:numPr>
      </w:pPr>
      <w:bookmarkStart w:id="51" w:name="_Toc18240017"/>
      <w:r w:rsidRPr="551A77D0">
        <w:t>Financial Impacts</w:t>
      </w:r>
      <w:bookmarkEnd w:id="51"/>
    </w:p>
    <w:p w14:paraId="3818BBB5" w14:textId="77777777" w:rsidR="001955AB" w:rsidRPr="001955AB" w:rsidRDefault="001955AB" w:rsidP="001955AB">
      <w:pPr>
        <w:rPr>
          <w:rFonts w:eastAsia="Helvetica Neue" w:cstheme="minorHAnsi"/>
          <w:color w:val="000000" w:themeColor="text1"/>
        </w:rPr>
      </w:pPr>
      <w:bookmarkStart w:id="52" w:name="_Toc524993435"/>
      <w:r w:rsidRPr="001955AB">
        <w:rPr>
          <w:rFonts w:eastAsia="Helvetica Neue" w:cstheme="minorHAnsi"/>
          <w:color w:val="000000" w:themeColor="text1"/>
        </w:rPr>
        <w:t>Currently financial impacts are not modeled for this solution.</w:t>
      </w:r>
    </w:p>
    <w:p w14:paraId="2FA321A5" w14:textId="77777777" w:rsidR="001955AB" w:rsidRDefault="001955AB" w:rsidP="001955AB">
      <w:pPr>
        <w:pStyle w:val="Heading2"/>
        <w:numPr>
          <w:ilvl w:val="1"/>
          <w:numId w:val="10"/>
        </w:numPr>
      </w:pPr>
      <w:bookmarkStart w:id="53" w:name="_Toc18169429"/>
      <w:bookmarkStart w:id="54" w:name="_Toc18240018"/>
      <w:bookmarkEnd w:id="52"/>
      <w:r>
        <w:t>Other</w:t>
      </w:r>
      <w:r w:rsidRPr="551A77D0">
        <w:t xml:space="preserve"> Impacts</w:t>
      </w:r>
      <w:bookmarkEnd w:id="53"/>
      <w:bookmarkEnd w:id="54"/>
    </w:p>
    <w:p w14:paraId="204E8DEF" w14:textId="377D5C5E" w:rsidR="001955AB" w:rsidRDefault="001955AB" w:rsidP="001955AB">
      <w:pPr>
        <w:rPr>
          <w:rFonts w:eastAsia="Helvetica Neue" w:cstheme="minorHAnsi"/>
          <w:color w:val="000000" w:themeColor="text1"/>
        </w:rPr>
      </w:pPr>
      <w:r>
        <w:rPr>
          <w:rFonts w:eastAsia="Helvetica Neue" w:cstheme="minorHAnsi"/>
          <w:color w:val="000000" w:themeColor="text1"/>
        </w:rPr>
        <w:t xml:space="preserve">Protection of high carbon ecosystems, like protection of intact forests also results in the increase of carbon stock in their soil and biomass as well as prevents degradation of significant amount of the intact/non-degraded ecosystems. The results for these indicators are listed below for the three drawdown scenarios. </w:t>
      </w:r>
    </w:p>
    <w:p w14:paraId="432C2A0F" w14:textId="2CD9E112" w:rsidR="001955AB" w:rsidRDefault="001955AB" w:rsidP="001955AB">
      <w:pPr>
        <w:pStyle w:val="Caption"/>
        <w:rPr>
          <w:rFonts w:eastAsia="Helvetica Neue" w:cstheme="minorHAnsi"/>
          <w:color w:val="000000" w:themeColor="text1"/>
        </w:rPr>
      </w:pPr>
      <w:bookmarkStart w:id="55" w:name="_Toc18169444"/>
      <w:bookmarkStart w:id="56" w:name="_Toc18439381"/>
      <w:r>
        <w:t xml:space="preserve">Table </w:t>
      </w:r>
      <w:r w:rsidR="005D2ED8">
        <w:fldChar w:fldCharType="begin"/>
      </w:r>
      <w:r w:rsidR="005D2ED8">
        <w:instrText xml:space="preserve"> STYLEREF 1 \s </w:instrText>
      </w:r>
      <w:r w:rsidR="005D2ED8">
        <w:fldChar w:fldCharType="separate"/>
      </w:r>
      <w:r w:rsidR="00E26324">
        <w:rPr>
          <w:noProof/>
        </w:rPr>
        <w:t>3</w:t>
      </w:r>
      <w:r w:rsidR="005D2ED8">
        <w:fldChar w:fldCharType="end"/>
      </w:r>
      <w:r w:rsidR="005D2ED8">
        <w:t>.</w:t>
      </w:r>
      <w:r w:rsidR="005D2ED8">
        <w:fldChar w:fldCharType="begin"/>
      </w:r>
      <w:r w:rsidR="005D2ED8">
        <w:instrText xml:space="preserve"> SEQ Table \* ARABIC \s 1 </w:instrText>
      </w:r>
      <w:r w:rsidR="005D2ED8">
        <w:fldChar w:fldCharType="separate"/>
      </w:r>
      <w:r w:rsidR="00E26324">
        <w:rPr>
          <w:noProof/>
        </w:rPr>
        <w:t>4</w:t>
      </w:r>
      <w:r w:rsidR="005D2ED8">
        <w:fldChar w:fldCharType="end"/>
      </w:r>
      <w:r>
        <w:t>: Carbon stock and reduced land degradation</w:t>
      </w:r>
      <w:bookmarkEnd w:id="55"/>
      <w:bookmarkEnd w:id="56"/>
    </w:p>
    <w:tbl>
      <w:tblPr>
        <w:tblW w:w="0" w:type="auto"/>
        <w:jc w:val="center"/>
        <w:tblCellMar>
          <w:top w:w="15" w:type="dxa"/>
          <w:left w:w="15" w:type="dxa"/>
          <w:bottom w:w="15" w:type="dxa"/>
          <w:right w:w="15" w:type="dxa"/>
        </w:tblCellMar>
        <w:tblLook w:val="04A0" w:firstRow="1" w:lastRow="0" w:firstColumn="1" w:lastColumn="0" w:noHBand="0" w:noVBand="1"/>
      </w:tblPr>
      <w:tblGrid>
        <w:gridCol w:w="1145"/>
        <w:gridCol w:w="2126"/>
        <w:gridCol w:w="2865"/>
        <w:gridCol w:w="3204"/>
      </w:tblGrid>
      <w:tr w:rsidR="001955AB" w:rsidRPr="0066753A" w14:paraId="7F5809C1" w14:textId="77777777" w:rsidTr="0048018A">
        <w:trPr>
          <w:cantSplit/>
          <w:trHeight w:val="870"/>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05667CE" w14:textId="77777777" w:rsidR="001955AB" w:rsidRPr="005C77F5" w:rsidRDefault="001955AB" w:rsidP="0048018A">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DD90D6B" w14:textId="77777777" w:rsidR="001955AB" w:rsidRPr="005C77F5" w:rsidRDefault="001955AB" w:rsidP="0048018A">
            <w:pPr>
              <w:jc w:val="center"/>
              <w:rPr>
                <w:rFonts w:cstheme="minorHAnsi"/>
                <w:b/>
                <w:bCs/>
                <w:color w:val="FFFFFF" w:themeColor="background1"/>
                <w:sz w:val="20"/>
                <w:szCs w:val="20"/>
                <w:lang w:eastAsia="zh-CN"/>
              </w:rPr>
            </w:pPr>
            <w:r w:rsidRPr="00F5505E">
              <w:rPr>
                <w:rFonts w:cstheme="minorHAnsi"/>
                <w:b/>
                <w:bCs/>
                <w:color w:val="FFFFFF" w:themeColor="background1"/>
                <w:sz w:val="20"/>
                <w:szCs w:val="20"/>
                <w:lang w:eastAsia="zh-CN"/>
              </w:rPr>
              <w:t>Reduced Land Degradation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Pr>
          <w:p w14:paraId="6AE4BBED" w14:textId="77777777" w:rsidR="001955AB" w:rsidRPr="005C77F5" w:rsidRDefault="001955AB" w:rsidP="0048018A">
            <w:pPr>
              <w:jc w:val="center"/>
              <w:rPr>
                <w:rFonts w:cstheme="minorHAnsi"/>
                <w:b/>
                <w:bCs/>
                <w:color w:val="FFFFFF" w:themeColor="background1"/>
                <w:sz w:val="20"/>
                <w:szCs w:val="20"/>
                <w:lang w:eastAsia="zh-CN"/>
              </w:rPr>
            </w:pPr>
            <w:r w:rsidRPr="00F5505E">
              <w:rPr>
                <w:rFonts w:cstheme="minorHAnsi"/>
                <w:b/>
                <w:bCs/>
                <w:color w:val="FFFFFF" w:themeColor="background1"/>
                <w:sz w:val="20"/>
                <w:szCs w:val="20"/>
                <w:lang w:eastAsia="zh-CN"/>
              </w:rPr>
              <w:t>Total CO2 Under Protection by Second Year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40A6F2D" w14:textId="77777777" w:rsidR="001955AB" w:rsidRPr="005C77F5" w:rsidRDefault="001955AB" w:rsidP="0048018A">
            <w:pPr>
              <w:jc w:val="center"/>
              <w:rPr>
                <w:rFonts w:cstheme="minorHAnsi"/>
                <w:b/>
                <w:bCs/>
                <w:color w:val="FFFFFF" w:themeColor="background1"/>
                <w:sz w:val="20"/>
                <w:szCs w:val="20"/>
                <w:lang w:eastAsia="zh-CN"/>
              </w:rPr>
            </w:pPr>
            <w:r w:rsidRPr="008426F8">
              <w:rPr>
                <w:rFonts w:cstheme="minorHAnsi"/>
                <w:b/>
                <w:bCs/>
                <w:color w:val="FFFFFF" w:themeColor="background1"/>
                <w:sz w:val="20"/>
                <w:szCs w:val="20"/>
                <w:lang w:eastAsia="zh-CN"/>
              </w:rPr>
              <w:t>Total Carbon Under Protection by Second Year</w:t>
            </w:r>
          </w:p>
        </w:tc>
      </w:tr>
      <w:tr w:rsidR="001955AB" w:rsidRPr="0066753A" w14:paraId="34F19C91" w14:textId="77777777" w:rsidTr="0048018A">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6F7B2D58" w14:textId="77777777" w:rsidR="001955AB" w:rsidRPr="00FB649C" w:rsidRDefault="001955AB" w:rsidP="0048018A">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387691A" w14:textId="77777777" w:rsidR="001955AB" w:rsidRPr="00FB649C" w:rsidRDefault="001955AB" w:rsidP="0048018A">
            <w:pPr>
              <w:jc w:val="center"/>
              <w:rPr>
                <w:rFonts w:cstheme="minorHAnsi"/>
                <w:bCs/>
                <w:i/>
                <w:color w:val="FFFFFF" w:themeColor="background1"/>
                <w:sz w:val="20"/>
                <w:szCs w:val="20"/>
                <w:lang w:eastAsia="zh-CN"/>
              </w:rPr>
            </w:pPr>
            <w:r>
              <w:rPr>
                <w:rFonts w:cstheme="minorHAnsi"/>
                <w:bCs/>
                <w:i/>
                <w:color w:val="FFFFFF" w:themeColor="background1"/>
                <w:sz w:val="20"/>
                <w:szCs w:val="20"/>
                <w:lang w:eastAsia="zh-CN"/>
              </w:rPr>
              <w:t>Million Hectares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Pr>
          <w:p w14:paraId="5CD7E615" w14:textId="77777777" w:rsidR="001955AB" w:rsidRPr="00FB649C" w:rsidRDefault="001955AB" w:rsidP="0048018A">
            <w:pPr>
              <w:jc w:val="center"/>
              <w:rPr>
                <w:rFonts w:cstheme="minorHAnsi"/>
                <w:bCs/>
                <w:i/>
                <w:color w:val="FFFFFF" w:themeColor="background1"/>
                <w:sz w:val="20"/>
                <w:szCs w:val="20"/>
                <w:lang w:eastAsia="zh-CN"/>
              </w:rPr>
            </w:pPr>
            <w:r>
              <w:rPr>
                <w:rFonts w:cstheme="minorHAnsi"/>
                <w:bCs/>
                <w:i/>
                <w:color w:val="FFFFFF" w:themeColor="background1"/>
                <w:sz w:val="20"/>
                <w:szCs w:val="20"/>
                <w:lang w:eastAsia="zh-CN"/>
              </w:rPr>
              <w:t>Gt CO2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1A29316" w14:textId="77777777" w:rsidR="001955AB" w:rsidRPr="00FB649C" w:rsidRDefault="001955AB" w:rsidP="0048018A">
            <w:pPr>
              <w:jc w:val="center"/>
              <w:rPr>
                <w:rFonts w:cstheme="minorHAnsi"/>
                <w:bCs/>
                <w:i/>
                <w:color w:val="FFFFFF" w:themeColor="background1"/>
                <w:sz w:val="20"/>
                <w:szCs w:val="20"/>
                <w:lang w:eastAsia="zh-CN"/>
              </w:rPr>
            </w:pPr>
            <w:r>
              <w:rPr>
                <w:rFonts w:cstheme="minorHAnsi"/>
                <w:bCs/>
                <w:i/>
                <w:color w:val="FFFFFF" w:themeColor="background1"/>
                <w:sz w:val="20"/>
                <w:szCs w:val="20"/>
                <w:lang w:eastAsia="zh-CN"/>
              </w:rPr>
              <w:t>Gt Carbon</w:t>
            </w:r>
          </w:p>
        </w:tc>
      </w:tr>
      <w:tr w:rsidR="001955AB" w:rsidRPr="0066753A" w14:paraId="76166449" w14:textId="77777777" w:rsidTr="0048018A">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103DE5" w14:textId="77777777" w:rsidR="001955AB" w:rsidRPr="0066753A" w:rsidRDefault="001955AB" w:rsidP="0048018A">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233E26" w14:textId="0FC2549E" w:rsidR="001955AB" w:rsidRPr="008426F8" w:rsidRDefault="001955AB" w:rsidP="0048018A">
            <w:pPr>
              <w:shd w:val="clear" w:color="auto" w:fill="FFFFFF"/>
              <w:spacing w:after="0"/>
              <w:jc w:val="center"/>
              <w:rPr>
                <w:rFonts w:eastAsia="Times New Roman" w:cstheme="minorHAnsi"/>
                <w:color w:val="000000" w:themeColor="text1"/>
                <w:sz w:val="20"/>
                <w:szCs w:val="20"/>
                <w:lang w:eastAsia="zh-CN"/>
              </w:rPr>
            </w:pPr>
            <w:r>
              <w:rPr>
                <w:sz w:val="20"/>
                <w:szCs w:val="20"/>
              </w:rPr>
              <w:t>14.73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142E57" w14:textId="219346C7" w:rsidR="001955AB" w:rsidRPr="008426F8"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638.7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42A73A" w14:textId="45EC9EC2" w:rsidR="001955AB" w:rsidRPr="008426F8" w:rsidRDefault="001955AB" w:rsidP="0048018A">
            <w:pPr>
              <w:shd w:val="clear" w:color="auto" w:fill="FFFFFF"/>
              <w:spacing w:after="0"/>
              <w:jc w:val="center"/>
              <w:rPr>
                <w:rFonts w:eastAsia="Times New Roman" w:cstheme="minorHAnsi"/>
                <w:color w:val="000000" w:themeColor="text1"/>
                <w:sz w:val="20"/>
                <w:szCs w:val="20"/>
                <w:lang w:eastAsia="zh-CN"/>
              </w:rPr>
            </w:pPr>
            <w:r w:rsidRPr="001955AB">
              <w:rPr>
                <w:sz w:val="20"/>
                <w:szCs w:val="20"/>
              </w:rPr>
              <w:t>174.3</w:t>
            </w:r>
          </w:p>
        </w:tc>
      </w:tr>
      <w:tr w:rsidR="001955AB" w:rsidRPr="0066753A" w14:paraId="6CB2BFBD" w14:textId="77777777" w:rsidTr="0048018A">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124D6A" w14:textId="77777777" w:rsidR="001955AB" w:rsidRPr="0066753A" w:rsidRDefault="001955AB" w:rsidP="0048018A">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30AFF3" w14:textId="162E6408" w:rsidR="001955AB" w:rsidRPr="008426F8" w:rsidRDefault="001955AB" w:rsidP="0048018A">
            <w:pPr>
              <w:shd w:val="clear" w:color="auto" w:fill="FFFFFF"/>
              <w:spacing w:after="0"/>
              <w:jc w:val="center"/>
              <w:rPr>
                <w:rFonts w:eastAsia="Times New Roman" w:cstheme="minorHAnsi"/>
                <w:color w:val="000000" w:themeColor="text1"/>
                <w:sz w:val="20"/>
                <w:szCs w:val="20"/>
                <w:lang w:eastAsia="zh-CN"/>
              </w:rPr>
            </w:pPr>
            <w:r>
              <w:rPr>
                <w:sz w:val="20"/>
                <w:szCs w:val="20"/>
              </w:rPr>
              <w:t>19.24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DAF251" w14:textId="2A0F1304" w:rsidR="001955AB" w:rsidRPr="008426F8"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696.9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8EDC9F" w14:textId="765514A0" w:rsidR="001955AB" w:rsidRPr="008426F8" w:rsidRDefault="001955AB" w:rsidP="0048018A">
            <w:pPr>
              <w:shd w:val="clear" w:color="auto" w:fill="FFFFFF"/>
              <w:spacing w:after="0"/>
              <w:jc w:val="center"/>
              <w:rPr>
                <w:rFonts w:eastAsia="Times New Roman" w:cstheme="minorHAnsi"/>
                <w:color w:val="000000" w:themeColor="text1"/>
                <w:sz w:val="20"/>
                <w:szCs w:val="20"/>
                <w:lang w:eastAsia="zh-CN"/>
              </w:rPr>
            </w:pPr>
            <w:r w:rsidRPr="001955AB">
              <w:rPr>
                <w:sz w:val="20"/>
                <w:szCs w:val="20"/>
              </w:rPr>
              <w:t>190.2</w:t>
            </w:r>
          </w:p>
        </w:tc>
      </w:tr>
      <w:tr w:rsidR="001955AB" w:rsidRPr="0066753A" w14:paraId="1ECC9829" w14:textId="77777777" w:rsidTr="0048018A">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7298CB" w14:textId="77777777" w:rsidR="001955AB" w:rsidRPr="0066753A" w:rsidRDefault="001955AB" w:rsidP="001955AB">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5C6335" w14:textId="705874DD" w:rsidR="001955AB" w:rsidRPr="008426F8" w:rsidRDefault="001955AB" w:rsidP="001955AB">
            <w:pPr>
              <w:shd w:val="clear" w:color="auto" w:fill="FFFFFF"/>
              <w:spacing w:after="0"/>
              <w:jc w:val="center"/>
              <w:rPr>
                <w:rFonts w:eastAsia="Times New Roman" w:cstheme="minorHAnsi"/>
                <w:color w:val="000000" w:themeColor="text1"/>
                <w:sz w:val="20"/>
                <w:szCs w:val="20"/>
                <w:lang w:eastAsia="zh-CN"/>
              </w:rPr>
            </w:pPr>
            <w:r w:rsidRPr="008426F8">
              <w:rPr>
                <w:sz w:val="20"/>
                <w:szCs w:val="20"/>
              </w:rPr>
              <w:t>2</w:t>
            </w:r>
            <w:r>
              <w:rPr>
                <w:sz w:val="20"/>
                <w:szCs w:val="20"/>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56E2AF" w14:textId="7DCB48E5" w:rsidR="001955AB" w:rsidRPr="008426F8"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 xml:space="preserve">700.2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434C22" w14:textId="68FAEFB8" w:rsidR="001955AB" w:rsidRPr="008426F8" w:rsidRDefault="001955AB" w:rsidP="001955AB">
            <w:pPr>
              <w:shd w:val="clear" w:color="auto" w:fill="FFFFFF"/>
              <w:spacing w:after="0"/>
              <w:jc w:val="center"/>
              <w:rPr>
                <w:rFonts w:eastAsia="Times New Roman" w:cstheme="minorHAnsi"/>
                <w:color w:val="000000" w:themeColor="text1"/>
                <w:sz w:val="20"/>
                <w:szCs w:val="20"/>
                <w:lang w:eastAsia="zh-CN"/>
              </w:rPr>
            </w:pPr>
            <w:r w:rsidRPr="001955AB">
              <w:rPr>
                <w:sz w:val="20"/>
                <w:szCs w:val="20"/>
              </w:rPr>
              <w:t>191.1</w:t>
            </w:r>
          </w:p>
        </w:tc>
      </w:tr>
    </w:tbl>
    <w:p w14:paraId="29F60E46" w14:textId="77777777" w:rsidR="001955AB" w:rsidRDefault="001955AB" w:rsidP="001955AB">
      <w:pPr>
        <w:rPr>
          <w:rFonts w:eastAsia="Helvetica Neue" w:cstheme="minorHAnsi"/>
          <w:color w:val="000000" w:themeColor="text1"/>
        </w:rPr>
      </w:pPr>
    </w:p>
    <w:p w14:paraId="2BCA056C" w14:textId="77777777" w:rsidR="00BF08FC" w:rsidRDefault="00BF08FC">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38C27B6" w14:textId="33CCD2A5" w:rsidR="00F52595" w:rsidRDefault="551A77D0" w:rsidP="009432C9">
      <w:pPr>
        <w:pStyle w:val="Heading1"/>
      </w:pPr>
      <w:bookmarkStart w:id="57" w:name="_Toc18240019"/>
      <w:r>
        <w:lastRenderedPageBreak/>
        <w:t>Discussion</w:t>
      </w:r>
      <w:bookmarkEnd w:id="57"/>
    </w:p>
    <w:p w14:paraId="0362E719" w14:textId="6A0723AB" w:rsidR="009C13AB" w:rsidRPr="005065BA" w:rsidRDefault="009C13AB" w:rsidP="005065BA">
      <w:pPr>
        <w:shd w:val="clear" w:color="auto" w:fill="FFFFFF"/>
        <w:spacing w:after="180"/>
        <w:rPr>
          <w:rFonts w:eastAsia="Helvetica Neue" w:cs="Times New Roman"/>
          <w:color w:val="000000" w:themeColor="text1"/>
        </w:rPr>
      </w:pPr>
      <w:r w:rsidRPr="005065BA">
        <w:rPr>
          <w:rFonts w:eastAsia="Helvetica Neue" w:cs="Times New Roman"/>
          <w:color w:val="000000" w:themeColor="text1"/>
        </w:rPr>
        <w:t>Forests are cleared for timber extraction, for firewood, and to prepare new farmland, among other reasons. Several Drawdown solutions offset the loss of these yields to some degree. </w:t>
      </w:r>
      <w:r w:rsidRPr="005065BA">
        <w:rPr>
          <w:rFonts w:eastAsia="Helvetica Neue" w:cs="Times New Roman"/>
          <w:i/>
          <w:color w:val="000000" w:themeColor="text1"/>
        </w:rPr>
        <w:t>Afforestation </w:t>
      </w:r>
      <w:r w:rsidRPr="005065BA">
        <w:rPr>
          <w:rFonts w:eastAsia="Helvetica Neue" w:cs="Times New Roman"/>
          <w:color w:val="000000" w:themeColor="text1"/>
        </w:rPr>
        <w:t>and </w:t>
      </w:r>
      <w:r w:rsidRPr="005065BA">
        <w:rPr>
          <w:rFonts w:eastAsia="Helvetica Neue" w:cs="Times New Roman"/>
          <w:i/>
          <w:color w:val="000000" w:themeColor="text1"/>
        </w:rPr>
        <w:t>bamboo</w:t>
      </w:r>
      <w:r w:rsidRPr="005065BA">
        <w:rPr>
          <w:rFonts w:eastAsia="Helvetica Neue" w:cs="Times New Roman"/>
          <w:color w:val="000000" w:themeColor="text1"/>
        </w:rPr>
        <w:t> produce timber. </w:t>
      </w:r>
      <w:r w:rsidRPr="005065BA">
        <w:rPr>
          <w:rFonts w:eastAsia="Helvetica Neue" w:cs="Times New Roman"/>
          <w:i/>
          <w:color w:val="000000" w:themeColor="text1"/>
        </w:rPr>
        <w:t>Clean cookstoves</w:t>
      </w:r>
      <w:r w:rsidRPr="005065BA">
        <w:rPr>
          <w:rFonts w:eastAsia="Helvetica Neue" w:cs="Times New Roman"/>
          <w:color w:val="000000" w:themeColor="text1"/>
        </w:rPr>
        <w:t> helps reduce the need for firewood through adoption of efficient stoves. And </w:t>
      </w:r>
      <w:r w:rsidRPr="005065BA">
        <w:rPr>
          <w:rFonts w:eastAsia="Helvetica Neue" w:cs="Times New Roman"/>
          <w:i/>
          <w:color w:val="000000" w:themeColor="text1"/>
        </w:rPr>
        <w:t>farmland restoration</w:t>
      </w:r>
      <w:r w:rsidRPr="005065BA">
        <w:rPr>
          <w:rFonts w:eastAsia="Helvetica Neue" w:cs="Times New Roman"/>
          <w:color w:val="000000" w:themeColor="text1"/>
        </w:rPr>
        <w:t> brings abandoned farmland back into production, reducing the need to clear land. </w:t>
      </w:r>
      <w:r w:rsidRPr="005065BA">
        <w:rPr>
          <w:rFonts w:eastAsia="Helvetica Neue" w:cs="Times New Roman"/>
          <w:i/>
          <w:color w:val="000000" w:themeColor="text1"/>
        </w:rPr>
        <w:t>Plant-rich diet </w:t>
      </w:r>
      <w:r w:rsidRPr="005065BA">
        <w:rPr>
          <w:rFonts w:eastAsia="Helvetica Neue" w:cs="Times New Roman"/>
          <w:color w:val="000000" w:themeColor="text1"/>
        </w:rPr>
        <w:t>and </w:t>
      </w:r>
      <w:r w:rsidRPr="005065BA">
        <w:rPr>
          <w:rFonts w:eastAsia="Helvetica Neue" w:cs="Times New Roman"/>
          <w:i/>
          <w:color w:val="000000" w:themeColor="text1"/>
        </w:rPr>
        <w:t>reduced food waste</w:t>
      </w:r>
      <w:r w:rsidR="009E2336">
        <w:rPr>
          <w:rFonts w:eastAsia="Helvetica Neue" w:cs="Times New Roman"/>
          <w:i/>
          <w:color w:val="000000" w:themeColor="text1"/>
        </w:rPr>
        <w:t xml:space="preserve"> </w:t>
      </w:r>
      <w:r w:rsidRPr="005065BA">
        <w:rPr>
          <w:rFonts w:eastAsia="Helvetica Neue" w:cs="Times New Roman"/>
          <w:color w:val="000000" w:themeColor="text1"/>
        </w:rPr>
        <w:t>lower food demand and thus the need for forest clearing, as do population solutions </w:t>
      </w:r>
      <w:r w:rsidRPr="005065BA">
        <w:rPr>
          <w:rFonts w:eastAsia="Helvetica Neue" w:cs="Times New Roman"/>
          <w:i/>
          <w:color w:val="000000" w:themeColor="text1"/>
        </w:rPr>
        <w:t>educating girls</w:t>
      </w:r>
      <w:r w:rsidRPr="005065BA">
        <w:rPr>
          <w:rFonts w:eastAsia="Helvetica Neue" w:cs="Times New Roman"/>
          <w:color w:val="000000" w:themeColor="text1"/>
        </w:rPr>
        <w:t> and </w:t>
      </w:r>
      <w:r w:rsidRPr="005065BA">
        <w:rPr>
          <w:rFonts w:eastAsia="Helvetica Neue" w:cs="Times New Roman"/>
          <w:i/>
          <w:color w:val="000000" w:themeColor="text1"/>
        </w:rPr>
        <w:t>family planning.</w:t>
      </w:r>
    </w:p>
    <w:p w14:paraId="2D327297" w14:textId="445C4BB1" w:rsidR="009C13AB" w:rsidRPr="005065BA" w:rsidRDefault="009C13AB" w:rsidP="005065BA">
      <w:pPr>
        <w:shd w:val="clear" w:color="auto" w:fill="FFFFFF"/>
        <w:rPr>
          <w:rFonts w:eastAsia="Arial" w:cs="Times New Roman"/>
          <w:color w:val="000000" w:themeColor="text1"/>
        </w:rPr>
      </w:pPr>
      <w:r w:rsidRPr="005065BA">
        <w:rPr>
          <w:rFonts w:eastAsia="Helvetica Neue" w:cs="Times New Roman"/>
          <w:color w:val="000000" w:themeColor="text1"/>
        </w:rPr>
        <w:t>Climate activists have made "keep it in the ground" a slogan </w:t>
      </w:r>
      <w:r w:rsidR="00D00DBE" w:rsidRPr="005065BA">
        <w:rPr>
          <w:rFonts w:eastAsia="Arial" w:cs="Times New Roman"/>
          <w:color w:val="000000" w:themeColor="text1"/>
        </w:rPr>
        <w:t>in regard to</w:t>
      </w:r>
      <w:r w:rsidRPr="005065BA">
        <w:rPr>
          <w:rFonts w:eastAsia="Arial" w:cs="Times New Roman"/>
          <w:color w:val="000000" w:themeColor="text1"/>
        </w:rPr>
        <w:t xml:space="preserve"> fossil carbon like oil and coal. Climate mitigation requires us to keep forest carbon in the ground. </w:t>
      </w:r>
    </w:p>
    <w:p w14:paraId="319DCBD8" w14:textId="403C4AB4" w:rsidR="006745FF" w:rsidRDefault="00BF08FC" w:rsidP="00BF08FC">
      <w:pPr>
        <w:pStyle w:val="Heading2"/>
        <w:numPr>
          <w:ilvl w:val="0"/>
          <w:numId w:val="0"/>
        </w:numPr>
      </w:pPr>
      <w:bookmarkStart w:id="58" w:name="_Toc18240020"/>
      <w:r>
        <w:t xml:space="preserve">4.1 </w:t>
      </w:r>
      <w:r w:rsidR="006745FF" w:rsidRPr="551A77D0">
        <w:t>Limitations</w:t>
      </w:r>
      <w:bookmarkEnd w:id="58"/>
    </w:p>
    <w:p w14:paraId="6B4953C1" w14:textId="2F78E73C" w:rsidR="009C13AB" w:rsidRPr="005065BA" w:rsidRDefault="009C13AB" w:rsidP="005065BA">
      <w:pPr>
        <w:shd w:val="clear" w:color="auto" w:fill="FFFFFF"/>
        <w:spacing w:after="180"/>
        <w:rPr>
          <w:rFonts w:eastAsia="Helvetica Neue" w:cs="Times New Roman"/>
          <w:color w:val="000000" w:themeColor="text1"/>
        </w:rPr>
      </w:pPr>
      <w:r w:rsidRPr="005065BA">
        <w:rPr>
          <w:rFonts w:eastAsia="Helvetica Neue" w:cs="Times New Roman"/>
          <w:color w:val="000000" w:themeColor="text1"/>
        </w:rPr>
        <w:t>This solution does not model avoided deforestation from agricultural intensification or reduced food demand due to diet change or food waste reduction. Inclusion of economic impacts, e.g. costs to governments and NGOs, would be a valuable addition to future updates.</w:t>
      </w:r>
    </w:p>
    <w:p w14:paraId="2139E8E7" w14:textId="52253D64" w:rsidR="006745FF" w:rsidRDefault="00E101A9" w:rsidP="00E101A9">
      <w:pPr>
        <w:pStyle w:val="Heading2"/>
        <w:numPr>
          <w:ilvl w:val="0"/>
          <w:numId w:val="0"/>
        </w:numPr>
      </w:pPr>
      <w:bookmarkStart w:id="59" w:name="_Toc18240021"/>
      <w:r>
        <w:t xml:space="preserve">4.2 </w:t>
      </w:r>
      <w:r w:rsidR="006745FF" w:rsidRPr="551A77D0">
        <w:t>Benchmarks</w:t>
      </w:r>
      <w:bookmarkEnd w:id="59"/>
    </w:p>
    <w:p w14:paraId="3E97D26C" w14:textId="23D097CD" w:rsidR="009C13AB" w:rsidRDefault="009C13AB" w:rsidP="009C13AB">
      <w:pPr>
        <w:shd w:val="clear" w:color="auto" w:fill="FFFFFF"/>
        <w:spacing w:after="180"/>
        <w:rPr>
          <w:rFonts w:eastAsia="Helvetica Neue" w:cs="Times New Roman"/>
          <w:color w:val="000000" w:themeColor="text1"/>
        </w:rPr>
      </w:pPr>
      <w:bookmarkStart w:id="60" w:name="_Toc524993445"/>
      <w:proofErr w:type="spellStart"/>
      <w:r w:rsidRPr="005065BA">
        <w:rPr>
          <w:rFonts w:eastAsia="Helvetica Neue" w:cs="Times New Roman"/>
          <w:color w:val="000000" w:themeColor="text1"/>
        </w:rPr>
        <w:t>Griscom</w:t>
      </w:r>
      <w:proofErr w:type="spellEnd"/>
      <w:r w:rsidRPr="005065BA">
        <w:rPr>
          <w:rFonts w:eastAsia="Helvetica Neue" w:cs="Times New Roman"/>
          <w:color w:val="000000" w:themeColor="text1"/>
        </w:rPr>
        <w:t xml:space="preserve"> et al (2017)’s “Natural climate solutions” calculates an annual impact from “avoided forest conversion” of 1.82-3.60 gigatons of carbon dioxide equivalent per year</w:t>
      </w:r>
      <w:r w:rsidRPr="005065BA">
        <w:rPr>
          <w:rFonts w:eastAsia="Arial" w:cs="Times New Roman"/>
          <w:color w:val="000000" w:themeColor="text1"/>
        </w:rPr>
        <w:t xml:space="preserve"> in 2030</w:t>
      </w:r>
      <w:r w:rsidRPr="005065BA">
        <w:rPr>
          <w:rFonts w:eastAsia="Helvetica Neue" w:cs="Times New Roman"/>
          <w:color w:val="000000" w:themeColor="text1"/>
        </w:rPr>
        <w:t xml:space="preserve">. It is not clear if their figure includes avoided land use from demand reduction, or only forest protection. Note that Food sector solutions </w:t>
      </w:r>
      <w:r w:rsidRPr="005065BA">
        <w:rPr>
          <w:rFonts w:eastAsia="Helvetica Neue" w:cs="Times New Roman"/>
          <w:i/>
          <w:color w:val="000000" w:themeColor="text1"/>
        </w:rPr>
        <w:t>reduced food waste</w:t>
      </w:r>
      <w:r w:rsidRPr="005065BA">
        <w:rPr>
          <w:rFonts w:eastAsia="Helvetica Neue" w:cs="Times New Roman"/>
          <w:color w:val="000000" w:themeColor="text1"/>
        </w:rPr>
        <w:t xml:space="preserve"> and </w:t>
      </w:r>
      <w:r w:rsidRPr="005065BA">
        <w:rPr>
          <w:rFonts w:eastAsia="Helvetica Neue" w:cs="Times New Roman"/>
          <w:i/>
          <w:color w:val="000000" w:themeColor="text1"/>
        </w:rPr>
        <w:t>plant-rich diet</w:t>
      </w:r>
      <w:r w:rsidRPr="005065BA">
        <w:rPr>
          <w:rFonts w:eastAsia="Helvetica Neue" w:cs="Times New Roman"/>
          <w:color w:val="000000" w:themeColor="text1"/>
        </w:rPr>
        <w:t xml:space="preserve"> also incorporate substantial avoided land use change emissions not accounted for here.</w:t>
      </w:r>
    </w:p>
    <w:p w14:paraId="43A529DC" w14:textId="6102277C" w:rsidR="006863A7" w:rsidRDefault="006863A7" w:rsidP="009730ED">
      <w:pPr>
        <w:shd w:val="clear" w:color="auto" w:fill="FFFFFF"/>
        <w:spacing w:after="180"/>
        <w:rPr>
          <w:rFonts w:eastAsia="Helvetica Neue" w:cs="Times New Roman"/>
          <w:color w:val="000000" w:themeColor="text1"/>
          <w:lang w:val="en-GB"/>
        </w:rPr>
      </w:pPr>
      <w:r w:rsidRPr="004B3A12">
        <w:rPr>
          <w:rFonts w:eastAsia="Helvetica Neue" w:cs="Times New Roman"/>
          <w:color w:val="000000" w:themeColor="text1"/>
          <w:lang w:val="en-GB"/>
        </w:rPr>
        <w:t>Grassi et al. (2017) analys</w:t>
      </w:r>
      <w:r w:rsidR="009730ED">
        <w:rPr>
          <w:rFonts w:eastAsia="Helvetica Neue" w:cs="Times New Roman"/>
          <w:color w:val="000000" w:themeColor="text1"/>
          <w:lang w:val="en-GB"/>
        </w:rPr>
        <w:t>is of full- implementation of ‘(Intended) Nationally Determined Contributions ((I)NDCs) shows that “</w:t>
      </w:r>
      <w:r w:rsidR="009730ED" w:rsidRPr="009730ED">
        <w:rPr>
          <w:rFonts w:eastAsia="Helvetica Neue" w:cs="Times New Roman"/>
          <w:color w:val="000000" w:themeColor="text1"/>
          <w:lang w:val="en-GB"/>
        </w:rPr>
        <w:t>land use, and forests in particular, emerge as a key component of the Paris</w:t>
      </w:r>
      <w:r w:rsidR="009730ED">
        <w:rPr>
          <w:rFonts w:eastAsia="Helvetica Neue" w:cs="Times New Roman"/>
          <w:color w:val="000000" w:themeColor="text1"/>
          <w:lang w:val="en-GB"/>
        </w:rPr>
        <w:t xml:space="preserve"> </w:t>
      </w:r>
      <w:r w:rsidR="009730ED" w:rsidRPr="009730ED">
        <w:rPr>
          <w:rFonts w:eastAsia="Helvetica Neue" w:cs="Times New Roman" w:hint="eastAsia"/>
          <w:color w:val="000000" w:themeColor="text1"/>
          <w:lang w:val="en-GB"/>
        </w:rPr>
        <w:t>Agreement: turning globally from a net anthropogenic source during 1990</w:t>
      </w:r>
      <w:r w:rsidR="009730ED" w:rsidRPr="009730ED">
        <w:rPr>
          <w:rFonts w:eastAsia="Helvetica Neue" w:cs="Times New Roman" w:hint="eastAsia"/>
          <w:color w:val="000000" w:themeColor="text1"/>
          <w:lang w:val="en-GB"/>
        </w:rPr>
        <w:t>–</w:t>
      </w:r>
      <w:r w:rsidR="009730ED" w:rsidRPr="009730ED">
        <w:rPr>
          <w:rFonts w:eastAsia="Helvetica Neue" w:cs="Times New Roman" w:hint="eastAsia"/>
          <w:color w:val="000000" w:themeColor="text1"/>
          <w:lang w:val="en-GB"/>
        </w:rPr>
        <w:t xml:space="preserve">2010 (1.3 </w:t>
      </w:r>
      <w:r w:rsidR="009730ED">
        <w:rPr>
          <w:rFonts w:eastAsia="Helvetica Neue" w:cs="Times New Roman"/>
          <w:color w:val="000000" w:themeColor="text1"/>
          <w:lang w:val="en-GB"/>
        </w:rPr>
        <w:t>+-</w:t>
      </w:r>
      <w:r w:rsidR="009730ED" w:rsidRPr="009730ED">
        <w:rPr>
          <w:rFonts w:eastAsia="Helvetica Neue" w:cs="Times New Roman" w:hint="eastAsia"/>
          <w:color w:val="000000" w:themeColor="text1"/>
          <w:lang w:val="en-GB"/>
        </w:rPr>
        <w:t xml:space="preserve"> 1.1 GtCO2e yr</w:t>
      </w:r>
      <w:r w:rsidR="009730ED">
        <w:rPr>
          <w:rFonts w:eastAsia="Times New Roman" w:cs="Times New Roman"/>
          <w:color w:val="000000" w:themeColor="text1"/>
          <w:lang w:val="en-GB"/>
        </w:rPr>
        <w:t>-</w:t>
      </w:r>
      <w:r w:rsidR="009730ED" w:rsidRPr="009730ED">
        <w:rPr>
          <w:rFonts w:eastAsia="Helvetica Neue" w:cs="Times New Roman" w:hint="eastAsia"/>
          <w:color w:val="000000" w:themeColor="text1"/>
          <w:lang w:val="en-GB"/>
        </w:rPr>
        <w:t>1) to a net sink of carbon</w:t>
      </w:r>
      <w:r w:rsidR="009730ED">
        <w:rPr>
          <w:rFonts w:eastAsia="Helvetica Neue" w:cs="Times New Roman"/>
          <w:color w:val="000000" w:themeColor="text1"/>
          <w:lang w:val="en-GB"/>
        </w:rPr>
        <w:t xml:space="preserve"> </w:t>
      </w:r>
      <w:r w:rsidR="009730ED" w:rsidRPr="009730ED">
        <w:rPr>
          <w:rFonts w:eastAsia="Helvetica Neue" w:cs="Times New Roman" w:hint="eastAsia"/>
          <w:color w:val="000000" w:themeColor="text1"/>
          <w:lang w:val="en-GB"/>
        </w:rPr>
        <w:t xml:space="preserve">by 2030 (up to </w:t>
      </w:r>
      <w:r w:rsidR="009730ED">
        <w:rPr>
          <w:rFonts w:eastAsia="Times New Roman" w:cs="Times New Roman"/>
          <w:color w:val="000000" w:themeColor="text1"/>
          <w:lang w:val="en-GB"/>
        </w:rPr>
        <w:t>-</w:t>
      </w:r>
      <w:r w:rsidR="009730ED" w:rsidRPr="009730ED">
        <w:rPr>
          <w:rFonts w:eastAsia="Helvetica Neue" w:cs="Times New Roman" w:hint="eastAsia"/>
          <w:color w:val="000000" w:themeColor="text1"/>
          <w:lang w:val="en-GB"/>
        </w:rPr>
        <w:t xml:space="preserve">1.1 </w:t>
      </w:r>
      <w:r w:rsidR="009730ED">
        <w:rPr>
          <w:rFonts w:eastAsia="Helvetica Neue" w:cs="Times New Roman"/>
          <w:color w:val="000000" w:themeColor="text1"/>
          <w:lang w:val="en-GB"/>
        </w:rPr>
        <w:t>+-</w:t>
      </w:r>
      <w:r w:rsidR="009730ED" w:rsidRPr="009730ED">
        <w:rPr>
          <w:rFonts w:eastAsia="Helvetica Neue" w:cs="Times New Roman" w:hint="eastAsia"/>
          <w:color w:val="000000" w:themeColor="text1"/>
          <w:lang w:val="en-GB"/>
        </w:rPr>
        <w:t xml:space="preserve"> 0.5 GtCO2e yr</w:t>
      </w:r>
      <w:r w:rsidR="009730ED">
        <w:rPr>
          <w:rFonts w:eastAsia="Times New Roman" w:cs="Times New Roman"/>
          <w:color w:val="000000" w:themeColor="text1"/>
          <w:lang w:val="en-GB"/>
        </w:rPr>
        <w:t>-</w:t>
      </w:r>
      <w:r w:rsidR="009730ED" w:rsidRPr="009730ED">
        <w:rPr>
          <w:rFonts w:eastAsia="Helvetica Neue" w:cs="Times New Roman" w:hint="eastAsia"/>
          <w:color w:val="000000" w:themeColor="text1"/>
          <w:lang w:val="en-GB"/>
        </w:rPr>
        <w:t>1), and providing a quarter of emission reductions planned by countries</w:t>
      </w:r>
      <w:r w:rsidR="009730ED">
        <w:rPr>
          <w:rFonts w:eastAsia="Helvetica Neue" w:cs="Times New Roman"/>
          <w:color w:val="000000" w:themeColor="text1"/>
          <w:lang w:val="en-GB"/>
        </w:rPr>
        <w:t>”</w:t>
      </w:r>
      <w:r w:rsidR="00575DD7">
        <w:rPr>
          <w:rFonts w:eastAsia="Helvetica Neue" w:cs="Times New Roman"/>
          <w:color w:val="000000" w:themeColor="text1"/>
          <w:lang w:val="en-GB"/>
        </w:rPr>
        <w:t xml:space="preserve"> with a range of 0.8-3.1 </w:t>
      </w:r>
      <w:r w:rsidR="00575DD7" w:rsidRPr="009730ED">
        <w:rPr>
          <w:rFonts w:eastAsia="Helvetica Neue" w:cs="Times New Roman" w:hint="eastAsia"/>
          <w:color w:val="000000" w:themeColor="text1"/>
          <w:lang w:val="en-GB"/>
        </w:rPr>
        <w:t>GtCO2e yr</w:t>
      </w:r>
      <w:r w:rsidR="00575DD7">
        <w:rPr>
          <w:rFonts w:eastAsia="Times New Roman" w:cs="Times New Roman"/>
          <w:color w:val="000000" w:themeColor="text1"/>
          <w:lang w:val="en-GB"/>
        </w:rPr>
        <w:t>-</w:t>
      </w:r>
      <w:r w:rsidR="00575DD7" w:rsidRPr="009730ED">
        <w:rPr>
          <w:rFonts w:eastAsia="Helvetica Neue" w:cs="Times New Roman" w:hint="eastAsia"/>
          <w:color w:val="000000" w:themeColor="text1"/>
          <w:lang w:val="en-GB"/>
        </w:rPr>
        <w:t>1</w:t>
      </w:r>
      <w:r w:rsidR="00575DD7">
        <w:rPr>
          <w:rFonts w:eastAsia="Helvetica Neue" w:cs="Times New Roman"/>
          <w:color w:val="000000" w:themeColor="text1"/>
          <w:lang w:val="en-GB"/>
        </w:rPr>
        <w:t xml:space="preserve"> to 1.5- 3.8 </w:t>
      </w:r>
      <w:r w:rsidR="00575DD7" w:rsidRPr="009730ED">
        <w:rPr>
          <w:rFonts w:eastAsia="Helvetica Neue" w:cs="Times New Roman" w:hint="eastAsia"/>
          <w:color w:val="000000" w:themeColor="text1"/>
          <w:lang w:val="en-GB"/>
        </w:rPr>
        <w:t>GtCO2e yr</w:t>
      </w:r>
      <w:r w:rsidR="00575DD7">
        <w:rPr>
          <w:rFonts w:eastAsia="Times New Roman" w:cs="Times New Roman"/>
          <w:color w:val="000000" w:themeColor="text1"/>
          <w:lang w:val="en-GB"/>
        </w:rPr>
        <w:t>-</w:t>
      </w:r>
      <w:r w:rsidR="00575DD7" w:rsidRPr="009730ED">
        <w:rPr>
          <w:rFonts w:eastAsia="Helvetica Neue" w:cs="Times New Roman" w:hint="eastAsia"/>
          <w:color w:val="000000" w:themeColor="text1"/>
          <w:lang w:val="en-GB"/>
        </w:rPr>
        <w:t>1</w:t>
      </w:r>
      <w:r w:rsidR="00575DD7">
        <w:rPr>
          <w:rFonts w:eastAsia="Helvetica Neue" w:cs="Times New Roman"/>
          <w:color w:val="000000" w:themeColor="text1"/>
          <w:lang w:val="en-GB"/>
        </w:rPr>
        <w:t xml:space="preserve"> for unconditional and conditional (I)NDCs mitigation calculation</w:t>
      </w:r>
      <w:r w:rsidR="00F06F4C">
        <w:rPr>
          <w:rFonts w:eastAsia="Helvetica Neue" w:cs="Times New Roman"/>
          <w:color w:val="000000" w:themeColor="text1"/>
          <w:lang w:val="en-GB"/>
        </w:rPr>
        <w:t xml:space="preserve"> </w:t>
      </w:r>
      <w:r w:rsidR="00575DD7">
        <w:rPr>
          <w:rFonts w:eastAsia="Helvetica Neue" w:cs="Times New Roman"/>
          <w:color w:val="000000" w:themeColor="text1"/>
          <w:lang w:val="en-GB"/>
        </w:rPr>
        <w:t>respectively.</w:t>
      </w:r>
    </w:p>
    <w:p w14:paraId="2AB1A31B" w14:textId="7C317770" w:rsidR="000A4BAE" w:rsidRPr="004B3A12" w:rsidRDefault="000A4BAE" w:rsidP="00DC76DE">
      <w:pPr>
        <w:shd w:val="clear" w:color="auto" w:fill="FFFFFF"/>
        <w:spacing w:after="180"/>
        <w:rPr>
          <w:rFonts w:eastAsia="Helvetica Neue" w:cs="Times New Roman"/>
          <w:color w:val="000000" w:themeColor="text1"/>
          <w:lang w:val="en-GB"/>
        </w:rPr>
      </w:pPr>
      <w:r>
        <w:rPr>
          <w:rFonts w:eastAsia="Helvetica Neue" w:cs="Times New Roman"/>
          <w:color w:val="000000" w:themeColor="text1"/>
          <w:lang w:val="en-GB"/>
        </w:rPr>
        <w:t>Dooley et al. (2018)’s “</w:t>
      </w:r>
      <w:r w:rsidRPr="000A4BAE">
        <w:rPr>
          <w:rFonts w:eastAsia="Helvetica Neue" w:cs="Times New Roman"/>
          <w:color w:val="000000" w:themeColor="text1"/>
          <w:lang w:val="en-GB"/>
        </w:rPr>
        <w:t>Missing Pathways to 1.5°C:</w:t>
      </w:r>
      <w:r>
        <w:rPr>
          <w:rFonts w:eastAsia="Helvetica Neue" w:cs="Times New Roman"/>
          <w:color w:val="000000" w:themeColor="text1"/>
          <w:lang w:val="en-GB"/>
        </w:rPr>
        <w:t xml:space="preserve"> </w:t>
      </w:r>
      <w:r w:rsidRPr="000A4BAE">
        <w:rPr>
          <w:rFonts w:eastAsia="Helvetica Neue" w:cs="Times New Roman"/>
          <w:color w:val="000000" w:themeColor="text1"/>
          <w:lang w:val="en-GB"/>
        </w:rPr>
        <w:t>The role of the land sector in ambitious climate action</w:t>
      </w:r>
      <w:r>
        <w:rPr>
          <w:rFonts w:eastAsia="Helvetica Neue" w:cs="Times New Roman"/>
          <w:color w:val="000000" w:themeColor="text1"/>
          <w:lang w:val="en-GB"/>
        </w:rPr>
        <w:t>”</w:t>
      </w:r>
      <w:r w:rsidR="00DC76DE">
        <w:rPr>
          <w:rFonts w:eastAsia="Helvetica Neue" w:cs="Times New Roman"/>
          <w:color w:val="000000" w:themeColor="text1"/>
          <w:lang w:val="en-GB"/>
        </w:rPr>
        <w:t xml:space="preserve"> analysis on ecosystem- based approaches “</w:t>
      </w:r>
      <w:r w:rsidR="00DC76DE" w:rsidRPr="00DC76DE">
        <w:rPr>
          <w:rFonts w:eastAsia="Helvetica Neue" w:cs="Times New Roman"/>
          <w:color w:val="000000" w:themeColor="text1"/>
          <w:lang w:val="en-GB"/>
        </w:rPr>
        <w:t>estimate the mitigation potential from avoided forest loss</w:t>
      </w:r>
      <w:r w:rsidR="00DC76DE">
        <w:rPr>
          <w:rFonts w:eastAsia="Helvetica Neue" w:cs="Times New Roman"/>
          <w:color w:val="000000" w:themeColor="text1"/>
          <w:lang w:val="en-GB"/>
        </w:rPr>
        <w:t xml:space="preserve"> </w:t>
      </w:r>
      <w:r w:rsidR="00DC76DE" w:rsidRPr="00DC76DE">
        <w:rPr>
          <w:rFonts w:eastAsia="Helvetica Neue" w:cs="Times New Roman"/>
          <w:color w:val="000000" w:themeColor="text1"/>
          <w:lang w:val="en-GB"/>
        </w:rPr>
        <w:t>as equivalent to current global emissions (from both deforestation</w:t>
      </w:r>
      <w:r w:rsidR="00DC76DE">
        <w:rPr>
          <w:rFonts w:eastAsia="Helvetica Neue" w:cs="Times New Roman"/>
          <w:color w:val="000000" w:themeColor="text1"/>
          <w:lang w:val="en-GB"/>
        </w:rPr>
        <w:t xml:space="preserve"> </w:t>
      </w:r>
      <w:r w:rsidR="00DC76DE" w:rsidRPr="00DC76DE">
        <w:rPr>
          <w:rFonts w:eastAsia="Helvetica Neue" w:cs="Times New Roman"/>
          <w:color w:val="000000" w:themeColor="text1"/>
          <w:lang w:val="en-GB"/>
        </w:rPr>
        <w:t>and degradation), at 4.07 Gt CO2/year</w:t>
      </w:r>
      <w:r w:rsidR="00DC76DE">
        <w:rPr>
          <w:rFonts w:eastAsia="Helvetica Neue" w:cs="Times New Roman"/>
          <w:color w:val="000000" w:themeColor="text1"/>
          <w:lang w:val="en-GB"/>
        </w:rPr>
        <w:t>”</w:t>
      </w:r>
      <w:r w:rsidR="004464E2">
        <w:rPr>
          <w:rFonts w:eastAsia="Helvetica Neue" w:cs="Times New Roman"/>
          <w:color w:val="000000" w:themeColor="text1"/>
          <w:lang w:val="en-GB"/>
        </w:rPr>
        <w:t xml:space="preserve"> by 2050.</w:t>
      </w:r>
    </w:p>
    <w:p w14:paraId="79DB6E21" w14:textId="39045782" w:rsidR="006745FF" w:rsidRPr="00584ECC" w:rsidRDefault="009432C9" w:rsidP="009432C9">
      <w:pPr>
        <w:pStyle w:val="Caption"/>
        <w:rPr>
          <w:b/>
          <w:bCs/>
        </w:rPr>
      </w:pPr>
      <w:bookmarkStart w:id="61" w:name="_Toc18439382"/>
      <w:bookmarkEnd w:id="60"/>
      <w:r>
        <w:lastRenderedPageBreak/>
        <w:t xml:space="preserve">Table </w:t>
      </w:r>
      <w:r w:rsidR="005D2ED8">
        <w:fldChar w:fldCharType="begin"/>
      </w:r>
      <w:r w:rsidR="005D2ED8">
        <w:instrText xml:space="preserve"> STYLEREF 1 \s </w:instrText>
      </w:r>
      <w:r w:rsidR="005D2ED8">
        <w:fldChar w:fldCharType="separate"/>
      </w:r>
      <w:r w:rsidR="00E26324">
        <w:rPr>
          <w:noProof/>
        </w:rPr>
        <w:t>4</w:t>
      </w:r>
      <w:r w:rsidR="005D2ED8">
        <w:fldChar w:fldCharType="end"/>
      </w:r>
      <w:r w:rsidR="005D2ED8">
        <w:t>.</w:t>
      </w:r>
      <w:r w:rsidR="005D2ED8">
        <w:fldChar w:fldCharType="begin"/>
      </w:r>
      <w:r w:rsidR="005D2ED8">
        <w:instrText xml:space="preserve"> SEQ Table \* ARABIC \s 1 </w:instrText>
      </w:r>
      <w:r w:rsidR="005D2ED8">
        <w:fldChar w:fldCharType="separate"/>
      </w:r>
      <w:r w:rsidR="00E26324">
        <w:rPr>
          <w:noProof/>
        </w:rPr>
        <w:t>1</w:t>
      </w:r>
      <w:r w:rsidR="005D2ED8">
        <w:fldChar w:fldCharType="end"/>
      </w:r>
      <w:r>
        <w:t xml:space="preserve"> Benchmarks</w:t>
      </w:r>
      <w:bookmarkEnd w:id="61"/>
    </w:p>
    <w:tbl>
      <w:tblPr>
        <w:tblStyle w:val="TableGrid"/>
        <w:tblW w:w="4088" w:type="pct"/>
        <w:jc w:val="center"/>
        <w:tblLook w:val="04A0" w:firstRow="1" w:lastRow="0" w:firstColumn="1" w:lastColumn="0" w:noHBand="0" w:noVBand="1"/>
      </w:tblPr>
      <w:tblGrid>
        <w:gridCol w:w="2154"/>
        <w:gridCol w:w="3439"/>
        <w:gridCol w:w="2052"/>
      </w:tblGrid>
      <w:tr w:rsidR="00A42843" w:rsidRPr="006B675D" w14:paraId="70C8E283" w14:textId="01BC42F6" w:rsidTr="3B9A7176">
        <w:trPr>
          <w:cantSplit/>
          <w:trHeight w:val="329"/>
          <w:tblHeader/>
          <w:jc w:val="center"/>
        </w:trPr>
        <w:tc>
          <w:tcPr>
            <w:tcW w:w="1409" w:type="pct"/>
            <w:shd w:val="clear" w:color="auto" w:fill="4F81BD" w:themeFill="accent1"/>
            <w:vAlign w:val="center"/>
          </w:tcPr>
          <w:p w14:paraId="721CED95" w14:textId="594D904F" w:rsidR="00A42843" w:rsidRPr="006B675D" w:rsidRDefault="00A42843" w:rsidP="00DB4CC8">
            <w:pPr>
              <w:jc w:val="center"/>
              <w:rPr>
                <w:b/>
                <w:bCs/>
                <w:color w:val="FFFFFF" w:themeColor="background1"/>
                <w:sz w:val="20"/>
                <w:szCs w:val="20"/>
              </w:rPr>
            </w:pPr>
            <w:r w:rsidRPr="006B675D">
              <w:rPr>
                <w:b/>
                <w:bCs/>
                <w:color w:val="FFFFFF" w:themeColor="background1"/>
                <w:sz w:val="20"/>
                <w:szCs w:val="20"/>
              </w:rPr>
              <w:t>Source and Scenario</w:t>
            </w:r>
          </w:p>
        </w:tc>
        <w:tc>
          <w:tcPr>
            <w:tcW w:w="2249" w:type="pct"/>
            <w:shd w:val="clear" w:color="auto" w:fill="4F81BD" w:themeFill="accent1"/>
            <w:vAlign w:val="center"/>
          </w:tcPr>
          <w:p w14:paraId="697CCD7A" w14:textId="0C8647B5" w:rsidR="00A42843" w:rsidRPr="006B675D" w:rsidRDefault="009C7D04" w:rsidP="00DB4CC8">
            <w:pPr>
              <w:jc w:val="center"/>
              <w:rPr>
                <w:b/>
                <w:color w:val="FFFFFF" w:themeColor="background1"/>
                <w:sz w:val="20"/>
                <w:szCs w:val="20"/>
              </w:rPr>
            </w:pPr>
            <w:r>
              <w:rPr>
                <w:b/>
                <w:color w:val="FFFFFF" w:themeColor="background1"/>
                <w:sz w:val="20"/>
                <w:szCs w:val="20"/>
              </w:rPr>
              <w:t>Assumptions</w:t>
            </w:r>
          </w:p>
        </w:tc>
        <w:tc>
          <w:tcPr>
            <w:tcW w:w="1342" w:type="pct"/>
            <w:shd w:val="clear" w:color="auto" w:fill="4F81BD" w:themeFill="accent1"/>
            <w:vAlign w:val="center"/>
          </w:tcPr>
          <w:p w14:paraId="2E6196C2" w14:textId="5C8F0E4D" w:rsidR="00A42843" w:rsidRPr="006B675D" w:rsidRDefault="00A42843" w:rsidP="00DB4CC8">
            <w:pPr>
              <w:jc w:val="center"/>
              <w:rPr>
                <w:b/>
                <w:color w:val="FFFFFF" w:themeColor="background1"/>
                <w:sz w:val="20"/>
                <w:szCs w:val="20"/>
              </w:rPr>
            </w:pPr>
            <w:r w:rsidRPr="006B675D">
              <w:rPr>
                <w:b/>
                <w:color w:val="FFFFFF" w:themeColor="background1"/>
                <w:sz w:val="20"/>
                <w:szCs w:val="20"/>
              </w:rPr>
              <w:t>Mitigation Impact  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32785B" w:rsidRPr="006B675D" w14:paraId="39D455A1" w14:textId="77777777" w:rsidTr="3B9A7176">
        <w:trPr>
          <w:trHeight w:val="432"/>
          <w:jc w:val="center"/>
        </w:trPr>
        <w:tc>
          <w:tcPr>
            <w:tcW w:w="1409" w:type="pct"/>
            <w:vAlign w:val="center"/>
          </w:tcPr>
          <w:p w14:paraId="17AD3D36" w14:textId="1878FFA5" w:rsidR="0032785B" w:rsidRPr="005065BA" w:rsidRDefault="0032785B" w:rsidP="00DB4CC8">
            <w:pPr>
              <w:jc w:val="center"/>
              <w:rPr>
                <w:bCs/>
                <w:sz w:val="20"/>
                <w:szCs w:val="20"/>
              </w:rPr>
            </w:pPr>
            <w:r>
              <w:rPr>
                <w:bCs/>
                <w:sz w:val="20"/>
                <w:szCs w:val="20"/>
              </w:rPr>
              <w:t>Grassi (2017)</w:t>
            </w:r>
          </w:p>
        </w:tc>
        <w:tc>
          <w:tcPr>
            <w:tcW w:w="2249" w:type="pct"/>
            <w:vAlign w:val="center"/>
          </w:tcPr>
          <w:p w14:paraId="6C1204A6" w14:textId="53F7ED96" w:rsidR="0032785B" w:rsidRPr="005065BA" w:rsidRDefault="005146E4" w:rsidP="00DB4CC8">
            <w:pPr>
              <w:jc w:val="center"/>
              <w:rPr>
                <w:bCs/>
                <w:sz w:val="20"/>
                <w:szCs w:val="20"/>
              </w:rPr>
            </w:pPr>
            <w:r>
              <w:rPr>
                <w:bCs/>
                <w:sz w:val="20"/>
                <w:szCs w:val="20"/>
              </w:rPr>
              <w:t>Forest-based solutions</w:t>
            </w:r>
          </w:p>
        </w:tc>
        <w:tc>
          <w:tcPr>
            <w:tcW w:w="1342" w:type="pct"/>
            <w:vAlign w:val="center"/>
          </w:tcPr>
          <w:p w14:paraId="0A4951D0" w14:textId="7CCD568A" w:rsidR="0032785B" w:rsidRPr="005065BA" w:rsidRDefault="005146E4" w:rsidP="00DB4CC8">
            <w:pPr>
              <w:jc w:val="center"/>
              <w:rPr>
                <w:bCs/>
                <w:sz w:val="20"/>
                <w:szCs w:val="20"/>
              </w:rPr>
            </w:pPr>
            <w:r>
              <w:rPr>
                <w:bCs/>
                <w:sz w:val="20"/>
                <w:szCs w:val="20"/>
              </w:rPr>
              <w:t>0.8-3.8</w:t>
            </w:r>
          </w:p>
        </w:tc>
      </w:tr>
      <w:tr w:rsidR="0032785B" w:rsidRPr="006B675D" w14:paraId="5CD06A43" w14:textId="77777777" w:rsidTr="3B9A7176">
        <w:trPr>
          <w:trHeight w:val="432"/>
          <w:jc w:val="center"/>
        </w:trPr>
        <w:tc>
          <w:tcPr>
            <w:tcW w:w="1409" w:type="pct"/>
            <w:vAlign w:val="center"/>
          </w:tcPr>
          <w:p w14:paraId="27372A8E" w14:textId="63CDB429" w:rsidR="0032785B" w:rsidRPr="005065BA" w:rsidRDefault="0032785B" w:rsidP="00DB4CC8">
            <w:pPr>
              <w:jc w:val="center"/>
              <w:rPr>
                <w:bCs/>
                <w:sz w:val="20"/>
                <w:szCs w:val="20"/>
              </w:rPr>
            </w:pPr>
            <w:r>
              <w:rPr>
                <w:bCs/>
                <w:sz w:val="20"/>
                <w:szCs w:val="20"/>
              </w:rPr>
              <w:t>Dooley (2018)</w:t>
            </w:r>
          </w:p>
        </w:tc>
        <w:tc>
          <w:tcPr>
            <w:tcW w:w="2249" w:type="pct"/>
            <w:vAlign w:val="center"/>
          </w:tcPr>
          <w:p w14:paraId="0A685B56" w14:textId="734591B6" w:rsidR="0032785B" w:rsidRPr="005065BA" w:rsidRDefault="00D50244" w:rsidP="00DB4CC8">
            <w:pPr>
              <w:jc w:val="center"/>
              <w:rPr>
                <w:bCs/>
                <w:sz w:val="20"/>
                <w:szCs w:val="20"/>
              </w:rPr>
            </w:pPr>
            <w:r>
              <w:rPr>
                <w:bCs/>
                <w:sz w:val="20"/>
                <w:szCs w:val="20"/>
              </w:rPr>
              <w:t>Avoided forest loss</w:t>
            </w:r>
          </w:p>
        </w:tc>
        <w:tc>
          <w:tcPr>
            <w:tcW w:w="1342" w:type="pct"/>
            <w:vAlign w:val="center"/>
          </w:tcPr>
          <w:p w14:paraId="6084AC3C" w14:textId="169C6B3B" w:rsidR="0032785B" w:rsidRPr="005065BA" w:rsidRDefault="00D50244" w:rsidP="00DB4CC8">
            <w:pPr>
              <w:jc w:val="center"/>
              <w:rPr>
                <w:bCs/>
                <w:sz w:val="20"/>
                <w:szCs w:val="20"/>
              </w:rPr>
            </w:pPr>
            <w:r>
              <w:rPr>
                <w:bCs/>
                <w:sz w:val="20"/>
                <w:szCs w:val="20"/>
              </w:rPr>
              <w:t>4.07</w:t>
            </w:r>
          </w:p>
        </w:tc>
      </w:tr>
      <w:tr w:rsidR="00A42843" w:rsidRPr="006B675D" w14:paraId="289707D9" w14:textId="70E15D94" w:rsidTr="3B9A7176">
        <w:trPr>
          <w:trHeight w:val="432"/>
          <w:jc w:val="center"/>
        </w:trPr>
        <w:tc>
          <w:tcPr>
            <w:tcW w:w="1409" w:type="pct"/>
            <w:vAlign w:val="center"/>
          </w:tcPr>
          <w:p w14:paraId="65A69EF1" w14:textId="18409F06" w:rsidR="00A42843" w:rsidRPr="005065BA" w:rsidRDefault="009C7D04" w:rsidP="00DB4CC8">
            <w:pPr>
              <w:jc w:val="center"/>
              <w:rPr>
                <w:bCs/>
                <w:sz w:val="20"/>
                <w:szCs w:val="20"/>
              </w:rPr>
            </w:pPr>
            <w:proofErr w:type="spellStart"/>
            <w:r w:rsidRPr="005065BA">
              <w:rPr>
                <w:bCs/>
                <w:sz w:val="20"/>
                <w:szCs w:val="20"/>
              </w:rPr>
              <w:t>Griscom</w:t>
            </w:r>
            <w:proofErr w:type="spellEnd"/>
            <w:r w:rsidRPr="005065BA">
              <w:rPr>
                <w:bCs/>
                <w:sz w:val="20"/>
                <w:szCs w:val="20"/>
              </w:rPr>
              <w:t xml:space="preserve"> (2017)</w:t>
            </w:r>
          </w:p>
        </w:tc>
        <w:tc>
          <w:tcPr>
            <w:tcW w:w="2249" w:type="pct"/>
            <w:vAlign w:val="center"/>
          </w:tcPr>
          <w:p w14:paraId="02255322" w14:textId="0EB6EA1B" w:rsidR="00A42843" w:rsidRPr="005065BA" w:rsidRDefault="009C7D04" w:rsidP="00DB4CC8">
            <w:pPr>
              <w:jc w:val="center"/>
              <w:rPr>
                <w:bCs/>
                <w:sz w:val="20"/>
                <w:szCs w:val="20"/>
              </w:rPr>
            </w:pPr>
            <w:r w:rsidRPr="005065BA">
              <w:rPr>
                <w:bCs/>
                <w:sz w:val="20"/>
                <w:szCs w:val="20"/>
              </w:rPr>
              <w:t>Avoided forest conversion</w:t>
            </w:r>
          </w:p>
        </w:tc>
        <w:tc>
          <w:tcPr>
            <w:tcW w:w="1342" w:type="pct"/>
            <w:vAlign w:val="center"/>
          </w:tcPr>
          <w:p w14:paraId="10CFE417" w14:textId="73F74AC1" w:rsidR="00A42843" w:rsidRPr="006B675D" w:rsidRDefault="009C7D04" w:rsidP="00DB4CC8">
            <w:pPr>
              <w:jc w:val="center"/>
              <w:rPr>
                <w:bCs/>
                <w:sz w:val="20"/>
                <w:szCs w:val="20"/>
              </w:rPr>
            </w:pPr>
            <w:r w:rsidRPr="005065BA">
              <w:rPr>
                <w:bCs/>
                <w:sz w:val="20"/>
                <w:szCs w:val="20"/>
              </w:rPr>
              <w:t>1.82-3.60</w:t>
            </w:r>
          </w:p>
        </w:tc>
      </w:tr>
      <w:tr w:rsidR="00A42843" w:rsidRPr="006B675D" w14:paraId="1C7A3D9F" w14:textId="08F76CB5" w:rsidTr="3B9A7176">
        <w:trPr>
          <w:trHeight w:val="329"/>
          <w:jc w:val="center"/>
        </w:trPr>
        <w:tc>
          <w:tcPr>
            <w:tcW w:w="1409" w:type="pct"/>
            <w:vAlign w:val="center"/>
          </w:tcPr>
          <w:p w14:paraId="3E637FD7" w14:textId="6049B5A7" w:rsidR="00A42843" w:rsidRPr="001A0895" w:rsidRDefault="001A0895" w:rsidP="00DB4CC8">
            <w:pPr>
              <w:jc w:val="center"/>
              <w:rPr>
                <w:bCs/>
                <w:sz w:val="20"/>
                <w:szCs w:val="20"/>
              </w:rPr>
            </w:pPr>
            <w:r>
              <w:rPr>
                <w:bCs/>
                <w:i/>
                <w:sz w:val="20"/>
                <w:szCs w:val="20"/>
              </w:rPr>
              <w:t xml:space="preserve">Plausible </w:t>
            </w:r>
            <w:r>
              <w:rPr>
                <w:bCs/>
                <w:sz w:val="20"/>
                <w:szCs w:val="20"/>
              </w:rPr>
              <w:t>Scenario</w:t>
            </w:r>
          </w:p>
        </w:tc>
        <w:tc>
          <w:tcPr>
            <w:tcW w:w="2249" w:type="pct"/>
            <w:vAlign w:val="center"/>
          </w:tcPr>
          <w:p w14:paraId="6FEA69F3" w14:textId="335D8706" w:rsidR="00A42843" w:rsidRPr="006B675D" w:rsidRDefault="001A0895" w:rsidP="00DB4CC8">
            <w:pPr>
              <w:jc w:val="center"/>
              <w:rPr>
                <w:bCs/>
                <w:sz w:val="20"/>
                <w:szCs w:val="20"/>
              </w:rPr>
            </w:pPr>
            <w:r>
              <w:rPr>
                <w:bCs/>
                <w:sz w:val="20"/>
                <w:szCs w:val="20"/>
              </w:rPr>
              <w:t>Forest protection and Indigenous People’s forest management</w:t>
            </w:r>
          </w:p>
        </w:tc>
        <w:tc>
          <w:tcPr>
            <w:tcW w:w="1342" w:type="pct"/>
            <w:vAlign w:val="center"/>
          </w:tcPr>
          <w:p w14:paraId="17120EEF" w14:textId="1ECA331A" w:rsidR="00A42843" w:rsidRPr="006B675D" w:rsidRDefault="3B9A7176" w:rsidP="3B9A7176">
            <w:pPr>
              <w:jc w:val="center"/>
              <w:rPr>
                <w:sz w:val="20"/>
                <w:szCs w:val="20"/>
              </w:rPr>
            </w:pPr>
            <w:r w:rsidRPr="3B9A7176">
              <w:rPr>
                <w:sz w:val="20"/>
                <w:szCs w:val="20"/>
              </w:rPr>
              <w:t>0.23</w:t>
            </w:r>
          </w:p>
        </w:tc>
      </w:tr>
      <w:tr w:rsidR="001A0895" w:rsidRPr="006B675D" w14:paraId="2861B45D" w14:textId="2AD39CA0" w:rsidTr="3B9A7176">
        <w:trPr>
          <w:trHeight w:val="329"/>
          <w:jc w:val="center"/>
        </w:trPr>
        <w:tc>
          <w:tcPr>
            <w:tcW w:w="1409" w:type="pct"/>
            <w:vAlign w:val="center"/>
          </w:tcPr>
          <w:p w14:paraId="5782CA7E" w14:textId="748B629D" w:rsidR="001A0895" w:rsidRPr="001A0895" w:rsidRDefault="001A0895" w:rsidP="001A0895">
            <w:pPr>
              <w:jc w:val="center"/>
              <w:rPr>
                <w:sz w:val="20"/>
                <w:szCs w:val="20"/>
              </w:rPr>
            </w:pPr>
            <w:r>
              <w:rPr>
                <w:i/>
                <w:sz w:val="20"/>
                <w:szCs w:val="20"/>
              </w:rPr>
              <w:t xml:space="preserve">Drawdown </w:t>
            </w:r>
            <w:r>
              <w:rPr>
                <w:sz w:val="20"/>
                <w:szCs w:val="20"/>
              </w:rPr>
              <w:t>Scenario</w:t>
            </w:r>
          </w:p>
        </w:tc>
        <w:tc>
          <w:tcPr>
            <w:tcW w:w="2249" w:type="pct"/>
          </w:tcPr>
          <w:p w14:paraId="142178E2" w14:textId="29B789B4" w:rsidR="001A0895" w:rsidRPr="006B675D" w:rsidRDefault="001A0895" w:rsidP="001A0895">
            <w:pPr>
              <w:jc w:val="center"/>
              <w:rPr>
                <w:bCs/>
                <w:sz w:val="20"/>
                <w:szCs w:val="20"/>
              </w:rPr>
            </w:pPr>
            <w:r w:rsidRPr="00BF5327">
              <w:rPr>
                <w:bCs/>
                <w:sz w:val="20"/>
                <w:szCs w:val="20"/>
              </w:rPr>
              <w:t>Forest protection and Indigenous People’s forest management</w:t>
            </w:r>
          </w:p>
        </w:tc>
        <w:tc>
          <w:tcPr>
            <w:tcW w:w="1342" w:type="pct"/>
            <w:vAlign w:val="center"/>
          </w:tcPr>
          <w:p w14:paraId="132C69A3" w14:textId="39B02625" w:rsidR="001A0895" w:rsidRPr="006B675D" w:rsidRDefault="3B9A7176" w:rsidP="3B9A7176">
            <w:pPr>
              <w:jc w:val="center"/>
              <w:rPr>
                <w:sz w:val="20"/>
                <w:szCs w:val="20"/>
              </w:rPr>
            </w:pPr>
            <w:r w:rsidRPr="3B9A7176">
              <w:rPr>
                <w:sz w:val="20"/>
                <w:szCs w:val="20"/>
              </w:rPr>
              <w:t>0.31</w:t>
            </w:r>
          </w:p>
        </w:tc>
      </w:tr>
      <w:tr w:rsidR="001A0895" w:rsidRPr="006B675D" w14:paraId="0C6E4035" w14:textId="29DD5EF1" w:rsidTr="3B9A7176">
        <w:trPr>
          <w:trHeight w:val="329"/>
          <w:jc w:val="center"/>
        </w:trPr>
        <w:tc>
          <w:tcPr>
            <w:tcW w:w="1409" w:type="pct"/>
            <w:vAlign w:val="center"/>
          </w:tcPr>
          <w:p w14:paraId="2392672B" w14:textId="721A2DA8" w:rsidR="001A0895" w:rsidRPr="001A0895" w:rsidRDefault="001A0895" w:rsidP="001A0895">
            <w:pPr>
              <w:jc w:val="center"/>
              <w:rPr>
                <w:sz w:val="20"/>
                <w:szCs w:val="20"/>
              </w:rPr>
            </w:pPr>
            <w:r>
              <w:rPr>
                <w:i/>
                <w:sz w:val="20"/>
                <w:szCs w:val="20"/>
              </w:rPr>
              <w:t xml:space="preserve">Optimum </w:t>
            </w:r>
            <w:r>
              <w:rPr>
                <w:sz w:val="20"/>
                <w:szCs w:val="20"/>
              </w:rPr>
              <w:t>Scenario</w:t>
            </w:r>
          </w:p>
        </w:tc>
        <w:tc>
          <w:tcPr>
            <w:tcW w:w="2249" w:type="pct"/>
          </w:tcPr>
          <w:p w14:paraId="72BA6A2E" w14:textId="012A7AA3" w:rsidR="001A0895" w:rsidRPr="006B675D" w:rsidRDefault="001A0895" w:rsidP="001A0895">
            <w:pPr>
              <w:jc w:val="center"/>
              <w:rPr>
                <w:bCs/>
                <w:sz w:val="20"/>
                <w:szCs w:val="20"/>
              </w:rPr>
            </w:pPr>
            <w:r w:rsidRPr="00BF5327">
              <w:rPr>
                <w:bCs/>
                <w:sz w:val="20"/>
                <w:szCs w:val="20"/>
              </w:rPr>
              <w:t>Forest protection and Indigenous People’s forest management</w:t>
            </w:r>
          </w:p>
        </w:tc>
        <w:tc>
          <w:tcPr>
            <w:tcW w:w="1342" w:type="pct"/>
            <w:vAlign w:val="center"/>
          </w:tcPr>
          <w:p w14:paraId="2C901D64" w14:textId="66ED306C" w:rsidR="001A0895" w:rsidRPr="006B675D" w:rsidRDefault="3B9A7176" w:rsidP="3B9A7176">
            <w:pPr>
              <w:jc w:val="center"/>
              <w:rPr>
                <w:sz w:val="20"/>
                <w:szCs w:val="20"/>
              </w:rPr>
            </w:pPr>
            <w:r w:rsidRPr="3B9A7176">
              <w:rPr>
                <w:sz w:val="20"/>
                <w:szCs w:val="20"/>
              </w:rPr>
              <w:t>0.40</w:t>
            </w:r>
          </w:p>
        </w:tc>
      </w:tr>
    </w:tbl>
    <w:p w14:paraId="105A5AA0" w14:textId="194D959C" w:rsidR="00A779B8" w:rsidRDefault="00A779B8" w:rsidP="00DB4CC8">
      <w:pPr>
        <w:rPr>
          <w:rFonts w:asciiTheme="majorHAnsi" w:eastAsiaTheme="majorEastAsia" w:hAnsiTheme="majorHAnsi" w:cstheme="majorBidi"/>
          <w:b/>
          <w:bCs/>
          <w:smallCaps/>
          <w:color w:val="000000" w:themeColor="text1"/>
          <w:sz w:val="36"/>
          <w:szCs w:val="36"/>
        </w:rPr>
      </w:pPr>
    </w:p>
    <w:p w14:paraId="50714449" w14:textId="0ECECAD0" w:rsidR="00A779B8" w:rsidRDefault="00A779B8">
      <w:pPr>
        <w:spacing w:after="160" w:line="259" w:lineRule="auto"/>
        <w:jc w:val="left"/>
        <w:rPr>
          <w:rFonts w:asciiTheme="majorHAnsi" w:eastAsiaTheme="majorEastAsia" w:hAnsiTheme="majorHAnsi" w:cstheme="majorBidi"/>
          <w:b/>
          <w:bCs/>
          <w:smallCaps/>
          <w:color w:val="000000" w:themeColor="text1"/>
          <w:sz w:val="36"/>
          <w:szCs w:val="36"/>
        </w:rPr>
      </w:pPr>
      <w:r>
        <w:rPr>
          <w:rFonts w:asciiTheme="majorHAnsi" w:eastAsiaTheme="majorEastAsia" w:hAnsiTheme="majorHAnsi" w:cstheme="majorBidi"/>
          <w:b/>
          <w:bCs/>
          <w:smallCaps/>
          <w:color w:val="000000" w:themeColor="text1"/>
          <w:sz w:val="36"/>
          <w:szCs w:val="36"/>
        </w:rPr>
        <w:br w:type="page"/>
      </w:r>
    </w:p>
    <w:p w14:paraId="7454D80C" w14:textId="5EF109A2" w:rsidR="00434F61" w:rsidRDefault="551A77D0" w:rsidP="009432C9">
      <w:pPr>
        <w:pStyle w:val="Heading1"/>
      </w:pPr>
      <w:bookmarkStart w:id="62" w:name="_Toc18240022"/>
      <w:r>
        <w:lastRenderedPageBreak/>
        <w:t>References</w:t>
      </w:r>
      <w:bookmarkEnd w:id="62"/>
    </w:p>
    <w:p w14:paraId="5F5B21CF" w14:textId="7840F941" w:rsidR="007052A3" w:rsidRPr="00FE0FDC" w:rsidRDefault="007052A3" w:rsidP="00DB4CC8">
      <w:pPr>
        <w:rPr>
          <w:rFonts w:cs="Times New Roman"/>
        </w:rPr>
      </w:pPr>
    </w:p>
    <w:p w14:paraId="05592C61" w14:textId="77777777" w:rsidR="00A779B8" w:rsidRDefault="00A779B8" w:rsidP="00A779B8">
      <w:pPr>
        <w:spacing w:after="0" w:line="480" w:lineRule="auto"/>
        <w:ind w:hanging="480"/>
        <w:jc w:val="left"/>
      </w:pPr>
      <w:r>
        <w:rPr>
          <w:i/>
          <w:iCs/>
        </w:rPr>
        <w:t>2017SupplyChange_Trackin-Committments.pdf</w:t>
      </w:r>
      <w:r>
        <w:t xml:space="preserve">. (n.d.). Retrieved from </w:t>
      </w:r>
      <w:hyperlink r:id="rId22" w:history="1">
        <w:r>
          <w:rPr>
            <w:rStyle w:val="Hyperlink"/>
          </w:rPr>
          <w:t>https://www.forest-trends.org/wp-content/uploads/2018/04/2017SupplyChange_Trackin-Committments.pdf</w:t>
        </w:r>
      </w:hyperlink>
    </w:p>
    <w:p w14:paraId="49083F02" w14:textId="77777777" w:rsidR="00A779B8" w:rsidRDefault="00A779B8" w:rsidP="00A779B8">
      <w:pPr>
        <w:spacing w:line="480" w:lineRule="auto"/>
        <w:ind w:hanging="480"/>
      </w:pPr>
      <w:proofErr w:type="spellStart"/>
      <w:r>
        <w:t>Achard</w:t>
      </w:r>
      <w:proofErr w:type="spellEnd"/>
      <w:r>
        <w:t xml:space="preserve">, F., </w:t>
      </w:r>
      <w:proofErr w:type="spellStart"/>
      <w:r>
        <w:t>Beuchle</w:t>
      </w:r>
      <w:proofErr w:type="spellEnd"/>
      <w:r>
        <w:t xml:space="preserve">, R., </w:t>
      </w:r>
      <w:proofErr w:type="spellStart"/>
      <w:r>
        <w:t>Mayaux</w:t>
      </w:r>
      <w:proofErr w:type="spellEnd"/>
      <w:r>
        <w:t xml:space="preserve">, P., </w:t>
      </w:r>
      <w:proofErr w:type="spellStart"/>
      <w:r>
        <w:t>Stibig</w:t>
      </w:r>
      <w:proofErr w:type="spellEnd"/>
      <w:r>
        <w:t xml:space="preserve">, H.-J., </w:t>
      </w:r>
      <w:proofErr w:type="spellStart"/>
      <w:r>
        <w:t>Bodart</w:t>
      </w:r>
      <w:proofErr w:type="spellEnd"/>
      <w:r>
        <w:t xml:space="preserve">, C., Brink, A., … Simonetti, D. (2014). Determination of tropical deforestation rates and related carbon losses from 1990 to 2010. </w:t>
      </w:r>
      <w:r>
        <w:rPr>
          <w:i/>
          <w:iCs/>
        </w:rPr>
        <w:t>Global Change Biology</w:t>
      </w:r>
      <w:r>
        <w:t xml:space="preserve">, </w:t>
      </w:r>
      <w:r>
        <w:rPr>
          <w:i/>
          <w:iCs/>
        </w:rPr>
        <w:t>20</w:t>
      </w:r>
      <w:r>
        <w:t xml:space="preserve">(8), 2540–2554. </w:t>
      </w:r>
      <w:hyperlink r:id="rId23" w:history="1">
        <w:r>
          <w:rPr>
            <w:rStyle w:val="Hyperlink"/>
          </w:rPr>
          <w:t>https://doi.org/10.1111/gcb.12605</w:t>
        </w:r>
      </w:hyperlink>
    </w:p>
    <w:p w14:paraId="5C660B4A" w14:textId="77777777" w:rsidR="00A779B8" w:rsidRDefault="00A779B8" w:rsidP="00A779B8">
      <w:pPr>
        <w:spacing w:line="480" w:lineRule="auto"/>
        <w:ind w:hanging="480"/>
      </w:pPr>
      <w:r>
        <w:t xml:space="preserve">Aichi Biodiversity Targets. (n.d.). Retrieved December 30, 2018, from </w:t>
      </w:r>
      <w:hyperlink r:id="rId24" w:history="1">
        <w:r>
          <w:rPr>
            <w:rStyle w:val="Hyperlink"/>
          </w:rPr>
          <w:t>https://www.cbd.int/sp/targets/</w:t>
        </w:r>
      </w:hyperlink>
    </w:p>
    <w:p w14:paraId="51CBEE5F" w14:textId="77777777" w:rsidR="00A779B8" w:rsidRDefault="00A779B8" w:rsidP="00A779B8">
      <w:pPr>
        <w:spacing w:line="480" w:lineRule="auto"/>
        <w:ind w:hanging="480"/>
      </w:pPr>
      <w:r w:rsidRPr="004B3A12">
        <w:rPr>
          <w:lang w:val="it-IT"/>
        </w:rPr>
        <w:t xml:space="preserve">Baccini, A., Goetz, S. J., Walker, W. S., Laporte, N. T., Sun, M., Sulla-Menashe, D., … </w:t>
      </w:r>
      <w:r>
        <w:t xml:space="preserve">Houghton, R. A. (2012a). Estimated carbon dioxide emissions from tropical deforestation improved by carbon-density maps. </w:t>
      </w:r>
      <w:r>
        <w:rPr>
          <w:i/>
          <w:iCs/>
        </w:rPr>
        <w:t>Nature Climate Change</w:t>
      </w:r>
      <w:r>
        <w:t xml:space="preserve">, </w:t>
      </w:r>
      <w:r>
        <w:rPr>
          <w:i/>
          <w:iCs/>
        </w:rPr>
        <w:t>2</w:t>
      </w:r>
      <w:r>
        <w:t xml:space="preserve">(3), 182–185. </w:t>
      </w:r>
      <w:hyperlink r:id="rId25" w:history="1">
        <w:r>
          <w:rPr>
            <w:rStyle w:val="Hyperlink"/>
          </w:rPr>
          <w:t>https://doi.org/10.1038/nclimate1354</w:t>
        </w:r>
      </w:hyperlink>
    </w:p>
    <w:p w14:paraId="1784A036" w14:textId="77777777" w:rsidR="00A779B8" w:rsidRDefault="00A779B8" w:rsidP="00A779B8">
      <w:pPr>
        <w:spacing w:line="480" w:lineRule="auto"/>
        <w:ind w:hanging="480"/>
      </w:pPr>
      <w:proofErr w:type="spellStart"/>
      <w:r>
        <w:t>Baccini</w:t>
      </w:r>
      <w:proofErr w:type="spellEnd"/>
      <w:r>
        <w:t xml:space="preserve">, A., Goetz, S. J., Walker, W. S., Laporte, N. T., Sun, M., Sulla-Menashe, D., … Houghton, R. A. (2012b). Estimated carbon dioxide emissions from tropical deforestation improved by carbon-density maps. </w:t>
      </w:r>
      <w:r>
        <w:rPr>
          <w:i/>
          <w:iCs/>
        </w:rPr>
        <w:t>Nature Climate Change</w:t>
      </w:r>
      <w:r>
        <w:t xml:space="preserve">, </w:t>
      </w:r>
      <w:r>
        <w:rPr>
          <w:i/>
          <w:iCs/>
        </w:rPr>
        <w:t>2</w:t>
      </w:r>
      <w:r>
        <w:t xml:space="preserve">(3), 182–185. </w:t>
      </w:r>
      <w:hyperlink r:id="rId26" w:history="1">
        <w:r>
          <w:rPr>
            <w:rStyle w:val="Hyperlink"/>
          </w:rPr>
          <w:t>https://doi.org/10.1038/nclimate1354</w:t>
        </w:r>
      </w:hyperlink>
    </w:p>
    <w:p w14:paraId="5602E818" w14:textId="77777777" w:rsidR="00A779B8" w:rsidRDefault="00A779B8" w:rsidP="00A779B8">
      <w:pPr>
        <w:spacing w:line="480" w:lineRule="auto"/>
        <w:ind w:hanging="480"/>
      </w:pPr>
      <w:r>
        <w:t xml:space="preserve">Bhaskar </w:t>
      </w:r>
      <w:proofErr w:type="spellStart"/>
      <w:r>
        <w:t>Vira</w:t>
      </w:r>
      <w:proofErr w:type="spellEnd"/>
      <w:r>
        <w:t xml:space="preserve">, Christoph </w:t>
      </w:r>
      <w:proofErr w:type="spellStart"/>
      <w:r>
        <w:t>Wildburger</w:t>
      </w:r>
      <w:proofErr w:type="spellEnd"/>
      <w:r>
        <w:t xml:space="preserve"> and Stephanie </w:t>
      </w:r>
      <w:proofErr w:type="spellStart"/>
      <w:r>
        <w:t>Mansourian</w:t>
      </w:r>
      <w:proofErr w:type="spellEnd"/>
      <w:r>
        <w:t xml:space="preserve"> (eds.). (2015). </w:t>
      </w:r>
      <w:r>
        <w:rPr>
          <w:i/>
          <w:iCs/>
        </w:rPr>
        <w:t>Forests and Food: Addressing Hunger and Nutrition Across Sustainable Landscapes</w:t>
      </w:r>
      <w:r>
        <w:t xml:space="preserve">. </w:t>
      </w:r>
      <w:hyperlink r:id="rId27" w:history="1">
        <w:r>
          <w:rPr>
            <w:rStyle w:val="Hyperlink"/>
          </w:rPr>
          <w:t>https://doi.org/10.11647/OBP.0085</w:t>
        </w:r>
      </w:hyperlink>
    </w:p>
    <w:p w14:paraId="488ECE90" w14:textId="77777777" w:rsidR="00A779B8" w:rsidRDefault="00A779B8" w:rsidP="00A779B8">
      <w:pPr>
        <w:spacing w:line="480" w:lineRule="auto"/>
        <w:ind w:hanging="480"/>
      </w:pPr>
      <w:r>
        <w:t xml:space="preserve">Bonn Challenge: A World of Opportunity | Global Partnership on Forest and Landscape Restoration. (2016, November 13). Retrieved November 12, 2016, from </w:t>
      </w:r>
      <w:hyperlink r:id="rId28" w:history="1">
        <w:r>
          <w:rPr>
            <w:rStyle w:val="Hyperlink"/>
          </w:rPr>
          <w:t>http://www.forestlandscaperestoration.org/resource/bonn-challenge-world-opportunity</w:t>
        </w:r>
      </w:hyperlink>
    </w:p>
    <w:p w14:paraId="29974F18" w14:textId="77777777" w:rsidR="00A779B8" w:rsidRDefault="00A779B8" w:rsidP="00A779B8">
      <w:pPr>
        <w:spacing w:line="480" w:lineRule="auto"/>
        <w:ind w:hanging="480"/>
      </w:pPr>
      <w:r>
        <w:rPr>
          <w:i/>
          <w:iCs/>
        </w:rPr>
        <w:t>Briefing-1-REDD-costs-w-endnotes.pdf</w:t>
      </w:r>
      <w:r>
        <w:t xml:space="preserve">. (n.d.). Retrieved from </w:t>
      </w:r>
      <w:hyperlink r:id="rId29" w:history="1">
        <w:r>
          <w:rPr>
            <w:rStyle w:val="Hyperlink"/>
          </w:rPr>
          <w:t>https://www.ucsusa.org/sites/default/files/legacy/assets/documents/clean_energy/Briefing-1-REDD-costs-w-endnotes.pdf</w:t>
        </w:r>
      </w:hyperlink>
    </w:p>
    <w:p w14:paraId="2CC20AF6" w14:textId="77777777" w:rsidR="00A779B8" w:rsidRDefault="00A779B8" w:rsidP="00A779B8">
      <w:pPr>
        <w:spacing w:line="480" w:lineRule="auto"/>
        <w:ind w:hanging="480"/>
      </w:pPr>
      <w:r w:rsidRPr="0055140A">
        <w:rPr>
          <w:lang w:val="de-DE"/>
        </w:rPr>
        <w:lastRenderedPageBreak/>
        <w:t xml:space="preserve">Brockhaus, M., Korhonen-Kurki, K., Sehring, J., Di Gregorio, M., Assembe-Mvondo, S., Babon, A., … </w:t>
      </w:r>
      <w:proofErr w:type="spellStart"/>
      <w:r>
        <w:t>Zida</w:t>
      </w:r>
      <w:proofErr w:type="spellEnd"/>
      <w:r>
        <w:t xml:space="preserve">, M. (2017). REDD+, transformational change and the promise of performance-based payments: a qualitative comparative analysis. </w:t>
      </w:r>
      <w:r>
        <w:rPr>
          <w:i/>
          <w:iCs/>
        </w:rPr>
        <w:t>Climate Policy</w:t>
      </w:r>
      <w:r>
        <w:t xml:space="preserve">, </w:t>
      </w:r>
      <w:r>
        <w:rPr>
          <w:i/>
          <w:iCs/>
        </w:rPr>
        <w:t>17</w:t>
      </w:r>
      <w:r>
        <w:t xml:space="preserve">(6), 708–730. </w:t>
      </w:r>
      <w:hyperlink r:id="rId30" w:history="1">
        <w:r>
          <w:rPr>
            <w:rStyle w:val="Hyperlink"/>
          </w:rPr>
          <w:t>https://doi.org/10.1080/14693062.2016.1169392</w:t>
        </w:r>
      </w:hyperlink>
    </w:p>
    <w:p w14:paraId="2B2B3E89" w14:textId="77777777" w:rsidR="00A779B8" w:rsidRDefault="00A779B8" w:rsidP="00A779B8">
      <w:pPr>
        <w:spacing w:line="480" w:lineRule="auto"/>
        <w:ind w:hanging="480"/>
      </w:pPr>
      <w:r>
        <w:t xml:space="preserve">Carbon Sequestration and Plant Community Dynamics Following Reforestation of Tropical Pasture :: Tropical Native Species Reforestation Information Clearinghouse (TRIC). (2016, November 19). Retrieved November 19, 2016, from </w:t>
      </w:r>
      <w:hyperlink r:id="rId31" w:history="1">
        <w:r>
          <w:rPr>
            <w:rStyle w:val="Hyperlink"/>
          </w:rPr>
          <w:t>http://reforestation.elti.org/resource/95/</w:t>
        </w:r>
      </w:hyperlink>
    </w:p>
    <w:p w14:paraId="350AC5F7" w14:textId="77777777" w:rsidR="00A779B8" w:rsidRPr="0055140A" w:rsidRDefault="00A779B8" w:rsidP="00A779B8">
      <w:pPr>
        <w:spacing w:line="480" w:lineRule="auto"/>
        <w:ind w:hanging="480"/>
        <w:rPr>
          <w:lang w:val="fr-FR"/>
        </w:rPr>
      </w:pPr>
      <w:r>
        <w:t xml:space="preserve">Chatterjee, N., Nair, P. K. Ramachandran., Chakraborty, S., &amp; Nair, V. D. (2018a). Changes in soil carbon stocks across the Forest-Agroforest-Agriculture/Pasture continuum in various agroecological regions: A meta-analysis. </w:t>
      </w:r>
      <w:r w:rsidRPr="0055140A">
        <w:rPr>
          <w:i/>
          <w:iCs/>
          <w:lang w:val="fr-FR"/>
        </w:rPr>
        <w:t xml:space="preserve">Agriculture, </w:t>
      </w:r>
      <w:proofErr w:type="spellStart"/>
      <w:r w:rsidRPr="0055140A">
        <w:rPr>
          <w:i/>
          <w:iCs/>
          <w:lang w:val="fr-FR"/>
        </w:rPr>
        <w:t>Ecosystems</w:t>
      </w:r>
      <w:proofErr w:type="spellEnd"/>
      <w:r w:rsidRPr="0055140A">
        <w:rPr>
          <w:i/>
          <w:iCs/>
          <w:lang w:val="fr-FR"/>
        </w:rPr>
        <w:t xml:space="preserve"> &amp; </w:t>
      </w:r>
      <w:proofErr w:type="spellStart"/>
      <w:r w:rsidRPr="0055140A">
        <w:rPr>
          <w:i/>
          <w:iCs/>
          <w:lang w:val="fr-FR"/>
        </w:rPr>
        <w:t>Environment</w:t>
      </w:r>
      <w:proofErr w:type="spellEnd"/>
      <w:r w:rsidRPr="0055140A">
        <w:rPr>
          <w:lang w:val="fr-FR"/>
        </w:rPr>
        <w:t xml:space="preserve">, </w:t>
      </w:r>
      <w:r w:rsidRPr="0055140A">
        <w:rPr>
          <w:i/>
          <w:iCs/>
          <w:lang w:val="fr-FR"/>
        </w:rPr>
        <w:t>266</w:t>
      </w:r>
      <w:r w:rsidRPr="0055140A">
        <w:rPr>
          <w:lang w:val="fr-FR"/>
        </w:rPr>
        <w:t xml:space="preserve">, 55–67. </w:t>
      </w:r>
      <w:hyperlink r:id="rId32" w:history="1">
        <w:r w:rsidRPr="0055140A">
          <w:rPr>
            <w:rStyle w:val="Hyperlink"/>
            <w:lang w:val="fr-FR"/>
          </w:rPr>
          <w:t>https://doi.org/10.1016/j.agee.2018.07.014</w:t>
        </w:r>
      </w:hyperlink>
    </w:p>
    <w:p w14:paraId="79597768" w14:textId="77777777" w:rsidR="00A779B8" w:rsidRDefault="00A779B8" w:rsidP="00A779B8">
      <w:pPr>
        <w:spacing w:line="480" w:lineRule="auto"/>
        <w:ind w:hanging="480"/>
      </w:pPr>
      <w:proofErr w:type="spellStart"/>
      <w:r w:rsidRPr="0055140A">
        <w:rPr>
          <w:lang w:val="fr-FR"/>
        </w:rPr>
        <w:t>Chatterjee</w:t>
      </w:r>
      <w:proofErr w:type="spellEnd"/>
      <w:r w:rsidRPr="0055140A">
        <w:rPr>
          <w:lang w:val="fr-FR"/>
        </w:rPr>
        <w:t xml:space="preserve">, N., Nair, P. K. Ramachandran., </w:t>
      </w:r>
      <w:proofErr w:type="spellStart"/>
      <w:r w:rsidRPr="0055140A">
        <w:rPr>
          <w:lang w:val="fr-FR"/>
        </w:rPr>
        <w:t>Chakraborty</w:t>
      </w:r>
      <w:proofErr w:type="spellEnd"/>
      <w:r w:rsidRPr="0055140A">
        <w:rPr>
          <w:lang w:val="fr-FR"/>
        </w:rPr>
        <w:t xml:space="preserve">, S., &amp; Nair, V. D. (2018b). </w:t>
      </w:r>
      <w:r>
        <w:t xml:space="preserve">Changes in soil carbon stocks across the Forest-Agroforest-Agriculture/Pasture continuum in various agroecological regions: A meta-analysis. </w:t>
      </w:r>
      <w:r>
        <w:rPr>
          <w:i/>
          <w:iCs/>
        </w:rPr>
        <w:t>Agriculture, Ecosystems &amp; Environment</w:t>
      </w:r>
      <w:r>
        <w:t xml:space="preserve">, </w:t>
      </w:r>
      <w:r>
        <w:rPr>
          <w:i/>
          <w:iCs/>
        </w:rPr>
        <w:t>266</w:t>
      </w:r>
      <w:r>
        <w:t xml:space="preserve">, 55–67. </w:t>
      </w:r>
      <w:hyperlink r:id="rId33" w:history="1">
        <w:r>
          <w:rPr>
            <w:rStyle w:val="Hyperlink"/>
          </w:rPr>
          <w:t>https://doi.org/10.1016/j.agee.2018.07.014</w:t>
        </w:r>
      </w:hyperlink>
    </w:p>
    <w:p w14:paraId="7846D973" w14:textId="77777777" w:rsidR="00A779B8" w:rsidRDefault="00A779B8" w:rsidP="00A779B8">
      <w:pPr>
        <w:spacing w:line="480" w:lineRule="auto"/>
        <w:ind w:hanging="480"/>
      </w:pPr>
      <w:proofErr w:type="spellStart"/>
      <w:r>
        <w:t>Chhatre</w:t>
      </w:r>
      <w:proofErr w:type="spellEnd"/>
      <w:r>
        <w:t xml:space="preserve">, A., &amp; Agrawal, A. (2009). Trade-offs and synergies between carbon storage and livelihood benefits from forest commons. </w:t>
      </w:r>
      <w:r>
        <w:rPr>
          <w:i/>
          <w:iCs/>
        </w:rPr>
        <w:t>Proceedings of the National Academy of Sciences</w:t>
      </w:r>
      <w:r>
        <w:t xml:space="preserve">, </w:t>
      </w:r>
      <w:r>
        <w:rPr>
          <w:i/>
          <w:iCs/>
        </w:rPr>
        <w:t>106</w:t>
      </w:r>
      <w:r>
        <w:t xml:space="preserve">(42), 17667–17670. </w:t>
      </w:r>
      <w:hyperlink r:id="rId34" w:history="1">
        <w:r>
          <w:rPr>
            <w:rStyle w:val="Hyperlink"/>
          </w:rPr>
          <w:t>https://doi.org/10.1073/pnas.0905308106</w:t>
        </w:r>
      </w:hyperlink>
    </w:p>
    <w:p w14:paraId="5110F69B" w14:textId="77777777" w:rsidR="00A779B8" w:rsidRDefault="00A779B8" w:rsidP="00A779B8">
      <w:pPr>
        <w:spacing w:line="480" w:lineRule="auto"/>
        <w:ind w:hanging="480"/>
      </w:pPr>
      <w:r>
        <w:t xml:space="preserve">Creating an appropriate tenure foundation for REDD+: The record to date and prospects for the future - ScienceDirect. (n.d.). Retrieved December 10, 2018, from </w:t>
      </w:r>
      <w:hyperlink r:id="rId35" w:history="1">
        <w:r>
          <w:rPr>
            <w:rStyle w:val="Hyperlink"/>
          </w:rPr>
          <w:t>https://www.sciencedirect.com/science/article/pii/S0305750X18300202</w:t>
        </w:r>
      </w:hyperlink>
    </w:p>
    <w:p w14:paraId="12D16C75" w14:textId="77777777" w:rsidR="00A779B8" w:rsidRDefault="00A779B8" w:rsidP="00A779B8">
      <w:pPr>
        <w:spacing w:line="480" w:lineRule="auto"/>
        <w:ind w:hanging="480"/>
      </w:pPr>
      <w:r>
        <w:t xml:space="preserve">Curtis, P. G., Slay, C. M., Harris, N. L., </w:t>
      </w:r>
      <w:proofErr w:type="spellStart"/>
      <w:r>
        <w:t>Tyukavina</w:t>
      </w:r>
      <w:proofErr w:type="spellEnd"/>
      <w:r>
        <w:t xml:space="preserve">, A., &amp; Hansen, M. C. (2018). Classifying drivers of global forest loss. </w:t>
      </w:r>
      <w:r>
        <w:rPr>
          <w:i/>
          <w:iCs/>
        </w:rPr>
        <w:t>Science</w:t>
      </w:r>
      <w:r>
        <w:t xml:space="preserve">, </w:t>
      </w:r>
      <w:r>
        <w:rPr>
          <w:i/>
          <w:iCs/>
        </w:rPr>
        <w:t>361</w:t>
      </w:r>
      <w:r>
        <w:t xml:space="preserve">(6407), 1108–1111. </w:t>
      </w:r>
      <w:hyperlink r:id="rId36" w:history="1">
        <w:r>
          <w:rPr>
            <w:rStyle w:val="Hyperlink"/>
          </w:rPr>
          <w:t>https://doi.org/10.1126/science.aau3445</w:t>
        </w:r>
      </w:hyperlink>
    </w:p>
    <w:p w14:paraId="073A774F" w14:textId="77777777" w:rsidR="00A779B8" w:rsidRDefault="00A779B8" w:rsidP="00A779B8">
      <w:pPr>
        <w:spacing w:line="480" w:lineRule="auto"/>
        <w:ind w:hanging="480"/>
      </w:pPr>
      <w:r>
        <w:t xml:space="preserve">Deforestation driven by urban population growth and agricultural trade in the twenty-first century | Nature Geoscience. (n.d.). Retrieved November 30, 2018, from </w:t>
      </w:r>
      <w:hyperlink r:id="rId37" w:history="1">
        <w:r>
          <w:rPr>
            <w:rStyle w:val="Hyperlink"/>
          </w:rPr>
          <w:t>https://www.nature.com/articles/ngeo756</w:t>
        </w:r>
      </w:hyperlink>
    </w:p>
    <w:p w14:paraId="68FFCB04" w14:textId="77777777" w:rsidR="00A779B8" w:rsidRDefault="00A779B8" w:rsidP="00A779B8">
      <w:pPr>
        <w:spacing w:line="480" w:lineRule="auto"/>
        <w:ind w:hanging="480"/>
      </w:pPr>
      <w:proofErr w:type="spellStart"/>
      <w:r w:rsidRPr="0055140A">
        <w:lastRenderedPageBreak/>
        <w:t>DeFries</w:t>
      </w:r>
      <w:proofErr w:type="spellEnd"/>
      <w:r w:rsidRPr="0055140A">
        <w:t xml:space="preserve">, R. S., </w:t>
      </w:r>
      <w:proofErr w:type="spellStart"/>
      <w:r w:rsidRPr="0055140A">
        <w:t>Rudel</w:t>
      </w:r>
      <w:proofErr w:type="spellEnd"/>
      <w:r w:rsidRPr="0055140A">
        <w:t xml:space="preserve">, T., </w:t>
      </w:r>
      <w:proofErr w:type="spellStart"/>
      <w:r w:rsidRPr="0055140A">
        <w:t>Uriarte</w:t>
      </w:r>
      <w:proofErr w:type="spellEnd"/>
      <w:r w:rsidRPr="0055140A">
        <w:t xml:space="preserve">, M., &amp; Hansen, M. (2010). </w:t>
      </w:r>
      <w:r>
        <w:t xml:space="preserve">Deforestation driven by urban population growth and agricultural trade in the twenty-first century. </w:t>
      </w:r>
      <w:r>
        <w:rPr>
          <w:i/>
          <w:iCs/>
        </w:rPr>
        <w:t>Nature Geoscience</w:t>
      </w:r>
      <w:r>
        <w:t xml:space="preserve">, </w:t>
      </w:r>
      <w:r>
        <w:rPr>
          <w:i/>
          <w:iCs/>
        </w:rPr>
        <w:t>3</w:t>
      </w:r>
      <w:r>
        <w:t xml:space="preserve">(3), 178–181. </w:t>
      </w:r>
      <w:hyperlink r:id="rId38" w:history="1">
        <w:r>
          <w:rPr>
            <w:rStyle w:val="Hyperlink"/>
          </w:rPr>
          <w:t>https://doi.org/10.1038/ngeo756</w:t>
        </w:r>
      </w:hyperlink>
    </w:p>
    <w:p w14:paraId="381C56EF" w14:textId="77777777" w:rsidR="00A779B8" w:rsidRDefault="00A779B8" w:rsidP="00A779B8">
      <w:pPr>
        <w:spacing w:line="480" w:lineRule="auto"/>
        <w:ind w:hanging="480"/>
      </w:pPr>
      <w:r>
        <w:t xml:space="preserve">Design challenges for achieving reduced emissions from deforestation and forest degradation through conservation: Leveraging multiple paradigms at the tropical forest margins - ScienceDirect. (n.d.). Retrieved December 10, 2018, from </w:t>
      </w:r>
      <w:hyperlink r:id="rId39" w:history="1">
        <w:r>
          <w:rPr>
            <w:rStyle w:val="Hyperlink"/>
          </w:rPr>
          <w:t>https://www.sciencedirect.com/science/article/abs/pii/S0264837712000944</w:t>
        </w:r>
      </w:hyperlink>
    </w:p>
    <w:p w14:paraId="323FD9AE" w14:textId="77777777" w:rsidR="00A779B8" w:rsidRDefault="00A779B8" w:rsidP="00A779B8">
      <w:pPr>
        <w:spacing w:line="480" w:lineRule="auto"/>
        <w:ind w:hanging="480"/>
      </w:pPr>
      <w:r>
        <w:t xml:space="preserve">Dixon, R. K., Solomon, A. M., Brown, S., Houghton, R. A., </w:t>
      </w:r>
      <w:proofErr w:type="spellStart"/>
      <w:r>
        <w:t>Trexier</w:t>
      </w:r>
      <w:proofErr w:type="spellEnd"/>
      <w:r>
        <w:t xml:space="preserve">, M. C., &amp; Wisniewski, J. (1994). Carbon Pools and Flux of Global Forest Ecosystems. </w:t>
      </w:r>
      <w:r>
        <w:rPr>
          <w:i/>
          <w:iCs/>
        </w:rPr>
        <w:t>Science</w:t>
      </w:r>
      <w:r>
        <w:t xml:space="preserve">, </w:t>
      </w:r>
      <w:r>
        <w:rPr>
          <w:i/>
          <w:iCs/>
        </w:rPr>
        <w:t>263</w:t>
      </w:r>
      <w:r>
        <w:t xml:space="preserve">(5144), 185–190. </w:t>
      </w:r>
      <w:hyperlink r:id="rId40" w:history="1">
        <w:r>
          <w:rPr>
            <w:rStyle w:val="Hyperlink"/>
          </w:rPr>
          <w:t>https://doi.org/10.1126/science.263.5144.185</w:t>
        </w:r>
      </w:hyperlink>
    </w:p>
    <w:p w14:paraId="568EAD4B" w14:textId="77777777" w:rsidR="00A779B8" w:rsidRDefault="00A779B8" w:rsidP="00A779B8">
      <w:pPr>
        <w:spacing w:line="480" w:lineRule="auto"/>
        <w:ind w:hanging="480"/>
      </w:pPr>
      <w:r>
        <w:rPr>
          <w:i/>
          <w:iCs/>
        </w:rPr>
        <w:t>Donofrio et al. (2017), Supply Change-tracking corporate commitments to deforestation- free supply chains.pdf</w:t>
      </w:r>
      <w:r>
        <w:t>. (n.d.).</w:t>
      </w:r>
    </w:p>
    <w:p w14:paraId="3A9B0238" w14:textId="77777777" w:rsidR="00A779B8" w:rsidRDefault="00A779B8" w:rsidP="00A779B8">
      <w:pPr>
        <w:spacing w:line="480" w:lineRule="auto"/>
        <w:ind w:hanging="480"/>
      </w:pPr>
      <w:r>
        <w:t xml:space="preserve">Dooley, K et al. (n.d.-a). </w:t>
      </w:r>
      <w:r>
        <w:rPr>
          <w:i/>
          <w:iCs/>
        </w:rPr>
        <w:t>Missing Pathways to 1.5°C: The role of the land sector in ambitious climate action.</w:t>
      </w:r>
      <w:r>
        <w:t xml:space="preserve"> (p. 53). Climate Land Ambition and Rights Alliance.</w:t>
      </w:r>
    </w:p>
    <w:p w14:paraId="67B0EE5D" w14:textId="77777777" w:rsidR="00A779B8" w:rsidRDefault="00A779B8" w:rsidP="00A779B8">
      <w:pPr>
        <w:spacing w:line="480" w:lineRule="auto"/>
        <w:ind w:hanging="480"/>
      </w:pPr>
      <w:r>
        <w:t xml:space="preserve">Drivers of deforestation and forest degradation: A synthesis report for REDD+ policymakers. (n.d.). Retrieved November 29, 2018, from </w:t>
      </w:r>
      <w:hyperlink r:id="rId41" w:history="1">
        <w:r>
          <w:rPr>
            <w:rStyle w:val="Hyperlink"/>
          </w:rPr>
          <w:t>https://www.cifor.org/library/5167</w:t>
        </w:r>
      </w:hyperlink>
    </w:p>
    <w:p w14:paraId="09B565B1" w14:textId="77777777" w:rsidR="00A779B8" w:rsidRDefault="00A779B8" w:rsidP="00A779B8">
      <w:pPr>
        <w:spacing w:line="480" w:lineRule="auto"/>
        <w:ind w:hanging="480"/>
      </w:pPr>
      <w:r>
        <w:rPr>
          <w:i/>
          <w:iCs/>
        </w:rPr>
        <w:t>DriversOfDeforestation.pdf</w:t>
      </w:r>
      <w:r>
        <w:t>. (n.d.).</w:t>
      </w:r>
    </w:p>
    <w:p w14:paraId="0F0AED1A" w14:textId="77777777" w:rsidR="00A779B8" w:rsidRDefault="00A779B8" w:rsidP="00A779B8">
      <w:pPr>
        <w:spacing w:line="480" w:lineRule="auto"/>
        <w:ind w:hanging="480"/>
      </w:pPr>
      <w:r>
        <w:t xml:space="preserve">Ellison, D., Morris, C. E., Locatelli, B., </w:t>
      </w:r>
      <w:proofErr w:type="spellStart"/>
      <w:r>
        <w:t>Sheil</w:t>
      </w:r>
      <w:proofErr w:type="spellEnd"/>
      <w:r>
        <w:t xml:space="preserve">, D., Cohen, J., </w:t>
      </w:r>
      <w:proofErr w:type="spellStart"/>
      <w:r>
        <w:t>Murdiyarso</w:t>
      </w:r>
      <w:proofErr w:type="spellEnd"/>
      <w:r>
        <w:t xml:space="preserve">, D., … Sullivan, C. A. (2017). Trees, forests and water: Cool insights for a hot world. </w:t>
      </w:r>
      <w:r>
        <w:rPr>
          <w:i/>
          <w:iCs/>
        </w:rPr>
        <w:t>Global Environmental Change</w:t>
      </w:r>
      <w:r>
        <w:t xml:space="preserve">, </w:t>
      </w:r>
      <w:r>
        <w:rPr>
          <w:i/>
          <w:iCs/>
        </w:rPr>
        <w:t>43</w:t>
      </w:r>
      <w:r>
        <w:t xml:space="preserve">, 51–61. </w:t>
      </w:r>
      <w:hyperlink r:id="rId42" w:history="1">
        <w:r>
          <w:rPr>
            <w:rStyle w:val="Hyperlink"/>
          </w:rPr>
          <w:t>https://doi.org/10.1016/j.gloenvcha.2017.01.002</w:t>
        </w:r>
      </w:hyperlink>
    </w:p>
    <w:p w14:paraId="3136C1F5" w14:textId="77777777" w:rsidR="00A779B8" w:rsidRDefault="00A779B8" w:rsidP="00A779B8">
      <w:pPr>
        <w:spacing w:line="480" w:lineRule="auto"/>
        <w:ind w:hanging="480"/>
      </w:pPr>
      <w:r>
        <w:t xml:space="preserve">Engel, S., </w:t>
      </w:r>
      <w:proofErr w:type="spellStart"/>
      <w:r>
        <w:t>Pagiola</w:t>
      </w:r>
      <w:proofErr w:type="spellEnd"/>
      <w:r>
        <w:t xml:space="preserve">, S., &amp; </w:t>
      </w:r>
      <w:proofErr w:type="spellStart"/>
      <w:r>
        <w:t>Wunder</w:t>
      </w:r>
      <w:proofErr w:type="spellEnd"/>
      <w:r>
        <w:t xml:space="preserve">, S. (2008). Designing payments for environmental services in theory and practice: An overview of the issues. </w:t>
      </w:r>
      <w:r>
        <w:rPr>
          <w:i/>
          <w:iCs/>
        </w:rPr>
        <w:t>Ecological Economics</w:t>
      </w:r>
      <w:r>
        <w:t xml:space="preserve">, </w:t>
      </w:r>
      <w:r>
        <w:rPr>
          <w:i/>
          <w:iCs/>
        </w:rPr>
        <w:t>65</w:t>
      </w:r>
      <w:r>
        <w:t xml:space="preserve">(4), 663–674. </w:t>
      </w:r>
      <w:hyperlink r:id="rId43" w:history="1">
        <w:r>
          <w:rPr>
            <w:rStyle w:val="Hyperlink"/>
          </w:rPr>
          <w:t>https://doi.org/10.1016/j.ecolecon.2008.03.011</w:t>
        </w:r>
      </w:hyperlink>
    </w:p>
    <w:p w14:paraId="1CBBA0BC" w14:textId="77777777" w:rsidR="00A779B8" w:rsidRPr="0055140A" w:rsidRDefault="00A779B8" w:rsidP="00A779B8">
      <w:pPr>
        <w:spacing w:line="480" w:lineRule="auto"/>
        <w:ind w:hanging="480"/>
        <w:rPr>
          <w:lang w:val="it-IT"/>
        </w:rPr>
      </w:pPr>
      <w:r>
        <w:lastRenderedPageBreak/>
        <w:t xml:space="preserve">FAO (Ed.). (2018). </w:t>
      </w:r>
      <w:r>
        <w:rPr>
          <w:i/>
          <w:iCs/>
        </w:rPr>
        <w:t>Forests pathways to sustainable development</w:t>
      </w:r>
      <w:r>
        <w:t xml:space="preserve">. </w:t>
      </w:r>
      <w:r w:rsidRPr="0055140A">
        <w:rPr>
          <w:lang w:val="it-IT"/>
        </w:rPr>
        <w:t>Rome: FAO.</w:t>
      </w:r>
    </w:p>
    <w:p w14:paraId="6511FFC5" w14:textId="77777777" w:rsidR="00A779B8" w:rsidRDefault="00A779B8" w:rsidP="00A779B8">
      <w:pPr>
        <w:spacing w:line="480" w:lineRule="auto"/>
        <w:ind w:hanging="480"/>
      </w:pPr>
      <w:r w:rsidRPr="0055140A">
        <w:rPr>
          <w:lang w:val="it-IT"/>
        </w:rPr>
        <w:t xml:space="preserve">Federici, S., Tubiello, F. N., Salvatore, M., Jacobs, H., &amp; Schmidhuber, J. (2015). </w:t>
      </w:r>
      <w:r>
        <w:t xml:space="preserve">New estimates of CO2 forest emissions and removals: 1990–2015. </w:t>
      </w:r>
      <w:r>
        <w:rPr>
          <w:i/>
          <w:iCs/>
        </w:rPr>
        <w:t>Forest Ecology and Management</w:t>
      </w:r>
      <w:r>
        <w:t xml:space="preserve">, </w:t>
      </w:r>
      <w:r>
        <w:rPr>
          <w:i/>
          <w:iCs/>
        </w:rPr>
        <w:t>352</w:t>
      </w:r>
      <w:r>
        <w:t xml:space="preserve">, 89–98. </w:t>
      </w:r>
      <w:hyperlink r:id="rId44" w:history="1">
        <w:r>
          <w:rPr>
            <w:rStyle w:val="Hyperlink"/>
          </w:rPr>
          <w:t>https://doi.org/10.1016/j.foreco.2015.04.022</w:t>
        </w:r>
      </w:hyperlink>
    </w:p>
    <w:p w14:paraId="7E8E2099" w14:textId="77777777" w:rsidR="00A779B8" w:rsidRDefault="00A779B8" w:rsidP="00A779B8">
      <w:pPr>
        <w:spacing w:line="480" w:lineRule="auto"/>
        <w:ind w:hanging="480"/>
      </w:pPr>
      <w:proofErr w:type="spellStart"/>
      <w:r>
        <w:t>Feldpausch</w:t>
      </w:r>
      <w:proofErr w:type="spellEnd"/>
      <w:r>
        <w:t xml:space="preserve">, T. R., </w:t>
      </w:r>
      <w:proofErr w:type="spellStart"/>
      <w:r>
        <w:t>Rondon</w:t>
      </w:r>
      <w:proofErr w:type="spellEnd"/>
      <w:r>
        <w:t xml:space="preserve">, M. A., Fernandes, E., </w:t>
      </w:r>
      <w:proofErr w:type="spellStart"/>
      <w:r>
        <w:t>Riha</w:t>
      </w:r>
      <w:proofErr w:type="spellEnd"/>
      <w:r>
        <w:t xml:space="preserve">, S. J., &amp; </w:t>
      </w:r>
      <w:proofErr w:type="spellStart"/>
      <w:r>
        <w:t>Wandelli</w:t>
      </w:r>
      <w:proofErr w:type="spellEnd"/>
      <w:r>
        <w:t xml:space="preserve">, E. (2004). </w:t>
      </w:r>
      <w:r>
        <w:rPr>
          <w:i/>
          <w:iCs/>
        </w:rPr>
        <w:t>Carbon and nutrient accumulation in secondary forests regenerating on pastures in central Amazonia</w:t>
      </w:r>
      <w:r>
        <w:t xml:space="preserve">. Retrieved from </w:t>
      </w:r>
      <w:hyperlink r:id="rId45" w:history="1">
        <w:r>
          <w:rPr>
            <w:rStyle w:val="Hyperlink"/>
          </w:rPr>
          <w:t>https://ore.exeter.ac.uk/repository/handle/10871/9525</w:t>
        </w:r>
      </w:hyperlink>
    </w:p>
    <w:p w14:paraId="2D858D56" w14:textId="77777777" w:rsidR="00A779B8" w:rsidRDefault="00A779B8" w:rsidP="00A779B8">
      <w:pPr>
        <w:spacing w:line="480" w:lineRule="auto"/>
        <w:ind w:hanging="480"/>
      </w:pPr>
      <w:r>
        <w:t xml:space="preserve">Fletcher, R., Dressler, W., </w:t>
      </w:r>
      <w:proofErr w:type="spellStart"/>
      <w:r>
        <w:t>Büscher</w:t>
      </w:r>
      <w:proofErr w:type="spellEnd"/>
      <w:r>
        <w:t xml:space="preserve">, B., &amp; Anderson, Z. R. (2016). Questioning REDD+ and the future of market-based conservation. </w:t>
      </w:r>
      <w:r>
        <w:rPr>
          <w:i/>
          <w:iCs/>
        </w:rPr>
        <w:t>Conservation Biology</w:t>
      </w:r>
      <w:r>
        <w:t xml:space="preserve">, </w:t>
      </w:r>
      <w:r>
        <w:rPr>
          <w:i/>
          <w:iCs/>
        </w:rPr>
        <w:t>30</w:t>
      </w:r>
      <w:r>
        <w:t xml:space="preserve">(3), 673–675. </w:t>
      </w:r>
      <w:hyperlink r:id="rId46" w:history="1">
        <w:r>
          <w:rPr>
            <w:rStyle w:val="Hyperlink"/>
          </w:rPr>
          <w:t>https://doi.org/10.1111/cobi.12680</w:t>
        </w:r>
      </w:hyperlink>
    </w:p>
    <w:p w14:paraId="778BEA8A" w14:textId="77777777" w:rsidR="00A779B8" w:rsidRDefault="00A779B8" w:rsidP="00A779B8">
      <w:pPr>
        <w:spacing w:line="480" w:lineRule="auto"/>
        <w:ind w:hanging="480"/>
      </w:pPr>
      <w:r>
        <w:t xml:space="preserve">Gilroy, J. J., Woodcock, P., Edwards, F. A., Wheeler, C., Baptiste, B. L. G., Medina Uribe, C. A., … Edwards, D. P. (2014). Cheap carbon and biodiversity co-benefits from forest regeneration in a hotspot of endemism. </w:t>
      </w:r>
      <w:r>
        <w:rPr>
          <w:i/>
          <w:iCs/>
        </w:rPr>
        <w:t>Nature Climate Change</w:t>
      </w:r>
      <w:r>
        <w:t xml:space="preserve">, </w:t>
      </w:r>
      <w:r>
        <w:rPr>
          <w:i/>
          <w:iCs/>
        </w:rPr>
        <w:t>4</w:t>
      </w:r>
      <w:r>
        <w:t xml:space="preserve">(6), 503–507. </w:t>
      </w:r>
      <w:hyperlink r:id="rId47" w:history="1">
        <w:r>
          <w:rPr>
            <w:rStyle w:val="Hyperlink"/>
          </w:rPr>
          <w:t>https://doi.org/10.1038/nclimate2200</w:t>
        </w:r>
      </w:hyperlink>
    </w:p>
    <w:p w14:paraId="4DB1A937" w14:textId="77777777" w:rsidR="00A779B8" w:rsidRDefault="00A779B8" w:rsidP="00A779B8">
      <w:pPr>
        <w:spacing w:line="480" w:lineRule="auto"/>
        <w:ind w:hanging="480"/>
      </w:pPr>
      <w:r>
        <w:t xml:space="preserve">Glossary. (n.d.). Retrieved December 10, 2018, from </w:t>
      </w:r>
      <w:hyperlink r:id="rId48" w:history="1">
        <w:r>
          <w:rPr>
            <w:rStyle w:val="Hyperlink"/>
          </w:rPr>
          <w:t>http://unfccc.int/resource/cd_roms/na1/ghg_inventories/english/8_glossary/Glossary.htm</w:t>
        </w:r>
      </w:hyperlink>
    </w:p>
    <w:p w14:paraId="33B59133" w14:textId="77777777" w:rsidR="00A779B8" w:rsidRDefault="00A779B8" w:rsidP="00A779B8">
      <w:pPr>
        <w:spacing w:line="480" w:lineRule="auto"/>
        <w:ind w:hanging="480"/>
      </w:pPr>
      <w:r>
        <w:t xml:space="preserve">Goal 6: Clean Water and Sanitation. (n.d.). Retrieved December 30, 2018, from The Global Goals website: </w:t>
      </w:r>
      <w:hyperlink r:id="rId49" w:history="1">
        <w:r>
          <w:rPr>
            <w:rStyle w:val="Hyperlink"/>
          </w:rPr>
          <w:t>https://www.globalgoals.org/6-clean-water-and-sanitation</w:t>
        </w:r>
      </w:hyperlink>
    </w:p>
    <w:p w14:paraId="579032C8" w14:textId="77777777" w:rsidR="00A779B8" w:rsidRDefault="00A779B8" w:rsidP="00A779B8">
      <w:pPr>
        <w:spacing w:line="480" w:lineRule="auto"/>
        <w:ind w:hanging="480"/>
      </w:pPr>
      <w:r>
        <w:t xml:space="preserve">Grassi, G., House, J., </w:t>
      </w:r>
      <w:proofErr w:type="spellStart"/>
      <w:r>
        <w:t>Dentener</w:t>
      </w:r>
      <w:proofErr w:type="spellEnd"/>
      <w:r>
        <w:t>, F., Federici, S., den </w:t>
      </w:r>
      <w:proofErr w:type="spellStart"/>
      <w:r>
        <w:t>Elzen</w:t>
      </w:r>
      <w:proofErr w:type="spellEnd"/>
      <w:r>
        <w:t xml:space="preserve">, M., &amp; Penman, J. (2017). The key role of forests in meeting climate targets requires science for credible mitigation. </w:t>
      </w:r>
      <w:r>
        <w:rPr>
          <w:i/>
          <w:iCs/>
        </w:rPr>
        <w:t>Nature Climate Change</w:t>
      </w:r>
      <w:r>
        <w:t xml:space="preserve">, </w:t>
      </w:r>
      <w:r>
        <w:rPr>
          <w:i/>
          <w:iCs/>
        </w:rPr>
        <w:t>7</w:t>
      </w:r>
      <w:r>
        <w:t xml:space="preserve">(3), 220–226. </w:t>
      </w:r>
      <w:hyperlink r:id="rId50" w:history="1">
        <w:r>
          <w:rPr>
            <w:rStyle w:val="Hyperlink"/>
          </w:rPr>
          <w:t>https://doi.org/10.1038/nclimate3227</w:t>
        </w:r>
      </w:hyperlink>
    </w:p>
    <w:p w14:paraId="51F91A04" w14:textId="77777777" w:rsidR="00A779B8" w:rsidRDefault="00A779B8" w:rsidP="00A779B8">
      <w:pPr>
        <w:spacing w:line="480" w:lineRule="auto"/>
        <w:ind w:hanging="480"/>
      </w:pPr>
      <w:proofErr w:type="spellStart"/>
      <w:r>
        <w:t>Griscom</w:t>
      </w:r>
      <w:proofErr w:type="spellEnd"/>
      <w:r>
        <w:t xml:space="preserve">, B. W., Adams, J., Ellis, P. W., Houghton, R. A., Lomax, G., </w:t>
      </w:r>
      <w:proofErr w:type="spellStart"/>
      <w:r>
        <w:t>Miteva</w:t>
      </w:r>
      <w:proofErr w:type="spellEnd"/>
      <w:r>
        <w:t xml:space="preserve">, D. A., … </w:t>
      </w:r>
      <w:proofErr w:type="spellStart"/>
      <w:r>
        <w:t>Fargione</w:t>
      </w:r>
      <w:proofErr w:type="spellEnd"/>
      <w:r>
        <w:t xml:space="preserve">, J. (2017a). Natural climate solutions. </w:t>
      </w:r>
      <w:r>
        <w:rPr>
          <w:i/>
          <w:iCs/>
        </w:rPr>
        <w:t>Proceedings of the National Academy of Sciences</w:t>
      </w:r>
      <w:r>
        <w:t xml:space="preserve">, </w:t>
      </w:r>
      <w:r>
        <w:rPr>
          <w:i/>
          <w:iCs/>
        </w:rPr>
        <w:t>114</w:t>
      </w:r>
      <w:r>
        <w:t xml:space="preserve">(44), 11645–11650. </w:t>
      </w:r>
      <w:hyperlink r:id="rId51" w:history="1">
        <w:r>
          <w:rPr>
            <w:rStyle w:val="Hyperlink"/>
          </w:rPr>
          <w:t>https://doi.org/10.1073/pnas.1710465114</w:t>
        </w:r>
      </w:hyperlink>
    </w:p>
    <w:p w14:paraId="5C67F2DA" w14:textId="77777777" w:rsidR="00A779B8" w:rsidRDefault="00A779B8" w:rsidP="00A779B8">
      <w:pPr>
        <w:spacing w:line="480" w:lineRule="auto"/>
        <w:ind w:hanging="480"/>
      </w:pPr>
      <w:proofErr w:type="spellStart"/>
      <w:r>
        <w:lastRenderedPageBreak/>
        <w:t>Griscom</w:t>
      </w:r>
      <w:proofErr w:type="spellEnd"/>
      <w:r>
        <w:t xml:space="preserve">, B. W., Adams, J., Ellis, P. W., Houghton, R. A., Lomax, G., </w:t>
      </w:r>
      <w:proofErr w:type="spellStart"/>
      <w:r>
        <w:t>Miteva</w:t>
      </w:r>
      <w:proofErr w:type="spellEnd"/>
      <w:r>
        <w:t xml:space="preserve">, D. A., … </w:t>
      </w:r>
      <w:proofErr w:type="spellStart"/>
      <w:r>
        <w:t>Fargione</w:t>
      </w:r>
      <w:proofErr w:type="spellEnd"/>
      <w:r>
        <w:t xml:space="preserve">, J. (2017b). Natural climate solutions. </w:t>
      </w:r>
      <w:r>
        <w:rPr>
          <w:i/>
          <w:iCs/>
        </w:rPr>
        <w:t>Proceedings of the National Academy of Sciences</w:t>
      </w:r>
      <w:r>
        <w:t xml:space="preserve">, </w:t>
      </w:r>
      <w:r>
        <w:rPr>
          <w:i/>
          <w:iCs/>
        </w:rPr>
        <w:t>114</w:t>
      </w:r>
      <w:r>
        <w:t xml:space="preserve">(44), 11645–11650. </w:t>
      </w:r>
      <w:hyperlink r:id="rId52" w:history="1">
        <w:r>
          <w:rPr>
            <w:rStyle w:val="Hyperlink"/>
          </w:rPr>
          <w:t>https://doi.org/10.1073/pnas.1710465114</w:t>
        </w:r>
      </w:hyperlink>
    </w:p>
    <w:p w14:paraId="1ADC8883" w14:textId="77777777" w:rsidR="00A779B8" w:rsidRDefault="00A779B8" w:rsidP="00A779B8">
      <w:pPr>
        <w:spacing w:line="480" w:lineRule="auto"/>
        <w:ind w:hanging="480"/>
      </w:pPr>
      <w:proofErr w:type="spellStart"/>
      <w:r>
        <w:t>Guariguata</w:t>
      </w:r>
      <w:proofErr w:type="spellEnd"/>
      <w:r>
        <w:t xml:space="preserve">, M. R., &amp; </w:t>
      </w:r>
      <w:proofErr w:type="spellStart"/>
      <w:r>
        <w:t>Ostertag</w:t>
      </w:r>
      <w:proofErr w:type="spellEnd"/>
      <w:r>
        <w:t xml:space="preserve">, R. (2001). Neotropical secondary forest succession: changes in structural and functional characteristics. </w:t>
      </w:r>
      <w:r>
        <w:rPr>
          <w:i/>
          <w:iCs/>
        </w:rPr>
        <w:t>Forest Ecology and Management</w:t>
      </w:r>
      <w:r>
        <w:t xml:space="preserve">, </w:t>
      </w:r>
      <w:r>
        <w:rPr>
          <w:i/>
          <w:iCs/>
        </w:rPr>
        <w:t>148</w:t>
      </w:r>
      <w:r>
        <w:t>(1), 185–206.</w:t>
      </w:r>
    </w:p>
    <w:p w14:paraId="196DD1F9" w14:textId="77777777" w:rsidR="00A779B8" w:rsidRPr="0055140A" w:rsidRDefault="00A779B8" w:rsidP="00A779B8">
      <w:pPr>
        <w:spacing w:line="480" w:lineRule="auto"/>
        <w:ind w:hanging="480"/>
        <w:rPr>
          <w:lang w:val="fi-FI"/>
        </w:rPr>
      </w:pPr>
      <w:r>
        <w:t xml:space="preserve">Harris, N. L., Brown, S., Hagen, S. C., Saatchi, S. S., </w:t>
      </w:r>
      <w:proofErr w:type="spellStart"/>
      <w:r>
        <w:t>Petrova</w:t>
      </w:r>
      <w:proofErr w:type="spellEnd"/>
      <w:r>
        <w:t xml:space="preserve">, S., Salas, W., … </w:t>
      </w:r>
      <w:proofErr w:type="spellStart"/>
      <w:r>
        <w:t>Lotsch</w:t>
      </w:r>
      <w:proofErr w:type="spellEnd"/>
      <w:r>
        <w:t xml:space="preserve">, A. (2012). Baseline Map of Carbon Emissions from Deforestation in Tropical Regions. </w:t>
      </w:r>
      <w:r w:rsidRPr="0055140A">
        <w:rPr>
          <w:i/>
          <w:iCs/>
          <w:lang w:val="fi-FI"/>
        </w:rPr>
        <w:t>Science</w:t>
      </w:r>
      <w:r w:rsidRPr="0055140A">
        <w:rPr>
          <w:lang w:val="fi-FI"/>
        </w:rPr>
        <w:t xml:space="preserve">, </w:t>
      </w:r>
      <w:r w:rsidRPr="0055140A">
        <w:rPr>
          <w:i/>
          <w:iCs/>
          <w:lang w:val="fi-FI"/>
        </w:rPr>
        <w:t>336</w:t>
      </w:r>
      <w:r w:rsidRPr="0055140A">
        <w:rPr>
          <w:lang w:val="fi-FI"/>
        </w:rPr>
        <w:t xml:space="preserve">(6088), 1573–1576. </w:t>
      </w:r>
      <w:r w:rsidR="009432C9">
        <w:fldChar w:fldCharType="begin"/>
      </w:r>
      <w:r w:rsidR="009432C9">
        <w:instrText xml:space="preserve"> HYPERLINK "https://doi.org/10.1126/science.1217962" </w:instrText>
      </w:r>
      <w:r w:rsidR="009432C9">
        <w:fldChar w:fldCharType="separate"/>
      </w:r>
      <w:r w:rsidRPr="0055140A">
        <w:rPr>
          <w:rStyle w:val="Hyperlink"/>
          <w:lang w:val="fi-FI"/>
        </w:rPr>
        <w:t>https://doi.org/10.1126/science.1217962</w:t>
      </w:r>
      <w:r w:rsidR="009432C9">
        <w:rPr>
          <w:rStyle w:val="Hyperlink"/>
          <w:lang w:val="fi-FI"/>
        </w:rPr>
        <w:fldChar w:fldCharType="end"/>
      </w:r>
    </w:p>
    <w:p w14:paraId="251D02C5" w14:textId="77777777" w:rsidR="00A779B8" w:rsidRDefault="00A779B8" w:rsidP="00A779B8">
      <w:pPr>
        <w:spacing w:line="480" w:lineRule="auto"/>
        <w:ind w:hanging="480"/>
      </w:pPr>
      <w:r w:rsidRPr="0055140A">
        <w:rPr>
          <w:lang w:val="fi-FI"/>
        </w:rPr>
        <w:t xml:space="preserve">Heino, M., Kummu, M., Makkonen, M., Mulligan, M., Verburg, P. H., Jalava, M., &amp; Räsänen, T. A. (2015). </w:t>
      </w:r>
      <w:r>
        <w:t xml:space="preserve">Forest Loss in Protected Areas and Intact Forest Landscapes: A Global Analysis. </w:t>
      </w:r>
      <w:r>
        <w:rPr>
          <w:i/>
          <w:iCs/>
        </w:rPr>
        <w:t>PLOS ONE</w:t>
      </w:r>
      <w:r>
        <w:t xml:space="preserve">, </w:t>
      </w:r>
      <w:r>
        <w:rPr>
          <w:i/>
          <w:iCs/>
        </w:rPr>
        <w:t>10</w:t>
      </w:r>
      <w:r>
        <w:t xml:space="preserve">(10), e0138918. </w:t>
      </w:r>
      <w:hyperlink r:id="rId53" w:history="1">
        <w:r>
          <w:rPr>
            <w:rStyle w:val="Hyperlink"/>
          </w:rPr>
          <w:t>https://doi.org/10.1371/journal.pone.0138918</w:t>
        </w:r>
      </w:hyperlink>
    </w:p>
    <w:p w14:paraId="64FFF3B7" w14:textId="77777777" w:rsidR="00A779B8" w:rsidRDefault="00A779B8" w:rsidP="00A779B8">
      <w:pPr>
        <w:spacing w:line="480" w:lineRule="auto"/>
        <w:ind w:hanging="480"/>
      </w:pPr>
      <w:r>
        <w:t xml:space="preserve">Houghton, R. A., &amp; </w:t>
      </w:r>
      <w:proofErr w:type="spellStart"/>
      <w:r>
        <w:t>Nassikas</w:t>
      </w:r>
      <w:proofErr w:type="spellEnd"/>
      <w:r>
        <w:t xml:space="preserve">, A. A. (2017). Global and regional fluxes of carbon from land use and land cover change 1850-2015: Carbon Emissions From Land Use. </w:t>
      </w:r>
      <w:r>
        <w:rPr>
          <w:i/>
          <w:iCs/>
        </w:rPr>
        <w:t>Global Biogeochemical Cycles</w:t>
      </w:r>
      <w:r>
        <w:t xml:space="preserve">, </w:t>
      </w:r>
      <w:r>
        <w:rPr>
          <w:i/>
          <w:iCs/>
        </w:rPr>
        <w:t>31</w:t>
      </w:r>
      <w:r>
        <w:t xml:space="preserve">(3), 456–472. </w:t>
      </w:r>
      <w:hyperlink r:id="rId54" w:history="1">
        <w:r>
          <w:rPr>
            <w:rStyle w:val="Hyperlink"/>
          </w:rPr>
          <w:t>https://doi.org/10.1002/2016GB005546</w:t>
        </w:r>
      </w:hyperlink>
    </w:p>
    <w:p w14:paraId="4A359D81" w14:textId="77777777" w:rsidR="00A779B8" w:rsidRPr="0055140A" w:rsidRDefault="00A779B8" w:rsidP="00A779B8">
      <w:pPr>
        <w:spacing w:line="480" w:lineRule="auto"/>
        <w:ind w:hanging="480"/>
        <w:rPr>
          <w:lang w:val="fr-FR"/>
        </w:rPr>
      </w:pPr>
      <w:r>
        <w:t xml:space="preserve">Houghton, Richard A. (2013). The emissions of carbon from deforestation and degradation in the tropics: past trends and future potential. </w:t>
      </w:r>
      <w:r w:rsidRPr="0055140A">
        <w:rPr>
          <w:i/>
          <w:iCs/>
          <w:lang w:val="fr-FR"/>
        </w:rPr>
        <w:t>Carbon Management</w:t>
      </w:r>
      <w:r w:rsidRPr="0055140A">
        <w:rPr>
          <w:lang w:val="fr-FR"/>
        </w:rPr>
        <w:t xml:space="preserve">, </w:t>
      </w:r>
      <w:r w:rsidRPr="0055140A">
        <w:rPr>
          <w:i/>
          <w:iCs/>
          <w:lang w:val="fr-FR"/>
        </w:rPr>
        <w:t>4</w:t>
      </w:r>
      <w:r w:rsidRPr="0055140A">
        <w:rPr>
          <w:lang w:val="fr-FR"/>
        </w:rPr>
        <w:t xml:space="preserve">(5), 539–546. </w:t>
      </w:r>
      <w:hyperlink r:id="rId55" w:history="1">
        <w:r w:rsidRPr="0055140A">
          <w:rPr>
            <w:rStyle w:val="Hyperlink"/>
            <w:lang w:val="fr-FR"/>
          </w:rPr>
          <w:t>https://doi.org/10.4155/cmt.13.41</w:t>
        </w:r>
      </w:hyperlink>
    </w:p>
    <w:p w14:paraId="05E83888" w14:textId="77777777" w:rsidR="00A779B8" w:rsidRDefault="00A779B8" w:rsidP="00A779B8">
      <w:pPr>
        <w:spacing w:line="480" w:lineRule="auto"/>
        <w:ind w:hanging="480"/>
      </w:pPr>
      <w:r w:rsidRPr="0055140A">
        <w:rPr>
          <w:lang w:val="fr-FR"/>
        </w:rPr>
        <w:t xml:space="preserve">Houghton, Richard A., &amp; </w:t>
      </w:r>
      <w:proofErr w:type="spellStart"/>
      <w:r w:rsidRPr="0055140A">
        <w:rPr>
          <w:lang w:val="fr-FR"/>
        </w:rPr>
        <w:t>Nassikas</w:t>
      </w:r>
      <w:proofErr w:type="spellEnd"/>
      <w:r w:rsidRPr="0055140A">
        <w:rPr>
          <w:lang w:val="fr-FR"/>
        </w:rPr>
        <w:t xml:space="preserve">, A. A. (2018). </w:t>
      </w:r>
      <w:r>
        <w:t xml:space="preserve">Negative emissions from stopping deforestation and forest degradation, globally. </w:t>
      </w:r>
      <w:r>
        <w:rPr>
          <w:i/>
          <w:iCs/>
        </w:rPr>
        <w:t>Global Change Biology</w:t>
      </w:r>
      <w:r>
        <w:t xml:space="preserve">, </w:t>
      </w:r>
      <w:r>
        <w:rPr>
          <w:i/>
          <w:iCs/>
        </w:rPr>
        <w:t>24</w:t>
      </w:r>
      <w:r>
        <w:t xml:space="preserve">(1), 350–359. </w:t>
      </w:r>
      <w:hyperlink r:id="rId56" w:history="1">
        <w:r>
          <w:rPr>
            <w:rStyle w:val="Hyperlink"/>
          </w:rPr>
          <w:t>https://doi.org/10.1111/gcb.13876</w:t>
        </w:r>
      </w:hyperlink>
    </w:p>
    <w:p w14:paraId="38CD64A4" w14:textId="77777777" w:rsidR="00A779B8" w:rsidRPr="0055140A" w:rsidRDefault="00A779B8" w:rsidP="00A779B8">
      <w:pPr>
        <w:spacing w:line="480" w:lineRule="auto"/>
        <w:ind w:hanging="480"/>
        <w:rPr>
          <w:lang w:val="nl-NL"/>
        </w:rPr>
      </w:pPr>
      <w:proofErr w:type="spellStart"/>
      <w:r>
        <w:t>Hyvönen</w:t>
      </w:r>
      <w:proofErr w:type="spellEnd"/>
      <w:r>
        <w:t>, R., \</w:t>
      </w:r>
      <w:proofErr w:type="spellStart"/>
      <w:r>
        <w:t>AAgren</w:t>
      </w:r>
      <w:proofErr w:type="spellEnd"/>
      <w:r>
        <w:t xml:space="preserve">, G. I., Linder, S., Persson, T., </w:t>
      </w:r>
      <w:proofErr w:type="spellStart"/>
      <w:r>
        <w:t>Cotrufo</w:t>
      </w:r>
      <w:proofErr w:type="spellEnd"/>
      <w:r>
        <w:t xml:space="preserve">, M. F., Ekblad, A., … others. (2007). The likely impact of elevated [CO2], nitrogen deposition, increased temperature and management on carbon sequestration in temperate and boreal forest ecosystems: a literature review. </w:t>
      </w:r>
      <w:r w:rsidRPr="0055140A">
        <w:rPr>
          <w:i/>
          <w:iCs/>
          <w:lang w:val="nl-NL"/>
        </w:rPr>
        <w:t>New Phytologist</w:t>
      </w:r>
      <w:r w:rsidRPr="0055140A">
        <w:rPr>
          <w:lang w:val="nl-NL"/>
        </w:rPr>
        <w:t xml:space="preserve">, </w:t>
      </w:r>
      <w:r w:rsidRPr="0055140A">
        <w:rPr>
          <w:i/>
          <w:iCs/>
          <w:lang w:val="nl-NL"/>
        </w:rPr>
        <w:t>173</w:t>
      </w:r>
      <w:r w:rsidRPr="0055140A">
        <w:rPr>
          <w:lang w:val="nl-NL"/>
        </w:rPr>
        <w:t>(3), 463–480.</w:t>
      </w:r>
    </w:p>
    <w:p w14:paraId="3A9ABA00" w14:textId="77777777" w:rsidR="00A779B8" w:rsidRDefault="00A779B8" w:rsidP="00A779B8">
      <w:pPr>
        <w:spacing w:line="480" w:lineRule="auto"/>
        <w:ind w:hanging="480"/>
      </w:pPr>
      <w:r w:rsidRPr="0055140A">
        <w:rPr>
          <w:lang w:val="nl-NL"/>
        </w:rPr>
        <w:t xml:space="preserve">Irena F. Creed and Meine van Noordwijk (eds.),. </w:t>
      </w:r>
      <w:r>
        <w:t xml:space="preserve">(n.d.). </w:t>
      </w:r>
      <w:r>
        <w:rPr>
          <w:i/>
          <w:iCs/>
        </w:rPr>
        <w:t>Forest and Water on a Changing Planet: Vulnerability, Adaptation and Governance Opportunities. A Global Assessment Report.</w:t>
      </w:r>
      <w:r>
        <w:t xml:space="preserve"> (p. 192). Retrieved from </w:t>
      </w:r>
      <w:r>
        <w:lastRenderedPageBreak/>
        <w:t xml:space="preserve">International Union of Forest Research Organizations (IUFRO) website: </w:t>
      </w:r>
      <w:hyperlink r:id="rId57" w:history="1">
        <w:r>
          <w:rPr>
            <w:rStyle w:val="Hyperlink"/>
          </w:rPr>
          <w:t>https://www.iufro.org/publications/article/2018/07/10/world-series-vol-38-forest-and-water-on-a-changing-planet-vulnerability-adaptation-and-governan/</w:t>
        </w:r>
      </w:hyperlink>
    </w:p>
    <w:p w14:paraId="5CDE6458" w14:textId="77777777" w:rsidR="00A779B8" w:rsidRDefault="00A779B8" w:rsidP="00A779B8">
      <w:pPr>
        <w:spacing w:line="480" w:lineRule="auto"/>
        <w:ind w:hanging="480"/>
      </w:pPr>
      <w:r>
        <w:t xml:space="preserve">Jacobi, J. (2016). </w:t>
      </w:r>
      <w:r>
        <w:rPr>
          <w:i/>
          <w:iCs/>
        </w:rPr>
        <w:t>WOCAT Case Study - Dynamic Agroforestry in Bolivia</w:t>
      </w:r>
      <w:r>
        <w:t>.</w:t>
      </w:r>
    </w:p>
    <w:p w14:paraId="5ABC75B5" w14:textId="77777777" w:rsidR="00A779B8" w:rsidRDefault="00A779B8" w:rsidP="00A779B8">
      <w:pPr>
        <w:spacing w:line="480" w:lineRule="auto"/>
        <w:ind w:hanging="480"/>
      </w:pPr>
      <w:r>
        <w:t xml:space="preserve">Keenan, R. J., Reams, G. A., </w:t>
      </w:r>
      <w:proofErr w:type="spellStart"/>
      <w:r>
        <w:t>Achard</w:t>
      </w:r>
      <w:proofErr w:type="spellEnd"/>
      <w:r>
        <w:t xml:space="preserve">, F., de Freitas, J. V., Grainger, A., &amp; Lindquist, E. (2015a). Dynamics of global forest area: Results from the FAO Global Forest Resources Assessment 2015. </w:t>
      </w:r>
      <w:r>
        <w:rPr>
          <w:i/>
          <w:iCs/>
        </w:rPr>
        <w:t>Forest Ecology and Management</w:t>
      </w:r>
      <w:r>
        <w:t xml:space="preserve">, </w:t>
      </w:r>
      <w:r>
        <w:rPr>
          <w:i/>
          <w:iCs/>
        </w:rPr>
        <w:t>352</w:t>
      </w:r>
      <w:r>
        <w:t xml:space="preserve">, 9–20. </w:t>
      </w:r>
      <w:hyperlink r:id="rId58" w:history="1">
        <w:r>
          <w:rPr>
            <w:rStyle w:val="Hyperlink"/>
          </w:rPr>
          <w:t>https://doi.org/10.1016/j.foreco.2015.06.014</w:t>
        </w:r>
      </w:hyperlink>
    </w:p>
    <w:p w14:paraId="0AFC969F" w14:textId="77777777" w:rsidR="00A779B8" w:rsidRDefault="00A779B8" w:rsidP="00A779B8">
      <w:pPr>
        <w:spacing w:line="480" w:lineRule="auto"/>
        <w:ind w:hanging="480"/>
      </w:pPr>
      <w:r>
        <w:t xml:space="preserve">Keenan, R. J., Reams, G. A., </w:t>
      </w:r>
      <w:proofErr w:type="spellStart"/>
      <w:r>
        <w:t>Achard</w:t>
      </w:r>
      <w:proofErr w:type="spellEnd"/>
      <w:r>
        <w:t xml:space="preserve">, F., de Freitas, J. V., Grainger, A., &amp; Lindquist, E. (2015b). Dynamics of global forest area: Results from the FAO Global Forest Resources Assessment 2015. </w:t>
      </w:r>
      <w:r>
        <w:rPr>
          <w:i/>
          <w:iCs/>
        </w:rPr>
        <w:t>Forest Ecology and Management</w:t>
      </w:r>
      <w:r>
        <w:t xml:space="preserve">, </w:t>
      </w:r>
      <w:r>
        <w:rPr>
          <w:i/>
          <w:iCs/>
        </w:rPr>
        <w:t>352</w:t>
      </w:r>
      <w:r>
        <w:t xml:space="preserve">, 9–20. </w:t>
      </w:r>
      <w:hyperlink r:id="rId59" w:history="1">
        <w:r>
          <w:rPr>
            <w:rStyle w:val="Hyperlink"/>
          </w:rPr>
          <w:t>https://doi.org/10.1016/j.foreco.2015.06.014</w:t>
        </w:r>
      </w:hyperlink>
    </w:p>
    <w:p w14:paraId="172AFA87" w14:textId="77777777" w:rsidR="00A779B8" w:rsidRDefault="00A779B8" w:rsidP="00A779B8">
      <w:pPr>
        <w:spacing w:line="480" w:lineRule="auto"/>
        <w:ind w:hanging="480"/>
      </w:pPr>
      <w:proofErr w:type="spellStart"/>
      <w:r>
        <w:t>Köthke</w:t>
      </w:r>
      <w:proofErr w:type="spellEnd"/>
      <w:r>
        <w:t xml:space="preserve">, M., </w:t>
      </w:r>
      <w:proofErr w:type="spellStart"/>
      <w:r>
        <w:t>Leischner</w:t>
      </w:r>
      <w:proofErr w:type="spellEnd"/>
      <w:r>
        <w:t xml:space="preserve">, B., &amp; Elsasser, P. (2013). Uniform global deforestation patterns — An empirical analysis. </w:t>
      </w:r>
      <w:r>
        <w:rPr>
          <w:i/>
          <w:iCs/>
        </w:rPr>
        <w:t>Forest Policy and Economics</w:t>
      </w:r>
      <w:r>
        <w:t xml:space="preserve">, </w:t>
      </w:r>
      <w:r>
        <w:rPr>
          <w:i/>
          <w:iCs/>
        </w:rPr>
        <w:t>28</w:t>
      </w:r>
      <w:r>
        <w:t xml:space="preserve">, 23–37. </w:t>
      </w:r>
      <w:hyperlink r:id="rId60" w:history="1">
        <w:r>
          <w:rPr>
            <w:rStyle w:val="Hyperlink"/>
          </w:rPr>
          <w:t>https://doi.org/10.1016/j.forpol.2013.01.001</w:t>
        </w:r>
      </w:hyperlink>
    </w:p>
    <w:p w14:paraId="66D9B953" w14:textId="77777777" w:rsidR="00A779B8" w:rsidRPr="004B3A12" w:rsidRDefault="00A779B8" w:rsidP="00A779B8">
      <w:pPr>
        <w:spacing w:line="480" w:lineRule="auto"/>
        <w:ind w:hanging="480"/>
        <w:rPr>
          <w:lang w:val="fr-FR"/>
        </w:rPr>
      </w:pPr>
      <w:r>
        <w:t xml:space="preserve">Lamb, D., Erskine, P. D., &amp; </w:t>
      </w:r>
      <w:proofErr w:type="spellStart"/>
      <w:r>
        <w:t>Parrotta</w:t>
      </w:r>
      <w:proofErr w:type="spellEnd"/>
      <w:r>
        <w:t xml:space="preserve">, J. A. (2005). Restoration of Degraded Tropical Forest Landscapes. </w:t>
      </w:r>
      <w:r w:rsidRPr="004B3A12">
        <w:rPr>
          <w:i/>
          <w:iCs/>
          <w:lang w:val="fr-FR"/>
        </w:rPr>
        <w:t>Science</w:t>
      </w:r>
      <w:r w:rsidRPr="004B3A12">
        <w:rPr>
          <w:lang w:val="fr-FR"/>
        </w:rPr>
        <w:t xml:space="preserve">, </w:t>
      </w:r>
      <w:r w:rsidRPr="004B3A12">
        <w:rPr>
          <w:i/>
          <w:iCs/>
          <w:lang w:val="fr-FR"/>
        </w:rPr>
        <w:t>310</w:t>
      </w:r>
      <w:r w:rsidRPr="004B3A12">
        <w:rPr>
          <w:lang w:val="fr-FR"/>
        </w:rPr>
        <w:t xml:space="preserve">(5754), 1628–1632. </w:t>
      </w:r>
      <w:hyperlink r:id="rId61" w:history="1">
        <w:r w:rsidRPr="004B3A12">
          <w:rPr>
            <w:rStyle w:val="Hyperlink"/>
            <w:lang w:val="fr-FR"/>
          </w:rPr>
          <w:t>https://doi.org/10.1126/science.1111773</w:t>
        </w:r>
      </w:hyperlink>
    </w:p>
    <w:p w14:paraId="49A78C67" w14:textId="77777777" w:rsidR="00A779B8" w:rsidRDefault="00A779B8" w:rsidP="00A779B8">
      <w:pPr>
        <w:spacing w:line="480" w:lineRule="auto"/>
        <w:ind w:hanging="480"/>
      </w:pPr>
      <w:r w:rsidRPr="004B3A12">
        <w:rPr>
          <w:lang w:val="fr-FR"/>
        </w:rPr>
        <w:t xml:space="preserve">Lambin, E. F., &amp; </w:t>
      </w:r>
      <w:proofErr w:type="spellStart"/>
      <w:r w:rsidRPr="004B3A12">
        <w:rPr>
          <w:lang w:val="fr-FR"/>
        </w:rPr>
        <w:t>Meyfroidt</w:t>
      </w:r>
      <w:proofErr w:type="spellEnd"/>
      <w:r w:rsidRPr="004B3A12">
        <w:rPr>
          <w:lang w:val="fr-FR"/>
        </w:rPr>
        <w:t xml:space="preserve">, P. (2011). </w:t>
      </w:r>
      <w:r>
        <w:t xml:space="preserve">Global land use change, economic globalization, and the looming land scarcity. </w:t>
      </w:r>
      <w:r>
        <w:rPr>
          <w:i/>
          <w:iCs/>
        </w:rPr>
        <w:t>Proceedings of the National Academy of Sciences</w:t>
      </w:r>
      <w:r>
        <w:t xml:space="preserve">, </w:t>
      </w:r>
      <w:r>
        <w:rPr>
          <w:i/>
          <w:iCs/>
        </w:rPr>
        <w:t>108</w:t>
      </w:r>
      <w:r>
        <w:t>(9), 3465–3472.</w:t>
      </w:r>
    </w:p>
    <w:p w14:paraId="3BC230CC" w14:textId="77777777" w:rsidR="00A779B8" w:rsidRDefault="00A779B8" w:rsidP="00A779B8">
      <w:pPr>
        <w:spacing w:line="480" w:lineRule="auto"/>
        <w:ind w:hanging="480"/>
      </w:pPr>
      <w:r>
        <w:t xml:space="preserve">Le </w:t>
      </w:r>
      <w:proofErr w:type="spellStart"/>
      <w:r>
        <w:t>Quéré</w:t>
      </w:r>
      <w:proofErr w:type="spellEnd"/>
      <w:r>
        <w:t xml:space="preserve">, C., Andrew, R. M., </w:t>
      </w:r>
      <w:proofErr w:type="spellStart"/>
      <w:r>
        <w:t>Friedlingstein</w:t>
      </w:r>
      <w:proofErr w:type="spellEnd"/>
      <w:r>
        <w:t xml:space="preserve">, P., </w:t>
      </w:r>
      <w:proofErr w:type="spellStart"/>
      <w:r>
        <w:t>Sitch</w:t>
      </w:r>
      <w:proofErr w:type="spellEnd"/>
      <w:r>
        <w:t xml:space="preserve">, S., </w:t>
      </w:r>
      <w:proofErr w:type="spellStart"/>
      <w:r>
        <w:t>Pongratz</w:t>
      </w:r>
      <w:proofErr w:type="spellEnd"/>
      <w:r>
        <w:t xml:space="preserve">, J., Manning, A. C., … Zhu, D. (2017). Global Carbon Budget 2017. </w:t>
      </w:r>
      <w:r>
        <w:rPr>
          <w:i/>
          <w:iCs/>
        </w:rPr>
        <w:t>Earth System Science Data Discussions</w:t>
      </w:r>
      <w:r>
        <w:t xml:space="preserve">, 1–79. </w:t>
      </w:r>
      <w:hyperlink r:id="rId62" w:history="1">
        <w:r>
          <w:rPr>
            <w:rStyle w:val="Hyperlink"/>
          </w:rPr>
          <w:t>https://doi.org/10.5194/essd-2017-123</w:t>
        </w:r>
      </w:hyperlink>
    </w:p>
    <w:p w14:paraId="23D6D2BC" w14:textId="77777777" w:rsidR="00A779B8" w:rsidRDefault="00A779B8" w:rsidP="00A779B8">
      <w:pPr>
        <w:spacing w:line="480" w:lineRule="auto"/>
        <w:ind w:hanging="480"/>
      </w:pPr>
      <w:r>
        <w:t xml:space="preserve">Learning from REDD+: a response to Fletcher et al. - </w:t>
      </w:r>
      <w:proofErr w:type="spellStart"/>
      <w:r>
        <w:t>Angelsen</w:t>
      </w:r>
      <w:proofErr w:type="spellEnd"/>
      <w:r>
        <w:t xml:space="preserve"> - 2017 - Conservation Biology - Wiley Online Library. (n.d.). Retrieved December 10, 2018, from </w:t>
      </w:r>
      <w:hyperlink r:id="rId63" w:history="1">
        <w:r>
          <w:rPr>
            <w:rStyle w:val="Hyperlink"/>
          </w:rPr>
          <w:t>https://onlinelibrary.wiley.com/doi/full/10.1111/cobi.12933</w:t>
        </w:r>
      </w:hyperlink>
    </w:p>
    <w:p w14:paraId="035F3ADC" w14:textId="77777777" w:rsidR="00A779B8" w:rsidRPr="0055140A" w:rsidRDefault="00A779B8" w:rsidP="00A779B8">
      <w:pPr>
        <w:spacing w:line="480" w:lineRule="auto"/>
        <w:ind w:hanging="480"/>
        <w:rPr>
          <w:lang w:val="it-IT"/>
        </w:rPr>
      </w:pPr>
      <w:r>
        <w:lastRenderedPageBreak/>
        <w:t xml:space="preserve">Lewis, S. L., Lopez-Gonzalez, G., </w:t>
      </w:r>
      <w:proofErr w:type="spellStart"/>
      <w:r>
        <w:t>Sonké</w:t>
      </w:r>
      <w:proofErr w:type="spellEnd"/>
      <w:r>
        <w:t xml:space="preserve">, B., </w:t>
      </w:r>
      <w:proofErr w:type="spellStart"/>
      <w:r>
        <w:t>Affum-Baffoe</w:t>
      </w:r>
      <w:proofErr w:type="spellEnd"/>
      <w:r>
        <w:t xml:space="preserve">, K., Baker, T. R., </w:t>
      </w:r>
      <w:proofErr w:type="spellStart"/>
      <w:r>
        <w:t>Ojo</w:t>
      </w:r>
      <w:proofErr w:type="spellEnd"/>
      <w:r>
        <w:t xml:space="preserve">, L. O., … </w:t>
      </w:r>
      <w:proofErr w:type="spellStart"/>
      <w:r>
        <w:t>Wöll</w:t>
      </w:r>
      <w:proofErr w:type="spellEnd"/>
      <w:r>
        <w:t xml:space="preserve">, H. (2009). Increasing carbon storage in intact African tropical forests. </w:t>
      </w:r>
      <w:r w:rsidRPr="0055140A">
        <w:rPr>
          <w:i/>
          <w:iCs/>
          <w:lang w:val="it-IT"/>
        </w:rPr>
        <w:t>Nature</w:t>
      </w:r>
      <w:r w:rsidRPr="0055140A">
        <w:rPr>
          <w:lang w:val="it-IT"/>
        </w:rPr>
        <w:t xml:space="preserve">, </w:t>
      </w:r>
      <w:r w:rsidRPr="0055140A">
        <w:rPr>
          <w:i/>
          <w:iCs/>
          <w:lang w:val="it-IT"/>
        </w:rPr>
        <w:t>457</w:t>
      </w:r>
      <w:r w:rsidRPr="0055140A">
        <w:rPr>
          <w:lang w:val="it-IT"/>
        </w:rPr>
        <w:t xml:space="preserve">(7232), 1003–1006. </w:t>
      </w:r>
      <w:r w:rsidR="009432C9">
        <w:fldChar w:fldCharType="begin"/>
      </w:r>
      <w:r w:rsidR="009432C9">
        <w:instrText xml:space="preserve"> HYPERLINK "https://doi.org/10.1038/nature07771" </w:instrText>
      </w:r>
      <w:r w:rsidR="009432C9">
        <w:fldChar w:fldCharType="separate"/>
      </w:r>
      <w:r w:rsidRPr="0055140A">
        <w:rPr>
          <w:rStyle w:val="Hyperlink"/>
          <w:lang w:val="it-IT"/>
        </w:rPr>
        <w:t>https://doi.org/10.1038/nature07771</w:t>
      </w:r>
      <w:r w:rsidR="009432C9">
        <w:rPr>
          <w:rStyle w:val="Hyperlink"/>
          <w:lang w:val="it-IT"/>
        </w:rPr>
        <w:fldChar w:fldCharType="end"/>
      </w:r>
    </w:p>
    <w:p w14:paraId="7761C51D" w14:textId="77777777" w:rsidR="00A779B8" w:rsidRDefault="00A779B8" w:rsidP="00A779B8">
      <w:pPr>
        <w:spacing w:line="480" w:lineRule="auto"/>
        <w:ind w:hanging="480"/>
      </w:pPr>
      <w:r w:rsidRPr="0055140A">
        <w:rPr>
          <w:lang w:val="it-IT"/>
        </w:rPr>
        <w:t xml:space="preserve">Locatelli, B., Catterall, C. P., Imbach, P., Kumar, C., Lasco, R., Marín-Spiotta, E., … </w:t>
      </w:r>
      <w:proofErr w:type="spellStart"/>
      <w:r>
        <w:t>Uriarte</w:t>
      </w:r>
      <w:proofErr w:type="spellEnd"/>
      <w:r>
        <w:t xml:space="preserve">, M. (2015). Tropical reforestation and climate change: beyond carbon: Tropical reforestation beyond carbon. </w:t>
      </w:r>
      <w:r>
        <w:rPr>
          <w:i/>
          <w:iCs/>
        </w:rPr>
        <w:t>Restoration Ecology</w:t>
      </w:r>
      <w:r>
        <w:t xml:space="preserve">, </w:t>
      </w:r>
      <w:r>
        <w:rPr>
          <w:i/>
          <w:iCs/>
        </w:rPr>
        <w:t>23</w:t>
      </w:r>
      <w:r>
        <w:t xml:space="preserve">(4), 337–343. </w:t>
      </w:r>
      <w:hyperlink r:id="rId64" w:history="1">
        <w:r>
          <w:rPr>
            <w:rStyle w:val="Hyperlink"/>
          </w:rPr>
          <w:t>https://doi.org/10.1111/rec.12209</w:t>
        </w:r>
      </w:hyperlink>
    </w:p>
    <w:p w14:paraId="7CD3D667" w14:textId="77777777" w:rsidR="00A779B8" w:rsidRPr="0055140A" w:rsidRDefault="00A779B8" w:rsidP="00A779B8">
      <w:pPr>
        <w:spacing w:line="480" w:lineRule="auto"/>
        <w:ind w:hanging="480"/>
        <w:rPr>
          <w:lang w:val="de-DE"/>
        </w:rPr>
      </w:pPr>
      <w:r>
        <w:t xml:space="preserve">Lonsdale, W. M. (1999). Global Patterns of Plant Invasions and the Concept of </w:t>
      </w:r>
      <w:proofErr w:type="spellStart"/>
      <w:r>
        <w:t>Invasibility</w:t>
      </w:r>
      <w:proofErr w:type="spellEnd"/>
      <w:r>
        <w:t xml:space="preserve">. </w:t>
      </w:r>
      <w:r w:rsidRPr="0055140A">
        <w:rPr>
          <w:i/>
          <w:iCs/>
          <w:lang w:val="de-DE"/>
        </w:rPr>
        <w:t>Ecology</w:t>
      </w:r>
      <w:r w:rsidRPr="0055140A">
        <w:rPr>
          <w:lang w:val="de-DE"/>
        </w:rPr>
        <w:t xml:space="preserve">, </w:t>
      </w:r>
      <w:r w:rsidRPr="0055140A">
        <w:rPr>
          <w:i/>
          <w:iCs/>
          <w:lang w:val="de-DE"/>
        </w:rPr>
        <w:t>80</w:t>
      </w:r>
      <w:r w:rsidRPr="0055140A">
        <w:rPr>
          <w:lang w:val="de-DE"/>
        </w:rPr>
        <w:t xml:space="preserve">(5), 1522–1536. </w:t>
      </w:r>
      <w:r w:rsidR="009432C9">
        <w:fldChar w:fldCharType="begin"/>
      </w:r>
      <w:r w:rsidR="009432C9">
        <w:instrText xml:space="preserve"> HYPERLINK "https://doi.org/10.1890/0012-9658(1999)080%5b1522:GPOPIA%5d2.0.CO;2" </w:instrText>
      </w:r>
      <w:r w:rsidR="009432C9">
        <w:fldChar w:fldCharType="separate"/>
      </w:r>
      <w:r w:rsidRPr="0055140A">
        <w:rPr>
          <w:rStyle w:val="Hyperlink"/>
          <w:lang w:val="de-DE"/>
        </w:rPr>
        <w:t>https://doi.org/10.1890/0012-9658(1999)080[1522:GPOPIA]2.0.CO;2</w:t>
      </w:r>
      <w:r w:rsidR="009432C9">
        <w:rPr>
          <w:rStyle w:val="Hyperlink"/>
          <w:lang w:val="de-DE"/>
        </w:rPr>
        <w:fldChar w:fldCharType="end"/>
      </w:r>
    </w:p>
    <w:p w14:paraId="65D52AC5" w14:textId="77777777" w:rsidR="00A779B8" w:rsidRDefault="00A779B8" w:rsidP="00A779B8">
      <w:pPr>
        <w:spacing w:line="480" w:lineRule="auto"/>
        <w:ind w:hanging="480"/>
      </w:pPr>
      <w:r w:rsidRPr="0055140A">
        <w:rPr>
          <w:lang w:val="de-DE"/>
        </w:rPr>
        <w:t xml:space="preserve">Luyssaert, S., Inglima, I., Jung, M., Richardson, A. D., Reichstein, M., Papale, D., … </w:t>
      </w:r>
      <w:r>
        <w:t xml:space="preserve">Janssens, I. A. (2007). CO2 balance of boreal, temperate, and tropical forests derived from a global database. </w:t>
      </w:r>
      <w:r>
        <w:rPr>
          <w:i/>
          <w:iCs/>
        </w:rPr>
        <w:t>Global Change Biology</w:t>
      </w:r>
      <w:r>
        <w:t xml:space="preserve">, </w:t>
      </w:r>
      <w:r>
        <w:rPr>
          <w:i/>
          <w:iCs/>
        </w:rPr>
        <w:t>13</w:t>
      </w:r>
      <w:r>
        <w:t xml:space="preserve">(12), 2509–2537. </w:t>
      </w:r>
      <w:hyperlink r:id="rId65" w:history="1">
        <w:r>
          <w:rPr>
            <w:rStyle w:val="Hyperlink"/>
          </w:rPr>
          <w:t>https://doi.org/10.1111/j.1365-2486.2007.01439.x</w:t>
        </w:r>
      </w:hyperlink>
    </w:p>
    <w:p w14:paraId="3DD6C36C" w14:textId="77777777" w:rsidR="00A779B8" w:rsidRPr="0055140A" w:rsidRDefault="00A779B8" w:rsidP="00A779B8">
      <w:pPr>
        <w:spacing w:line="480" w:lineRule="auto"/>
        <w:ind w:hanging="480"/>
      </w:pPr>
      <w:proofErr w:type="spellStart"/>
      <w:r>
        <w:t>Luyssaert</w:t>
      </w:r>
      <w:proofErr w:type="spellEnd"/>
      <w:r>
        <w:t xml:space="preserve">, </w:t>
      </w:r>
      <w:proofErr w:type="spellStart"/>
      <w:r>
        <w:t>Sebastiaan</w:t>
      </w:r>
      <w:proofErr w:type="spellEnd"/>
      <w:r>
        <w:t xml:space="preserve">, Schulze, E.-D., </w:t>
      </w:r>
      <w:proofErr w:type="spellStart"/>
      <w:r>
        <w:t>Börner</w:t>
      </w:r>
      <w:proofErr w:type="spellEnd"/>
      <w:r>
        <w:t xml:space="preserve">, A., </w:t>
      </w:r>
      <w:proofErr w:type="spellStart"/>
      <w:r>
        <w:t>Knohl</w:t>
      </w:r>
      <w:proofErr w:type="spellEnd"/>
      <w:r>
        <w:t xml:space="preserve">, A., </w:t>
      </w:r>
      <w:proofErr w:type="spellStart"/>
      <w:r>
        <w:t>Hessenmöller</w:t>
      </w:r>
      <w:proofErr w:type="spellEnd"/>
      <w:r>
        <w:t xml:space="preserve">, D., Law, B. E., … Grace, J. (2008). Old-growth forests as global carbon sinks. </w:t>
      </w:r>
      <w:r>
        <w:rPr>
          <w:i/>
          <w:iCs/>
        </w:rPr>
        <w:t>Nature</w:t>
      </w:r>
      <w:r>
        <w:t xml:space="preserve">, </w:t>
      </w:r>
      <w:r>
        <w:rPr>
          <w:i/>
          <w:iCs/>
        </w:rPr>
        <w:t>455</w:t>
      </w:r>
      <w:r>
        <w:t xml:space="preserve">(7210), 213–215. </w:t>
      </w:r>
      <w:hyperlink r:id="rId66" w:history="1">
        <w:r w:rsidRPr="0055140A">
          <w:rPr>
            <w:rStyle w:val="Hyperlink"/>
          </w:rPr>
          <w:t>https://doi.org/10.1038/nature07276</w:t>
        </w:r>
      </w:hyperlink>
    </w:p>
    <w:p w14:paraId="7313E9BD" w14:textId="77777777" w:rsidR="00A779B8" w:rsidRPr="0055140A" w:rsidRDefault="00A779B8" w:rsidP="00A779B8">
      <w:pPr>
        <w:spacing w:line="480" w:lineRule="auto"/>
        <w:ind w:hanging="480"/>
      </w:pPr>
      <w:proofErr w:type="spellStart"/>
      <w:r w:rsidRPr="0055140A">
        <w:t>MacDicken</w:t>
      </w:r>
      <w:proofErr w:type="spellEnd"/>
      <w:r w:rsidRPr="0055140A">
        <w:t xml:space="preserve">, K. G., Sola, P., Hall, J. E., </w:t>
      </w:r>
      <w:proofErr w:type="spellStart"/>
      <w:r w:rsidRPr="0055140A">
        <w:t>Sabogal</w:t>
      </w:r>
      <w:proofErr w:type="spellEnd"/>
      <w:r w:rsidRPr="0055140A">
        <w:t xml:space="preserve">, C., </w:t>
      </w:r>
      <w:proofErr w:type="spellStart"/>
      <w:r w:rsidRPr="0055140A">
        <w:t>Tadoum</w:t>
      </w:r>
      <w:proofErr w:type="spellEnd"/>
      <w:r w:rsidRPr="0055140A">
        <w:t xml:space="preserve">, M., &amp; de </w:t>
      </w:r>
      <w:proofErr w:type="spellStart"/>
      <w:r w:rsidRPr="0055140A">
        <w:t>Wasseige</w:t>
      </w:r>
      <w:proofErr w:type="spellEnd"/>
      <w:r w:rsidRPr="0055140A">
        <w:t xml:space="preserve">, C. (2015). </w:t>
      </w:r>
      <w:r>
        <w:t xml:space="preserve">Global progress toward sustainable forest management. </w:t>
      </w:r>
      <w:r>
        <w:rPr>
          <w:i/>
          <w:iCs/>
        </w:rPr>
        <w:t>Forest Ecology and Management</w:t>
      </w:r>
      <w:r>
        <w:t xml:space="preserve">, </w:t>
      </w:r>
      <w:r>
        <w:rPr>
          <w:i/>
          <w:iCs/>
        </w:rPr>
        <w:t>352</w:t>
      </w:r>
      <w:r>
        <w:t xml:space="preserve">, 47–56. </w:t>
      </w:r>
      <w:hyperlink r:id="rId67" w:history="1">
        <w:r w:rsidRPr="0055140A">
          <w:rPr>
            <w:rStyle w:val="Hyperlink"/>
          </w:rPr>
          <w:t>https://doi.org/10.1016/j.foreco.2015.02.005</w:t>
        </w:r>
      </w:hyperlink>
    </w:p>
    <w:p w14:paraId="5DFAD9E4" w14:textId="77777777" w:rsidR="00A779B8" w:rsidRDefault="00A779B8" w:rsidP="00A779B8">
      <w:pPr>
        <w:spacing w:line="480" w:lineRule="auto"/>
        <w:ind w:hanging="480"/>
      </w:pPr>
      <w:r w:rsidRPr="0055140A">
        <w:t xml:space="preserve">Mackey, B., </w:t>
      </w:r>
      <w:proofErr w:type="spellStart"/>
      <w:r w:rsidRPr="0055140A">
        <w:t>DellaSala</w:t>
      </w:r>
      <w:proofErr w:type="spellEnd"/>
      <w:r w:rsidRPr="0055140A">
        <w:t xml:space="preserve">, D. A., </w:t>
      </w:r>
      <w:proofErr w:type="spellStart"/>
      <w:r w:rsidRPr="0055140A">
        <w:t>Kormos</w:t>
      </w:r>
      <w:proofErr w:type="spellEnd"/>
      <w:r w:rsidRPr="0055140A">
        <w:t xml:space="preserve">, C., </w:t>
      </w:r>
      <w:proofErr w:type="spellStart"/>
      <w:r w:rsidRPr="0055140A">
        <w:t>Lindenmayer</w:t>
      </w:r>
      <w:proofErr w:type="spellEnd"/>
      <w:r w:rsidRPr="0055140A">
        <w:t xml:space="preserve">, D., </w:t>
      </w:r>
      <w:proofErr w:type="spellStart"/>
      <w:r w:rsidRPr="0055140A">
        <w:t>Kumpel</w:t>
      </w:r>
      <w:proofErr w:type="spellEnd"/>
      <w:r w:rsidRPr="0055140A">
        <w:t xml:space="preserve">, N., Zimmerman, B., … </w:t>
      </w:r>
      <w:r>
        <w:t xml:space="preserve">Watson, J. E. M. (2015). Policy Options for the World’s Primary Forests in Multilateral Environmental Agreements. </w:t>
      </w:r>
      <w:r>
        <w:rPr>
          <w:i/>
          <w:iCs/>
        </w:rPr>
        <w:t>Conservation Letters</w:t>
      </w:r>
      <w:r>
        <w:t xml:space="preserve">, </w:t>
      </w:r>
      <w:r>
        <w:rPr>
          <w:i/>
          <w:iCs/>
        </w:rPr>
        <w:t>8</w:t>
      </w:r>
      <w:r>
        <w:t xml:space="preserve">(2), 139–147. </w:t>
      </w:r>
      <w:hyperlink r:id="rId68" w:history="1">
        <w:r>
          <w:rPr>
            <w:rStyle w:val="Hyperlink"/>
          </w:rPr>
          <w:t>https://doi.org/10.1111/conl.12120</w:t>
        </w:r>
      </w:hyperlink>
    </w:p>
    <w:p w14:paraId="7B85DEC2" w14:textId="77777777" w:rsidR="00A779B8" w:rsidRDefault="00A779B8" w:rsidP="00A779B8">
      <w:pPr>
        <w:spacing w:line="480" w:lineRule="auto"/>
        <w:ind w:hanging="480"/>
      </w:pPr>
      <w:proofErr w:type="spellStart"/>
      <w:r>
        <w:t>Malhi</w:t>
      </w:r>
      <w:proofErr w:type="spellEnd"/>
      <w:r>
        <w:t xml:space="preserve">, Y., </w:t>
      </w:r>
      <w:proofErr w:type="spellStart"/>
      <w:r>
        <w:t>Baldocchi</w:t>
      </w:r>
      <w:proofErr w:type="spellEnd"/>
      <w:r>
        <w:t xml:space="preserve">, D. D., &amp; Jarvis, P. G. (1999). The carbon balance of tropical, temperate and boreal forests. </w:t>
      </w:r>
      <w:r>
        <w:rPr>
          <w:i/>
          <w:iCs/>
        </w:rPr>
        <w:t>ResearchGate</w:t>
      </w:r>
      <w:r>
        <w:t xml:space="preserve">, </w:t>
      </w:r>
      <w:r>
        <w:rPr>
          <w:i/>
          <w:iCs/>
        </w:rPr>
        <w:t>22</w:t>
      </w:r>
      <w:r>
        <w:t xml:space="preserve">(6), 715-740. </w:t>
      </w:r>
      <w:hyperlink r:id="rId69" w:history="1">
        <w:r>
          <w:rPr>
            <w:rStyle w:val="Hyperlink"/>
          </w:rPr>
          <w:t>https://doi.org/10.1046/j.1365-3040.1999.00453.x</w:t>
        </w:r>
      </w:hyperlink>
    </w:p>
    <w:p w14:paraId="59BFBDFF" w14:textId="77777777" w:rsidR="00A779B8" w:rsidRDefault="00A779B8" w:rsidP="00A779B8">
      <w:pPr>
        <w:spacing w:line="480" w:lineRule="auto"/>
        <w:ind w:hanging="480"/>
      </w:pPr>
      <w:proofErr w:type="spellStart"/>
      <w:r>
        <w:t>Malhi</w:t>
      </w:r>
      <w:proofErr w:type="spellEnd"/>
      <w:r>
        <w:t xml:space="preserve">, </w:t>
      </w:r>
      <w:proofErr w:type="spellStart"/>
      <w:r>
        <w:t>Yadvinder</w:t>
      </w:r>
      <w:proofErr w:type="spellEnd"/>
      <w:r>
        <w:t xml:space="preserve">. (2012). The productivity, metabolism and carbon cycle of tropical forest vegetation. </w:t>
      </w:r>
      <w:r>
        <w:rPr>
          <w:i/>
          <w:iCs/>
        </w:rPr>
        <w:t>Journal of Ecology</w:t>
      </w:r>
      <w:r>
        <w:t xml:space="preserve">, </w:t>
      </w:r>
      <w:r>
        <w:rPr>
          <w:i/>
          <w:iCs/>
        </w:rPr>
        <w:t>100</w:t>
      </w:r>
      <w:r>
        <w:t xml:space="preserve">(1), 65–75. </w:t>
      </w:r>
      <w:hyperlink r:id="rId70" w:history="1">
        <w:r>
          <w:rPr>
            <w:rStyle w:val="Hyperlink"/>
          </w:rPr>
          <w:t>https://doi.org/10.1111/j.1365-2745.2011.01916.x</w:t>
        </w:r>
      </w:hyperlink>
    </w:p>
    <w:p w14:paraId="2BE8D3DA" w14:textId="77777777" w:rsidR="00A779B8" w:rsidRPr="0055140A" w:rsidRDefault="00A779B8" w:rsidP="00A779B8">
      <w:pPr>
        <w:spacing w:line="480" w:lineRule="auto"/>
        <w:ind w:hanging="480"/>
        <w:rPr>
          <w:lang w:val="pl-PL"/>
        </w:rPr>
      </w:pPr>
      <w:r>
        <w:lastRenderedPageBreak/>
        <w:t xml:space="preserve">Martin, P. A., Newton, A. C., &amp; Bullock, J. M. (2013). Carbon pools recover more quickly than plant biodiversity in tropical secondary forests. </w:t>
      </w:r>
      <w:r w:rsidRPr="0055140A">
        <w:rPr>
          <w:i/>
          <w:iCs/>
          <w:lang w:val="pl-PL"/>
        </w:rPr>
        <w:t>Proc. R. Soc. B</w:t>
      </w:r>
      <w:r w:rsidRPr="0055140A">
        <w:rPr>
          <w:lang w:val="pl-PL"/>
        </w:rPr>
        <w:t xml:space="preserve">, </w:t>
      </w:r>
      <w:r w:rsidRPr="0055140A">
        <w:rPr>
          <w:i/>
          <w:iCs/>
          <w:lang w:val="pl-PL"/>
        </w:rPr>
        <w:t>280</w:t>
      </w:r>
      <w:r w:rsidRPr="0055140A">
        <w:rPr>
          <w:lang w:val="pl-PL"/>
        </w:rPr>
        <w:t xml:space="preserve">(1773), 20132236. </w:t>
      </w:r>
      <w:r w:rsidR="009432C9">
        <w:fldChar w:fldCharType="begin"/>
      </w:r>
      <w:r w:rsidR="009432C9">
        <w:instrText xml:space="preserve"> HYPERLINK "https://doi.org/10.1098/rspb.2013.2236" </w:instrText>
      </w:r>
      <w:r w:rsidR="009432C9">
        <w:fldChar w:fldCharType="separate"/>
      </w:r>
      <w:r w:rsidRPr="0055140A">
        <w:rPr>
          <w:rStyle w:val="Hyperlink"/>
          <w:lang w:val="pl-PL"/>
        </w:rPr>
        <w:t>https://doi.org/10.1098/rspb.2013.2236</w:t>
      </w:r>
      <w:r w:rsidR="009432C9">
        <w:rPr>
          <w:rStyle w:val="Hyperlink"/>
          <w:lang w:val="pl-PL"/>
        </w:rPr>
        <w:fldChar w:fldCharType="end"/>
      </w:r>
    </w:p>
    <w:p w14:paraId="1E142179" w14:textId="77777777" w:rsidR="00A779B8" w:rsidRDefault="00A779B8" w:rsidP="00A779B8">
      <w:pPr>
        <w:spacing w:line="480" w:lineRule="auto"/>
        <w:ind w:hanging="480"/>
      </w:pPr>
      <w:r w:rsidRPr="0055140A">
        <w:rPr>
          <w:lang w:val="pl-PL"/>
        </w:rPr>
        <w:t xml:space="preserve">Martı́nez, L. J., &amp; Zinck, J. A. (2004). </w:t>
      </w:r>
      <w:r>
        <w:t xml:space="preserve">Temporal variation of soil compaction and deterioration of soil quality in pasture areas of Colombian Amazonia. </w:t>
      </w:r>
      <w:r>
        <w:rPr>
          <w:i/>
          <w:iCs/>
        </w:rPr>
        <w:t>Soil and Tillage Research</w:t>
      </w:r>
      <w:r>
        <w:t xml:space="preserve">, </w:t>
      </w:r>
      <w:r>
        <w:rPr>
          <w:i/>
          <w:iCs/>
        </w:rPr>
        <w:t>75</w:t>
      </w:r>
      <w:r>
        <w:t xml:space="preserve">(1), 3–18. </w:t>
      </w:r>
      <w:hyperlink r:id="rId71" w:history="1">
        <w:r>
          <w:rPr>
            <w:rStyle w:val="Hyperlink"/>
          </w:rPr>
          <w:t>https://doi.org/10.1016/j.still.2002.12.001</w:t>
        </w:r>
      </w:hyperlink>
    </w:p>
    <w:p w14:paraId="0554D92E" w14:textId="77777777" w:rsidR="00A779B8" w:rsidRDefault="00A779B8" w:rsidP="00A779B8">
      <w:pPr>
        <w:spacing w:line="480" w:lineRule="auto"/>
        <w:ind w:hanging="480"/>
      </w:pPr>
      <w:r>
        <w:t xml:space="preserve">Matthews, R. B., &amp; van </w:t>
      </w:r>
      <w:proofErr w:type="spellStart"/>
      <w:r>
        <w:t>Noordwijk</w:t>
      </w:r>
      <w:proofErr w:type="spellEnd"/>
      <w:r>
        <w:t xml:space="preserve">, M. (2014). From euphoria to reality on efforts to reduce emissions from deforestation and forest degradation (REDD+). </w:t>
      </w:r>
      <w:r>
        <w:rPr>
          <w:i/>
          <w:iCs/>
        </w:rPr>
        <w:t>Mitigation and Adaptation Strategies for Global Change</w:t>
      </w:r>
      <w:r>
        <w:t xml:space="preserve">, </w:t>
      </w:r>
      <w:r>
        <w:rPr>
          <w:i/>
          <w:iCs/>
        </w:rPr>
        <w:t>19</w:t>
      </w:r>
      <w:r>
        <w:t xml:space="preserve">(6), 615–620. </w:t>
      </w:r>
      <w:hyperlink r:id="rId72" w:history="1">
        <w:r>
          <w:rPr>
            <w:rStyle w:val="Hyperlink"/>
          </w:rPr>
          <w:t>https://doi.org/10.1007/s11027-014-9577-0</w:t>
        </w:r>
      </w:hyperlink>
    </w:p>
    <w:p w14:paraId="231C725C" w14:textId="77777777" w:rsidR="00A779B8" w:rsidRDefault="00A779B8" w:rsidP="00A779B8">
      <w:pPr>
        <w:spacing w:line="480" w:lineRule="auto"/>
        <w:ind w:hanging="480"/>
      </w:pPr>
      <w:r>
        <w:t xml:space="preserve">Matthews, R. B., van </w:t>
      </w:r>
      <w:proofErr w:type="spellStart"/>
      <w:r>
        <w:t>Noordwijk</w:t>
      </w:r>
      <w:proofErr w:type="spellEnd"/>
      <w:r>
        <w:t xml:space="preserve">, M., </w:t>
      </w:r>
      <w:proofErr w:type="spellStart"/>
      <w:r>
        <w:t>Lambin</w:t>
      </w:r>
      <w:proofErr w:type="spellEnd"/>
      <w:r>
        <w:t xml:space="preserve">, E., </w:t>
      </w:r>
      <w:proofErr w:type="spellStart"/>
      <w:r>
        <w:t>Meyfroidt</w:t>
      </w:r>
      <w:proofErr w:type="spellEnd"/>
      <w:r>
        <w:t xml:space="preserve">, P., Gupta, J., </w:t>
      </w:r>
      <w:proofErr w:type="spellStart"/>
      <w:r>
        <w:t>Verchot</w:t>
      </w:r>
      <w:proofErr w:type="spellEnd"/>
      <w:r>
        <w:t xml:space="preserve">, L., … </w:t>
      </w:r>
      <w:proofErr w:type="spellStart"/>
      <w:r>
        <w:t>Veldkamp</w:t>
      </w:r>
      <w:proofErr w:type="spellEnd"/>
      <w:r>
        <w:t xml:space="preserve">, E. (2014). Implementing REDD+ (Reducing Emissions from Deforestation and Degradation): evidence on governance, evaluation and impacts from the REDD-ALERT project. </w:t>
      </w:r>
      <w:r>
        <w:rPr>
          <w:i/>
          <w:iCs/>
        </w:rPr>
        <w:t>Mitigation and Adaptation Strategies for Global Change</w:t>
      </w:r>
      <w:r>
        <w:t xml:space="preserve">, </w:t>
      </w:r>
      <w:r>
        <w:rPr>
          <w:i/>
          <w:iCs/>
        </w:rPr>
        <w:t>19</w:t>
      </w:r>
      <w:r>
        <w:t xml:space="preserve">(6), 907–925. </w:t>
      </w:r>
      <w:hyperlink r:id="rId73" w:history="1">
        <w:r>
          <w:rPr>
            <w:rStyle w:val="Hyperlink"/>
          </w:rPr>
          <w:t>https://doi.org/10.1007/s11027-014-9578-z</w:t>
        </w:r>
      </w:hyperlink>
    </w:p>
    <w:p w14:paraId="155BF330" w14:textId="77777777" w:rsidR="00A779B8" w:rsidRPr="0055140A" w:rsidRDefault="00A779B8" w:rsidP="00A779B8">
      <w:pPr>
        <w:spacing w:line="480" w:lineRule="auto"/>
        <w:ind w:hanging="480"/>
        <w:rPr>
          <w:lang w:val="nl-NL"/>
        </w:rPr>
      </w:pPr>
      <w:r w:rsidRPr="0055140A">
        <w:rPr>
          <w:lang w:val="fi-FI"/>
        </w:rPr>
        <w:t xml:space="preserve">Miettinen, J., Hooijer, A., Shi, C., Tollenaar, D., Vernimmen, R., Liew, S. C., … </w:t>
      </w:r>
      <w:r>
        <w:t xml:space="preserve">Page, S. E. (2012). Extent of industrial plantations on Southeast Asian peatlands in 2010 with analysis of historical expansion and future projections. </w:t>
      </w:r>
      <w:r w:rsidRPr="0055140A">
        <w:rPr>
          <w:i/>
          <w:iCs/>
          <w:lang w:val="nl-NL"/>
        </w:rPr>
        <w:t>GCB Bioenergy</w:t>
      </w:r>
      <w:r w:rsidRPr="0055140A">
        <w:rPr>
          <w:lang w:val="nl-NL"/>
        </w:rPr>
        <w:t xml:space="preserve">, </w:t>
      </w:r>
      <w:r w:rsidRPr="0055140A">
        <w:rPr>
          <w:i/>
          <w:iCs/>
          <w:lang w:val="nl-NL"/>
        </w:rPr>
        <w:t>4</w:t>
      </w:r>
      <w:r w:rsidRPr="0055140A">
        <w:rPr>
          <w:lang w:val="nl-NL"/>
        </w:rPr>
        <w:t xml:space="preserve">(6), 908–918. </w:t>
      </w:r>
      <w:r w:rsidR="009432C9">
        <w:fldChar w:fldCharType="begin"/>
      </w:r>
      <w:r w:rsidR="009432C9">
        <w:instrText xml:space="preserve"> HYPERLINK "https://doi.org/10.1111/j.1757-1707.2012.01172.x" </w:instrText>
      </w:r>
      <w:r w:rsidR="009432C9">
        <w:fldChar w:fldCharType="separate"/>
      </w:r>
      <w:r w:rsidRPr="0055140A">
        <w:rPr>
          <w:rStyle w:val="Hyperlink"/>
          <w:lang w:val="nl-NL"/>
        </w:rPr>
        <w:t>https://doi.org/10.1111/j.1757-1707.2012.01172.x</w:t>
      </w:r>
      <w:r w:rsidR="009432C9">
        <w:rPr>
          <w:rStyle w:val="Hyperlink"/>
          <w:lang w:val="nl-NL"/>
        </w:rPr>
        <w:fldChar w:fldCharType="end"/>
      </w:r>
    </w:p>
    <w:p w14:paraId="038D4205" w14:textId="77777777" w:rsidR="00A779B8" w:rsidRDefault="00A779B8" w:rsidP="00A779B8">
      <w:pPr>
        <w:spacing w:line="480" w:lineRule="auto"/>
        <w:ind w:hanging="480"/>
      </w:pPr>
      <w:r w:rsidRPr="0055140A">
        <w:rPr>
          <w:lang w:val="nl-NL"/>
        </w:rPr>
        <w:t xml:space="preserve">Minang, P. A., &amp; van Noordwijk, M. (2013). </w:t>
      </w:r>
      <w:r>
        <w:t xml:space="preserve">Design challenges for achieving reduced emissions from deforestation and forest degradation through conservation: Leveraging multiple paradigms at the tropical forest margins. </w:t>
      </w:r>
      <w:r>
        <w:rPr>
          <w:i/>
          <w:iCs/>
        </w:rPr>
        <w:t>Land Use Policy</w:t>
      </w:r>
      <w:r>
        <w:t xml:space="preserve">, </w:t>
      </w:r>
      <w:r>
        <w:rPr>
          <w:i/>
          <w:iCs/>
        </w:rPr>
        <w:t>31</w:t>
      </w:r>
      <w:r>
        <w:t xml:space="preserve">, 61–70. </w:t>
      </w:r>
      <w:hyperlink r:id="rId74" w:history="1">
        <w:r>
          <w:rPr>
            <w:rStyle w:val="Hyperlink"/>
          </w:rPr>
          <w:t>https://doi.org/10.1016/j.landusepol.2012.04.025</w:t>
        </w:r>
      </w:hyperlink>
    </w:p>
    <w:p w14:paraId="5D2A7B87" w14:textId="77777777" w:rsidR="00A779B8" w:rsidRDefault="00A779B8" w:rsidP="00A779B8">
      <w:pPr>
        <w:spacing w:line="480" w:lineRule="auto"/>
        <w:ind w:hanging="480"/>
      </w:pPr>
      <w:r>
        <w:t xml:space="preserve">Morales-Hidalgo, D., Oswalt, S. N., &amp; </w:t>
      </w:r>
      <w:proofErr w:type="spellStart"/>
      <w:r>
        <w:t>Somanathan</w:t>
      </w:r>
      <w:proofErr w:type="spellEnd"/>
      <w:r>
        <w:t xml:space="preserve">, E. (2015). Status and trends in global primary forest, protected areas, and areas designated for conservation of biodiversity from the Global Forest Resources Assessment 2015. </w:t>
      </w:r>
      <w:r>
        <w:rPr>
          <w:i/>
          <w:iCs/>
        </w:rPr>
        <w:t>Forest Ecology and Management</w:t>
      </w:r>
      <w:r>
        <w:t xml:space="preserve">, </w:t>
      </w:r>
      <w:r>
        <w:rPr>
          <w:i/>
          <w:iCs/>
        </w:rPr>
        <w:t>352</w:t>
      </w:r>
      <w:r>
        <w:t xml:space="preserve">, 68–77. </w:t>
      </w:r>
      <w:hyperlink r:id="rId75" w:history="1">
        <w:r>
          <w:rPr>
            <w:rStyle w:val="Hyperlink"/>
          </w:rPr>
          <w:t>https://doi.org/10.1016/j.foreco.2015.06.011</w:t>
        </w:r>
      </w:hyperlink>
    </w:p>
    <w:p w14:paraId="41D1CF59" w14:textId="77777777" w:rsidR="00A779B8" w:rsidRDefault="00A779B8" w:rsidP="00A779B8">
      <w:pPr>
        <w:spacing w:line="480" w:lineRule="auto"/>
        <w:ind w:hanging="480"/>
      </w:pPr>
      <w:r w:rsidRPr="0055140A">
        <w:lastRenderedPageBreak/>
        <w:t xml:space="preserve">Morton, D. C., </w:t>
      </w:r>
      <w:proofErr w:type="spellStart"/>
      <w:r w:rsidRPr="0055140A">
        <w:t>DeFries</w:t>
      </w:r>
      <w:proofErr w:type="spellEnd"/>
      <w:r w:rsidRPr="0055140A">
        <w:t xml:space="preserve">, R. S., Shimabukuro, Y. E., Anderson, L. O., Arai, E., del Bon </w:t>
      </w:r>
      <w:proofErr w:type="spellStart"/>
      <w:r w:rsidRPr="0055140A">
        <w:t>Espirito</w:t>
      </w:r>
      <w:proofErr w:type="spellEnd"/>
      <w:r w:rsidRPr="0055140A">
        <w:t xml:space="preserve">-Santo, F., … </w:t>
      </w:r>
      <w:proofErr w:type="spellStart"/>
      <w:r>
        <w:t>Morisette</w:t>
      </w:r>
      <w:proofErr w:type="spellEnd"/>
      <w:r>
        <w:t xml:space="preserve">, J. (2006). Cropland expansion changes deforestation dynamics in the southern Brazilian Amazon. </w:t>
      </w:r>
      <w:r>
        <w:rPr>
          <w:i/>
          <w:iCs/>
        </w:rPr>
        <w:t>Proceedings of the National Academy of Sciences</w:t>
      </w:r>
      <w:r>
        <w:t xml:space="preserve">, </w:t>
      </w:r>
      <w:r>
        <w:rPr>
          <w:i/>
          <w:iCs/>
        </w:rPr>
        <w:t>103</w:t>
      </w:r>
      <w:r>
        <w:t>(39), 14637–14641.</w:t>
      </w:r>
    </w:p>
    <w:p w14:paraId="290C52FD" w14:textId="77777777" w:rsidR="00A779B8" w:rsidRPr="0055140A" w:rsidRDefault="00A779B8" w:rsidP="00A779B8">
      <w:pPr>
        <w:spacing w:line="480" w:lineRule="auto"/>
        <w:ind w:hanging="480"/>
      </w:pPr>
      <w:proofErr w:type="spellStart"/>
      <w:r>
        <w:t>Moutinho</w:t>
      </w:r>
      <w:proofErr w:type="spellEnd"/>
      <w:r>
        <w:t xml:space="preserve">, P. (2005). </w:t>
      </w:r>
      <w:r>
        <w:rPr>
          <w:i/>
          <w:iCs/>
        </w:rPr>
        <w:t>Tropical deforestation and climate change.</w:t>
      </w:r>
      <w:r>
        <w:t xml:space="preserve"> </w:t>
      </w:r>
      <w:proofErr w:type="spellStart"/>
      <w:r w:rsidRPr="0055140A">
        <w:t>Belém</w:t>
      </w:r>
      <w:proofErr w:type="spellEnd"/>
      <w:r w:rsidRPr="0055140A">
        <w:t xml:space="preserve">: IPAN, Washington DC-USA: </w:t>
      </w:r>
      <w:proofErr w:type="spellStart"/>
      <w:r w:rsidRPr="0055140A">
        <w:t>Enviromental</w:t>
      </w:r>
      <w:proofErr w:type="spellEnd"/>
      <w:r w:rsidRPr="0055140A">
        <w:t xml:space="preserve"> Defense.</w:t>
      </w:r>
    </w:p>
    <w:p w14:paraId="58D87C97" w14:textId="77777777" w:rsidR="00A779B8" w:rsidRDefault="00A779B8" w:rsidP="00A779B8">
      <w:pPr>
        <w:spacing w:line="480" w:lineRule="auto"/>
        <w:ind w:hanging="480"/>
      </w:pPr>
      <w:r w:rsidRPr="0055140A">
        <w:t xml:space="preserve">NATIONS, F. A. A. O. O. T. U. (2016). </w:t>
      </w:r>
      <w:r>
        <w:rPr>
          <w:i/>
          <w:iCs/>
        </w:rPr>
        <w:t>GLOBAL FOREST RESOURCES ASSESSMENT.</w:t>
      </w:r>
      <w:r>
        <w:t xml:space="preserve"> </w:t>
      </w:r>
      <w:proofErr w:type="spellStart"/>
      <w:r>
        <w:t>S.l.</w:t>
      </w:r>
      <w:proofErr w:type="spellEnd"/>
      <w:r>
        <w:t>: FOOD &amp; AGRICULTURE ORG.</w:t>
      </w:r>
    </w:p>
    <w:p w14:paraId="04308E0B" w14:textId="77777777" w:rsidR="00A779B8" w:rsidRDefault="00A779B8" w:rsidP="00A779B8">
      <w:pPr>
        <w:spacing w:line="480" w:lineRule="auto"/>
        <w:ind w:hanging="480"/>
      </w:pPr>
      <w:r>
        <w:rPr>
          <w:i/>
          <w:iCs/>
        </w:rPr>
        <w:t>nclimate3227-s1.pdf</w:t>
      </w:r>
      <w:r>
        <w:t xml:space="preserve">. (n.d.). Retrieved from </w:t>
      </w:r>
      <w:hyperlink r:id="rId76" w:history="1">
        <w:r>
          <w:rPr>
            <w:rStyle w:val="Hyperlink"/>
          </w:rPr>
          <w:t>https://media.nature.com/original/nature-assets/nclimate/journal/v7/n3/extref/nclimate3227-s1.pdf</w:t>
        </w:r>
      </w:hyperlink>
    </w:p>
    <w:p w14:paraId="55C5DFA9" w14:textId="77777777" w:rsidR="00A779B8" w:rsidRDefault="00A779B8" w:rsidP="00A779B8">
      <w:pPr>
        <w:spacing w:line="480" w:lineRule="auto"/>
        <w:ind w:hanging="480"/>
      </w:pPr>
      <w:r w:rsidRPr="0055140A">
        <w:rPr>
          <w:lang w:val="pt-BR"/>
        </w:rPr>
        <w:t xml:space="preserve">Nepstad, D., Soares-Filho, B. S., Merry, F., Lima, A., Moutinho, P., Carter, J., … </w:t>
      </w:r>
      <w:r>
        <w:t xml:space="preserve">Stella, O. (2009). The End of Deforestation in the Brazilian Amazon. </w:t>
      </w:r>
      <w:r>
        <w:rPr>
          <w:i/>
          <w:iCs/>
        </w:rPr>
        <w:t>Science</w:t>
      </w:r>
      <w:r>
        <w:t xml:space="preserve">, </w:t>
      </w:r>
      <w:r>
        <w:rPr>
          <w:i/>
          <w:iCs/>
        </w:rPr>
        <w:t>326</w:t>
      </w:r>
      <w:r>
        <w:t xml:space="preserve">(5958), 1350–1351. </w:t>
      </w:r>
      <w:hyperlink r:id="rId77" w:history="1">
        <w:r>
          <w:rPr>
            <w:rStyle w:val="Hyperlink"/>
          </w:rPr>
          <w:t>https://doi.org/10.1126/science.1182108</w:t>
        </w:r>
      </w:hyperlink>
    </w:p>
    <w:p w14:paraId="232241EB" w14:textId="77777777" w:rsidR="00A779B8" w:rsidRDefault="00A779B8" w:rsidP="00A779B8">
      <w:pPr>
        <w:spacing w:line="480" w:lineRule="auto"/>
        <w:ind w:hanging="480"/>
      </w:pPr>
      <w:r>
        <w:t xml:space="preserve">NYDF Global Platform – New York Declaration on Forests. (n.d.). Retrieved December 30, 2018, from </w:t>
      </w:r>
      <w:hyperlink r:id="rId78" w:history="1">
        <w:r>
          <w:rPr>
            <w:rStyle w:val="Hyperlink"/>
          </w:rPr>
          <w:t>https://nydfglobalplatform.org/</w:t>
        </w:r>
      </w:hyperlink>
    </w:p>
    <w:p w14:paraId="7447A0F2" w14:textId="77777777" w:rsidR="00A779B8" w:rsidRDefault="00A779B8" w:rsidP="00A779B8">
      <w:pPr>
        <w:spacing w:line="480" w:lineRule="auto"/>
        <w:ind w:hanging="480"/>
      </w:pPr>
      <w:r>
        <w:t xml:space="preserve">Pan, Y., </w:t>
      </w:r>
      <w:proofErr w:type="spellStart"/>
      <w:r>
        <w:t>Birdsey</w:t>
      </w:r>
      <w:proofErr w:type="spellEnd"/>
      <w:r>
        <w:t xml:space="preserve">, R. A., Fang, J., Houghton, R., Kauppi, P. E., </w:t>
      </w:r>
      <w:proofErr w:type="spellStart"/>
      <w:r>
        <w:t>Kurz</w:t>
      </w:r>
      <w:proofErr w:type="spellEnd"/>
      <w:r>
        <w:t xml:space="preserve">, W. A., … Hayes, D. (2011). A Large and Persistent Carbon Sink in the World’s Forests. </w:t>
      </w:r>
      <w:r>
        <w:rPr>
          <w:i/>
          <w:iCs/>
        </w:rPr>
        <w:t>Science</w:t>
      </w:r>
      <w:r>
        <w:t xml:space="preserve">, </w:t>
      </w:r>
      <w:r>
        <w:rPr>
          <w:i/>
          <w:iCs/>
        </w:rPr>
        <w:t>333</w:t>
      </w:r>
      <w:r>
        <w:t xml:space="preserve">(6045), 988–993. </w:t>
      </w:r>
      <w:hyperlink r:id="rId79" w:history="1">
        <w:r>
          <w:rPr>
            <w:rStyle w:val="Hyperlink"/>
          </w:rPr>
          <w:t>https://doi.org/10.1126/science.1201609</w:t>
        </w:r>
      </w:hyperlink>
    </w:p>
    <w:p w14:paraId="7AF6562D" w14:textId="77777777" w:rsidR="00A779B8" w:rsidRDefault="00A779B8" w:rsidP="00A779B8">
      <w:pPr>
        <w:spacing w:line="480" w:lineRule="auto"/>
        <w:ind w:hanging="480"/>
      </w:pPr>
      <w:proofErr w:type="spellStart"/>
      <w:r>
        <w:t>Ramankutty</w:t>
      </w:r>
      <w:proofErr w:type="spellEnd"/>
      <w:r>
        <w:t xml:space="preserve">, N., Gibbs, H. K., </w:t>
      </w:r>
      <w:proofErr w:type="spellStart"/>
      <w:r>
        <w:t>Achard</w:t>
      </w:r>
      <w:proofErr w:type="spellEnd"/>
      <w:r>
        <w:t xml:space="preserve">, F., </w:t>
      </w:r>
      <w:proofErr w:type="spellStart"/>
      <w:r>
        <w:t>Defries</w:t>
      </w:r>
      <w:proofErr w:type="spellEnd"/>
      <w:r>
        <w:t xml:space="preserve">, R., Foley, J. A., &amp; Houghton, R. A. (2007). Challenges to estimating carbon emissions from tropical deforestation. </w:t>
      </w:r>
      <w:r>
        <w:rPr>
          <w:i/>
          <w:iCs/>
        </w:rPr>
        <w:t>Global Change Biology</w:t>
      </w:r>
      <w:r>
        <w:t xml:space="preserve">, </w:t>
      </w:r>
      <w:r>
        <w:rPr>
          <w:i/>
          <w:iCs/>
        </w:rPr>
        <w:t>13</w:t>
      </w:r>
      <w:r>
        <w:t xml:space="preserve">(1), 51–66. </w:t>
      </w:r>
      <w:hyperlink r:id="rId80" w:history="1">
        <w:r>
          <w:rPr>
            <w:rStyle w:val="Hyperlink"/>
          </w:rPr>
          <w:t>https://doi.org/10.1111/j.1365-2486.2006.01272.x</w:t>
        </w:r>
      </w:hyperlink>
    </w:p>
    <w:p w14:paraId="5754FCB3" w14:textId="77777777" w:rsidR="00A779B8" w:rsidRDefault="00A779B8" w:rsidP="00A779B8">
      <w:pPr>
        <w:spacing w:line="480" w:lineRule="auto"/>
        <w:ind w:hanging="480"/>
      </w:pPr>
      <w:r>
        <w:t xml:space="preserve">REDD+, transformational change and the promise of performance-based payments: a qualitative comparative analysis: Climate Policy: Vol 17, No 6. (n.d.). Retrieved December 10, 2018, from </w:t>
      </w:r>
      <w:hyperlink r:id="rId81" w:history="1">
        <w:r>
          <w:rPr>
            <w:rStyle w:val="Hyperlink"/>
          </w:rPr>
          <w:t>https://www.tandfonline.com/doi/abs/10.1080/14693062.2016.1169392</w:t>
        </w:r>
      </w:hyperlink>
    </w:p>
    <w:p w14:paraId="726F3EB5" w14:textId="77777777" w:rsidR="00A779B8" w:rsidRDefault="00A779B8" w:rsidP="00A779B8">
      <w:pPr>
        <w:spacing w:line="480" w:lineRule="auto"/>
        <w:ind w:hanging="480"/>
      </w:pPr>
      <w:r>
        <w:rPr>
          <w:i/>
          <w:iCs/>
        </w:rPr>
        <w:lastRenderedPageBreak/>
        <w:t>Regreening the Bare Hills - Tropical Forest Restoration in the | David Lamb | Springer</w:t>
      </w:r>
      <w:r>
        <w:t xml:space="preserve">. (2016). Retrieved from </w:t>
      </w:r>
      <w:hyperlink r:id="rId82" w:history="1">
        <w:r>
          <w:rPr>
            <w:rStyle w:val="Hyperlink"/>
          </w:rPr>
          <w:t>http://www.springer.com/la/book/9789048198696</w:t>
        </w:r>
      </w:hyperlink>
    </w:p>
    <w:p w14:paraId="30C5A43C" w14:textId="77777777" w:rsidR="00A779B8" w:rsidRDefault="00A779B8" w:rsidP="00A779B8">
      <w:pPr>
        <w:spacing w:line="480" w:lineRule="auto"/>
        <w:ind w:hanging="480"/>
      </w:pPr>
      <w:r>
        <w:t xml:space="preserve">Rey </w:t>
      </w:r>
      <w:proofErr w:type="spellStart"/>
      <w:r>
        <w:t>Benayas</w:t>
      </w:r>
      <w:proofErr w:type="spellEnd"/>
      <w:r>
        <w:t xml:space="preserve">, J., Martins, A., </w:t>
      </w:r>
      <w:proofErr w:type="spellStart"/>
      <w:r>
        <w:t>Nicolau</w:t>
      </w:r>
      <w:proofErr w:type="spellEnd"/>
      <w:r>
        <w:t xml:space="preserve">, J., &amp; Schulz, J. (2007). Abandonment of agricultural land: an overview of drivers and consequences. </w:t>
      </w:r>
      <w:r>
        <w:rPr>
          <w:i/>
          <w:iCs/>
        </w:rPr>
        <w:t>CAB Reviews: Perspectives in Agriculture, Veterinary Science, Nutrition and Natural Resources</w:t>
      </w:r>
      <w:r>
        <w:t xml:space="preserve">, </w:t>
      </w:r>
      <w:r>
        <w:rPr>
          <w:i/>
          <w:iCs/>
        </w:rPr>
        <w:t>2</w:t>
      </w:r>
      <w:r>
        <w:t xml:space="preserve">(057). </w:t>
      </w:r>
      <w:hyperlink r:id="rId83" w:history="1">
        <w:r>
          <w:rPr>
            <w:rStyle w:val="Hyperlink"/>
          </w:rPr>
          <w:t>https://doi.org/10.1079/PAVSNNR20072057</w:t>
        </w:r>
      </w:hyperlink>
    </w:p>
    <w:p w14:paraId="293A5CA7" w14:textId="77777777" w:rsidR="00A779B8" w:rsidRDefault="00A779B8" w:rsidP="00A779B8">
      <w:pPr>
        <w:spacing w:line="480" w:lineRule="auto"/>
        <w:ind w:hanging="480"/>
      </w:pPr>
      <w:r>
        <w:t xml:space="preserve">Running, S. W. (2012). A measurable planetary boundary for the biosphere. </w:t>
      </w:r>
      <w:r>
        <w:rPr>
          <w:i/>
          <w:iCs/>
        </w:rPr>
        <w:t>Science</w:t>
      </w:r>
      <w:r>
        <w:t xml:space="preserve">, </w:t>
      </w:r>
      <w:r>
        <w:rPr>
          <w:i/>
          <w:iCs/>
        </w:rPr>
        <w:t>337</w:t>
      </w:r>
      <w:r>
        <w:t>(6101), 1458–1459.</w:t>
      </w:r>
    </w:p>
    <w:p w14:paraId="3F0137C1" w14:textId="77777777" w:rsidR="00A779B8" w:rsidRDefault="00A779B8" w:rsidP="00A779B8">
      <w:pPr>
        <w:spacing w:line="480" w:lineRule="auto"/>
        <w:ind w:hanging="480"/>
      </w:pPr>
      <w:r>
        <w:t xml:space="preserve">Salzman, J., Bennett, G., Carroll, N., Goldstein, A., &amp; Jenkins, M. (2018). The global status and trends of Payments for Ecosystem Services. </w:t>
      </w:r>
      <w:r>
        <w:rPr>
          <w:i/>
          <w:iCs/>
        </w:rPr>
        <w:t>Nature Sustainability</w:t>
      </w:r>
      <w:r>
        <w:t xml:space="preserve">, </w:t>
      </w:r>
      <w:r>
        <w:rPr>
          <w:i/>
          <w:iCs/>
        </w:rPr>
        <w:t>1</w:t>
      </w:r>
      <w:r>
        <w:t xml:space="preserve">(3), 136–144. </w:t>
      </w:r>
      <w:hyperlink r:id="rId84" w:history="1">
        <w:r>
          <w:rPr>
            <w:rStyle w:val="Hyperlink"/>
          </w:rPr>
          <w:t>https://doi.org/10.1038/s41893-018-0033-0</w:t>
        </w:r>
      </w:hyperlink>
    </w:p>
    <w:p w14:paraId="2CC4ACB9" w14:textId="77777777" w:rsidR="00A779B8" w:rsidRDefault="00A779B8" w:rsidP="00A779B8">
      <w:pPr>
        <w:spacing w:line="480" w:lineRule="auto"/>
        <w:ind w:hanging="480"/>
      </w:pPr>
      <w:r>
        <w:t xml:space="preserve">Science, A. A. for the A. of. (1994). Corrections and Clarifications. </w:t>
      </w:r>
      <w:r>
        <w:rPr>
          <w:i/>
          <w:iCs/>
        </w:rPr>
        <w:t>Science</w:t>
      </w:r>
      <w:r>
        <w:t xml:space="preserve">, </w:t>
      </w:r>
      <w:r>
        <w:rPr>
          <w:i/>
          <w:iCs/>
        </w:rPr>
        <w:t>265</w:t>
      </w:r>
      <w:r>
        <w:t xml:space="preserve">(5169), 171–171. </w:t>
      </w:r>
      <w:hyperlink r:id="rId85" w:history="1">
        <w:r>
          <w:rPr>
            <w:rStyle w:val="Hyperlink"/>
          </w:rPr>
          <w:t>https://doi.org/10.1126/science.265.5169.171-c</w:t>
        </w:r>
      </w:hyperlink>
    </w:p>
    <w:p w14:paraId="1023053C" w14:textId="77777777" w:rsidR="00A779B8" w:rsidRDefault="00A779B8" w:rsidP="00A779B8">
      <w:pPr>
        <w:spacing w:line="480" w:lineRule="auto"/>
        <w:ind w:hanging="480"/>
      </w:pPr>
      <w:proofErr w:type="spellStart"/>
      <w:r>
        <w:t>Seidl</w:t>
      </w:r>
      <w:proofErr w:type="spellEnd"/>
      <w:r>
        <w:t xml:space="preserve">, R., Thom, D., Kautz, M., Martin-Benito, D., </w:t>
      </w:r>
      <w:proofErr w:type="spellStart"/>
      <w:r>
        <w:t>Peltoniemi</w:t>
      </w:r>
      <w:proofErr w:type="spellEnd"/>
      <w:r>
        <w:t xml:space="preserve">, M., </w:t>
      </w:r>
      <w:proofErr w:type="spellStart"/>
      <w:r>
        <w:t>Vacchiano</w:t>
      </w:r>
      <w:proofErr w:type="spellEnd"/>
      <w:r>
        <w:t xml:space="preserve">, G., … </w:t>
      </w:r>
      <w:proofErr w:type="spellStart"/>
      <w:r>
        <w:t>Reyer</w:t>
      </w:r>
      <w:proofErr w:type="spellEnd"/>
      <w:r>
        <w:t xml:space="preserve">, C. P. O. (2017). Forest disturbances under climate change. </w:t>
      </w:r>
      <w:r>
        <w:rPr>
          <w:i/>
          <w:iCs/>
        </w:rPr>
        <w:t>Nature Climate Change</w:t>
      </w:r>
      <w:r>
        <w:t xml:space="preserve">, </w:t>
      </w:r>
      <w:r>
        <w:rPr>
          <w:i/>
          <w:iCs/>
        </w:rPr>
        <w:t>7</w:t>
      </w:r>
      <w:r>
        <w:t xml:space="preserve">(6), 395–402. </w:t>
      </w:r>
      <w:hyperlink r:id="rId86" w:history="1">
        <w:r>
          <w:rPr>
            <w:rStyle w:val="Hyperlink"/>
          </w:rPr>
          <w:t>https://doi.org/10.1038/nclimate3303</w:t>
        </w:r>
      </w:hyperlink>
    </w:p>
    <w:p w14:paraId="2A8C81F9" w14:textId="77777777" w:rsidR="00A779B8" w:rsidRDefault="00A779B8" w:rsidP="00A779B8">
      <w:pPr>
        <w:spacing w:line="480" w:lineRule="auto"/>
        <w:ind w:hanging="480"/>
      </w:pPr>
      <w:r>
        <w:t xml:space="preserve">Silver, W. L., </w:t>
      </w:r>
      <w:proofErr w:type="spellStart"/>
      <w:r>
        <w:t>Ostertag</w:t>
      </w:r>
      <w:proofErr w:type="spellEnd"/>
      <w:r>
        <w:t xml:space="preserve">, R., &amp; Lugo, A. E. (2000). The Potential for Carbon Sequestration Through Reforestation of Abandoned Tropical Agricultural and Pasture Lands. </w:t>
      </w:r>
      <w:r>
        <w:rPr>
          <w:i/>
          <w:iCs/>
        </w:rPr>
        <w:t>Restoration Ecology</w:t>
      </w:r>
      <w:r>
        <w:t xml:space="preserve">, </w:t>
      </w:r>
      <w:r>
        <w:rPr>
          <w:i/>
          <w:iCs/>
        </w:rPr>
        <w:t>8</w:t>
      </w:r>
      <w:r>
        <w:t xml:space="preserve">(4), 394–407. </w:t>
      </w:r>
      <w:hyperlink r:id="rId87" w:history="1">
        <w:r>
          <w:rPr>
            <w:rStyle w:val="Hyperlink"/>
          </w:rPr>
          <w:t>https://doi.org/10.1046/j.1526-100x.2000.80054.x</w:t>
        </w:r>
      </w:hyperlink>
    </w:p>
    <w:p w14:paraId="6B63099E" w14:textId="77777777" w:rsidR="00A779B8" w:rsidRDefault="00A779B8" w:rsidP="00A779B8">
      <w:pPr>
        <w:spacing w:line="480" w:lineRule="auto"/>
        <w:ind w:hanging="480"/>
      </w:pPr>
      <w:proofErr w:type="spellStart"/>
      <w:r>
        <w:rPr>
          <w:i/>
          <w:iCs/>
        </w:rPr>
        <w:t>Sohngen</w:t>
      </w:r>
      <w:proofErr w:type="spellEnd"/>
      <w:r>
        <w:rPr>
          <w:i/>
          <w:iCs/>
        </w:rPr>
        <w:t xml:space="preserve"> and Beach (2006) Avoided Deforestation as a Greenhouse Gas Mitigation Tool- Economic Issues for Consideration.pdf</w:t>
      </w:r>
      <w:r>
        <w:t>. (n.d.).</w:t>
      </w:r>
    </w:p>
    <w:p w14:paraId="5174DC45" w14:textId="77777777" w:rsidR="00A779B8" w:rsidRDefault="00A779B8" w:rsidP="00A779B8">
      <w:pPr>
        <w:spacing w:line="480" w:lineRule="auto"/>
        <w:ind w:hanging="480"/>
      </w:pPr>
      <w:proofErr w:type="spellStart"/>
      <w:r>
        <w:rPr>
          <w:i/>
          <w:iCs/>
        </w:rPr>
        <w:t>Sohngen</w:t>
      </w:r>
      <w:proofErr w:type="spellEnd"/>
      <w:r>
        <w:rPr>
          <w:i/>
          <w:iCs/>
        </w:rPr>
        <w:t xml:space="preserve"> and Beach (2006).</w:t>
      </w:r>
      <w:proofErr w:type="spellStart"/>
      <w:r>
        <w:rPr>
          <w:i/>
          <w:iCs/>
        </w:rPr>
        <w:t>ris</w:t>
      </w:r>
      <w:proofErr w:type="spellEnd"/>
      <w:r>
        <w:t>. (n.d.).</w:t>
      </w:r>
    </w:p>
    <w:p w14:paraId="0B33363C" w14:textId="77777777" w:rsidR="00A779B8" w:rsidRDefault="00A779B8" w:rsidP="00A779B8">
      <w:pPr>
        <w:spacing w:line="480" w:lineRule="auto"/>
        <w:ind w:hanging="480"/>
      </w:pPr>
      <w:r>
        <w:rPr>
          <w:i/>
          <w:iCs/>
        </w:rPr>
        <w:t>sp-44-forests-water-web.pdf</w:t>
      </w:r>
      <w:r>
        <w:t xml:space="preserve">. (n.d.). Retrieved from </w:t>
      </w:r>
      <w:hyperlink r:id="rId88" w:history="1">
        <w:r>
          <w:rPr>
            <w:rStyle w:val="Hyperlink"/>
          </w:rPr>
          <w:t>https://www.unece.org/fileadmin/DAM/timber/publications/sp-44-forests-water-web.pdf</w:t>
        </w:r>
      </w:hyperlink>
    </w:p>
    <w:p w14:paraId="46B4563E" w14:textId="77777777" w:rsidR="00A779B8" w:rsidRDefault="00A779B8" w:rsidP="00A779B8">
      <w:pPr>
        <w:spacing w:line="480" w:lineRule="auto"/>
        <w:ind w:hanging="480"/>
      </w:pPr>
      <w:r>
        <w:rPr>
          <w:i/>
          <w:iCs/>
        </w:rPr>
        <w:lastRenderedPageBreak/>
        <w:t>sternreview_report_complete.pdf</w:t>
      </w:r>
      <w:r>
        <w:t xml:space="preserve">. (n.d.). Retrieved from </w:t>
      </w:r>
      <w:hyperlink r:id="rId89" w:history="1">
        <w:r>
          <w:rPr>
            <w:rStyle w:val="Hyperlink"/>
          </w:rPr>
          <w:t>http://mudancasclimaticas.cptec.inpe.br/~rmclima/pdfs/destaques/sternreview_report_complete.pdf</w:t>
        </w:r>
      </w:hyperlink>
    </w:p>
    <w:p w14:paraId="0F5D5614" w14:textId="77777777" w:rsidR="00A779B8" w:rsidRDefault="00A779B8" w:rsidP="00A779B8">
      <w:pPr>
        <w:spacing w:line="480" w:lineRule="auto"/>
        <w:ind w:hanging="480"/>
      </w:pPr>
      <w:proofErr w:type="spellStart"/>
      <w:r>
        <w:t>Sunderlin</w:t>
      </w:r>
      <w:proofErr w:type="spellEnd"/>
      <w:r>
        <w:t xml:space="preserve">, W. D., Larson, A. M., </w:t>
      </w:r>
      <w:proofErr w:type="spellStart"/>
      <w:r>
        <w:t>Duchelle</w:t>
      </w:r>
      <w:proofErr w:type="spellEnd"/>
      <w:r>
        <w:t xml:space="preserve">, A. E., </w:t>
      </w:r>
      <w:proofErr w:type="spellStart"/>
      <w:r>
        <w:t>Resosudarmo</w:t>
      </w:r>
      <w:proofErr w:type="spellEnd"/>
      <w:r>
        <w:t xml:space="preserve">, I. A. P., Huynh, T. B., </w:t>
      </w:r>
      <w:proofErr w:type="spellStart"/>
      <w:r>
        <w:t>Awono</w:t>
      </w:r>
      <w:proofErr w:type="spellEnd"/>
      <w:r>
        <w:t xml:space="preserve">, A., &amp; Dokken, T. (2014). How are REDD+ Proponents Addressing Tenure Problems? Evidence from Brazil, Cameroon, Tanzania, Indonesia, and Vietnam. </w:t>
      </w:r>
      <w:r>
        <w:rPr>
          <w:i/>
          <w:iCs/>
        </w:rPr>
        <w:t>World Development</w:t>
      </w:r>
      <w:r>
        <w:t xml:space="preserve">, </w:t>
      </w:r>
      <w:r>
        <w:rPr>
          <w:i/>
          <w:iCs/>
        </w:rPr>
        <w:t>55</w:t>
      </w:r>
      <w:r>
        <w:t xml:space="preserve">, 37–52. </w:t>
      </w:r>
      <w:hyperlink r:id="rId90" w:history="1">
        <w:r>
          <w:rPr>
            <w:rStyle w:val="Hyperlink"/>
          </w:rPr>
          <w:t>https://doi.org/10.1016/j.worlddev.2013.01.013</w:t>
        </w:r>
      </w:hyperlink>
    </w:p>
    <w:p w14:paraId="0ABBF0AC" w14:textId="77777777" w:rsidR="00A779B8" w:rsidRDefault="00A779B8" w:rsidP="00A779B8">
      <w:pPr>
        <w:spacing w:line="480" w:lineRule="auto"/>
        <w:ind w:hanging="480"/>
      </w:pPr>
      <w:proofErr w:type="spellStart"/>
      <w:r>
        <w:t>Tyukavina</w:t>
      </w:r>
      <w:proofErr w:type="spellEnd"/>
      <w:r>
        <w:t xml:space="preserve">, A., </w:t>
      </w:r>
      <w:proofErr w:type="spellStart"/>
      <w:r>
        <w:t>Baccini</w:t>
      </w:r>
      <w:proofErr w:type="spellEnd"/>
      <w:r>
        <w:t xml:space="preserve">, A., Hansen, M. C., </w:t>
      </w:r>
      <w:proofErr w:type="spellStart"/>
      <w:r>
        <w:t>Potapov</w:t>
      </w:r>
      <w:proofErr w:type="spellEnd"/>
      <w:r>
        <w:t xml:space="preserve">, P. V., Stehman, S. V., Houghton, R. A., … Goetz, S. J. (2015). Aboveground carbon loss in natural and managed tropical forests from 2000 to 2012. </w:t>
      </w:r>
      <w:r>
        <w:rPr>
          <w:i/>
          <w:iCs/>
        </w:rPr>
        <w:t>Environmental Research Letters</w:t>
      </w:r>
      <w:r>
        <w:t xml:space="preserve">, </w:t>
      </w:r>
      <w:r>
        <w:rPr>
          <w:i/>
          <w:iCs/>
        </w:rPr>
        <w:t>10</w:t>
      </w:r>
      <w:r>
        <w:t xml:space="preserve">(7), 074002. </w:t>
      </w:r>
      <w:hyperlink r:id="rId91" w:history="1">
        <w:r>
          <w:rPr>
            <w:rStyle w:val="Hyperlink"/>
          </w:rPr>
          <w:t>https://doi.org/10.1088/1748-9326/10/7/074002</w:t>
        </w:r>
      </w:hyperlink>
    </w:p>
    <w:p w14:paraId="670C9AD3" w14:textId="77777777" w:rsidR="00A779B8" w:rsidRDefault="00A779B8" w:rsidP="00A779B8">
      <w:pPr>
        <w:spacing w:line="480" w:lineRule="auto"/>
        <w:ind w:hanging="480"/>
      </w:pPr>
      <w:r>
        <w:t xml:space="preserve">van </w:t>
      </w:r>
      <w:proofErr w:type="spellStart"/>
      <w:r>
        <w:t>Lierop</w:t>
      </w:r>
      <w:proofErr w:type="spellEnd"/>
      <w:r>
        <w:t xml:space="preserve">, P., Lindquist, E., </w:t>
      </w:r>
      <w:proofErr w:type="spellStart"/>
      <w:r>
        <w:t>Sathyapala</w:t>
      </w:r>
      <w:proofErr w:type="spellEnd"/>
      <w:r>
        <w:t xml:space="preserve">, S., &amp; </w:t>
      </w:r>
      <w:proofErr w:type="spellStart"/>
      <w:r>
        <w:t>Franceschini</w:t>
      </w:r>
      <w:proofErr w:type="spellEnd"/>
      <w:r>
        <w:t xml:space="preserve">, G. (2015). Global forest area disturbance from fire, insect pests, diseases and severe weather events. </w:t>
      </w:r>
      <w:r>
        <w:rPr>
          <w:i/>
          <w:iCs/>
        </w:rPr>
        <w:t>Forest Ecology and Management</w:t>
      </w:r>
      <w:r>
        <w:t xml:space="preserve">, </w:t>
      </w:r>
      <w:r>
        <w:rPr>
          <w:i/>
          <w:iCs/>
        </w:rPr>
        <w:t>352</w:t>
      </w:r>
      <w:r>
        <w:t xml:space="preserve">, 78–88. </w:t>
      </w:r>
      <w:hyperlink r:id="rId92" w:history="1">
        <w:r>
          <w:rPr>
            <w:rStyle w:val="Hyperlink"/>
          </w:rPr>
          <w:t>https://doi.org/10.1016/j.foreco.2015.06.010</w:t>
        </w:r>
      </w:hyperlink>
    </w:p>
    <w:p w14:paraId="699C6E29" w14:textId="77777777" w:rsidR="00A779B8" w:rsidRDefault="00A779B8" w:rsidP="00A779B8">
      <w:pPr>
        <w:spacing w:line="480" w:lineRule="auto"/>
        <w:ind w:hanging="480"/>
      </w:pPr>
      <w:r>
        <w:rPr>
          <w:i/>
          <w:iCs/>
        </w:rPr>
        <w:t>WBCSD Vision2050-FullReport.pdf</w:t>
      </w:r>
      <w:r>
        <w:t>. (n.d.).</w:t>
      </w:r>
    </w:p>
    <w:p w14:paraId="313B0F1C" w14:textId="77777777" w:rsidR="00A779B8" w:rsidRDefault="00A779B8" w:rsidP="00A779B8">
      <w:pPr>
        <w:spacing w:line="480" w:lineRule="auto"/>
        <w:ind w:hanging="480"/>
      </w:pPr>
      <w:proofErr w:type="spellStart"/>
      <w:r>
        <w:t>Wunder</w:t>
      </w:r>
      <w:proofErr w:type="spellEnd"/>
      <w:r>
        <w:t xml:space="preserve">, S. (2007). The Efficiency of Payments for Environmental Services in Tropical Conservation. </w:t>
      </w:r>
      <w:r>
        <w:rPr>
          <w:i/>
          <w:iCs/>
        </w:rPr>
        <w:t>Conservation Biology</w:t>
      </w:r>
      <w:r>
        <w:t xml:space="preserve">, </w:t>
      </w:r>
      <w:r>
        <w:rPr>
          <w:i/>
          <w:iCs/>
        </w:rPr>
        <w:t>21</w:t>
      </w:r>
      <w:r>
        <w:t xml:space="preserve">(1), 48–58. </w:t>
      </w:r>
      <w:hyperlink r:id="rId93" w:history="1">
        <w:r>
          <w:rPr>
            <w:rStyle w:val="Hyperlink"/>
          </w:rPr>
          <w:t>https://doi.org/10.1111/j.1523-1739.2006.00559.x</w:t>
        </w:r>
      </w:hyperlink>
    </w:p>
    <w:p w14:paraId="41BF7472" w14:textId="77777777" w:rsidR="00A779B8" w:rsidRDefault="00A779B8" w:rsidP="00A779B8">
      <w:pPr>
        <w:spacing w:line="480" w:lineRule="auto"/>
        <w:ind w:hanging="480"/>
      </w:pPr>
      <w:proofErr w:type="spellStart"/>
      <w:r>
        <w:t>Wunder</w:t>
      </w:r>
      <w:proofErr w:type="spellEnd"/>
      <w:r>
        <w:t xml:space="preserve">, S. (n.d.). </w:t>
      </w:r>
      <w:r>
        <w:rPr>
          <w:i/>
          <w:iCs/>
        </w:rPr>
        <w:t>Payments for environmental services: some nuts and bolts</w:t>
      </w:r>
      <w:r>
        <w:t>. 32.</w:t>
      </w:r>
    </w:p>
    <w:p w14:paraId="68E319FF" w14:textId="77777777" w:rsidR="00A779B8" w:rsidRDefault="00A779B8" w:rsidP="00A779B8">
      <w:pPr>
        <w:spacing w:line="480" w:lineRule="auto"/>
        <w:ind w:hanging="480"/>
      </w:pPr>
      <w:proofErr w:type="spellStart"/>
      <w:r>
        <w:t>Zarin</w:t>
      </w:r>
      <w:proofErr w:type="spellEnd"/>
      <w:r>
        <w:t xml:space="preserve">, D. J., Harris, N. L., </w:t>
      </w:r>
      <w:proofErr w:type="spellStart"/>
      <w:r>
        <w:t>Baccini</w:t>
      </w:r>
      <w:proofErr w:type="spellEnd"/>
      <w:r>
        <w:t xml:space="preserve">, A., </w:t>
      </w:r>
      <w:proofErr w:type="spellStart"/>
      <w:r>
        <w:t>Aksenov</w:t>
      </w:r>
      <w:proofErr w:type="spellEnd"/>
      <w:r>
        <w:t xml:space="preserve">, D., Hansen, M. C., Azevedo-Ramos, C., … </w:t>
      </w:r>
      <w:proofErr w:type="spellStart"/>
      <w:r>
        <w:t>Tyukavina</w:t>
      </w:r>
      <w:proofErr w:type="spellEnd"/>
      <w:r>
        <w:t xml:space="preserve">, A. (2016). Can carbon emissions from tropical deforestation drop by 50% in 5 years? </w:t>
      </w:r>
      <w:r>
        <w:rPr>
          <w:i/>
          <w:iCs/>
        </w:rPr>
        <w:t>Global Change Biology</w:t>
      </w:r>
      <w:r>
        <w:t xml:space="preserve">, </w:t>
      </w:r>
      <w:r>
        <w:rPr>
          <w:i/>
          <w:iCs/>
        </w:rPr>
        <w:t>22</w:t>
      </w:r>
      <w:r>
        <w:t xml:space="preserve">(4), 1336–1347. </w:t>
      </w:r>
      <w:hyperlink r:id="rId94" w:history="1">
        <w:r>
          <w:rPr>
            <w:rStyle w:val="Hyperlink"/>
          </w:rPr>
          <w:t>https://doi.org/10.1111/gcb.13153</w:t>
        </w:r>
      </w:hyperlink>
    </w:p>
    <w:p w14:paraId="6B692AA5" w14:textId="77777777" w:rsidR="00A779B8" w:rsidRDefault="00A779B8" w:rsidP="00A779B8">
      <w:pPr>
        <w:spacing w:line="480" w:lineRule="auto"/>
        <w:ind w:hanging="480"/>
      </w:pPr>
      <w:r>
        <w:t>(N.d.-b).</w:t>
      </w:r>
    </w:p>
    <w:p w14:paraId="3C95E212" w14:textId="77777777" w:rsidR="00A779B8" w:rsidRPr="0055140A" w:rsidRDefault="00A779B8" w:rsidP="00A779B8">
      <w:pPr>
        <w:spacing w:line="480" w:lineRule="auto"/>
        <w:ind w:hanging="480"/>
        <w:rPr>
          <w:lang w:val="it-IT"/>
        </w:rPr>
      </w:pPr>
      <w:r w:rsidRPr="0055140A">
        <w:rPr>
          <w:lang w:val="it-IT"/>
        </w:rPr>
        <w:t>(N.d.-c).</w:t>
      </w:r>
    </w:p>
    <w:p w14:paraId="5D0E9631" w14:textId="77777777" w:rsidR="00A779B8" w:rsidRPr="0055140A" w:rsidRDefault="00A779B8" w:rsidP="00A779B8">
      <w:pPr>
        <w:spacing w:line="480" w:lineRule="auto"/>
        <w:ind w:hanging="480"/>
        <w:rPr>
          <w:lang w:val="it-IT"/>
        </w:rPr>
      </w:pPr>
      <w:r w:rsidRPr="0055140A">
        <w:rPr>
          <w:lang w:val="it-IT"/>
        </w:rPr>
        <w:t>(N.d.-d).</w:t>
      </w:r>
    </w:p>
    <w:p w14:paraId="13A4C4D9" w14:textId="77777777" w:rsidR="00A779B8" w:rsidRPr="0055140A" w:rsidRDefault="00A779B8" w:rsidP="00A779B8">
      <w:pPr>
        <w:spacing w:line="480" w:lineRule="auto"/>
        <w:ind w:hanging="480"/>
        <w:rPr>
          <w:lang w:val="it-IT"/>
        </w:rPr>
      </w:pPr>
      <w:r w:rsidRPr="0055140A">
        <w:rPr>
          <w:lang w:val="it-IT"/>
        </w:rPr>
        <w:t>(N.d.-e).</w:t>
      </w:r>
    </w:p>
    <w:p w14:paraId="7DEC1476" w14:textId="77777777" w:rsidR="005F5870" w:rsidRPr="0055140A" w:rsidRDefault="005F5870" w:rsidP="005F5870">
      <w:pPr>
        <w:spacing w:after="0"/>
        <w:rPr>
          <w:rFonts w:cs="Times New Roman"/>
          <w:bCs/>
          <w:lang w:val="it-IT"/>
        </w:rPr>
      </w:pPr>
    </w:p>
    <w:p w14:paraId="6FA73C2E" w14:textId="77777777" w:rsidR="005F5870" w:rsidRPr="0055140A" w:rsidRDefault="005F5870" w:rsidP="00DB4CC8">
      <w:pPr>
        <w:rPr>
          <w:lang w:val="it-IT"/>
        </w:rPr>
      </w:pPr>
    </w:p>
    <w:p w14:paraId="02EABFF3" w14:textId="6F23F628" w:rsidR="006745FF" w:rsidRPr="0055140A" w:rsidRDefault="006745FF" w:rsidP="009432C9">
      <w:pPr>
        <w:pStyle w:val="Heading1"/>
        <w:rPr>
          <w:lang w:val="it-IT"/>
        </w:rPr>
      </w:pPr>
      <w:bookmarkStart w:id="63" w:name="_Toc18240023"/>
      <w:r w:rsidRPr="0055140A">
        <w:rPr>
          <w:lang w:val="it-IT"/>
        </w:rPr>
        <w:t>Glossary</w:t>
      </w:r>
      <w:bookmarkEnd w:id="63"/>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lastRenderedPageBreak/>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w:t>
      </w:r>
      <w:r w:rsidRPr="00BB79D6">
        <w:lastRenderedPageBreak/>
        <w:t xml:space="preserve">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w:t>
      </w:r>
      <w:proofErr w:type="spellStart"/>
      <w:r w:rsidRPr="00BB79D6">
        <w:t>TWh</w:t>
      </w:r>
      <w:proofErr w:type="spellEnd"/>
      <w:r w:rsidRPr="00BB79D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lastRenderedPageBreak/>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4B3A12">
      <w:pPr>
        <w:ind w:left="708" w:hanging="708"/>
      </w:pPr>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DB4CC8">
      <w:proofErr w:type="spellStart"/>
      <w:r w:rsidRPr="00BB79D6">
        <w:rPr>
          <w:b/>
        </w:rPr>
        <w:lastRenderedPageBreak/>
        <w:t>TWh</w:t>
      </w:r>
      <w:proofErr w:type="spellEnd"/>
      <w:r w:rsidRPr="00BB79D6">
        <w:rPr>
          <w:b/>
        </w:rPr>
        <w:t>/ Terawatt-hour</w:t>
      </w:r>
      <w:r w:rsidRPr="00BB79D6">
        <w:t xml:space="preserve"> – A unit of energy equal to 1 billion kilowatt-hours</w:t>
      </w:r>
    </w:p>
    <w:sectPr w:rsidR="006745FF" w:rsidRPr="00996E91">
      <w:footerReference w:type="default" r:id="rId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2149C" w14:textId="77777777" w:rsidR="00952A9D" w:rsidRDefault="00952A9D" w:rsidP="00D26F59">
      <w:pPr>
        <w:spacing w:after="0"/>
      </w:pPr>
      <w:r>
        <w:separator/>
      </w:r>
    </w:p>
  </w:endnote>
  <w:endnote w:type="continuationSeparator" w:id="0">
    <w:p w14:paraId="5CD9BFDF" w14:textId="77777777" w:rsidR="00952A9D" w:rsidRDefault="00952A9D"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39E56" w14:textId="77777777" w:rsidR="009432C9" w:rsidRPr="00F26176" w:rsidRDefault="009432C9"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11</w:t>
    </w:r>
    <w:r>
      <w:rPr>
        <w:caps/>
        <w:noProof/>
        <w:color w:val="4F81BD"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4F1D0C86" w:rsidR="009432C9" w:rsidRPr="00F26176" w:rsidRDefault="009432C9"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11</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393D9" w14:textId="77777777" w:rsidR="00952A9D" w:rsidRDefault="00952A9D" w:rsidP="00D26F59">
      <w:pPr>
        <w:spacing w:after="0"/>
      </w:pPr>
      <w:r>
        <w:separator/>
      </w:r>
    </w:p>
  </w:footnote>
  <w:footnote w:type="continuationSeparator" w:id="0">
    <w:p w14:paraId="7FD3E9DF" w14:textId="77777777" w:rsidR="00952A9D" w:rsidRDefault="00952A9D" w:rsidP="00D26F59">
      <w:pPr>
        <w:spacing w:after="0"/>
      </w:pPr>
      <w:r>
        <w:continuationSeparator/>
      </w:r>
    </w:p>
  </w:footnote>
  <w:footnote w:id="1">
    <w:p w14:paraId="66B232CB" w14:textId="77777777" w:rsidR="009432C9" w:rsidRDefault="009432C9" w:rsidP="00882559">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511C129E" w14:textId="282C9C75" w:rsidR="009432C9" w:rsidRDefault="009432C9">
      <w:pPr>
        <w:pStyle w:val="FootnoteText"/>
      </w:pPr>
      <w:r>
        <w:rPr>
          <w:rStyle w:val="FootnoteReference"/>
        </w:rPr>
        <w:footnoteRef/>
      </w:r>
      <w:r>
        <w:t xml:space="preserve"> </w:t>
      </w:r>
      <w:r>
        <w:rPr>
          <w:rFonts w:ascii="Arial" w:hAnsi="Arial" w:cs="Arial"/>
          <w:color w:val="222222"/>
          <w:shd w:val="clear" w:color="auto" w:fill="FFFFFF"/>
        </w:rPr>
        <w:t>Current adoption is defined as the amount of land area adopted by the solution in 2018. This study uses 2014 as the base year due to the availability of global adoption data for all Project Drawdown solutions evaluated.</w:t>
      </w:r>
    </w:p>
  </w:footnote>
  <w:footnote w:id="3">
    <w:p w14:paraId="6314C35E" w14:textId="2FE355C0" w:rsidR="009432C9" w:rsidRDefault="009432C9">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BD3D8A"/>
    <w:multiLevelType w:val="hybridMultilevel"/>
    <w:tmpl w:val="C828653E"/>
    <w:lvl w:ilvl="0" w:tplc="77DEEA14">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E7D74"/>
    <w:multiLevelType w:val="multilevel"/>
    <w:tmpl w:val="4F86387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A954A95"/>
    <w:multiLevelType w:val="hybridMultilevel"/>
    <w:tmpl w:val="95BA63BC"/>
    <w:lvl w:ilvl="0" w:tplc="972AC0A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8182B"/>
    <w:multiLevelType w:val="hybridMultilevel"/>
    <w:tmpl w:val="CB2E330E"/>
    <w:lvl w:ilvl="0" w:tplc="40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6836FFE"/>
    <w:multiLevelType w:val="multilevel"/>
    <w:tmpl w:val="4F667BDE"/>
    <w:lvl w:ilvl="0">
      <w:start w:val="6"/>
      <w:numFmt w:val="decimal"/>
      <w:lvlText w:val="Assumption %1:"/>
      <w:lvlJc w:val="left"/>
      <w:pPr>
        <w:ind w:left="360" w:hanging="360"/>
      </w:pPr>
      <w:rPr>
        <w:b/>
      </w:r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8" w15:restartNumberingAfterBreak="0">
    <w:nsid w:val="3A3E1CD5"/>
    <w:multiLevelType w:val="hybridMultilevel"/>
    <w:tmpl w:val="956A97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B1712C8"/>
    <w:multiLevelType w:val="hybridMultilevel"/>
    <w:tmpl w:val="4EB85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B5E4AB3"/>
    <w:multiLevelType w:val="multilevel"/>
    <w:tmpl w:val="8AF8B384"/>
    <w:lvl w:ilvl="0">
      <w:start w:val="1"/>
      <w:numFmt w:val="decimal"/>
      <w:lvlText w:val="%1."/>
      <w:lvlJc w:val="left"/>
      <w:pPr>
        <w:ind w:left="720" w:hanging="360"/>
      </w:pPr>
    </w:lvl>
    <w:lvl w:ilvl="1">
      <w:start w:val="1"/>
      <w:numFmt w:val="decimal"/>
      <w:pStyle w:val="Heading2"/>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E94073E"/>
    <w:multiLevelType w:val="multilevel"/>
    <w:tmpl w:val="4D5E770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8E7F67"/>
    <w:multiLevelType w:val="hybridMultilevel"/>
    <w:tmpl w:val="147297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BAB3B1E"/>
    <w:multiLevelType w:val="multilevel"/>
    <w:tmpl w:val="625CF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837F00"/>
    <w:multiLevelType w:val="multilevel"/>
    <w:tmpl w:val="F392E3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0"/>
  </w:num>
  <w:num w:numId="3">
    <w:abstractNumId w:val="11"/>
  </w:num>
  <w:num w:numId="4">
    <w:abstractNumId w:val="13"/>
  </w:num>
  <w:num w:numId="5">
    <w:abstractNumId w:val="7"/>
  </w:num>
  <w:num w:numId="6">
    <w:abstractNumId w:val="12"/>
  </w:num>
  <w:num w:numId="7">
    <w:abstractNumId w:val="8"/>
  </w:num>
  <w:num w:numId="8">
    <w:abstractNumId w:val="9"/>
  </w:num>
  <w:num w:numId="9">
    <w:abstractNumId w:val="3"/>
  </w:num>
  <w:num w:numId="10">
    <w:abstractNumId w:val="4"/>
  </w:num>
  <w:num w:numId="11">
    <w:abstractNumId w:val="14"/>
  </w:num>
  <w:num w:numId="12">
    <w:abstractNumId w:val="5"/>
  </w:num>
  <w:num w:numId="13">
    <w:abstractNumId w:val="5"/>
  </w:num>
  <w:num w:numId="14">
    <w:abstractNumId w:val="6"/>
  </w:num>
  <w:num w:numId="15">
    <w:abstractNumId w:val="5"/>
    <w:lvlOverride w:ilvl="0">
      <w:startOverride w:val="2"/>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461C"/>
    <w:rsid w:val="0000522B"/>
    <w:rsid w:val="00005A44"/>
    <w:rsid w:val="000063C3"/>
    <w:rsid w:val="00006A91"/>
    <w:rsid w:val="00014CE5"/>
    <w:rsid w:val="00015F1E"/>
    <w:rsid w:val="00016F82"/>
    <w:rsid w:val="000178CE"/>
    <w:rsid w:val="00020C6F"/>
    <w:rsid w:val="00021F3A"/>
    <w:rsid w:val="00023DDD"/>
    <w:rsid w:val="00024F11"/>
    <w:rsid w:val="00027B88"/>
    <w:rsid w:val="00030A8B"/>
    <w:rsid w:val="000330C6"/>
    <w:rsid w:val="00033BA7"/>
    <w:rsid w:val="00034A49"/>
    <w:rsid w:val="000360D3"/>
    <w:rsid w:val="00041661"/>
    <w:rsid w:val="000509B9"/>
    <w:rsid w:val="00050B0A"/>
    <w:rsid w:val="00051132"/>
    <w:rsid w:val="00053BB5"/>
    <w:rsid w:val="00054158"/>
    <w:rsid w:val="00056ED1"/>
    <w:rsid w:val="00057050"/>
    <w:rsid w:val="00057063"/>
    <w:rsid w:val="000602CA"/>
    <w:rsid w:val="0006471C"/>
    <w:rsid w:val="000663BB"/>
    <w:rsid w:val="00066686"/>
    <w:rsid w:val="000679B0"/>
    <w:rsid w:val="0007070A"/>
    <w:rsid w:val="0007170C"/>
    <w:rsid w:val="00072762"/>
    <w:rsid w:val="00075F31"/>
    <w:rsid w:val="00081E72"/>
    <w:rsid w:val="00081F00"/>
    <w:rsid w:val="000828F9"/>
    <w:rsid w:val="000829DC"/>
    <w:rsid w:val="00084C0A"/>
    <w:rsid w:val="000856B7"/>
    <w:rsid w:val="000873C5"/>
    <w:rsid w:val="000875B5"/>
    <w:rsid w:val="00087D3B"/>
    <w:rsid w:val="00090685"/>
    <w:rsid w:val="00091925"/>
    <w:rsid w:val="0009232E"/>
    <w:rsid w:val="0009271D"/>
    <w:rsid w:val="00093CDD"/>
    <w:rsid w:val="000946B2"/>
    <w:rsid w:val="0009541F"/>
    <w:rsid w:val="000971F9"/>
    <w:rsid w:val="00097F53"/>
    <w:rsid w:val="000A2FEF"/>
    <w:rsid w:val="000A4590"/>
    <w:rsid w:val="000A4BAE"/>
    <w:rsid w:val="000A6E76"/>
    <w:rsid w:val="000A6F40"/>
    <w:rsid w:val="000B1609"/>
    <w:rsid w:val="000B1918"/>
    <w:rsid w:val="000B3EE3"/>
    <w:rsid w:val="000C276D"/>
    <w:rsid w:val="000C3205"/>
    <w:rsid w:val="000C3F49"/>
    <w:rsid w:val="000C77CA"/>
    <w:rsid w:val="000C784A"/>
    <w:rsid w:val="000C7A55"/>
    <w:rsid w:val="000D0B6D"/>
    <w:rsid w:val="000D30DE"/>
    <w:rsid w:val="000D3855"/>
    <w:rsid w:val="000D5E22"/>
    <w:rsid w:val="000D7BC5"/>
    <w:rsid w:val="000E594F"/>
    <w:rsid w:val="000E64CB"/>
    <w:rsid w:val="000E697E"/>
    <w:rsid w:val="000E71B9"/>
    <w:rsid w:val="000F01F0"/>
    <w:rsid w:val="000F131E"/>
    <w:rsid w:val="000F24C5"/>
    <w:rsid w:val="000F27B2"/>
    <w:rsid w:val="000F78B4"/>
    <w:rsid w:val="00101408"/>
    <w:rsid w:val="00102BDA"/>
    <w:rsid w:val="00103E9E"/>
    <w:rsid w:val="001069E2"/>
    <w:rsid w:val="001073C8"/>
    <w:rsid w:val="00110C2D"/>
    <w:rsid w:val="001121AD"/>
    <w:rsid w:val="00112479"/>
    <w:rsid w:val="00123A28"/>
    <w:rsid w:val="00123D74"/>
    <w:rsid w:val="00124262"/>
    <w:rsid w:val="00124C49"/>
    <w:rsid w:val="00125B80"/>
    <w:rsid w:val="00136093"/>
    <w:rsid w:val="00137B82"/>
    <w:rsid w:val="00140F1E"/>
    <w:rsid w:val="001420E0"/>
    <w:rsid w:val="001424E9"/>
    <w:rsid w:val="0014591F"/>
    <w:rsid w:val="00151E78"/>
    <w:rsid w:val="00152E5D"/>
    <w:rsid w:val="00153D5F"/>
    <w:rsid w:val="00156072"/>
    <w:rsid w:val="00157DB7"/>
    <w:rsid w:val="00157DE7"/>
    <w:rsid w:val="00162CE6"/>
    <w:rsid w:val="00166B76"/>
    <w:rsid w:val="00170114"/>
    <w:rsid w:val="001759D2"/>
    <w:rsid w:val="00176B3E"/>
    <w:rsid w:val="00180FCC"/>
    <w:rsid w:val="00191B78"/>
    <w:rsid w:val="00193670"/>
    <w:rsid w:val="00194FC7"/>
    <w:rsid w:val="001955AB"/>
    <w:rsid w:val="00196F08"/>
    <w:rsid w:val="001A0895"/>
    <w:rsid w:val="001A12C6"/>
    <w:rsid w:val="001A1AB8"/>
    <w:rsid w:val="001A3F40"/>
    <w:rsid w:val="001A49D3"/>
    <w:rsid w:val="001A4D9E"/>
    <w:rsid w:val="001A52B3"/>
    <w:rsid w:val="001A6EB0"/>
    <w:rsid w:val="001A7AF4"/>
    <w:rsid w:val="001B1300"/>
    <w:rsid w:val="001B3003"/>
    <w:rsid w:val="001B58F5"/>
    <w:rsid w:val="001B6745"/>
    <w:rsid w:val="001C13DA"/>
    <w:rsid w:val="001C2B6F"/>
    <w:rsid w:val="001C319E"/>
    <w:rsid w:val="001C3DC0"/>
    <w:rsid w:val="001C49CB"/>
    <w:rsid w:val="001C5872"/>
    <w:rsid w:val="001D17E8"/>
    <w:rsid w:val="001D1B71"/>
    <w:rsid w:val="001D2DCA"/>
    <w:rsid w:val="001D6C44"/>
    <w:rsid w:val="001E0BB0"/>
    <w:rsid w:val="001E0FF2"/>
    <w:rsid w:val="001F2DA2"/>
    <w:rsid w:val="001F2EFC"/>
    <w:rsid w:val="001F3C8E"/>
    <w:rsid w:val="001F5B50"/>
    <w:rsid w:val="001F6CF1"/>
    <w:rsid w:val="001F6FB0"/>
    <w:rsid w:val="00202788"/>
    <w:rsid w:val="002054FC"/>
    <w:rsid w:val="0021041A"/>
    <w:rsid w:val="0021082B"/>
    <w:rsid w:val="00212C29"/>
    <w:rsid w:val="00215CF4"/>
    <w:rsid w:val="00215F04"/>
    <w:rsid w:val="00216B08"/>
    <w:rsid w:val="00217B33"/>
    <w:rsid w:val="0022025F"/>
    <w:rsid w:val="00221954"/>
    <w:rsid w:val="00222744"/>
    <w:rsid w:val="00222DC7"/>
    <w:rsid w:val="00225A1D"/>
    <w:rsid w:val="002274CF"/>
    <w:rsid w:val="00230A7E"/>
    <w:rsid w:val="0023178B"/>
    <w:rsid w:val="00231B81"/>
    <w:rsid w:val="00232AAA"/>
    <w:rsid w:val="00233217"/>
    <w:rsid w:val="00233C0E"/>
    <w:rsid w:val="00235CFB"/>
    <w:rsid w:val="00244B4D"/>
    <w:rsid w:val="002470C4"/>
    <w:rsid w:val="002476A8"/>
    <w:rsid w:val="00247F7E"/>
    <w:rsid w:val="00255D19"/>
    <w:rsid w:val="00257336"/>
    <w:rsid w:val="00260326"/>
    <w:rsid w:val="002603E9"/>
    <w:rsid w:val="00262F8A"/>
    <w:rsid w:val="0026327C"/>
    <w:rsid w:val="00263C45"/>
    <w:rsid w:val="00264D1A"/>
    <w:rsid w:val="00266635"/>
    <w:rsid w:val="00270442"/>
    <w:rsid w:val="00271730"/>
    <w:rsid w:val="00272912"/>
    <w:rsid w:val="00273AE7"/>
    <w:rsid w:val="00274B56"/>
    <w:rsid w:val="00276FB7"/>
    <w:rsid w:val="00280319"/>
    <w:rsid w:val="0028230C"/>
    <w:rsid w:val="0028321D"/>
    <w:rsid w:val="00284427"/>
    <w:rsid w:val="00290D71"/>
    <w:rsid w:val="00291D3C"/>
    <w:rsid w:val="002953DF"/>
    <w:rsid w:val="002A4E84"/>
    <w:rsid w:val="002A5862"/>
    <w:rsid w:val="002A62C7"/>
    <w:rsid w:val="002A68D4"/>
    <w:rsid w:val="002B15B4"/>
    <w:rsid w:val="002B245E"/>
    <w:rsid w:val="002B3AE9"/>
    <w:rsid w:val="002B4E23"/>
    <w:rsid w:val="002B5309"/>
    <w:rsid w:val="002C0282"/>
    <w:rsid w:val="002C070C"/>
    <w:rsid w:val="002C528C"/>
    <w:rsid w:val="002D2CEA"/>
    <w:rsid w:val="002D402C"/>
    <w:rsid w:val="002D4B9E"/>
    <w:rsid w:val="002D5C14"/>
    <w:rsid w:val="002D6588"/>
    <w:rsid w:val="002E49AA"/>
    <w:rsid w:val="002E4C5E"/>
    <w:rsid w:val="002E52B8"/>
    <w:rsid w:val="002E69FF"/>
    <w:rsid w:val="002E6BA6"/>
    <w:rsid w:val="002F1935"/>
    <w:rsid w:val="0030099E"/>
    <w:rsid w:val="00300CEE"/>
    <w:rsid w:val="00301297"/>
    <w:rsid w:val="00303670"/>
    <w:rsid w:val="003069EE"/>
    <w:rsid w:val="00311F85"/>
    <w:rsid w:val="00314F03"/>
    <w:rsid w:val="00320FC7"/>
    <w:rsid w:val="0032353F"/>
    <w:rsid w:val="00325AF7"/>
    <w:rsid w:val="003260E9"/>
    <w:rsid w:val="0032785B"/>
    <w:rsid w:val="00327B08"/>
    <w:rsid w:val="00330592"/>
    <w:rsid w:val="00330698"/>
    <w:rsid w:val="00333492"/>
    <w:rsid w:val="00333748"/>
    <w:rsid w:val="00334235"/>
    <w:rsid w:val="003368CB"/>
    <w:rsid w:val="00341625"/>
    <w:rsid w:val="0034249E"/>
    <w:rsid w:val="00344262"/>
    <w:rsid w:val="0034746E"/>
    <w:rsid w:val="003601BB"/>
    <w:rsid w:val="003650CC"/>
    <w:rsid w:val="00367667"/>
    <w:rsid w:val="0037089C"/>
    <w:rsid w:val="00371552"/>
    <w:rsid w:val="003723A7"/>
    <w:rsid w:val="003727F8"/>
    <w:rsid w:val="00374564"/>
    <w:rsid w:val="00376336"/>
    <w:rsid w:val="00381321"/>
    <w:rsid w:val="00381525"/>
    <w:rsid w:val="003817BF"/>
    <w:rsid w:val="0038334F"/>
    <w:rsid w:val="00386A73"/>
    <w:rsid w:val="003922A1"/>
    <w:rsid w:val="00393FDC"/>
    <w:rsid w:val="00395868"/>
    <w:rsid w:val="0039653B"/>
    <w:rsid w:val="00397EDB"/>
    <w:rsid w:val="003A0234"/>
    <w:rsid w:val="003A2697"/>
    <w:rsid w:val="003A2EE4"/>
    <w:rsid w:val="003A4CBC"/>
    <w:rsid w:val="003A7929"/>
    <w:rsid w:val="003A7FE2"/>
    <w:rsid w:val="003B1F38"/>
    <w:rsid w:val="003B2BDF"/>
    <w:rsid w:val="003B4C27"/>
    <w:rsid w:val="003B62E2"/>
    <w:rsid w:val="003B6597"/>
    <w:rsid w:val="003B7903"/>
    <w:rsid w:val="003C025A"/>
    <w:rsid w:val="003C04AF"/>
    <w:rsid w:val="003C1495"/>
    <w:rsid w:val="003C3271"/>
    <w:rsid w:val="003C5EA4"/>
    <w:rsid w:val="003C69B0"/>
    <w:rsid w:val="003D0D9A"/>
    <w:rsid w:val="003D1D10"/>
    <w:rsid w:val="003D2054"/>
    <w:rsid w:val="003D283A"/>
    <w:rsid w:val="003D32A6"/>
    <w:rsid w:val="003D5C1E"/>
    <w:rsid w:val="003E0AE3"/>
    <w:rsid w:val="003E7C7A"/>
    <w:rsid w:val="003F129E"/>
    <w:rsid w:val="003F5CF3"/>
    <w:rsid w:val="004031C9"/>
    <w:rsid w:val="0040327B"/>
    <w:rsid w:val="00404499"/>
    <w:rsid w:val="004047F3"/>
    <w:rsid w:val="004057C8"/>
    <w:rsid w:val="00405E15"/>
    <w:rsid w:val="00405F99"/>
    <w:rsid w:val="00410FB1"/>
    <w:rsid w:val="004147AB"/>
    <w:rsid w:val="00416A4B"/>
    <w:rsid w:val="004208E9"/>
    <w:rsid w:val="00420A03"/>
    <w:rsid w:val="00422463"/>
    <w:rsid w:val="0043003B"/>
    <w:rsid w:val="004303EA"/>
    <w:rsid w:val="0043101F"/>
    <w:rsid w:val="00433358"/>
    <w:rsid w:val="00434F61"/>
    <w:rsid w:val="00440C2C"/>
    <w:rsid w:val="0044137C"/>
    <w:rsid w:val="00442F4B"/>
    <w:rsid w:val="00445B97"/>
    <w:rsid w:val="004464E2"/>
    <w:rsid w:val="00451069"/>
    <w:rsid w:val="0045676A"/>
    <w:rsid w:val="004575C6"/>
    <w:rsid w:val="00463EEA"/>
    <w:rsid w:val="0046563C"/>
    <w:rsid w:val="0047419B"/>
    <w:rsid w:val="004747B5"/>
    <w:rsid w:val="00476D86"/>
    <w:rsid w:val="00476F12"/>
    <w:rsid w:val="0048018A"/>
    <w:rsid w:val="00480527"/>
    <w:rsid w:val="00481F8C"/>
    <w:rsid w:val="00482797"/>
    <w:rsid w:val="00483FFA"/>
    <w:rsid w:val="00484989"/>
    <w:rsid w:val="004853E8"/>
    <w:rsid w:val="004858E0"/>
    <w:rsid w:val="00486C75"/>
    <w:rsid w:val="00486CBB"/>
    <w:rsid w:val="00487017"/>
    <w:rsid w:val="00487456"/>
    <w:rsid w:val="004904BE"/>
    <w:rsid w:val="0049051F"/>
    <w:rsid w:val="00490F36"/>
    <w:rsid w:val="004912EE"/>
    <w:rsid w:val="0049188A"/>
    <w:rsid w:val="00492F5E"/>
    <w:rsid w:val="0049496C"/>
    <w:rsid w:val="00496526"/>
    <w:rsid w:val="00496E52"/>
    <w:rsid w:val="00496FDF"/>
    <w:rsid w:val="004A0348"/>
    <w:rsid w:val="004A1781"/>
    <w:rsid w:val="004A1E9B"/>
    <w:rsid w:val="004A2D1D"/>
    <w:rsid w:val="004A4DFA"/>
    <w:rsid w:val="004A6074"/>
    <w:rsid w:val="004B1A0B"/>
    <w:rsid w:val="004B3A12"/>
    <w:rsid w:val="004B42E2"/>
    <w:rsid w:val="004B45D0"/>
    <w:rsid w:val="004B4859"/>
    <w:rsid w:val="004B4939"/>
    <w:rsid w:val="004B5BD3"/>
    <w:rsid w:val="004B660E"/>
    <w:rsid w:val="004B6989"/>
    <w:rsid w:val="004B6F69"/>
    <w:rsid w:val="004B75B7"/>
    <w:rsid w:val="004B766A"/>
    <w:rsid w:val="004C1365"/>
    <w:rsid w:val="004C1461"/>
    <w:rsid w:val="004C1836"/>
    <w:rsid w:val="004C2EA3"/>
    <w:rsid w:val="004C3D79"/>
    <w:rsid w:val="004C3DA6"/>
    <w:rsid w:val="004C41F3"/>
    <w:rsid w:val="004C581E"/>
    <w:rsid w:val="004D345F"/>
    <w:rsid w:val="004D5520"/>
    <w:rsid w:val="004D669A"/>
    <w:rsid w:val="004E0D66"/>
    <w:rsid w:val="004E4047"/>
    <w:rsid w:val="004E4194"/>
    <w:rsid w:val="004E46D1"/>
    <w:rsid w:val="004F0A58"/>
    <w:rsid w:val="004F0C5D"/>
    <w:rsid w:val="004F1696"/>
    <w:rsid w:val="004F1D78"/>
    <w:rsid w:val="004F32FA"/>
    <w:rsid w:val="004F5425"/>
    <w:rsid w:val="004F694E"/>
    <w:rsid w:val="00503F11"/>
    <w:rsid w:val="005065BA"/>
    <w:rsid w:val="00510E3C"/>
    <w:rsid w:val="005141EF"/>
    <w:rsid w:val="005146E4"/>
    <w:rsid w:val="00515833"/>
    <w:rsid w:val="00524FD9"/>
    <w:rsid w:val="005251A9"/>
    <w:rsid w:val="00527032"/>
    <w:rsid w:val="0053240D"/>
    <w:rsid w:val="005341AC"/>
    <w:rsid w:val="00535AC0"/>
    <w:rsid w:val="00540434"/>
    <w:rsid w:val="00540530"/>
    <w:rsid w:val="00541D39"/>
    <w:rsid w:val="00542221"/>
    <w:rsid w:val="00546C32"/>
    <w:rsid w:val="00547000"/>
    <w:rsid w:val="005505CA"/>
    <w:rsid w:val="0055140A"/>
    <w:rsid w:val="005557EC"/>
    <w:rsid w:val="0055767E"/>
    <w:rsid w:val="00557A3B"/>
    <w:rsid w:val="00561650"/>
    <w:rsid w:val="00564363"/>
    <w:rsid w:val="00564C96"/>
    <w:rsid w:val="005709C0"/>
    <w:rsid w:val="00570C51"/>
    <w:rsid w:val="0057159C"/>
    <w:rsid w:val="00571C64"/>
    <w:rsid w:val="00572D71"/>
    <w:rsid w:val="00574302"/>
    <w:rsid w:val="005749C5"/>
    <w:rsid w:val="00575DD7"/>
    <w:rsid w:val="005830CB"/>
    <w:rsid w:val="00583EA5"/>
    <w:rsid w:val="00584CBD"/>
    <w:rsid w:val="00584ECC"/>
    <w:rsid w:val="00586AA5"/>
    <w:rsid w:val="00592C39"/>
    <w:rsid w:val="00592D80"/>
    <w:rsid w:val="005A0AE6"/>
    <w:rsid w:val="005A6986"/>
    <w:rsid w:val="005B0569"/>
    <w:rsid w:val="005B1FB9"/>
    <w:rsid w:val="005B6079"/>
    <w:rsid w:val="005B7A11"/>
    <w:rsid w:val="005C1414"/>
    <w:rsid w:val="005C27E2"/>
    <w:rsid w:val="005C352A"/>
    <w:rsid w:val="005C4FE1"/>
    <w:rsid w:val="005C6EC2"/>
    <w:rsid w:val="005C77F5"/>
    <w:rsid w:val="005D026A"/>
    <w:rsid w:val="005D08BE"/>
    <w:rsid w:val="005D2C9C"/>
    <w:rsid w:val="005D2ED8"/>
    <w:rsid w:val="005D49A8"/>
    <w:rsid w:val="005E1943"/>
    <w:rsid w:val="005E40E9"/>
    <w:rsid w:val="005F08CD"/>
    <w:rsid w:val="005F1BDE"/>
    <w:rsid w:val="005F1C4A"/>
    <w:rsid w:val="005F1E2F"/>
    <w:rsid w:val="005F38E3"/>
    <w:rsid w:val="005F5870"/>
    <w:rsid w:val="005F6B8C"/>
    <w:rsid w:val="005F6F5D"/>
    <w:rsid w:val="00602DF7"/>
    <w:rsid w:val="00603383"/>
    <w:rsid w:val="006035E9"/>
    <w:rsid w:val="0060672D"/>
    <w:rsid w:val="00606EB2"/>
    <w:rsid w:val="00607B60"/>
    <w:rsid w:val="0061098C"/>
    <w:rsid w:val="00611941"/>
    <w:rsid w:val="00620201"/>
    <w:rsid w:val="006207E6"/>
    <w:rsid w:val="00621031"/>
    <w:rsid w:val="006272DC"/>
    <w:rsid w:val="006272E7"/>
    <w:rsid w:val="00630CD1"/>
    <w:rsid w:val="00630D70"/>
    <w:rsid w:val="00631D39"/>
    <w:rsid w:val="00634BD8"/>
    <w:rsid w:val="00635618"/>
    <w:rsid w:val="00635E43"/>
    <w:rsid w:val="00636CD4"/>
    <w:rsid w:val="00640665"/>
    <w:rsid w:val="00640A1F"/>
    <w:rsid w:val="006414AD"/>
    <w:rsid w:val="00651642"/>
    <w:rsid w:val="00651B87"/>
    <w:rsid w:val="00652B00"/>
    <w:rsid w:val="00653C2A"/>
    <w:rsid w:val="00654D87"/>
    <w:rsid w:val="006551B6"/>
    <w:rsid w:val="0065579A"/>
    <w:rsid w:val="00656ADA"/>
    <w:rsid w:val="00665421"/>
    <w:rsid w:val="0066585F"/>
    <w:rsid w:val="00666260"/>
    <w:rsid w:val="0066685D"/>
    <w:rsid w:val="00666AAB"/>
    <w:rsid w:val="0066753A"/>
    <w:rsid w:val="0066787A"/>
    <w:rsid w:val="00671B58"/>
    <w:rsid w:val="0067239C"/>
    <w:rsid w:val="006745FF"/>
    <w:rsid w:val="00683100"/>
    <w:rsid w:val="006863A7"/>
    <w:rsid w:val="00686965"/>
    <w:rsid w:val="0069014F"/>
    <w:rsid w:val="006903FD"/>
    <w:rsid w:val="0069370D"/>
    <w:rsid w:val="00693AE8"/>
    <w:rsid w:val="00695682"/>
    <w:rsid w:val="00695E13"/>
    <w:rsid w:val="00696117"/>
    <w:rsid w:val="006A106E"/>
    <w:rsid w:val="006A4A08"/>
    <w:rsid w:val="006A7503"/>
    <w:rsid w:val="006B1428"/>
    <w:rsid w:val="006B267A"/>
    <w:rsid w:val="006B675D"/>
    <w:rsid w:val="006B73E6"/>
    <w:rsid w:val="006B7C0F"/>
    <w:rsid w:val="006B7C45"/>
    <w:rsid w:val="006C273F"/>
    <w:rsid w:val="006D0443"/>
    <w:rsid w:val="006D04D0"/>
    <w:rsid w:val="006D6012"/>
    <w:rsid w:val="006D6758"/>
    <w:rsid w:val="006E25B2"/>
    <w:rsid w:val="006E32FC"/>
    <w:rsid w:val="006E510C"/>
    <w:rsid w:val="006E6C65"/>
    <w:rsid w:val="006E7E38"/>
    <w:rsid w:val="006F1B37"/>
    <w:rsid w:val="006F2600"/>
    <w:rsid w:val="006F505C"/>
    <w:rsid w:val="006F6334"/>
    <w:rsid w:val="006F7AEA"/>
    <w:rsid w:val="00700637"/>
    <w:rsid w:val="00701EEB"/>
    <w:rsid w:val="007052A3"/>
    <w:rsid w:val="00705BBE"/>
    <w:rsid w:val="007102BE"/>
    <w:rsid w:val="00714F97"/>
    <w:rsid w:val="007151A2"/>
    <w:rsid w:val="00717861"/>
    <w:rsid w:val="00717F27"/>
    <w:rsid w:val="00720F3A"/>
    <w:rsid w:val="0072127D"/>
    <w:rsid w:val="00722A53"/>
    <w:rsid w:val="0072606A"/>
    <w:rsid w:val="007264FD"/>
    <w:rsid w:val="00736D2D"/>
    <w:rsid w:val="00740504"/>
    <w:rsid w:val="007427FE"/>
    <w:rsid w:val="007441B9"/>
    <w:rsid w:val="00745AD6"/>
    <w:rsid w:val="007500D3"/>
    <w:rsid w:val="00750F6B"/>
    <w:rsid w:val="0075127C"/>
    <w:rsid w:val="00751FDC"/>
    <w:rsid w:val="00753F11"/>
    <w:rsid w:val="007546AE"/>
    <w:rsid w:val="007546C9"/>
    <w:rsid w:val="00754CBF"/>
    <w:rsid w:val="00756A15"/>
    <w:rsid w:val="00756D19"/>
    <w:rsid w:val="007572FB"/>
    <w:rsid w:val="007576C6"/>
    <w:rsid w:val="00761959"/>
    <w:rsid w:val="007626BF"/>
    <w:rsid w:val="00762877"/>
    <w:rsid w:val="00762E8A"/>
    <w:rsid w:val="007631C9"/>
    <w:rsid w:val="00763931"/>
    <w:rsid w:val="00767F96"/>
    <w:rsid w:val="00771339"/>
    <w:rsid w:val="00772999"/>
    <w:rsid w:val="00780F11"/>
    <w:rsid w:val="007810B3"/>
    <w:rsid w:val="00784338"/>
    <w:rsid w:val="00784DE4"/>
    <w:rsid w:val="00784F2F"/>
    <w:rsid w:val="00785C3B"/>
    <w:rsid w:val="007864AB"/>
    <w:rsid w:val="007874E4"/>
    <w:rsid w:val="00791571"/>
    <w:rsid w:val="0079350D"/>
    <w:rsid w:val="007974CC"/>
    <w:rsid w:val="007A01F0"/>
    <w:rsid w:val="007A1B3F"/>
    <w:rsid w:val="007A58F9"/>
    <w:rsid w:val="007B3261"/>
    <w:rsid w:val="007B3377"/>
    <w:rsid w:val="007B6910"/>
    <w:rsid w:val="007C0552"/>
    <w:rsid w:val="007C20DB"/>
    <w:rsid w:val="007C28E3"/>
    <w:rsid w:val="007C53CF"/>
    <w:rsid w:val="007C645A"/>
    <w:rsid w:val="007D1608"/>
    <w:rsid w:val="007D2C50"/>
    <w:rsid w:val="007D2C6A"/>
    <w:rsid w:val="007D371C"/>
    <w:rsid w:val="007D4C43"/>
    <w:rsid w:val="007D5115"/>
    <w:rsid w:val="007E058A"/>
    <w:rsid w:val="007E09AC"/>
    <w:rsid w:val="007E2DF4"/>
    <w:rsid w:val="007E3AFC"/>
    <w:rsid w:val="007E51EC"/>
    <w:rsid w:val="007E7233"/>
    <w:rsid w:val="007F1060"/>
    <w:rsid w:val="007F14F4"/>
    <w:rsid w:val="007F195E"/>
    <w:rsid w:val="007F1A54"/>
    <w:rsid w:val="007F218C"/>
    <w:rsid w:val="007F68FE"/>
    <w:rsid w:val="008006D0"/>
    <w:rsid w:val="00801004"/>
    <w:rsid w:val="00801342"/>
    <w:rsid w:val="00805128"/>
    <w:rsid w:val="00806FE8"/>
    <w:rsid w:val="00807C5F"/>
    <w:rsid w:val="00807D37"/>
    <w:rsid w:val="008113FA"/>
    <w:rsid w:val="00814EF4"/>
    <w:rsid w:val="008203FB"/>
    <w:rsid w:val="008232B4"/>
    <w:rsid w:val="00825692"/>
    <w:rsid w:val="00826C41"/>
    <w:rsid w:val="008274C2"/>
    <w:rsid w:val="008324D7"/>
    <w:rsid w:val="008332CA"/>
    <w:rsid w:val="00834437"/>
    <w:rsid w:val="0083647A"/>
    <w:rsid w:val="008368CA"/>
    <w:rsid w:val="00837784"/>
    <w:rsid w:val="00837C23"/>
    <w:rsid w:val="00843F48"/>
    <w:rsid w:val="0084641A"/>
    <w:rsid w:val="00847D79"/>
    <w:rsid w:val="0085286D"/>
    <w:rsid w:val="00855E27"/>
    <w:rsid w:val="00856B30"/>
    <w:rsid w:val="00861FE7"/>
    <w:rsid w:val="008627CC"/>
    <w:rsid w:val="00872EEC"/>
    <w:rsid w:val="008806DE"/>
    <w:rsid w:val="0088139D"/>
    <w:rsid w:val="00882559"/>
    <w:rsid w:val="00886002"/>
    <w:rsid w:val="008A4D47"/>
    <w:rsid w:val="008A7600"/>
    <w:rsid w:val="008B4104"/>
    <w:rsid w:val="008B7E2F"/>
    <w:rsid w:val="008C12E1"/>
    <w:rsid w:val="008C40B8"/>
    <w:rsid w:val="008C66EA"/>
    <w:rsid w:val="008C6BE7"/>
    <w:rsid w:val="008D0C0D"/>
    <w:rsid w:val="008D1491"/>
    <w:rsid w:val="008D587F"/>
    <w:rsid w:val="008D6D1A"/>
    <w:rsid w:val="008E128F"/>
    <w:rsid w:val="008E3985"/>
    <w:rsid w:val="008E3E21"/>
    <w:rsid w:val="008E6B1D"/>
    <w:rsid w:val="008F2ACC"/>
    <w:rsid w:val="008F3794"/>
    <w:rsid w:val="008F642B"/>
    <w:rsid w:val="008F6450"/>
    <w:rsid w:val="00900E50"/>
    <w:rsid w:val="009031AD"/>
    <w:rsid w:val="009038A7"/>
    <w:rsid w:val="00904532"/>
    <w:rsid w:val="00905FBB"/>
    <w:rsid w:val="00906965"/>
    <w:rsid w:val="00907B1B"/>
    <w:rsid w:val="0091021C"/>
    <w:rsid w:val="00910DE0"/>
    <w:rsid w:val="00912AFB"/>
    <w:rsid w:val="0091496E"/>
    <w:rsid w:val="00914AA0"/>
    <w:rsid w:val="00916F33"/>
    <w:rsid w:val="00923F5D"/>
    <w:rsid w:val="00926C81"/>
    <w:rsid w:val="009276B0"/>
    <w:rsid w:val="009276B3"/>
    <w:rsid w:val="009300B0"/>
    <w:rsid w:val="0093067B"/>
    <w:rsid w:val="00930DE7"/>
    <w:rsid w:val="009323F1"/>
    <w:rsid w:val="00933557"/>
    <w:rsid w:val="00933D5D"/>
    <w:rsid w:val="00933FD7"/>
    <w:rsid w:val="009359D5"/>
    <w:rsid w:val="00936B09"/>
    <w:rsid w:val="00937CEB"/>
    <w:rsid w:val="00941CA1"/>
    <w:rsid w:val="00941CE1"/>
    <w:rsid w:val="009432C9"/>
    <w:rsid w:val="0094349E"/>
    <w:rsid w:val="00943AC6"/>
    <w:rsid w:val="00943C2B"/>
    <w:rsid w:val="00943F72"/>
    <w:rsid w:val="009470AC"/>
    <w:rsid w:val="009519E9"/>
    <w:rsid w:val="00951B63"/>
    <w:rsid w:val="00952A9D"/>
    <w:rsid w:val="00954872"/>
    <w:rsid w:val="00954CF1"/>
    <w:rsid w:val="009551F5"/>
    <w:rsid w:val="00955E54"/>
    <w:rsid w:val="00961BA0"/>
    <w:rsid w:val="0096211B"/>
    <w:rsid w:val="00962201"/>
    <w:rsid w:val="0096461B"/>
    <w:rsid w:val="00965184"/>
    <w:rsid w:val="009651AF"/>
    <w:rsid w:val="00966563"/>
    <w:rsid w:val="00967DC2"/>
    <w:rsid w:val="00967E71"/>
    <w:rsid w:val="00972CEF"/>
    <w:rsid w:val="009730ED"/>
    <w:rsid w:val="009734C3"/>
    <w:rsid w:val="00975091"/>
    <w:rsid w:val="009777E1"/>
    <w:rsid w:val="00977F6D"/>
    <w:rsid w:val="0098015B"/>
    <w:rsid w:val="00981A95"/>
    <w:rsid w:val="00981ACC"/>
    <w:rsid w:val="00981C25"/>
    <w:rsid w:val="00982379"/>
    <w:rsid w:val="00983E39"/>
    <w:rsid w:val="0098463A"/>
    <w:rsid w:val="00984E0B"/>
    <w:rsid w:val="00992B8D"/>
    <w:rsid w:val="00996E91"/>
    <w:rsid w:val="009A4537"/>
    <w:rsid w:val="009B2B60"/>
    <w:rsid w:val="009B2E5D"/>
    <w:rsid w:val="009B472D"/>
    <w:rsid w:val="009B7C4C"/>
    <w:rsid w:val="009C0E1F"/>
    <w:rsid w:val="009C0F46"/>
    <w:rsid w:val="009C0F77"/>
    <w:rsid w:val="009C13AB"/>
    <w:rsid w:val="009C30D4"/>
    <w:rsid w:val="009C57FB"/>
    <w:rsid w:val="009C5B68"/>
    <w:rsid w:val="009C7D04"/>
    <w:rsid w:val="009D118F"/>
    <w:rsid w:val="009D3B78"/>
    <w:rsid w:val="009E2336"/>
    <w:rsid w:val="009E299E"/>
    <w:rsid w:val="009E2A65"/>
    <w:rsid w:val="009E4F7D"/>
    <w:rsid w:val="009E6074"/>
    <w:rsid w:val="009E6093"/>
    <w:rsid w:val="009E6E89"/>
    <w:rsid w:val="009E714F"/>
    <w:rsid w:val="009F0EF2"/>
    <w:rsid w:val="009F306A"/>
    <w:rsid w:val="009F4361"/>
    <w:rsid w:val="009F50C2"/>
    <w:rsid w:val="009F5599"/>
    <w:rsid w:val="00A0121B"/>
    <w:rsid w:val="00A01AD2"/>
    <w:rsid w:val="00A031A9"/>
    <w:rsid w:val="00A0321D"/>
    <w:rsid w:val="00A0399A"/>
    <w:rsid w:val="00A07B5E"/>
    <w:rsid w:val="00A111BF"/>
    <w:rsid w:val="00A12E91"/>
    <w:rsid w:val="00A15761"/>
    <w:rsid w:val="00A15A1F"/>
    <w:rsid w:val="00A2204D"/>
    <w:rsid w:val="00A238FE"/>
    <w:rsid w:val="00A26C98"/>
    <w:rsid w:val="00A30010"/>
    <w:rsid w:val="00A315CB"/>
    <w:rsid w:val="00A3451A"/>
    <w:rsid w:val="00A346C7"/>
    <w:rsid w:val="00A34C76"/>
    <w:rsid w:val="00A35BB5"/>
    <w:rsid w:val="00A41FE3"/>
    <w:rsid w:val="00A42843"/>
    <w:rsid w:val="00A44819"/>
    <w:rsid w:val="00A46BAD"/>
    <w:rsid w:val="00A52E22"/>
    <w:rsid w:val="00A53AA6"/>
    <w:rsid w:val="00A53CDF"/>
    <w:rsid w:val="00A5758D"/>
    <w:rsid w:val="00A603C7"/>
    <w:rsid w:val="00A63C41"/>
    <w:rsid w:val="00A63C99"/>
    <w:rsid w:val="00A65656"/>
    <w:rsid w:val="00A67518"/>
    <w:rsid w:val="00A7030F"/>
    <w:rsid w:val="00A70D18"/>
    <w:rsid w:val="00A768E0"/>
    <w:rsid w:val="00A779B8"/>
    <w:rsid w:val="00A80203"/>
    <w:rsid w:val="00A80B4A"/>
    <w:rsid w:val="00A81AD0"/>
    <w:rsid w:val="00A8257A"/>
    <w:rsid w:val="00A8560C"/>
    <w:rsid w:val="00A87030"/>
    <w:rsid w:val="00A87D0F"/>
    <w:rsid w:val="00A93BEF"/>
    <w:rsid w:val="00A95567"/>
    <w:rsid w:val="00A957B7"/>
    <w:rsid w:val="00A96FBD"/>
    <w:rsid w:val="00AA228F"/>
    <w:rsid w:val="00AA277B"/>
    <w:rsid w:val="00AA61E6"/>
    <w:rsid w:val="00AB01A1"/>
    <w:rsid w:val="00AB71E0"/>
    <w:rsid w:val="00AB783D"/>
    <w:rsid w:val="00AC07CF"/>
    <w:rsid w:val="00AC095B"/>
    <w:rsid w:val="00AC1363"/>
    <w:rsid w:val="00AC1D3F"/>
    <w:rsid w:val="00AC2CDA"/>
    <w:rsid w:val="00AC3448"/>
    <w:rsid w:val="00AC493E"/>
    <w:rsid w:val="00AC513C"/>
    <w:rsid w:val="00AC5420"/>
    <w:rsid w:val="00AC6A60"/>
    <w:rsid w:val="00AD1B6D"/>
    <w:rsid w:val="00AD3AA7"/>
    <w:rsid w:val="00AD3ABE"/>
    <w:rsid w:val="00AD3D3F"/>
    <w:rsid w:val="00AD4CF8"/>
    <w:rsid w:val="00AD725A"/>
    <w:rsid w:val="00AD747B"/>
    <w:rsid w:val="00AD760B"/>
    <w:rsid w:val="00AE0511"/>
    <w:rsid w:val="00AE1C1F"/>
    <w:rsid w:val="00AE3F8B"/>
    <w:rsid w:val="00AE4320"/>
    <w:rsid w:val="00AE5E1C"/>
    <w:rsid w:val="00AE72D4"/>
    <w:rsid w:val="00AE749D"/>
    <w:rsid w:val="00AE7A86"/>
    <w:rsid w:val="00AF0AA6"/>
    <w:rsid w:val="00AF1049"/>
    <w:rsid w:val="00AF152E"/>
    <w:rsid w:val="00AF276A"/>
    <w:rsid w:val="00AF78D3"/>
    <w:rsid w:val="00AF7DA5"/>
    <w:rsid w:val="00AF7DE4"/>
    <w:rsid w:val="00B037F0"/>
    <w:rsid w:val="00B100C5"/>
    <w:rsid w:val="00B10482"/>
    <w:rsid w:val="00B12EBB"/>
    <w:rsid w:val="00B144E5"/>
    <w:rsid w:val="00B15EB3"/>
    <w:rsid w:val="00B1638D"/>
    <w:rsid w:val="00B2256B"/>
    <w:rsid w:val="00B24F59"/>
    <w:rsid w:val="00B251A2"/>
    <w:rsid w:val="00B25806"/>
    <w:rsid w:val="00B261E0"/>
    <w:rsid w:val="00B2741B"/>
    <w:rsid w:val="00B300D2"/>
    <w:rsid w:val="00B3054D"/>
    <w:rsid w:val="00B31BC4"/>
    <w:rsid w:val="00B36063"/>
    <w:rsid w:val="00B404A4"/>
    <w:rsid w:val="00B40C76"/>
    <w:rsid w:val="00B40FA0"/>
    <w:rsid w:val="00B43EF7"/>
    <w:rsid w:val="00B44E8D"/>
    <w:rsid w:val="00B4594C"/>
    <w:rsid w:val="00B46B9B"/>
    <w:rsid w:val="00B502A3"/>
    <w:rsid w:val="00B51112"/>
    <w:rsid w:val="00B51ACB"/>
    <w:rsid w:val="00B51E8C"/>
    <w:rsid w:val="00B5320C"/>
    <w:rsid w:val="00B6183A"/>
    <w:rsid w:val="00B6274D"/>
    <w:rsid w:val="00B65A3B"/>
    <w:rsid w:val="00B7202B"/>
    <w:rsid w:val="00B720C1"/>
    <w:rsid w:val="00B739D6"/>
    <w:rsid w:val="00B76D3C"/>
    <w:rsid w:val="00B777BE"/>
    <w:rsid w:val="00B80A10"/>
    <w:rsid w:val="00B826D7"/>
    <w:rsid w:val="00B876FA"/>
    <w:rsid w:val="00B923F1"/>
    <w:rsid w:val="00B926E4"/>
    <w:rsid w:val="00B93808"/>
    <w:rsid w:val="00B945AD"/>
    <w:rsid w:val="00B94F2A"/>
    <w:rsid w:val="00B952BF"/>
    <w:rsid w:val="00B9564C"/>
    <w:rsid w:val="00B96AE0"/>
    <w:rsid w:val="00BA356F"/>
    <w:rsid w:val="00BA5463"/>
    <w:rsid w:val="00BA5898"/>
    <w:rsid w:val="00BA5B34"/>
    <w:rsid w:val="00BA5CE9"/>
    <w:rsid w:val="00BB2393"/>
    <w:rsid w:val="00BB49BE"/>
    <w:rsid w:val="00BB5F8D"/>
    <w:rsid w:val="00BB6182"/>
    <w:rsid w:val="00BB79D6"/>
    <w:rsid w:val="00BC24DA"/>
    <w:rsid w:val="00BC4CC9"/>
    <w:rsid w:val="00BD136D"/>
    <w:rsid w:val="00BD3A68"/>
    <w:rsid w:val="00BD4917"/>
    <w:rsid w:val="00BD5090"/>
    <w:rsid w:val="00BD662B"/>
    <w:rsid w:val="00BD67B3"/>
    <w:rsid w:val="00BD7079"/>
    <w:rsid w:val="00BD7DCA"/>
    <w:rsid w:val="00BE000A"/>
    <w:rsid w:val="00BE2EE4"/>
    <w:rsid w:val="00BF0365"/>
    <w:rsid w:val="00BF08FC"/>
    <w:rsid w:val="00C002D1"/>
    <w:rsid w:val="00C02B08"/>
    <w:rsid w:val="00C044A6"/>
    <w:rsid w:val="00C04501"/>
    <w:rsid w:val="00C057BF"/>
    <w:rsid w:val="00C057D1"/>
    <w:rsid w:val="00C11034"/>
    <w:rsid w:val="00C110B5"/>
    <w:rsid w:val="00C15067"/>
    <w:rsid w:val="00C20139"/>
    <w:rsid w:val="00C2025D"/>
    <w:rsid w:val="00C21A6E"/>
    <w:rsid w:val="00C23CAC"/>
    <w:rsid w:val="00C25945"/>
    <w:rsid w:val="00C44058"/>
    <w:rsid w:val="00C45ED7"/>
    <w:rsid w:val="00C47282"/>
    <w:rsid w:val="00C53A13"/>
    <w:rsid w:val="00C562A9"/>
    <w:rsid w:val="00C57FAA"/>
    <w:rsid w:val="00C7056E"/>
    <w:rsid w:val="00C70809"/>
    <w:rsid w:val="00C725F0"/>
    <w:rsid w:val="00C803E7"/>
    <w:rsid w:val="00C81250"/>
    <w:rsid w:val="00C81D94"/>
    <w:rsid w:val="00C904CD"/>
    <w:rsid w:val="00C92ED6"/>
    <w:rsid w:val="00C9373E"/>
    <w:rsid w:val="00CA094E"/>
    <w:rsid w:val="00CA2EB1"/>
    <w:rsid w:val="00CA2EC3"/>
    <w:rsid w:val="00CA36DD"/>
    <w:rsid w:val="00CA7185"/>
    <w:rsid w:val="00CB15A8"/>
    <w:rsid w:val="00CB424F"/>
    <w:rsid w:val="00CB603A"/>
    <w:rsid w:val="00CC09F7"/>
    <w:rsid w:val="00CC20BC"/>
    <w:rsid w:val="00CC38B9"/>
    <w:rsid w:val="00CC3AD5"/>
    <w:rsid w:val="00CC3B2F"/>
    <w:rsid w:val="00CD0980"/>
    <w:rsid w:val="00CD1855"/>
    <w:rsid w:val="00CD1975"/>
    <w:rsid w:val="00CD214A"/>
    <w:rsid w:val="00CD3E5C"/>
    <w:rsid w:val="00CE0F44"/>
    <w:rsid w:val="00CE236A"/>
    <w:rsid w:val="00CE2FEA"/>
    <w:rsid w:val="00CE38A3"/>
    <w:rsid w:val="00CE43AE"/>
    <w:rsid w:val="00CE480B"/>
    <w:rsid w:val="00CE55A8"/>
    <w:rsid w:val="00CE63B7"/>
    <w:rsid w:val="00CF6B3C"/>
    <w:rsid w:val="00D00DBE"/>
    <w:rsid w:val="00D04D47"/>
    <w:rsid w:val="00D064BB"/>
    <w:rsid w:val="00D1007B"/>
    <w:rsid w:val="00D11CDE"/>
    <w:rsid w:val="00D13384"/>
    <w:rsid w:val="00D1428C"/>
    <w:rsid w:val="00D14685"/>
    <w:rsid w:val="00D14B14"/>
    <w:rsid w:val="00D1508C"/>
    <w:rsid w:val="00D157C7"/>
    <w:rsid w:val="00D158BC"/>
    <w:rsid w:val="00D201BF"/>
    <w:rsid w:val="00D2050B"/>
    <w:rsid w:val="00D21188"/>
    <w:rsid w:val="00D234D6"/>
    <w:rsid w:val="00D23BC3"/>
    <w:rsid w:val="00D25FC7"/>
    <w:rsid w:val="00D268B9"/>
    <w:rsid w:val="00D26F59"/>
    <w:rsid w:val="00D27C35"/>
    <w:rsid w:val="00D30E16"/>
    <w:rsid w:val="00D33DAC"/>
    <w:rsid w:val="00D34DF6"/>
    <w:rsid w:val="00D35237"/>
    <w:rsid w:val="00D35569"/>
    <w:rsid w:val="00D429DA"/>
    <w:rsid w:val="00D4582D"/>
    <w:rsid w:val="00D46390"/>
    <w:rsid w:val="00D50244"/>
    <w:rsid w:val="00D50E8D"/>
    <w:rsid w:val="00D541B8"/>
    <w:rsid w:val="00D56683"/>
    <w:rsid w:val="00D57089"/>
    <w:rsid w:val="00D57FDF"/>
    <w:rsid w:val="00D61571"/>
    <w:rsid w:val="00D63EA9"/>
    <w:rsid w:val="00D6471D"/>
    <w:rsid w:val="00D64A41"/>
    <w:rsid w:val="00D65480"/>
    <w:rsid w:val="00D65DE8"/>
    <w:rsid w:val="00D661A6"/>
    <w:rsid w:val="00D72D0B"/>
    <w:rsid w:val="00D76CE2"/>
    <w:rsid w:val="00D77971"/>
    <w:rsid w:val="00D85366"/>
    <w:rsid w:val="00D85845"/>
    <w:rsid w:val="00D859A9"/>
    <w:rsid w:val="00D87318"/>
    <w:rsid w:val="00D9073E"/>
    <w:rsid w:val="00D91166"/>
    <w:rsid w:val="00D93BC3"/>
    <w:rsid w:val="00D945DC"/>
    <w:rsid w:val="00DA06FE"/>
    <w:rsid w:val="00DA1392"/>
    <w:rsid w:val="00DA3F8A"/>
    <w:rsid w:val="00DA44EB"/>
    <w:rsid w:val="00DA4C1B"/>
    <w:rsid w:val="00DA57F1"/>
    <w:rsid w:val="00DB12A6"/>
    <w:rsid w:val="00DB2DCC"/>
    <w:rsid w:val="00DB365B"/>
    <w:rsid w:val="00DB4CC8"/>
    <w:rsid w:val="00DB5944"/>
    <w:rsid w:val="00DB7038"/>
    <w:rsid w:val="00DC1888"/>
    <w:rsid w:val="00DC2CD4"/>
    <w:rsid w:val="00DC5104"/>
    <w:rsid w:val="00DC76DE"/>
    <w:rsid w:val="00DD02C5"/>
    <w:rsid w:val="00DD28EF"/>
    <w:rsid w:val="00DD2BFC"/>
    <w:rsid w:val="00DD34C2"/>
    <w:rsid w:val="00DD43B9"/>
    <w:rsid w:val="00DD5DFE"/>
    <w:rsid w:val="00DF0D64"/>
    <w:rsid w:val="00DF0FBF"/>
    <w:rsid w:val="00DF207F"/>
    <w:rsid w:val="00DF4904"/>
    <w:rsid w:val="00DF5D64"/>
    <w:rsid w:val="00E00099"/>
    <w:rsid w:val="00E07142"/>
    <w:rsid w:val="00E07D5E"/>
    <w:rsid w:val="00E101A9"/>
    <w:rsid w:val="00E116B4"/>
    <w:rsid w:val="00E11CD2"/>
    <w:rsid w:val="00E131B4"/>
    <w:rsid w:val="00E13F6F"/>
    <w:rsid w:val="00E14F94"/>
    <w:rsid w:val="00E15BFD"/>
    <w:rsid w:val="00E23241"/>
    <w:rsid w:val="00E26324"/>
    <w:rsid w:val="00E2663F"/>
    <w:rsid w:val="00E2775F"/>
    <w:rsid w:val="00E30692"/>
    <w:rsid w:val="00E3225B"/>
    <w:rsid w:val="00E33621"/>
    <w:rsid w:val="00E34FD2"/>
    <w:rsid w:val="00E356F4"/>
    <w:rsid w:val="00E36AAB"/>
    <w:rsid w:val="00E37725"/>
    <w:rsid w:val="00E4270B"/>
    <w:rsid w:val="00E439FB"/>
    <w:rsid w:val="00E43DEA"/>
    <w:rsid w:val="00E44225"/>
    <w:rsid w:val="00E44ACE"/>
    <w:rsid w:val="00E46CA1"/>
    <w:rsid w:val="00E46D23"/>
    <w:rsid w:val="00E50837"/>
    <w:rsid w:val="00E508ED"/>
    <w:rsid w:val="00E50956"/>
    <w:rsid w:val="00E52AAA"/>
    <w:rsid w:val="00E5491D"/>
    <w:rsid w:val="00E54FC7"/>
    <w:rsid w:val="00E563ED"/>
    <w:rsid w:val="00E56A8F"/>
    <w:rsid w:val="00E57309"/>
    <w:rsid w:val="00E57E12"/>
    <w:rsid w:val="00E61A71"/>
    <w:rsid w:val="00E62D9D"/>
    <w:rsid w:val="00E64662"/>
    <w:rsid w:val="00E64DD1"/>
    <w:rsid w:val="00E6531F"/>
    <w:rsid w:val="00E65D31"/>
    <w:rsid w:val="00E66E23"/>
    <w:rsid w:val="00E71159"/>
    <w:rsid w:val="00E74BD5"/>
    <w:rsid w:val="00E7655E"/>
    <w:rsid w:val="00E805A1"/>
    <w:rsid w:val="00E815C8"/>
    <w:rsid w:val="00E82D62"/>
    <w:rsid w:val="00E8320F"/>
    <w:rsid w:val="00E844EA"/>
    <w:rsid w:val="00E8763B"/>
    <w:rsid w:val="00E8764E"/>
    <w:rsid w:val="00E876BF"/>
    <w:rsid w:val="00E90F07"/>
    <w:rsid w:val="00E91E26"/>
    <w:rsid w:val="00E91F49"/>
    <w:rsid w:val="00E9302F"/>
    <w:rsid w:val="00E94207"/>
    <w:rsid w:val="00E96F32"/>
    <w:rsid w:val="00E97714"/>
    <w:rsid w:val="00E9782A"/>
    <w:rsid w:val="00E978D4"/>
    <w:rsid w:val="00E97B6E"/>
    <w:rsid w:val="00EA03AE"/>
    <w:rsid w:val="00EA0840"/>
    <w:rsid w:val="00EA240E"/>
    <w:rsid w:val="00EA29C6"/>
    <w:rsid w:val="00EA34EF"/>
    <w:rsid w:val="00EB0403"/>
    <w:rsid w:val="00EB247F"/>
    <w:rsid w:val="00EB344F"/>
    <w:rsid w:val="00EB419F"/>
    <w:rsid w:val="00EB43BD"/>
    <w:rsid w:val="00EC045F"/>
    <w:rsid w:val="00EC0680"/>
    <w:rsid w:val="00EC3A27"/>
    <w:rsid w:val="00EC3D54"/>
    <w:rsid w:val="00EC57B8"/>
    <w:rsid w:val="00EC5913"/>
    <w:rsid w:val="00ED3195"/>
    <w:rsid w:val="00ED3353"/>
    <w:rsid w:val="00ED3797"/>
    <w:rsid w:val="00ED7489"/>
    <w:rsid w:val="00EE0272"/>
    <w:rsid w:val="00EE274A"/>
    <w:rsid w:val="00EE3C24"/>
    <w:rsid w:val="00EE7E2E"/>
    <w:rsid w:val="00EF06E5"/>
    <w:rsid w:val="00EF1970"/>
    <w:rsid w:val="00EF21F4"/>
    <w:rsid w:val="00EF2247"/>
    <w:rsid w:val="00EF2A42"/>
    <w:rsid w:val="00EF4023"/>
    <w:rsid w:val="00F030F6"/>
    <w:rsid w:val="00F03FD0"/>
    <w:rsid w:val="00F05491"/>
    <w:rsid w:val="00F0595F"/>
    <w:rsid w:val="00F0598F"/>
    <w:rsid w:val="00F059D7"/>
    <w:rsid w:val="00F0657E"/>
    <w:rsid w:val="00F06F4C"/>
    <w:rsid w:val="00F06F88"/>
    <w:rsid w:val="00F07D8A"/>
    <w:rsid w:val="00F13BB4"/>
    <w:rsid w:val="00F14D3D"/>
    <w:rsid w:val="00F15AEE"/>
    <w:rsid w:val="00F16A87"/>
    <w:rsid w:val="00F254E9"/>
    <w:rsid w:val="00F26176"/>
    <w:rsid w:val="00F26508"/>
    <w:rsid w:val="00F302A7"/>
    <w:rsid w:val="00F324C1"/>
    <w:rsid w:val="00F346F2"/>
    <w:rsid w:val="00F36DC7"/>
    <w:rsid w:val="00F41FF5"/>
    <w:rsid w:val="00F4393C"/>
    <w:rsid w:val="00F44C6D"/>
    <w:rsid w:val="00F46737"/>
    <w:rsid w:val="00F52595"/>
    <w:rsid w:val="00F53092"/>
    <w:rsid w:val="00F530FC"/>
    <w:rsid w:val="00F5417D"/>
    <w:rsid w:val="00F560AF"/>
    <w:rsid w:val="00F61DCA"/>
    <w:rsid w:val="00F6366D"/>
    <w:rsid w:val="00F64BF0"/>
    <w:rsid w:val="00F65586"/>
    <w:rsid w:val="00F66D25"/>
    <w:rsid w:val="00F73235"/>
    <w:rsid w:val="00F73999"/>
    <w:rsid w:val="00F73C9C"/>
    <w:rsid w:val="00F74517"/>
    <w:rsid w:val="00F83372"/>
    <w:rsid w:val="00F84779"/>
    <w:rsid w:val="00F84DB6"/>
    <w:rsid w:val="00F85FFB"/>
    <w:rsid w:val="00F860FE"/>
    <w:rsid w:val="00F86E0B"/>
    <w:rsid w:val="00F90886"/>
    <w:rsid w:val="00F90D56"/>
    <w:rsid w:val="00F90DCA"/>
    <w:rsid w:val="00F91E53"/>
    <w:rsid w:val="00F94423"/>
    <w:rsid w:val="00F96F8A"/>
    <w:rsid w:val="00FA0AD3"/>
    <w:rsid w:val="00FA2194"/>
    <w:rsid w:val="00FA2956"/>
    <w:rsid w:val="00FA5114"/>
    <w:rsid w:val="00FA6055"/>
    <w:rsid w:val="00FA669C"/>
    <w:rsid w:val="00FA6897"/>
    <w:rsid w:val="00FA7C26"/>
    <w:rsid w:val="00FB2C53"/>
    <w:rsid w:val="00FB2DC0"/>
    <w:rsid w:val="00FB3AB3"/>
    <w:rsid w:val="00FB649C"/>
    <w:rsid w:val="00FC2C8B"/>
    <w:rsid w:val="00FC3F52"/>
    <w:rsid w:val="00FD2788"/>
    <w:rsid w:val="00FD444A"/>
    <w:rsid w:val="00FD686B"/>
    <w:rsid w:val="00FD689F"/>
    <w:rsid w:val="00FD77AF"/>
    <w:rsid w:val="00FE0FDC"/>
    <w:rsid w:val="00FE53D4"/>
    <w:rsid w:val="00FE712D"/>
    <w:rsid w:val="00FE7F0A"/>
    <w:rsid w:val="00FF038A"/>
    <w:rsid w:val="00FF3020"/>
    <w:rsid w:val="00FF3054"/>
    <w:rsid w:val="00FF47F5"/>
    <w:rsid w:val="00FF5986"/>
    <w:rsid w:val="00FF7B93"/>
    <w:rsid w:val="19B34150"/>
    <w:rsid w:val="2D56E7D4"/>
    <w:rsid w:val="2FC5C4D9"/>
    <w:rsid w:val="3048CB0E"/>
    <w:rsid w:val="3B9A7176"/>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432C9"/>
    <w:pPr>
      <w:keepNext/>
      <w:keepLines/>
      <w:numPr>
        <w:numId w:val="12"/>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3"/>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432C9"/>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7A01F0"/>
    <w:pPr>
      <w:tabs>
        <w:tab w:val="left" w:pos="440"/>
      </w:tabs>
      <w:spacing w:after="100"/>
    </w:pPr>
  </w:style>
  <w:style w:type="paragraph" w:styleId="TOC2">
    <w:name w:val="toc 2"/>
    <w:basedOn w:val="Normal"/>
    <w:next w:val="Normal"/>
    <w:autoRedefine/>
    <w:uiPriority w:val="39"/>
    <w:unhideWhenUsed/>
    <w:rsid w:val="007A01F0"/>
    <w:pPr>
      <w:spacing w:after="100"/>
      <w:ind w:left="220"/>
    </w:pPr>
  </w:style>
  <w:style w:type="paragraph" w:styleId="TOC3">
    <w:name w:val="toc 3"/>
    <w:basedOn w:val="Normal"/>
    <w:next w:val="Normal"/>
    <w:autoRedefine/>
    <w:uiPriority w:val="39"/>
    <w:unhideWhenUsed/>
    <w:rsid w:val="007A01F0"/>
    <w:pPr>
      <w:tabs>
        <w:tab w:val="left" w:pos="1320"/>
        <w:tab w:val="right" w:pos="9350"/>
      </w:tabs>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160" w:line="259" w:lineRule="auto"/>
      <w:jc w:val="left"/>
    </w:pPr>
    <w:rPr>
      <w:rFonts w:asciiTheme="minorHAnsi" w:hAnsiTheme="minorHAnsi"/>
    </w:rPr>
  </w:style>
  <w:style w:type="character" w:customStyle="1" w:styleId="apple-converted-space">
    <w:name w:val="apple-converted-space"/>
    <w:basedOn w:val="DefaultParagraphFont"/>
    <w:rsid w:val="0070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20475574">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086748">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23963663">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580723802">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69543194">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72172296">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23640524">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74152673">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04702506">
      <w:bodyDiv w:val="1"/>
      <w:marLeft w:val="0"/>
      <w:marRight w:val="0"/>
      <w:marTop w:val="0"/>
      <w:marBottom w:val="0"/>
      <w:divBdr>
        <w:top w:val="none" w:sz="0" w:space="0" w:color="auto"/>
        <w:left w:val="none" w:sz="0" w:space="0" w:color="auto"/>
        <w:bottom w:val="none" w:sz="0" w:space="0" w:color="auto"/>
        <w:right w:val="none" w:sz="0" w:space="0" w:color="auto"/>
      </w:divBdr>
      <w:divsChild>
        <w:div w:id="325208989">
          <w:marLeft w:val="480"/>
          <w:marRight w:val="0"/>
          <w:marTop w:val="0"/>
          <w:marBottom w:val="0"/>
          <w:divBdr>
            <w:top w:val="none" w:sz="0" w:space="0" w:color="auto"/>
            <w:left w:val="none" w:sz="0" w:space="0" w:color="auto"/>
            <w:bottom w:val="none" w:sz="0" w:space="0" w:color="auto"/>
            <w:right w:val="none" w:sz="0" w:space="0" w:color="auto"/>
          </w:divBdr>
          <w:divsChild>
            <w:div w:id="448159364">
              <w:marLeft w:val="0"/>
              <w:marRight w:val="0"/>
              <w:marTop w:val="0"/>
              <w:marBottom w:val="0"/>
              <w:divBdr>
                <w:top w:val="none" w:sz="0" w:space="0" w:color="auto"/>
                <w:left w:val="none" w:sz="0" w:space="0" w:color="auto"/>
                <w:bottom w:val="none" w:sz="0" w:space="0" w:color="auto"/>
                <w:right w:val="none" w:sz="0" w:space="0" w:color="auto"/>
              </w:divBdr>
            </w:div>
            <w:div w:id="303005422">
              <w:marLeft w:val="0"/>
              <w:marRight w:val="0"/>
              <w:marTop w:val="0"/>
              <w:marBottom w:val="0"/>
              <w:divBdr>
                <w:top w:val="none" w:sz="0" w:space="0" w:color="auto"/>
                <w:left w:val="none" w:sz="0" w:space="0" w:color="auto"/>
                <w:bottom w:val="none" w:sz="0" w:space="0" w:color="auto"/>
                <w:right w:val="none" w:sz="0" w:space="0" w:color="auto"/>
              </w:divBdr>
            </w:div>
            <w:div w:id="638222112">
              <w:marLeft w:val="0"/>
              <w:marRight w:val="0"/>
              <w:marTop w:val="0"/>
              <w:marBottom w:val="0"/>
              <w:divBdr>
                <w:top w:val="none" w:sz="0" w:space="0" w:color="auto"/>
                <w:left w:val="none" w:sz="0" w:space="0" w:color="auto"/>
                <w:bottom w:val="none" w:sz="0" w:space="0" w:color="auto"/>
                <w:right w:val="none" w:sz="0" w:space="0" w:color="auto"/>
              </w:divBdr>
            </w:div>
            <w:div w:id="319383730">
              <w:marLeft w:val="0"/>
              <w:marRight w:val="0"/>
              <w:marTop w:val="0"/>
              <w:marBottom w:val="0"/>
              <w:divBdr>
                <w:top w:val="none" w:sz="0" w:space="0" w:color="auto"/>
                <w:left w:val="none" w:sz="0" w:space="0" w:color="auto"/>
                <w:bottom w:val="none" w:sz="0" w:space="0" w:color="auto"/>
                <w:right w:val="none" w:sz="0" w:space="0" w:color="auto"/>
              </w:divBdr>
            </w:div>
            <w:div w:id="361370160">
              <w:marLeft w:val="0"/>
              <w:marRight w:val="0"/>
              <w:marTop w:val="0"/>
              <w:marBottom w:val="0"/>
              <w:divBdr>
                <w:top w:val="none" w:sz="0" w:space="0" w:color="auto"/>
                <w:left w:val="none" w:sz="0" w:space="0" w:color="auto"/>
                <w:bottom w:val="none" w:sz="0" w:space="0" w:color="auto"/>
                <w:right w:val="none" w:sz="0" w:space="0" w:color="auto"/>
              </w:divBdr>
            </w:div>
            <w:div w:id="1115753034">
              <w:marLeft w:val="0"/>
              <w:marRight w:val="0"/>
              <w:marTop w:val="0"/>
              <w:marBottom w:val="0"/>
              <w:divBdr>
                <w:top w:val="none" w:sz="0" w:space="0" w:color="auto"/>
                <w:left w:val="none" w:sz="0" w:space="0" w:color="auto"/>
                <w:bottom w:val="none" w:sz="0" w:space="0" w:color="auto"/>
                <w:right w:val="none" w:sz="0" w:space="0" w:color="auto"/>
              </w:divBdr>
            </w:div>
            <w:div w:id="908345551">
              <w:marLeft w:val="0"/>
              <w:marRight w:val="0"/>
              <w:marTop w:val="0"/>
              <w:marBottom w:val="0"/>
              <w:divBdr>
                <w:top w:val="none" w:sz="0" w:space="0" w:color="auto"/>
                <w:left w:val="none" w:sz="0" w:space="0" w:color="auto"/>
                <w:bottom w:val="none" w:sz="0" w:space="0" w:color="auto"/>
                <w:right w:val="none" w:sz="0" w:space="0" w:color="auto"/>
              </w:divBdr>
            </w:div>
            <w:div w:id="1514299602">
              <w:marLeft w:val="0"/>
              <w:marRight w:val="0"/>
              <w:marTop w:val="0"/>
              <w:marBottom w:val="0"/>
              <w:divBdr>
                <w:top w:val="none" w:sz="0" w:space="0" w:color="auto"/>
                <w:left w:val="none" w:sz="0" w:space="0" w:color="auto"/>
                <w:bottom w:val="none" w:sz="0" w:space="0" w:color="auto"/>
                <w:right w:val="none" w:sz="0" w:space="0" w:color="auto"/>
              </w:divBdr>
            </w:div>
            <w:div w:id="118649442">
              <w:marLeft w:val="0"/>
              <w:marRight w:val="0"/>
              <w:marTop w:val="0"/>
              <w:marBottom w:val="0"/>
              <w:divBdr>
                <w:top w:val="none" w:sz="0" w:space="0" w:color="auto"/>
                <w:left w:val="none" w:sz="0" w:space="0" w:color="auto"/>
                <w:bottom w:val="none" w:sz="0" w:space="0" w:color="auto"/>
                <w:right w:val="none" w:sz="0" w:space="0" w:color="auto"/>
              </w:divBdr>
            </w:div>
            <w:div w:id="1253394407">
              <w:marLeft w:val="0"/>
              <w:marRight w:val="0"/>
              <w:marTop w:val="0"/>
              <w:marBottom w:val="0"/>
              <w:divBdr>
                <w:top w:val="none" w:sz="0" w:space="0" w:color="auto"/>
                <w:left w:val="none" w:sz="0" w:space="0" w:color="auto"/>
                <w:bottom w:val="none" w:sz="0" w:space="0" w:color="auto"/>
                <w:right w:val="none" w:sz="0" w:space="0" w:color="auto"/>
              </w:divBdr>
            </w:div>
            <w:div w:id="1943297541">
              <w:marLeft w:val="0"/>
              <w:marRight w:val="0"/>
              <w:marTop w:val="0"/>
              <w:marBottom w:val="0"/>
              <w:divBdr>
                <w:top w:val="none" w:sz="0" w:space="0" w:color="auto"/>
                <w:left w:val="none" w:sz="0" w:space="0" w:color="auto"/>
                <w:bottom w:val="none" w:sz="0" w:space="0" w:color="auto"/>
                <w:right w:val="none" w:sz="0" w:space="0" w:color="auto"/>
              </w:divBdr>
            </w:div>
            <w:div w:id="386539131">
              <w:marLeft w:val="0"/>
              <w:marRight w:val="0"/>
              <w:marTop w:val="0"/>
              <w:marBottom w:val="0"/>
              <w:divBdr>
                <w:top w:val="none" w:sz="0" w:space="0" w:color="auto"/>
                <w:left w:val="none" w:sz="0" w:space="0" w:color="auto"/>
                <w:bottom w:val="none" w:sz="0" w:space="0" w:color="auto"/>
                <w:right w:val="none" w:sz="0" w:space="0" w:color="auto"/>
              </w:divBdr>
            </w:div>
            <w:div w:id="1409888132">
              <w:marLeft w:val="0"/>
              <w:marRight w:val="0"/>
              <w:marTop w:val="0"/>
              <w:marBottom w:val="0"/>
              <w:divBdr>
                <w:top w:val="none" w:sz="0" w:space="0" w:color="auto"/>
                <w:left w:val="none" w:sz="0" w:space="0" w:color="auto"/>
                <w:bottom w:val="none" w:sz="0" w:space="0" w:color="auto"/>
                <w:right w:val="none" w:sz="0" w:space="0" w:color="auto"/>
              </w:divBdr>
            </w:div>
            <w:div w:id="2084181807">
              <w:marLeft w:val="0"/>
              <w:marRight w:val="0"/>
              <w:marTop w:val="0"/>
              <w:marBottom w:val="0"/>
              <w:divBdr>
                <w:top w:val="none" w:sz="0" w:space="0" w:color="auto"/>
                <w:left w:val="none" w:sz="0" w:space="0" w:color="auto"/>
                <w:bottom w:val="none" w:sz="0" w:space="0" w:color="auto"/>
                <w:right w:val="none" w:sz="0" w:space="0" w:color="auto"/>
              </w:divBdr>
            </w:div>
            <w:div w:id="28574815">
              <w:marLeft w:val="0"/>
              <w:marRight w:val="0"/>
              <w:marTop w:val="0"/>
              <w:marBottom w:val="0"/>
              <w:divBdr>
                <w:top w:val="none" w:sz="0" w:space="0" w:color="auto"/>
                <w:left w:val="none" w:sz="0" w:space="0" w:color="auto"/>
                <w:bottom w:val="none" w:sz="0" w:space="0" w:color="auto"/>
                <w:right w:val="none" w:sz="0" w:space="0" w:color="auto"/>
              </w:divBdr>
            </w:div>
            <w:div w:id="1147936836">
              <w:marLeft w:val="0"/>
              <w:marRight w:val="0"/>
              <w:marTop w:val="0"/>
              <w:marBottom w:val="0"/>
              <w:divBdr>
                <w:top w:val="none" w:sz="0" w:space="0" w:color="auto"/>
                <w:left w:val="none" w:sz="0" w:space="0" w:color="auto"/>
                <w:bottom w:val="none" w:sz="0" w:space="0" w:color="auto"/>
                <w:right w:val="none" w:sz="0" w:space="0" w:color="auto"/>
              </w:divBdr>
            </w:div>
            <w:div w:id="1513911644">
              <w:marLeft w:val="0"/>
              <w:marRight w:val="0"/>
              <w:marTop w:val="0"/>
              <w:marBottom w:val="0"/>
              <w:divBdr>
                <w:top w:val="none" w:sz="0" w:space="0" w:color="auto"/>
                <w:left w:val="none" w:sz="0" w:space="0" w:color="auto"/>
                <w:bottom w:val="none" w:sz="0" w:space="0" w:color="auto"/>
                <w:right w:val="none" w:sz="0" w:space="0" w:color="auto"/>
              </w:divBdr>
            </w:div>
            <w:div w:id="1968930320">
              <w:marLeft w:val="0"/>
              <w:marRight w:val="0"/>
              <w:marTop w:val="0"/>
              <w:marBottom w:val="0"/>
              <w:divBdr>
                <w:top w:val="none" w:sz="0" w:space="0" w:color="auto"/>
                <w:left w:val="none" w:sz="0" w:space="0" w:color="auto"/>
                <w:bottom w:val="none" w:sz="0" w:space="0" w:color="auto"/>
                <w:right w:val="none" w:sz="0" w:space="0" w:color="auto"/>
              </w:divBdr>
            </w:div>
            <w:div w:id="1355233254">
              <w:marLeft w:val="0"/>
              <w:marRight w:val="0"/>
              <w:marTop w:val="0"/>
              <w:marBottom w:val="0"/>
              <w:divBdr>
                <w:top w:val="none" w:sz="0" w:space="0" w:color="auto"/>
                <w:left w:val="none" w:sz="0" w:space="0" w:color="auto"/>
                <w:bottom w:val="none" w:sz="0" w:space="0" w:color="auto"/>
                <w:right w:val="none" w:sz="0" w:space="0" w:color="auto"/>
              </w:divBdr>
            </w:div>
            <w:div w:id="487329054">
              <w:marLeft w:val="0"/>
              <w:marRight w:val="0"/>
              <w:marTop w:val="0"/>
              <w:marBottom w:val="0"/>
              <w:divBdr>
                <w:top w:val="none" w:sz="0" w:space="0" w:color="auto"/>
                <w:left w:val="none" w:sz="0" w:space="0" w:color="auto"/>
                <w:bottom w:val="none" w:sz="0" w:space="0" w:color="auto"/>
                <w:right w:val="none" w:sz="0" w:space="0" w:color="auto"/>
              </w:divBdr>
            </w:div>
            <w:div w:id="1125736591">
              <w:marLeft w:val="0"/>
              <w:marRight w:val="0"/>
              <w:marTop w:val="0"/>
              <w:marBottom w:val="0"/>
              <w:divBdr>
                <w:top w:val="none" w:sz="0" w:space="0" w:color="auto"/>
                <w:left w:val="none" w:sz="0" w:space="0" w:color="auto"/>
                <w:bottom w:val="none" w:sz="0" w:space="0" w:color="auto"/>
                <w:right w:val="none" w:sz="0" w:space="0" w:color="auto"/>
              </w:divBdr>
            </w:div>
            <w:div w:id="2046712669">
              <w:marLeft w:val="0"/>
              <w:marRight w:val="0"/>
              <w:marTop w:val="0"/>
              <w:marBottom w:val="0"/>
              <w:divBdr>
                <w:top w:val="none" w:sz="0" w:space="0" w:color="auto"/>
                <w:left w:val="none" w:sz="0" w:space="0" w:color="auto"/>
                <w:bottom w:val="none" w:sz="0" w:space="0" w:color="auto"/>
                <w:right w:val="none" w:sz="0" w:space="0" w:color="auto"/>
              </w:divBdr>
            </w:div>
            <w:div w:id="756483389">
              <w:marLeft w:val="0"/>
              <w:marRight w:val="0"/>
              <w:marTop w:val="0"/>
              <w:marBottom w:val="0"/>
              <w:divBdr>
                <w:top w:val="none" w:sz="0" w:space="0" w:color="auto"/>
                <w:left w:val="none" w:sz="0" w:space="0" w:color="auto"/>
                <w:bottom w:val="none" w:sz="0" w:space="0" w:color="auto"/>
                <w:right w:val="none" w:sz="0" w:space="0" w:color="auto"/>
              </w:divBdr>
            </w:div>
            <w:div w:id="1804762086">
              <w:marLeft w:val="0"/>
              <w:marRight w:val="0"/>
              <w:marTop w:val="0"/>
              <w:marBottom w:val="0"/>
              <w:divBdr>
                <w:top w:val="none" w:sz="0" w:space="0" w:color="auto"/>
                <w:left w:val="none" w:sz="0" w:space="0" w:color="auto"/>
                <w:bottom w:val="none" w:sz="0" w:space="0" w:color="auto"/>
                <w:right w:val="none" w:sz="0" w:space="0" w:color="auto"/>
              </w:divBdr>
            </w:div>
            <w:div w:id="1083181139">
              <w:marLeft w:val="0"/>
              <w:marRight w:val="0"/>
              <w:marTop w:val="0"/>
              <w:marBottom w:val="0"/>
              <w:divBdr>
                <w:top w:val="none" w:sz="0" w:space="0" w:color="auto"/>
                <w:left w:val="none" w:sz="0" w:space="0" w:color="auto"/>
                <w:bottom w:val="none" w:sz="0" w:space="0" w:color="auto"/>
                <w:right w:val="none" w:sz="0" w:space="0" w:color="auto"/>
              </w:divBdr>
            </w:div>
            <w:div w:id="1823891971">
              <w:marLeft w:val="0"/>
              <w:marRight w:val="0"/>
              <w:marTop w:val="0"/>
              <w:marBottom w:val="0"/>
              <w:divBdr>
                <w:top w:val="none" w:sz="0" w:space="0" w:color="auto"/>
                <w:left w:val="none" w:sz="0" w:space="0" w:color="auto"/>
                <w:bottom w:val="none" w:sz="0" w:space="0" w:color="auto"/>
                <w:right w:val="none" w:sz="0" w:space="0" w:color="auto"/>
              </w:divBdr>
            </w:div>
            <w:div w:id="1152676874">
              <w:marLeft w:val="0"/>
              <w:marRight w:val="0"/>
              <w:marTop w:val="0"/>
              <w:marBottom w:val="0"/>
              <w:divBdr>
                <w:top w:val="none" w:sz="0" w:space="0" w:color="auto"/>
                <w:left w:val="none" w:sz="0" w:space="0" w:color="auto"/>
                <w:bottom w:val="none" w:sz="0" w:space="0" w:color="auto"/>
                <w:right w:val="none" w:sz="0" w:space="0" w:color="auto"/>
              </w:divBdr>
            </w:div>
            <w:div w:id="1324236525">
              <w:marLeft w:val="0"/>
              <w:marRight w:val="0"/>
              <w:marTop w:val="0"/>
              <w:marBottom w:val="0"/>
              <w:divBdr>
                <w:top w:val="none" w:sz="0" w:space="0" w:color="auto"/>
                <w:left w:val="none" w:sz="0" w:space="0" w:color="auto"/>
                <w:bottom w:val="none" w:sz="0" w:space="0" w:color="auto"/>
                <w:right w:val="none" w:sz="0" w:space="0" w:color="auto"/>
              </w:divBdr>
            </w:div>
            <w:div w:id="369232151">
              <w:marLeft w:val="0"/>
              <w:marRight w:val="0"/>
              <w:marTop w:val="0"/>
              <w:marBottom w:val="0"/>
              <w:divBdr>
                <w:top w:val="none" w:sz="0" w:space="0" w:color="auto"/>
                <w:left w:val="none" w:sz="0" w:space="0" w:color="auto"/>
                <w:bottom w:val="none" w:sz="0" w:space="0" w:color="auto"/>
                <w:right w:val="none" w:sz="0" w:space="0" w:color="auto"/>
              </w:divBdr>
            </w:div>
            <w:div w:id="807891662">
              <w:marLeft w:val="0"/>
              <w:marRight w:val="0"/>
              <w:marTop w:val="0"/>
              <w:marBottom w:val="0"/>
              <w:divBdr>
                <w:top w:val="none" w:sz="0" w:space="0" w:color="auto"/>
                <w:left w:val="none" w:sz="0" w:space="0" w:color="auto"/>
                <w:bottom w:val="none" w:sz="0" w:space="0" w:color="auto"/>
                <w:right w:val="none" w:sz="0" w:space="0" w:color="auto"/>
              </w:divBdr>
            </w:div>
            <w:div w:id="1701272333">
              <w:marLeft w:val="0"/>
              <w:marRight w:val="0"/>
              <w:marTop w:val="0"/>
              <w:marBottom w:val="0"/>
              <w:divBdr>
                <w:top w:val="none" w:sz="0" w:space="0" w:color="auto"/>
                <w:left w:val="none" w:sz="0" w:space="0" w:color="auto"/>
                <w:bottom w:val="none" w:sz="0" w:space="0" w:color="auto"/>
                <w:right w:val="none" w:sz="0" w:space="0" w:color="auto"/>
              </w:divBdr>
            </w:div>
            <w:div w:id="567233491">
              <w:marLeft w:val="0"/>
              <w:marRight w:val="0"/>
              <w:marTop w:val="0"/>
              <w:marBottom w:val="0"/>
              <w:divBdr>
                <w:top w:val="none" w:sz="0" w:space="0" w:color="auto"/>
                <w:left w:val="none" w:sz="0" w:space="0" w:color="auto"/>
                <w:bottom w:val="none" w:sz="0" w:space="0" w:color="auto"/>
                <w:right w:val="none" w:sz="0" w:space="0" w:color="auto"/>
              </w:divBdr>
            </w:div>
            <w:div w:id="1918512176">
              <w:marLeft w:val="0"/>
              <w:marRight w:val="0"/>
              <w:marTop w:val="0"/>
              <w:marBottom w:val="0"/>
              <w:divBdr>
                <w:top w:val="none" w:sz="0" w:space="0" w:color="auto"/>
                <w:left w:val="none" w:sz="0" w:space="0" w:color="auto"/>
                <w:bottom w:val="none" w:sz="0" w:space="0" w:color="auto"/>
                <w:right w:val="none" w:sz="0" w:space="0" w:color="auto"/>
              </w:divBdr>
            </w:div>
            <w:div w:id="1246256632">
              <w:marLeft w:val="0"/>
              <w:marRight w:val="0"/>
              <w:marTop w:val="0"/>
              <w:marBottom w:val="0"/>
              <w:divBdr>
                <w:top w:val="none" w:sz="0" w:space="0" w:color="auto"/>
                <w:left w:val="none" w:sz="0" w:space="0" w:color="auto"/>
                <w:bottom w:val="none" w:sz="0" w:space="0" w:color="auto"/>
                <w:right w:val="none" w:sz="0" w:space="0" w:color="auto"/>
              </w:divBdr>
            </w:div>
            <w:div w:id="145246076">
              <w:marLeft w:val="0"/>
              <w:marRight w:val="0"/>
              <w:marTop w:val="0"/>
              <w:marBottom w:val="0"/>
              <w:divBdr>
                <w:top w:val="none" w:sz="0" w:space="0" w:color="auto"/>
                <w:left w:val="none" w:sz="0" w:space="0" w:color="auto"/>
                <w:bottom w:val="none" w:sz="0" w:space="0" w:color="auto"/>
                <w:right w:val="none" w:sz="0" w:space="0" w:color="auto"/>
              </w:divBdr>
            </w:div>
            <w:div w:id="1957981119">
              <w:marLeft w:val="0"/>
              <w:marRight w:val="0"/>
              <w:marTop w:val="0"/>
              <w:marBottom w:val="0"/>
              <w:divBdr>
                <w:top w:val="none" w:sz="0" w:space="0" w:color="auto"/>
                <w:left w:val="none" w:sz="0" w:space="0" w:color="auto"/>
                <w:bottom w:val="none" w:sz="0" w:space="0" w:color="auto"/>
                <w:right w:val="none" w:sz="0" w:space="0" w:color="auto"/>
              </w:divBdr>
            </w:div>
            <w:div w:id="915164929">
              <w:marLeft w:val="0"/>
              <w:marRight w:val="0"/>
              <w:marTop w:val="0"/>
              <w:marBottom w:val="0"/>
              <w:divBdr>
                <w:top w:val="none" w:sz="0" w:space="0" w:color="auto"/>
                <w:left w:val="none" w:sz="0" w:space="0" w:color="auto"/>
                <w:bottom w:val="none" w:sz="0" w:space="0" w:color="auto"/>
                <w:right w:val="none" w:sz="0" w:space="0" w:color="auto"/>
              </w:divBdr>
            </w:div>
            <w:div w:id="1809591114">
              <w:marLeft w:val="0"/>
              <w:marRight w:val="0"/>
              <w:marTop w:val="0"/>
              <w:marBottom w:val="0"/>
              <w:divBdr>
                <w:top w:val="none" w:sz="0" w:space="0" w:color="auto"/>
                <w:left w:val="none" w:sz="0" w:space="0" w:color="auto"/>
                <w:bottom w:val="none" w:sz="0" w:space="0" w:color="auto"/>
                <w:right w:val="none" w:sz="0" w:space="0" w:color="auto"/>
              </w:divBdr>
            </w:div>
            <w:div w:id="1093277735">
              <w:marLeft w:val="0"/>
              <w:marRight w:val="0"/>
              <w:marTop w:val="0"/>
              <w:marBottom w:val="0"/>
              <w:divBdr>
                <w:top w:val="none" w:sz="0" w:space="0" w:color="auto"/>
                <w:left w:val="none" w:sz="0" w:space="0" w:color="auto"/>
                <w:bottom w:val="none" w:sz="0" w:space="0" w:color="auto"/>
                <w:right w:val="none" w:sz="0" w:space="0" w:color="auto"/>
              </w:divBdr>
            </w:div>
            <w:div w:id="575867566">
              <w:marLeft w:val="0"/>
              <w:marRight w:val="0"/>
              <w:marTop w:val="0"/>
              <w:marBottom w:val="0"/>
              <w:divBdr>
                <w:top w:val="none" w:sz="0" w:space="0" w:color="auto"/>
                <w:left w:val="none" w:sz="0" w:space="0" w:color="auto"/>
                <w:bottom w:val="none" w:sz="0" w:space="0" w:color="auto"/>
                <w:right w:val="none" w:sz="0" w:space="0" w:color="auto"/>
              </w:divBdr>
            </w:div>
            <w:div w:id="1358193240">
              <w:marLeft w:val="0"/>
              <w:marRight w:val="0"/>
              <w:marTop w:val="0"/>
              <w:marBottom w:val="0"/>
              <w:divBdr>
                <w:top w:val="none" w:sz="0" w:space="0" w:color="auto"/>
                <w:left w:val="none" w:sz="0" w:space="0" w:color="auto"/>
                <w:bottom w:val="none" w:sz="0" w:space="0" w:color="auto"/>
                <w:right w:val="none" w:sz="0" w:space="0" w:color="auto"/>
              </w:divBdr>
            </w:div>
            <w:div w:id="1773740450">
              <w:marLeft w:val="0"/>
              <w:marRight w:val="0"/>
              <w:marTop w:val="0"/>
              <w:marBottom w:val="0"/>
              <w:divBdr>
                <w:top w:val="none" w:sz="0" w:space="0" w:color="auto"/>
                <w:left w:val="none" w:sz="0" w:space="0" w:color="auto"/>
                <w:bottom w:val="none" w:sz="0" w:space="0" w:color="auto"/>
                <w:right w:val="none" w:sz="0" w:space="0" w:color="auto"/>
              </w:divBdr>
            </w:div>
            <w:div w:id="1719551155">
              <w:marLeft w:val="0"/>
              <w:marRight w:val="0"/>
              <w:marTop w:val="0"/>
              <w:marBottom w:val="0"/>
              <w:divBdr>
                <w:top w:val="none" w:sz="0" w:space="0" w:color="auto"/>
                <w:left w:val="none" w:sz="0" w:space="0" w:color="auto"/>
                <w:bottom w:val="none" w:sz="0" w:space="0" w:color="auto"/>
                <w:right w:val="none" w:sz="0" w:space="0" w:color="auto"/>
              </w:divBdr>
            </w:div>
            <w:div w:id="346564778">
              <w:marLeft w:val="0"/>
              <w:marRight w:val="0"/>
              <w:marTop w:val="0"/>
              <w:marBottom w:val="0"/>
              <w:divBdr>
                <w:top w:val="none" w:sz="0" w:space="0" w:color="auto"/>
                <w:left w:val="none" w:sz="0" w:space="0" w:color="auto"/>
                <w:bottom w:val="none" w:sz="0" w:space="0" w:color="auto"/>
                <w:right w:val="none" w:sz="0" w:space="0" w:color="auto"/>
              </w:divBdr>
            </w:div>
            <w:div w:id="384792833">
              <w:marLeft w:val="0"/>
              <w:marRight w:val="0"/>
              <w:marTop w:val="0"/>
              <w:marBottom w:val="0"/>
              <w:divBdr>
                <w:top w:val="none" w:sz="0" w:space="0" w:color="auto"/>
                <w:left w:val="none" w:sz="0" w:space="0" w:color="auto"/>
                <w:bottom w:val="none" w:sz="0" w:space="0" w:color="auto"/>
                <w:right w:val="none" w:sz="0" w:space="0" w:color="auto"/>
              </w:divBdr>
            </w:div>
            <w:div w:id="1285578634">
              <w:marLeft w:val="0"/>
              <w:marRight w:val="0"/>
              <w:marTop w:val="0"/>
              <w:marBottom w:val="0"/>
              <w:divBdr>
                <w:top w:val="none" w:sz="0" w:space="0" w:color="auto"/>
                <w:left w:val="none" w:sz="0" w:space="0" w:color="auto"/>
                <w:bottom w:val="none" w:sz="0" w:space="0" w:color="auto"/>
                <w:right w:val="none" w:sz="0" w:space="0" w:color="auto"/>
              </w:divBdr>
            </w:div>
            <w:div w:id="1289623610">
              <w:marLeft w:val="0"/>
              <w:marRight w:val="0"/>
              <w:marTop w:val="0"/>
              <w:marBottom w:val="0"/>
              <w:divBdr>
                <w:top w:val="none" w:sz="0" w:space="0" w:color="auto"/>
                <w:left w:val="none" w:sz="0" w:space="0" w:color="auto"/>
                <w:bottom w:val="none" w:sz="0" w:space="0" w:color="auto"/>
                <w:right w:val="none" w:sz="0" w:space="0" w:color="auto"/>
              </w:divBdr>
            </w:div>
            <w:div w:id="8144499">
              <w:marLeft w:val="0"/>
              <w:marRight w:val="0"/>
              <w:marTop w:val="0"/>
              <w:marBottom w:val="0"/>
              <w:divBdr>
                <w:top w:val="none" w:sz="0" w:space="0" w:color="auto"/>
                <w:left w:val="none" w:sz="0" w:space="0" w:color="auto"/>
                <w:bottom w:val="none" w:sz="0" w:space="0" w:color="auto"/>
                <w:right w:val="none" w:sz="0" w:space="0" w:color="auto"/>
              </w:divBdr>
            </w:div>
            <w:div w:id="1079985247">
              <w:marLeft w:val="0"/>
              <w:marRight w:val="0"/>
              <w:marTop w:val="0"/>
              <w:marBottom w:val="0"/>
              <w:divBdr>
                <w:top w:val="none" w:sz="0" w:space="0" w:color="auto"/>
                <w:left w:val="none" w:sz="0" w:space="0" w:color="auto"/>
                <w:bottom w:val="none" w:sz="0" w:space="0" w:color="auto"/>
                <w:right w:val="none" w:sz="0" w:space="0" w:color="auto"/>
              </w:divBdr>
            </w:div>
            <w:div w:id="275912826">
              <w:marLeft w:val="0"/>
              <w:marRight w:val="0"/>
              <w:marTop w:val="0"/>
              <w:marBottom w:val="0"/>
              <w:divBdr>
                <w:top w:val="none" w:sz="0" w:space="0" w:color="auto"/>
                <w:left w:val="none" w:sz="0" w:space="0" w:color="auto"/>
                <w:bottom w:val="none" w:sz="0" w:space="0" w:color="auto"/>
                <w:right w:val="none" w:sz="0" w:space="0" w:color="auto"/>
              </w:divBdr>
            </w:div>
            <w:div w:id="1317679">
              <w:marLeft w:val="0"/>
              <w:marRight w:val="0"/>
              <w:marTop w:val="0"/>
              <w:marBottom w:val="0"/>
              <w:divBdr>
                <w:top w:val="none" w:sz="0" w:space="0" w:color="auto"/>
                <w:left w:val="none" w:sz="0" w:space="0" w:color="auto"/>
                <w:bottom w:val="none" w:sz="0" w:space="0" w:color="auto"/>
                <w:right w:val="none" w:sz="0" w:space="0" w:color="auto"/>
              </w:divBdr>
            </w:div>
            <w:div w:id="2031300971">
              <w:marLeft w:val="0"/>
              <w:marRight w:val="0"/>
              <w:marTop w:val="0"/>
              <w:marBottom w:val="0"/>
              <w:divBdr>
                <w:top w:val="none" w:sz="0" w:space="0" w:color="auto"/>
                <w:left w:val="none" w:sz="0" w:space="0" w:color="auto"/>
                <w:bottom w:val="none" w:sz="0" w:space="0" w:color="auto"/>
                <w:right w:val="none" w:sz="0" w:space="0" w:color="auto"/>
              </w:divBdr>
            </w:div>
            <w:div w:id="2006854076">
              <w:marLeft w:val="0"/>
              <w:marRight w:val="0"/>
              <w:marTop w:val="0"/>
              <w:marBottom w:val="0"/>
              <w:divBdr>
                <w:top w:val="none" w:sz="0" w:space="0" w:color="auto"/>
                <w:left w:val="none" w:sz="0" w:space="0" w:color="auto"/>
                <w:bottom w:val="none" w:sz="0" w:space="0" w:color="auto"/>
                <w:right w:val="none" w:sz="0" w:space="0" w:color="auto"/>
              </w:divBdr>
            </w:div>
            <w:div w:id="766122958">
              <w:marLeft w:val="0"/>
              <w:marRight w:val="0"/>
              <w:marTop w:val="0"/>
              <w:marBottom w:val="0"/>
              <w:divBdr>
                <w:top w:val="none" w:sz="0" w:space="0" w:color="auto"/>
                <w:left w:val="none" w:sz="0" w:space="0" w:color="auto"/>
                <w:bottom w:val="none" w:sz="0" w:space="0" w:color="auto"/>
                <w:right w:val="none" w:sz="0" w:space="0" w:color="auto"/>
              </w:divBdr>
            </w:div>
            <w:div w:id="1147549828">
              <w:marLeft w:val="0"/>
              <w:marRight w:val="0"/>
              <w:marTop w:val="0"/>
              <w:marBottom w:val="0"/>
              <w:divBdr>
                <w:top w:val="none" w:sz="0" w:space="0" w:color="auto"/>
                <w:left w:val="none" w:sz="0" w:space="0" w:color="auto"/>
                <w:bottom w:val="none" w:sz="0" w:space="0" w:color="auto"/>
                <w:right w:val="none" w:sz="0" w:space="0" w:color="auto"/>
              </w:divBdr>
            </w:div>
            <w:div w:id="1037050022">
              <w:marLeft w:val="0"/>
              <w:marRight w:val="0"/>
              <w:marTop w:val="0"/>
              <w:marBottom w:val="0"/>
              <w:divBdr>
                <w:top w:val="none" w:sz="0" w:space="0" w:color="auto"/>
                <w:left w:val="none" w:sz="0" w:space="0" w:color="auto"/>
                <w:bottom w:val="none" w:sz="0" w:space="0" w:color="auto"/>
                <w:right w:val="none" w:sz="0" w:space="0" w:color="auto"/>
              </w:divBdr>
            </w:div>
            <w:div w:id="404956044">
              <w:marLeft w:val="0"/>
              <w:marRight w:val="0"/>
              <w:marTop w:val="0"/>
              <w:marBottom w:val="0"/>
              <w:divBdr>
                <w:top w:val="none" w:sz="0" w:space="0" w:color="auto"/>
                <w:left w:val="none" w:sz="0" w:space="0" w:color="auto"/>
                <w:bottom w:val="none" w:sz="0" w:space="0" w:color="auto"/>
                <w:right w:val="none" w:sz="0" w:space="0" w:color="auto"/>
              </w:divBdr>
            </w:div>
            <w:div w:id="828908540">
              <w:marLeft w:val="0"/>
              <w:marRight w:val="0"/>
              <w:marTop w:val="0"/>
              <w:marBottom w:val="0"/>
              <w:divBdr>
                <w:top w:val="none" w:sz="0" w:space="0" w:color="auto"/>
                <w:left w:val="none" w:sz="0" w:space="0" w:color="auto"/>
                <w:bottom w:val="none" w:sz="0" w:space="0" w:color="auto"/>
                <w:right w:val="none" w:sz="0" w:space="0" w:color="auto"/>
              </w:divBdr>
            </w:div>
            <w:div w:id="123885764">
              <w:marLeft w:val="0"/>
              <w:marRight w:val="0"/>
              <w:marTop w:val="0"/>
              <w:marBottom w:val="0"/>
              <w:divBdr>
                <w:top w:val="none" w:sz="0" w:space="0" w:color="auto"/>
                <w:left w:val="none" w:sz="0" w:space="0" w:color="auto"/>
                <w:bottom w:val="none" w:sz="0" w:space="0" w:color="auto"/>
                <w:right w:val="none" w:sz="0" w:space="0" w:color="auto"/>
              </w:divBdr>
            </w:div>
            <w:div w:id="1993868323">
              <w:marLeft w:val="0"/>
              <w:marRight w:val="0"/>
              <w:marTop w:val="0"/>
              <w:marBottom w:val="0"/>
              <w:divBdr>
                <w:top w:val="none" w:sz="0" w:space="0" w:color="auto"/>
                <w:left w:val="none" w:sz="0" w:space="0" w:color="auto"/>
                <w:bottom w:val="none" w:sz="0" w:space="0" w:color="auto"/>
                <w:right w:val="none" w:sz="0" w:space="0" w:color="auto"/>
              </w:divBdr>
            </w:div>
            <w:div w:id="700401497">
              <w:marLeft w:val="0"/>
              <w:marRight w:val="0"/>
              <w:marTop w:val="0"/>
              <w:marBottom w:val="0"/>
              <w:divBdr>
                <w:top w:val="none" w:sz="0" w:space="0" w:color="auto"/>
                <w:left w:val="none" w:sz="0" w:space="0" w:color="auto"/>
                <w:bottom w:val="none" w:sz="0" w:space="0" w:color="auto"/>
                <w:right w:val="none" w:sz="0" w:space="0" w:color="auto"/>
              </w:divBdr>
            </w:div>
            <w:div w:id="1154644905">
              <w:marLeft w:val="0"/>
              <w:marRight w:val="0"/>
              <w:marTop w:val="0"/>
              <w:marBottom w:val="0"/>
              <w:divBdr>
                <w:top w:val="none" w:sz="0" w:space="0" w:color="auto"/>
                <w:left w:val="none" w:sz="0" w:space="0" w:color="auto"/>
                <w:bottom w:val="none" w:sz="0" w:space="0" w:color="auto"/>
                <w:right w:val="none" w:sz="0" w:space="0" w:color="auto"/>
              </w:divBdr>
            </w:div>
            <w:div w:id="1046829017">
              <w:marLeft w:val="0"/>
              <w:marRight w:val="0"/>
              <w:marTop w:val="0"/>
              <w:marBottom w:val="0"/>
              <w:divBdr>
                <w:top w:val="none" w:sz="0" w:space="0" w:color="auto"/>
                <w:left w:val="none" w:sz="0" w:space="0" w:color="auto"/>
                <w:bottom w:val="none" w:sz="0" w:space="0" w:color="auto"/>
                <w:right w:val="none" w:sz="0" w:space="0" w:color="auto"/>
              </w:divBdr>
            </w:div>
            <w:div w:id="1269776406">
              <w:marLeft w:val="0"/>
              <w:marRight w:val="0"/>
              <w:marTop w:val="0"/>
              <w:marBottom w:val="0"/>
              <w:divBdr>
                <w:top w:val="none" w:sz="0" w:space="0" w:color="auto"/>
                <w:left w:val="none" w:sz="0" w:space="0" w:color="auto"/>
                <w:bottom w:val="none" w:sz="0" w:space="0" w:color="auto"/>
                <w:right w:val="none" w:sz="0" w:space="0" w:color="auto"/>
              </w:divBdr>
            </w:div>
            <w:div w:id="482353611">
              <w:marLeft w:val="0"/>
              <w:marRight w:val="0"/>
              <w:marTop w:val="0"/>
              <w:marBottom w:val="0"/>
              <w:divBdr>
                <w:top w:val="none" w:sz="0" w:space="0" w:color="auto"/>
                <w:left w:val="none" w:sz="0" w:space="0" w:color="auto"/>
                <w:bottom w:val="none" w:sz="0" w:space="0" w:color="auto"/>
                <w:right w:val="none" w:sz="0" w:space="0" w:color="auto"/>
              </w:divBdr>
            </w:div>
            <w:div w:id="90127718">
              <w:marLeft w:val="0"/>
              <w:marRight w:val="0"/>
              <w:marTop w:val="0"/>
              <w:marBottom w:val="0"/>
              <w:divBdr>
                <w:top w:val="none" w:sz="0" w:space="0" w:color="auto"/>
                <w:left w:val="none" w:sz="0" w:space="0" w:color="auto"/>
                <w:bottom w:val="none" w:sz="0" w:space="0" w:color="auto"/>
                <w:right w:val="none" w:sz="0" w:space="0" w:color="auto"/>
              </w:divBdr>
            </w:div>
            <w:div w:id="364184272">
              <w:marLeft w:val="0"/>
              <w:marRight w:val="0"/>
              <w:marTop w:val="0"/>
              <w:marBottom w:val="0"/>
              <w:divBdr>
                <w:top w:val="none" w:sz="0" w:space="0" w:color="auto"/>
                <w:left w:val="none" w:sz="0" w:space="0" w:color="auto"/>
                <w:bottom w:val="none" w:sz="0" w:space="0" w:color="auto"/>
                <w:right w:val="none" w:sz="0" w:space="0" w:color="auto"/>
              </w:divBdr>
            </w:div>
            <w:div w:id="1572888371">
              <w:marLeft w:val="0"/>
              <w:marRight w:val="0"/>
              <w:marTop w:val="0"/>
              <w:marBottom w:val="0"/>
              <w:divBdr>
                <w:top w:val="none" w:sz="0" w:space="0" w:color="auto"/>
                <w:left w:val="none" w:sz="0" w:space="0" w:color="auto"/>
                <w:bottom w:val="none" w:sz="0" w:space="0" w:color="auto"/>
                <w:right w:val="none" w:sz="0" w:space="0" w:color="auto"/>
              </w:divBdr>
            </w:div>
            <w:div w:id="1338078170">
              <w:marLeft w:val="0"/>
              <w:marRight w:val="0"/>
              <w:marTop w:val="0"/>
              <w:marBottom w:val="0"/>
              <w:divBdr>
                <w:top w:val="none" w:sz="0" w:space="0" w:color="auto"/>
                <w:left w:val="none" w:sz="0" w:space="0" w:color="auto"/>
                <w:bottom w:val="none" w:sz="0" w:space="0" w:color="auto"/>
                <w:right w:val="none" w:sz="0" w:space="0" w:color="auto"/>
              </w:divBdr>
            </w:div>
            <w:div w:id="373652708">
              <w:marLeft w:val="0"/>
              <w:marRight w:val="0"/>
              <w:marTop w:val="0"/>
              <w:marBottom w:val="0"/>
              <w:divBdr>
                <w:top w:val="none" w:sz="0" w:space="0" w:color="auto"/>
                <w:left w:val="none" w:sz="0" w:space="0" w:color="auto"/>
                <w:bottom w:val="none" w:sz="0" w:space="0" w:color="auto"/>
                <w:right w:val="none" w:sz="0" w:space="0" w:color="auto"/>
              </w:divBdr>
            </w:div>
            <w:div w:id="1849369905">
              <w:marLeft w:val="0"/>
              <w:marRight w:val="0"/>
              <w:marTop w:val="0"/>
              <w:marBottom w:val="0"/>
              <w:divBdr>
                <w:top w:val="none" w:sz="0" w:space="0" w:color="auto"/>
                <w:left w:val="none" w:sz="0" w:space="0" w:color="auto"/>
                <w:bottom w:val="none" w:sz="0" w:space="0" w:color="auto"/>
                <w:right w:val="none" w:sz="0" w:space="0" w:color="auto"/>
              </w:divBdr>
            </w:div>
            <w:div w:id="1342271640">
              <w:marLeft w:val="0"/>
              <w:marRight w:val="0"/>
              <w:marTop w:val="0"/>
              <w:marBottom w:val="0"/>
              <w:divBdr>
                <w:top w:val="none" w:sz="0" w:space="0" w:color="auto"/>
                <w:left w:val="none" w:sz="0" w:space="0" w:color="auto"/>
                <w:bottom w:val="none" w:sz="0" w:space="0" w:color="auto"/>
                <w:right w:val="none" w:sz="0" w:space="0" w:color="auto"/>
              </w:divBdr>
            </w:div>
            <w:div w:id="623272954">
              <w:marLeft w:val="0"/>
              <w:marRight w:val="0"/>
              <w:marTop w:val="0"/>
              <w:marBottom w:val="0"/>
              <w:divBdr>
                <w:top w:val="none" w:sz="0" w:space="0" w:color="auto"/>
                <w:left w:val="none" w:sz="0" w:space="0" w:color="auto"/>
                <w:bottom w:val="none" w:sz="0" w:space="0" w:color="auto"/>
                <w:right w:val="none" w:sz="0" w:space="0" w:color="auto"/>
              </w:divBdr>
            </w:div>
            <w:div w:id="414400381">
              <w:marLeft w:val="0"/>
              <w:marRight w:val="0"/>
              <w:marTop w:val="0"/>
              <w:marBottom w:val="0"/>
              <w:divBdr>
                <w:top w:val="none" w:sz="0" w:space="0" w:color="auto"/>
                <w:left w:val="none" w:sz="0" w:space="0" w:color="auto"/>
                <w:bottom w:val="none" w:sz="0" w:space="0" w:color="auto"/>
                <w:right w:val="none" w:sz="0" w:space="0" w:color="auto"/>
              </w:divBdr>
            </w:div>
            <w:div w:id="1035815264">
              <w:marLeft w:val="0"/>
              <w:marRight w:val="0"/>
              <w:marTop w:val="0"/>
              <w:marBottom w:val="0"/>
              <w:divBdr>
                <w:top w:val="none" w:sz="0" w:space="0" w:color="auto"/>
                <w:left w:val="none" w:sz="0" w:space="0" w:color="auto"/>
                <w:bottom w:val="none" w:sz="0" w:space="0" w:color="auto"/>
                <w:right w:val="none" w:sz="0" w:space="0" w:color="auto"/>
              </w:divBdr>
            </w:div>
            <w:div w:id="366685770">
              <w:marLeft w:val="0"/>
              <w:marRight w:val="0"/>
              <w:marTop w:val="0"/>
              <w:marBottom w:val="0"/>
              <w:divBdr>
                <w:top w:val="none" w:sz="0" w:space="0" w:color="auto"/>
                <w:left w:val="none" w:sz="0" w:space="0" w:color="auto"/>
                <w:bottom w:val="none" w:sz="0" w:space="0" w:color="auto"/>
                <w:right w:val="none" w:sz="0" w:space="0" w:color="auto"/>
              </w:divBdr>
            </w:div>
            <w:div w:id="1643461958">
              <w:marLeft w:val="0"/>
              <w:marRight w:val="0"/>
              <w:marTop w:val="0"/>
              <w:marBottom w:val="0"/>
              <w:divBdr>
                <w:top w:val="none" w:sz="0" w:space="0" w:color="auto"/>
                <w:left w:val="none" w:sz="0" w:space="0" w:color="auto"/>
                <w:bottom w:val="none" w:sz="0" w:space="0" w:color="auto"/>
                <w:right w:val="none" w:sz="0" w:space="0" w:color="auto"/>
              </w:divBdr>
            </w:div>
            <w:div w:id="1054348004">
              <w:marLeft w:val="0"/>
              <w:marRight w:val="0"/>
              <w:marTop w:val="0"/>
              <w:marBottom w:val="0"/>
              <w:divBdr>
                <w:top w:val="none" w:sz="0" w:space="0" w:color="auto"/>
                <w:left w:val="none" w:sz="0" w:space="0" w:color="auto"/>
                <w:bottom w:val="none" w:sz="0" w:space="0" w:color="auto"/>
                <w:right w:val="none" w:sz="0" w:space="0" w:color="auto"/>
              </w:divBdr>
            </w:div>
            <w:div w:id="801584125">
              <w:marLeft w:val="0"/>
              <w:marRight w:val="0"/>
              <w:marTop w:val="0"/>
              <w:marBottom w:val="0"/>
              <w:divBdr>
                <w:top w:val="none" w:sz="0" w:space="0" w:color="auto"/>
                <w:left w:val="none" w:sz="0" w:space="0" w:color="auto"/>
                <w:bottom w:val="none" w:sz="0" w:space="0" w:color="auto"/>
                <w:right w:val="none" w:sz="0" w:space="0" w:color="auto"/>
              </w:divBdr>
            </w:div>
            <w:div w:id="2118938267">
              <w:marLeft w:val="0"/>
              <w:marRight w:val="0"/>
              <w:marTop w:val="0"/>
              <w:marBottom w:val="0"/>
              <w:divBdr>
                <w:top w:val="none" w:sz="0" w:space="0" w:color="auto"/>
                <w:left w:val="none" w:sz="0" w:space="0" w:color="auto"/>
                <w:bottom w:val="none" w:sz="0" w:space="0" w:color="auto"/>
                <w:right w:val="none" w:sz="0" w:space="0" w:color="auto"/>
              </w:divBdr>
            </w:div>
            <w:div w:id="1349477939">
              <w:marLeft w:val="0"/>
              <w:marRight w:val="0"/>
              <w:marTop w:val="0"/>
              <w:marBottom w:val="0"/>
              <w:divBdr>
                <w:top w:val="none" w:sz="0" w:space="0" w:color="auto"/>
                <w:left w:val="none" w:sz="0" w:space="0" w:color="auto"/>
                <w:bottom w:val="none" w:sz="0" w:space="0" w:color="auto"/>
                <w:right w:val="none" w:sz="0" w:space="0" w:color="auto"/>
              </w:divBdr>
            </w:div>
            <w:div w:id="1255434705">
              <w:marLeft w:val="0"/>
              <w:marRight w:val="0"/>
              <w:marTop w:val="0"/>
              <w:marBottom w:val="0"/>
              <w:divBdr>
                <w:top w:val="none" w:sz="0" w:space="0" w:color="auto"/>
                <w:left w:val="none" w:sz="0" w:space="0" w:color="auto"/>
                <w:bottom w:val="none" w:sz="0" w:space="0" w:color="auto"/>
                <w:right w:val="none" w:sz="0" w:space="0" w:color="auto"/>
              </w:divBdr>
            </w:div>
            <w:div w:id="655646617">
              <w:marLeft w:val="0"/>
              <w:marRight w:val="0"/>
              <w:marTop w:val="0"/>
              <w:marBottom w:val="0"/>
              <w:divBdr>
                <w:top w:val="none" w:sz="0" w:space="0" w:color="auto"/>
                <w:left w:val="none" w:sz="0" w:space="0" w:color="auto"/>
                <w:bottom w:val="none" w:sz="0" w:space="0" w:color="auto"/>
                <w:right w:val="none" w:sz="0" w:space="0" w:color="auto"/>
              </w:divBdr>
            </w:div>
            <w:div w:id="181479432">
              <w:marLeft w:val="0"/>
              <w:marRight w:val="0"/>
              <w:marTop w:val="0"/>
              <w:marBottom w:val="0"/>
              <w:divBdr>
                <w:top w:val="none" w:sz="0" w:space="0" w:color="auto"/>
                <w:left w:val="none" w:sz="0" w:space="0" w:color="auto"/>
                <w:bottom w:val="none" w:sz="0" w:space="0" w:color="auto"/>
                <w:right w:val="none" w:sz="0" w:space="0" w:color="auto"/>
              </w:divBdr>
            </w:div>
            <w:div w:id="1019703657">
              <w:marLeft w:val="0"/>
              <w:marRight w:val="0"/>
              <w:marTop w:val="0"/>
              <w:marBottom w:val="0"/>
              <w:divBdr>
                <w:top w:val="none" w:sz="0" w:space="0" w:color="auto"/>
                <w:left w:val="none" w:sz="0" w:space="0" w:color="auto"/>
                <w:bottom w:val="none" w:sz="0" w:space="0" w:color="auto"/>
                <w:right w:val="none" w:sz="0" w:space="0" w:color="auto"/>
              </w:divBdr>
            </w:div>
            <w:div w:id="4090612">
              <w:marLeft w:val="0"/>
              <w:marRight w:val="0"/>
              <w:marTop w:val="0"/>
              <w:marBottom w:val="0"/>
              <w:divBdr>
                <w:top w:val="none" w:sz="0" w:space="0" w:color="auto"/>
                <w:left w:val="none" w:sz="0" w:space="0" w:color="auto"/>
                <w:bottom w:val="none" w:sz="0" w:space="0" w:color="auto"/>
                <w:right w:val="none" w:sz="0" w:space="0" w:color="auto"/>
              </w:divBdr>
            </w:div>
            <w:div w:id="991832101">
              <w:marLeft w:val="0"/>
              <w:marRight w:val="0"/>
              <w:marTop w:val="0"/>
              <w:marBottom w:val="0"/>
              <w:divBdr>
                <w:top w:val="none" w:sz="0" w:space="0" w:color="auto"/>
                <w:left w:val="none" w:sz="0" w:space="0" w:color="auto"/>
                <w:bottom w:val="none" w:sz="0" w:space="0" w:color="auto"/>
                <w:right w:val="none" w:sz="0" w:space="0" w:color="auto"/>
              </w:divBdr>
            </w:div>
            <w:div w:id="873078255">
              <w:marLeft w:val="0"/>
              <w:marRight w:val="0"/>
              <w:marTop w:val="0"/>
              <w:marBottom w:val="0"/>
              <w:divBdr>
                <w:top w:val="none" w:sz="0" w:space="0" w:color="auto"/>
                <w:left w:val="none" w:sz="0" w:space="0" w:color="auto"/>
                <w:bottom w:val="none" w:sz="0" w:space="0" w:color="auto"/>
                <w:right w:val="none" w:sz="0" w:space="0" w:color="auto"/>
              </w:divBdr>
            </w:div>
            <w:div w:id="2069258610">
              <w:marLeft w:val="0"/>
              <w:marRight w:val="0"/>
              <w:marTop w:val="0"/>
              <w:marBottom w:val="0"/>
              <w:divBdr>
                <w:top w:val="none" w:sz="0" w:space="0" w:color="auto"/>
                <w:left w:val="none" w:sz="0" w:space="0" w:color="auto"/>
                <w:bottom w:val="none" w:sz="0" w:space="0" w:color="auto"/>
                <w:right w:val="none" w:sz="0" w:space="0" w:color="auto"/>
              </w:divBdr>
            </w:div>
            <w:div w:id="1897740198">
              <w:marLeft w:val="0"/>
              <w:marRight w:val="0"/>
              <w:marTop w:val="0"/>
              <w:marBottom w:val="0"/>
              <w:divBdr>
                <w:top w:val="none" w:sz="0" w:space="0" w:color="auto"/>
                <w:left w:val="none" w:sz="0" w:space="0" w:color="auto"/>
                <w:bottom w:val="none" w:sz="0" w:space="0" w:color="auto"/>
                <w:right w:val="none" w:sz="0" w:space="0" w:color="auto"/>
              </w:divBdr>
            </w:div>
            <w:div w:id="35083280">
              <w:marLeft w:val="0"/>
              <w:marRight w:val="0"/>
              <w:marTop w:val="0"/>
              <w:marBottom w:val="0"/>
              <w:divBdr>
                <w:top w:val="none" w:sz="0" w:space="0" w:color="auto"/>
                <w:left w:val="none" w:sz="0" w:space="0" w:color="auto"/>
                <w:bottom w:val="none" w:sz="0" w:space="0" w:color="auto"/>
                <w:right w:val="none" w:sz="0" w:space="0" w:color="auto"/>
              </w:divBdr>
            </w:div>
            <w:div w:id="180363136">
              <w:marLeft w:val="0"/>
              <w:marRight w:val="0"/>
              <w:marTop w:val="0"/>
              <w:marBottom w:val="0"/>
              <w:divBdr>
                <w:top w:val="none" w:sz="0" w:space="0" w:color="auto"/>
                <w:left w:val="none" w:sz="0" w:space="0" w:color="auto"/>
                <w:bottom w:val="none" w:sz="0" w:space="0" w:color="auto"/>
                <w:right w:val="none" w:sz="0" w:space="0" w:color="auto"/>
              </w:divBdr>
            </w:div>
            <w:div w:id="266276648">
              <w:marLeft w:val="0"/>
              <w:marRight w:val="0"/>
              <w:marTop w:val="0"/>
              <w:marBottom w:val="0"/>
              <w:divBdr>
                <w:top w:val="none" w:sz="0" w:space="0" w:color="auto"/>
                <w:left w:val="none" w:sz="0" w:space="0" w:color="auto"/>
                <w:bottom w:val="none" w:sz="0" w:space="0" w:color="auto"/>
                <w:right w:val="none" w:sz="0" w:space="0" w:color="auto"/>
              </w:divBdr>
            </w:div>
            <w:div w:id="1810129513">
              <w:marLeft w:val="0"/>
              <w:marRight w:val="0"/>
              <w:marTop w:val="0"/>
              <w:marBottom w:val="0"/>
              <w:divBdr>
                <w:top w:val="none" w:sz="0" w:space="0" w:color="auto"/>
                <w:left w:val="none" w:sz="0" w:space="0" w:color="auto"/>
                <w:bottom w:val="none" w:sz="0" w:space="0" w:color="auto"/>
                <w:right w:val="none" w:sz="0" w:space="0" w:color="auto"/>
              </w:divBdr>
            </w:div>
            <w:div w:id="1946881921">
              <w:marLeft w:val="0"/>
              <w:marRight w:val="0"/>
              <w:marTop w:val="0"/>
              <w:marBottom w:val="0"/>
              <w:divBdr>
                <w:top w:val="none" w:sz="0" w:space="0" w:color="auto"/>
                <w:left w:val="none" w:sz="0" w:space="0" w:color="auto"/>
                <w:bottom w:val="none" w:sz="0" w:space="0" w:color="auto"/>
                <w:right w:val="none" w:sz="0" w:space="0" w:color="auto"/>
              </w:divBdr>
            </w:div>
            <w:div w:id="1306859695">
              <w:marLeft w:val="0"/>
              <w:marRight w:val="0"/>
              <w:marTop w:val="0"/>
              <w:marBottom w:val="0"/>
              <w:divBdr>
                <w:top w:val="none" w:sz="0" w:space="0" w:color="auto"/>
                <w:left w:val="none" w:sz="0" w:space="0" w:color="auto"/>
                <w:bottom w:val="none" w:sz="0" w:space="0" w:color="auto"/>
                <w:right w:val="none" w:sz="0" w:space="0" w:color="auto"/>
              </w:divBdr>
            </w:div>
            <w:div w:id="1959794626">
              <w:marLeft w:val="0"/>
              <w:marRight w:val="0"/>
              <w:marTop w:val="0"/>
              <w:marBottom w:val="0"/>
              <w:divBdr>
                <w:top w:val="none" w:sz="0" w:space="0" w:color="auto"/>
                <w:left w:val="none" w:sz="0" w:space="0" w:color="auto"/>
                <w:bottom w:val="none" w:sz="0" w:space="0" w:color="auto"/>
                <w:right w:val="none" w:sz="0" w:space="0" w:color="auto"/>
              </w:divBdr>
            </w:div>
            <w:div w:id="19682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42781978">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nclimate1354" TargetMode="External"/><Relationship Id="rId21" Type="http://schemas.openxmlformats.org/officeDocument/2006/relationships/chart" Target="charts/chart3.xml"/><Relationship Id="rId34" Type="http://schemas.openxmlformats.org/officeDocument/2006/relationships/hyperlink" Target="https://doi.org/10.1073/pnas.0905308106" TargetMode="External"/><Relationship Id="rId42" Type="http://schemas.openxmlformats.org/officeDocument/2006/relationships/hyperlink" Target="https://doi.org/10.1016/j.gloenvcha.2017.01.002" TargetMode="External"/><Relationship Id="rId47" Type="http://schemas.openxmlformats.org/officeDocument/2006/relationships/hyperlink" Target="https://doi.org/10.1038/nclimate2200" TargetMode="External"/><Relationship Id="rId50" Type="http://schemas.openxmlformats.org/officeDocument/2006/relationships/hyperlink" Target="https://doi.org/10.1038/nclimate3227" TargetMode="External"/><Relationship Id="rId55" Type="http://schemas.openxmlformats.org/officeDocument/2006/relationships/hyperlink" Target="https://doi.org/10.4155/cmt.13.41" TargetMode="External"/><Relationship Id="rId63" Type="http://schemas.openxmlformats.org/officeDocument/2006/relationships/hyperlink" Target="https://onlinelibrary.wiley.com/doi/full/10.1111/cobi.12933" TargetMode="External"/><Relationship Id="rId68" Type="http://schemas.openxmlformats.org/officeDocument/2006/relationships/hyperlink" Target="https://doi.org/10.1111/conl.12120" TargetMode="External"/><Relationship Id="rId76" Type="http://schemas.openxmlformats.org/officeDocument/2006/relationships/hyperlink" Target="https://media.nature.com/original/nature-assets/nclimate/journal/v7/n3/extref/nclimate3227-s1.pdf" TargetMode="External"/><Relationship Id="rId84" Type="http://schemas.openxmlformats.org/officeDocument/2006/relationships/hyperlink" Target="https://doi.org/10.1038/s41893-018-0033-0" TargetMode="External"/><Relationship Id="rId89" Type="http://schemas.openxmlformats.org/officeDocument/2006/relationships/hyperlink" Target="http://mudancasclimaticas.cptec.inpe.br/~rmclima/pdfs/destaques/sternreview_report_complete.pdf" TargetMode="Externa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doi.org/10.1016/j.still.2002.12.001" TargetMode="External"/><Relationship Id="rId92" Type="http://schemas.openxmlformats.org/officeDocument/2006/relationships/hyperlink" Target="https://doi.org/10.1016/j.foreco.2015.06.010" TargetMode="Externa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www.ucsusa.org/sites/default/files/legacy/assets/documents/clean_energy/Briefing-1-REDD-costs-w-endnotes.pdf" TargetMode="External"/><Relationship Id="rId11" Type="http://schemas.openxmlformats.org/officeDocument/2006/relationships/hyperlink" Target="http://www.drawdown.org" TargetMode="External"/><Relationship Id="rId24" Type="http://schemas.openxmlformats.org/officeDocument/2006/relationships/hyperlink" Target="https://www.cbd.int/sp/targets/" TargetMode="External"/><Relationship Id="rId32" Type="http://schemas.openxmlformats.org/officeDocument/2006/relationships/hyperlink" Target="https://doi.org/10.1016/j.agee.2018.07.014" TargetMode="External"/><Relationship Id="rId37" Type="http://schemas.openxmlformats.org/officeDocument/2006/relationships/hyperlink" Target="https://www.nature.com/articles/ngeo756" TargetMode="External"/><Relationship Id="rId40" Type="http://schemas.openxmlformats.org/officeDocument/2006/relationships/hyperlink" Target="https://doi.org/10.1126/science.263.5144.185" TargetMode="External"/><Relationship Id="rId45" Type="http://schemas.openxmlformats.org/officeDocument/2006/relationships/hyperlink" Target="https://ore.exeter.ac.uk/repository/handle/10871/9525" TargetMode="External"/><Relationship Id="rId53" Type="http://schemas.openxmlformats.org/officeDocument/2006/relationships/hyperlink" Target="https://doi.org/10.1371/journal.pone.0138918" TargetMode="External"/><Relationship Id="rId58" Type="http://schemas.openxmlformats.org/officeDocument/2006/relationships/hyperlink" Target="https://doi.org/10.1016/j.foreco.2015.06.014" TargetMode="External"/><Relationship Id="rId66" Type="http://schemas.openxmlformats.org/officeDocument/2006/relationships/hyperlink" Target="https://doi.org/10.1038/nature07276" TargetMode="External"/><Relationship Id="rId74" Type="http://schemas.openxmlformats.org/officeDocument/2006/relationships/hyperlink" Target="https://doi.org/10.1016/j.landusepol.2012.04.025" TargetMode="External"/><Relationship Id="rId79" Type="http://schemas.openxmlformats.org/officeDocument/2006/relationships/hyperlink" Target="https://doi.org/10.1126/science.1201609" TargetMode="External"/><Relationship Id="rId87" Type="http://schemas.openxmlformats.org/officeDocument/2006/relationships/hyperlink" Target="https://doi.org/10.1046/j.1526-100x.2000.80054.x" TargetMode="External"/><Relationship Id="rId5" Type="http://schemas.openxmlformats.org/officeDocument/2006/relationships/settings" Target="settings.xml"/><Relationship Id="rId61" Type="http://schemas.openxmlformats.org/officeDocument/2006/relationships/hyperlink" Target="https://doi.org/10.1126/science.1111773" TargetMode="External"/><Relationship Id="rId82" Type="http://schemas.openxmlformats.org/officeDocument/2006/relationships/hyperlink" Target="http://www.springer.com/la/book/9789048198696" TargetMode="External"/><Relationship Id="rId90" Type="http://schemas.openxmlformats.org/officeDocument/2006/relationships/hyperlink" Target="https://doi.org/10.1016/j.worlddev.2013.01.013" TargetMode="External"/><Relationship Id="rId95" Type="http://schemas.openxmlformats.org/officeDocument/2006/relationships/footer" Target="footer2.xml"/><Relationship Id="rId19" Type="http://schemas.openxmlformats.org/officeDocument/2006/relationships/chart" Target="charts/chart1.xml"/><Relationship Id="rId14" Type="http://schemas.openxmlformats.org/officeDocument/2006/relationships/image" Target="media/image2.emf"/><Relationship Id="rId22" Type="http://schemas.openxmlformats.org/officeDocument/2006/relationships/hyperlink" Target="https://www.forest-trends.org/wp-content/uploads/2018/04/2017SupplyChange_Trackin-Committments.pdf" TargetMode="External"/><Relationship Id="rId27" Type="http://schemas.openxmlformats.org/officeDocument/2006/relationships/hyperlink" Target="https://doi.org/10.11647/OBP.0085" TargetMode="External"/><Relationship Id="rId30" Type="http://schemas.openxmlformats.org/officeDocument/2006/relationships/hyperlink" Target="https://doi.org/10.1080/14693062.2016.1169392" TargetMode="External"/><Relationship Id="rId35" Type="http://schemas.openxmlformats.org/officeDocument/2006/relationships/hyperlink" Target="https://www.sciencedirect.com/science/article/pii/S0305750X18300202" TargetMode="External"/><Relationship Id="rId43" Type="http://schemas.openxmlformats.org/officeDocument/2006/relationships/hyperlink" Target="https://doi.org/10.1016/j.ecolecon.2008.03.011" TargetMode="External"/><Relationship Id="rId48" Type="http://schemas.openxmlformats.org/officeDocument/2006/relationships/hyperlink" Target="http://unfccc.int/resource/cd_roms/na1/ghg_inventories/english/8_glossary/Glossary.htm" TargetMode="External"/><Relationship Id="rId56" Type="http://schemas.openxmlformats.org/officeDocument/2006/relationships/hyperlink" Target="https://doi.org/10.1111/gcb.13876" TargetMode="External"/><Relationship Id="rId64" Type="http://schemas.openxmlformats.org/officeDocument/2006/relationships/hyperlink" Target="https://doi.org/10.1111/rec.12209" TargetMode="External"/><Relationship Id="rId69" Type="http://schemas.openxmlformats.org/officeDocument/2006/relationships/hyperlink" Target="https://doi.org/10.1046/j.1365-3040.1999.00453.x" TargetMode="External"/><Relationship Id="rId77" Type="http://schemas.openxmlformats.org/officeDocument/2006/relationships/hyperlink" Target="https://doi.org/10.1126/science.1182108" TargetMode="External"/><Relationship Id="rId8" Type="http://schemas.openxmlformats.org/officeDocument/2006/relationships/endnotes" Target="endnotes.xml"/><Relationship Id="rId51" Type="http://schemas.openxmlformats.org/officeDocument/2006/relationships/hyperlink" Target="https://doi.org/10.1073/pnas.1710465114" TargetMode="External"/><Relationship Id="rId72" Type="http://schemas.openxmlformats.org/officeDocument/2006/relationships/hyperlink" Target="https://doi.org/10.1007/s11027-014-9577-0" TargetMode="External"/><Relationship Id="rId80" Type="http://schemas.openxmlformats.org/officeDocument/2006/relationships/hyperlink" Target="https://doi.org/10.1111/j.1365-2486.2006.01272.x" TargetMode="External"/><Relationship Id="rId85" Type="http://schemas.openxmlformats.org/officeDocument/2006/relationships/hyperlink" Target="https://doi.org/10.1126/science.265.5169.171-c" TargetMode="External"/><Relationship Id="rId93" Type="http://schemas.openxmlformats.org/officeDocument/2006/relationships/hyperlink" Target="https://doi.org/10.1111/j.1523-1739.2006.00559.x" TargetMode="External"/><Relationship Id="rId3" Type="http://schemas.openxmlformats.org/officeDocument/2006/relationships/numbering" Target="numbering.xml"/><Relationship Id="rId12" Type="http://schemas.openxmlformats.org/officeDocument/2006/relationships/hyperlink" Target="mailto:info@drawdown.org" TargetMode="External"/><Relationship Id="rId17" Type="http://schemas.openxmlformats.org/officeDocument/2006/relationships/hyperlink" Target="http://www.drawdown.org" TargetMode="External"/><Relationship Id="rId25" Type="http://schemas.openxmlformats.org/officeDocument/2006/relationships/hyperlink" Target="https://doi.org/10.1038/nclimate1354" TargetMode="External"/><Relationship Id="rId33" Type="http://schemas.openxmlformats.org/officeDocument/2006/relationships/hyperlink" Target="https://doi.org/10.1016/j.agee.2018.07.014" TargetMode="External"/><Relationship Id="rId38" Type="http://schemas.openxmlformats.org/officeDocument/2006/relationships/hyperlink" Target="https://doi.org/10.1038/ngeo756" TargetMode="External"/><Relationship Id="rId46" Type="http://schemas.openxmlformats.org/officeDocument/2006/relationships/hyperlink" Target="https://doi.org/10.1111/cobi.12680" TargetMode="External"/><Relationship Id="rId59" Type="http://schemas.openxmlformats.org/officeDocument/2006/relationships/hyperlink" Target="https://doi.org/10.1016/j.foreco.2015.06.014" TargetMode="External"/><Relationship Id="rId67" Type="http://schemas.openxmlformats.org/officeDocument/2006/relationships/hyperlink" Target="https://doi.org/10.1016/j.foreco.2015.02.005" TargetMode="External"/><Relationship Id="rId20" Type="http://schemas.openxmlformats.org/officeDocument/2006/relationships/chart" Target="charts/chart2.xml"/><Relationship Id="rId41" Type="http://schemas.openxmlformats.org/officeDocument/2006/relationships/hyperlink" Target="https://www.cifor.org/library/5167" TargetMode="External"/><Relationship Id="rId54" Type="http://schemas.openxmlformats.org/officeDocument/2006/relationships/hyperlink" Target="https://doi.org/10.1002/2016GB005546" TargetMode="External"/><Relationship Id="rId62" Type="http://schemas.openxmlformats.org/officeDocument/2006/relationships/hyperlink" Target="https://doi.org/10.5194/essd-2017-123" TargetMode="External"/><Relationship Id="rId70" Type="http://schemas.openxmlformats.org/officeDocument/2006/relationships/hyperlink" Target="https://doi.org/10.1111/j.1365-2745.2011.01916.x" TargetMode="External"/><Relationship Id="rId75" Type="http://schemas.openxmlformats.org/officeDocument/2006/relationships/hyperlink" Target="https://doi.org/10.1016/j.foreco.2015.06.011" TargetMode="External"/><Relationship Id="rId83" Type="http://schemas.openxmlformats.org/officeDocument/2006/relationships/hyperlink" Target="https://doi.org/10.1079/PAVSNNR20072057" TargetMode="External"/><Relationship Id="rId88" Type="http://schemas.openxmlformats.org/officeDocument/2006/relationships/hyperlink" Target="https://www.unece.org/fileadmin/DAM/timber/publications/sp-44-forests-water-web.pdf" TargetMode="External"/><Relationship Id="rId91" Type="http://schemas.openxmlformats.org/officeDocument/2006/relationships/hyperlink" Target="https://doi.org/10.1088/1748-9326/10/7/074002"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lobalgoals.org/6-clean-water-and-sanitation" TargetMode="External"/><Relationship Id="rId23" Type="http://schemas.openxmlformats.org/officeDocument/2006/relationships/hyperlink" Target="https://doi.org/10.1111/gcb.12605" TargetMode="External"/><Relationship Id="rId28" Type="http://schemas.openxmlformats.org/officeDocument/2006/relationships/hyperlink" Target="http://www.forestlandscaperestoration.org/resource/bonn-challenge-world-opportunity" TargetMode="External"/><Relationship Id="rId36" Type="http://schemas.openxmlformats.org/officeDocument/2006/relationships/hyperlink" Target="https://doi.org/10.1126/science.aau3445" TargetMode="External"/><Relationship Id="rId49" Type="http://schemas.openxmlformats.org/officeDocument/2006/relationships/hyperlink" Target="https://www.globalgoals.org/6-clean-water-and-sanitation" TargetMode="External"/><Relationship Id="rId57" Type="http://schemas.openxmlformats.org/officeDocument/2006/relationships/hyperlink" Target="https://www.iufro.org/publications/article/2018/07/10/world-series-vol-38-forest-and-water-on-a-changing-planet-vulnerability-adaptation-and-governan/" TargetMode="External"/><Relationship Id="rId10" Type="http://schemas.openxmlformats.org/officeDocument/2006/relationships/hyperlink" Target="mailto:info@drawdown.org" TargetMode="External"/><Relationship Id="rId31" Type="http://schemas.openxmlformats.org/officeDocument/2006/relationships/hyperlink" Target="http://reforestation.elti.org/resource/95/" TargetMode="External"/><Relationship Id="rId44" Type="http://schemas.openxmlformats.org/officeDocument/2006/relationships/hyperlink" Target="https://doi.org/10.1016/j.foreco.2015.04.022" TargetMode="External"/><Relationship Id="rId52" Type="http://schemas.openxmlformats.org/officeDocument/2006/relationships/hyperlink" Target="https://doi.org/10.1073/pnas.1710465114" TargetMode="External"/><Relationship Id="rId60" Type="http://schemas.openxmlformats.org/officeDocument/2006/relationships/hyperlink" Target="https://doi.org/10.1016/j.forpol.2013.01.001" TargetMode="External"/><Relationship Id="rId65" Type="http://schemas.openxmlformats.org/officeDocument/2006/relationships/hyperlink" Target="https://doi.org/10.1111/j.1365-2486.2007.01439.x" TargetMode="External"/><Relationship Id="rId73" Type="http://schemas.openxmlformats.org/officeDocument/2006/relationships/hyperlink" Target="https://doi.org/10.1007/s11027-014-9578-z" TargetMode="External"/><Relationship Id="rId78" Type="http://schemas.openxmlformats.org/officeDocument/2006/relationships/hyperlink" Target="https://nydfglobalplatform.org/" TargetMode="External"/><Relationship Id="rId81" Type="http://schemas.openxmlformats.org/officeDocument/2006/relationships/hyperlink" Target="https://www.tandfonline.com/doi/abs/10.1080/14693062.2016.1169392" TargetMode="External"/><Relationship Id="rId86" Type="http://schemas.openxmlformats.org/officeDocument/2006/relationships/hyperlink" Target="https://doi.org/10.1038/nclimate3303" TargetMode="External"/><Relationship Id="rId94" Type="http://schemas.openxmlformats.org/officeDocument/2006/relationships/hyperlink" Target="https://doi.org/10.1111/gcb.13153" TargetMode="Externa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www.drawdown.org" TargetMode="External"/><Relationship Id="rId18" Type="http://schemas.openxmlformats.org/officeDocument/2006/relationships/hyperlink" Target="http://www.drawdown.org" TargetMode="External"/><Relationship Id="rId39" Type="http://schemas.openxmlformats.org/officeDocument/2006/relationships/hyperlink" Target="https://www.sciencedirect.com/science/article/abs/pii/S02648377120009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Protect_Model_v1.1b_Forest_Protection_Aug2019.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Protect_Model_v1.1b_Forest_Protection_Aug20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Protect_Model_v1.1b_Forest_Protection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1068768393719874"/>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#,##0_-;\-* #,##0_-;_-* "-"??_-;_-@_-</c:formatCode>
                <c:ptCount val="46"/>
                <c:pt idx="0">
                  <c:v>651</c:v>
                </c:pt>
                <c:pt idx="1">
                  <c:v>651</c:v>
                </c:pt>
                <c:pt idx="2">
                  <c:v>651</c:v>
                </c:pt>
                <c:pt idx="3">
                  <c:v>651</c:v>
                </c:pt>
                <c:pt idx="4">
                  <c:v>651</c:v>
                </c:pt>
                <c:pt idx="5">
                  <c:v>651</c:v>
                </c:pt>
                <c:pt idx="6">
                  <c:v>651</c:v>
                </c:pt>
                <c:pt idx="7">
                  <c:v>651</c:v>
                </c:pt>
                <c:pt idx="8">
                  <c:v>651</c:v>
                </c:pt>
                <c:pt idx="9">
                  <c:v>651</c:v>
                </c:pt>
                <c:pt idx="10">
                  <c:v>651</c:v>
                </c:pt>
                <c:pt idx="11">
                  <c:v>651</c:v>
                </c:pt>
                <c:pt idx="12">
                  <c:v>651</c:v>
                </c:pt>
                <c:pt idx="13">
                  <c:v>651</c:v>
                </c:pt>
                <c:pt idx="14">
                  <c:v>651</c:v>
                </c:pt>
                <c:pt idx="15">
                  <c:v>651</c:v>
                </c:pt>
                <c:pt idx="16">
                  <c:v>651</c:v>
                </c:pt>
                <c:pt idx="17">
                  <c:v>651</c:v>
                </c:pt>
                <c:pt idx="18">
                  <c:v>651</c:v>
                </c:pt>
                <c:pt idx="19">
                  <c:v>651</c:v>
                </c:pt>
                <c:pt idx="20">
                  <c:v>651</c:v>
                </c:pt>
                <c:pt idx="21">
                  <c:v>651</c:v>
                </c:pt>
                <c:pt idx="22">
                  <c:v>651</c:v>
                </c:pt>
                <c:pt idx="23">
                  <c:v>651</c:v>
                </c:pt>
                <c:pt idx="24">
                  <c:v>651</c:v>
                </c:pt>
                <c:pt idx="25">
                  <c:v>651</c:v>
                </c:pt>
                <c:pt idx="26">
                  <c:v>651</c:v>
                </c:pt>
                <c:pt idx="27">
                  <c:v>651</c:v>
                </c:pt>
                <c:pt idx="28">
                  <c:v>651</c:v>
                </c:pt>
                <c:pt idx="29">
                  <c:v>651</c:v>
                </c:pt>
                <c:pt idx="30">
                  <c:v>651</c:v>
                </c:pt>
                <c:pt idx="31">
                  <c:v>651</c:v>
                </c:pt>
                <c:pt idx="32">
                  <c:v>651</c:v>
                </c:pt>
                <c:pt idx="33">
                  <c:v>651</c:v>
                </c:pt>
                <c:pt idx="34">
                  <c:v>651</c:v>
                </c:pt>
                <c:pt idx="35">
                  <c:v>651</c:v>
                </c:pt>
                <c:pt idx="36">
                  <c:v>651</c:v>
                </c:pt>
                <c:pt idx="37">
                  <c:v>651</c:v>
                </c:pt>
                <c:pt idx="38">
                  <c:v>651</c:v>
                </c:pt>
                <c:pt idx="39">
                  <c:v>651</c:v>
                </c:pt>
                <c:pt idx="40">
                  <c:v>651</c:v>
                </c:pt>
                <c:pt idx="41">
                  <c:v>651</c:v>
                </c:pt>
                <c:pt idx="42">
                  <c:v>651</c:v>
                </c:pt>
                <c:pt idx="43">
                  <c:v>651</c:v>
                </c:pt>
                <c:pt idx="44">
                  <c:v>651</c:v>
                </c:pt>
                <c:pt idx="45">
                  <c:v>651</c:v>
                </c:pt>
              </c:numCache>
            </c:numRef>
          </c:val>
          <c:smooth val="1"/>
          <c:extLst>
            <c:ext xmlns:c16="http://schemas.microsoft.com/office/drawing/2014/chart" uri="{C3380CC4-5D6E-409C-BE32-E72D297353CC}">
              <c16:uniqueId val="{00000000-2A31-4610-8F6E-A7E95E990C83}"/>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#,##0_-;\-* #,##0_-;_-* "-"??_-;_-@_-</c:formatCode>
                <c:ptCount val="46"/>
                <c:pt idx="0">
                  <c:v>663.51982329772773</c:v>
                </c:pt>
                <c:pt idx="1">
                  <c:v>676.10802996561347</c:v>
                </c:pt>
                <c:pt idx="2">
                  <c:v>688.76578514151709</c:v>
                </c:pt>
                <c:pt idx="3">
                  <c:v>701.49427534827043</c:v>
                </c:pt>
                <c:pt idx="4">
                  <c:v>714.2947089009416</c:v>
                </c:pt>
                <c:pt idx="5">
                  <c:v>727.16831632199921</c:v>
                </c:pt>
                <c:pt idx="6">
                  <c:v>740.11635076453126</c:v>
                </c:pt>
                <c:pt idx="7">
                  <c:v>753.14008844366901</c:v>
                </c:pt>
                <c:pt idx="8">
                  <c:v>766.2408290763899</c:v>
                </c:pt>
                <c:pt idx="9">
                  <c:v>779.41989632985224</c:v>
                </c:pt>
                <c:pt idx="10">
                  <c:v>792.67863827843428</c:v>
                </c:pt>
                <c:pt idx="11">
                  <c:v>806.01842786964676</c:v>
                </c:pt>
                <c:pt idx="12">
                  <c:v>819.44066339908591</c:v>
                </c:pt>
                <c:pt idx="13">
                  <c:v>832.94676899462559</c:v>
                </c:pt>
                <c:pt idx="14">
                  <c:v>846.53819510999597</c:v>
                </c:pt>
                <c:pt idx="15">
                  <c:v>860.21641902796819</c:v>
                </c:pt>
                <c:pt idx="16">
                  <c:v>867.10142618873579</c:v>
                </c:pt>
                <c:pt idx="17">
                  <c:v>874.0762682665378</c:v>
                </c:pt>
                <c:pt idx="18">
                  <c:v>881.14250614904574</c:v>
                </c:pt>
                <c:pt idx="19">
                  <c:v>888.30172966537953</c:v>
                </c:pt>
                <c:pt idx="20">
                  <c:v>895.55555814012075</c:v>
                </c:pt>
                <c:pt idx="21">
                  <c:v>902.90564095810055</c:v>
                </c:pt>
                <c:pt idx="22">
                  <c:v>910.353658140172</c:v>
                </c:pt>
                <c:pt idx="23">
                  <c:v>917.28590984578841</c:v>
                </c:pt>
                <c:pt idx="24">
                  <c:v>921.49526198326271</c:v>
                </c:pt>
                <c:pt idx="25">
                  <c:v>925.05189801011693</c:v>
                </c:pt>
                <c:pt idx="26">
                  <c:v>928.63060921228555</c:v>
                </c:pt>
                <c:pt idx="27">
                  <c:v>932.23159991203556</c:v>
                </c:pt>
                <c:pt idx="28">
                  <c:v>935.85507640288449</c:v>
                </c:pt>
                <c:pt idx="29">
                  <c:v>939.50124696910609</c:v>
                </c:pt>
                <c:pt idx="30">
                  <c:v>943.17032190543034</c:v>
                </c:pt>
                <c:pt idx="31">
                  <c:v>946.86251353694365</c:v>
                </c:pt>
                <c:pt idx="32">
                  <c:v>950.57803623918699</c:v>
                </c:pt>
                <c:pt idx="33">
                  <c:v>954.31710645845601</c:v>
                </c:pt>
                <c:pt idx="34">
                  <c:v>958.07994273230656</c:v>
                </c:pt>
                <c:pt idx="35" formatCode="_-* #,##0.00_-;\-* #,##0.00_-;_-* &quot;-&quot;??_-;_-@_-">
                  <c:v>961.86676571026351</c:v>
                </c:pt>
                <c:pt idx="36">
                  <c:v>964.65992919959592</c:v>
                </c:pt>
                <c:pt idx="37">
                  <c:v>967.47752711187945</c:v>
                </c:pt>
                <c:pt idx="38">
                  <c:v>970.31978655890339</c:v>
                </c:pt>
                <c:pt idx="39">
                  <c:v>973.18693684937011</c:v>
                </c:pt>
                <c:pt idx="40">
                  <c:v>976.07920951066603</c:v>
                </c:pt>
                <c:pt idx="41">
                  <c:v>978.99683831085497</c:v>
                </c:pt>
                <c:pt idx="42">
                  <c:v>981.94005928088677</c:v>
                </c:pt>
                <c:pt idx="43">
                  <c:v>984.66284646178269</c:v>
                </c:pt>
                <c:pt idx="44">
                  <c:v>986.6167675966077</c:v>
                </c:pt>
                <c:pt idx="45">
                  <c:v>988.58635831793219</c:v>
                </c:pt>
              </c:numCache>
            </c:numRef>
          </c:val>
          <c:smooth val="0"/>
          <c:extLst>
            <c:ext xmlns:c16="http://schemas.microsoft.com/office/drawing/2014/chart" uri="{C3380CC4-5D6E-409C-BE32-E72D297353CC}">
              <c16:uniqueId val="{00000001-2A31-4610-8F6E-A7E95E990C83}"/>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#,##0_-;\-* #,##0_-;_-* "-"??_-;_-@_-</c:formatCode>
                <c:ptCount val="46"/>
                <c:pt idx="0">
                  <c:v>663.86265701299874</c:v>
                </c:pt>
                <c:pt idx="1">
                  <c:v>676.97945833541996</c:v>
                </c:pt>
                <c:pt idx="2">
                  <c:v>690.35542542822213</c:v>
                </c:pt>
                <c:pt idx="3">
                  <c:v>703.99567896792416</c:v>
                </c:pt>
                <c:pt idx="4">
                  <c:v>717.90544080693735</c:v>
                </c:pt>
                <c:pt idx="5">
                  <c:v>732.09003597262904</c:v>
                </c:pt>
                <c:pt idx="6">
                  <c:v>746.55489470588532</c:v>
                </c:pt>
                <c:pt idx="7">
                  <c:v>761.30555453995169</c:v>
                </c:pt>
                <c:pt idx="8">
                  <c:v>776.34766242034834</c:v>
                </c:pt>
                <c:pt idx="9">
                  <c:v>791.68697686667133</c:v>
                </c:pt>
                <c:pt idx="10">
                  <c:v>807.32937017710742</c:v>
                </c:pt>
                <c:pt idx="11">
                  <c:v>823.28083067650596</c:v>
                </c:pt>
                <c:pt idx="12">
                  <c:v>839.54746500886938</c:v>
                </c:pt>
                <c:pt idx="13">
                  <c:v>856.13550047513922</c:v>
                </c:pt>
                <c:pt idx="14">
                  <c:v>873.0512874171726</c:v>
                </c:pt>
                <c:pt idx="15">
                  <c:v>890.30130164882246</c:v>
                </c:pt>
                <c:pt idx="16">
                  <c:v>907.89214693505153</c:v>
                </c:pt>
                <c:pt idx="17">
                  <c:v>925.8305575200294</c:v>
                </c:pt>
                <c:pt idx="18">
                  <c:v>944.12340070518076</c:v>
                </c:pt>
                <c:pt idx="19">
                  <c:v>962.77767947817108</c:v>
                </c:pt>
                <c:pt idx="20">
                  <c:v>981.80053519383705</c:v>
                </c:pt>
                <c:pt idx="21">
                  <c:v>1001.1992503080874</c:v>
                </c:pt>
                <c:pt idx="22">
                  <c:v>1020.9812511658207</c:v>
                </c:pt>
                <c:pt idx="23">
                  <c:v>1041.1541108439287</c:v>
                </c:pt>
                <c:pt idx="24">
                  <c:v>1047.9000000000001</c:v>
                </c:pt>
                <c:pt idx="25">
                  <c:v>1047.9000000000001</c:v>
                </c:pt>
                <c:pt idx="26">
                  <c:v>1047.9000000000001</c:v>
                </c:pt>
                <c:pt idx="27">
                  <c:v>1047.9000000000001</c:v>
                </c:pt>
                <c:pt idx="28">
                  <c:v>1047.9000000000001</c:v>
                </c:pt>
                <c:pt idx="29">
                  <c:v>1047.9000000000001</c:v>
                </c:pt>
                <c:pt idx="30">
                  <c:v>1047.9000000000001</c:v>
                </c:pt>
                <c:pt idx="31">
                  <c:v>1047.9000000000001</c:v>
                </c:pt>
                <c:pt idx="32">
                  <c:v>1047.9000000000001</c:v>
                </c:pt>
                <c:pt idx="33">
                  <c:v>1047.9000000000001</c:v>
                </c:pt>
                <c:pt idx="34">
                  <c:v>1047.9000000000001</c:v>
                </c:pt>
                <c:pt idx="35" formatCode="_-* #,##0.00_-;\-* #,##0.00_-;_-* &quot;-&quot;??_-;_-@_-">
                  <c:v>1047.9000000000001</c:v>
                </c:pt>
                <c:pt idx="36">
                  <c:v>1047.9000000000001</c:v>
                </c:pt>
                <c:pt idx="37">
                  <c:v>1047.9000000000001</c:v>
                </c:pt>
                <c:pt idx="38">
                  <c:v>1047.9000000000001</c:v>
                </c:pt>
                <c:pt idx="39">
                  <c:v>1047.9000000000001</c:v>
                </c:pt>
                <c:pt idx="40">
                  <c:v>1047.9000000000001</c:v>
                </c:pt>
                <c:pt idx="41">
                  <c:v>1047.9000000000001</c:v>
                </c:pt>
                <c:pt idx="42">
                  <c:v>1047.9000000000001</c:v>
                </c:pt>
                <c:pt idx="43">
                  <c:v>1047.9000000000001</c:v>
                </c:pt>
                <c:pt idx="44">
                  <c:v>1047.9000000000001</c:v>
                </c:pt>
                <c:pt idx="45">
                  <c:v>1047.9000000000001</c:v>
                </c:pt>
              </c:numCache>
            </c:numRef>
          </c:val>
          <c:smooth val="0"/>
          <c:extLst>
            <c:ext xmlns:c16="http://schemas.microsoft.com/office/drawing/2014/chart" uri="{C3380CC4-5D6E-409C-BE32-E72D297353CC}">
              <c16:uniqueId val="{00000002-2A31-4610-8F6E-A7E95E990C83}"/>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#,##0_-;\-* #,##0_-;_-* "-"??_-;_-@_-</c:formatCode>
                <c:ptCount val="46"/>
                <c:pt idx="0">
                  <c:v>670.49956564956904</c:v>
                </c:pt>
                <c:pt idx="1">
                  <c:v>690.05384964992811</c:v>
                </c:pt>
                <c:pt idx="2">
                  <c:v>709.66492355909088</c:v>
                </c:pt>
                <c:pt idx="3">
                  <c:v>729.33493816622683</c:v>
                </c:pt>
                <c:pt idx="4">
                  <c:v>749.06612625989248</c:v>
                </c:pt>
                <c:pt idx="5">
                  <c:v>768.86080546472442</c:v>
                </c:pt>
                <c:pt idx="6">
                  <c:v>788.72138114572442</c:v>
                </c:pt>
                <c:pt idx="7">
                  <c:v>808.65034937901896</c:v>
                </c:pt>
                <c:pt idx="8">
                  <c:v>828.65029998770365</c:v>
                </c:pt>
                <c:pt idx="9">
                  <c:v>848.7239196410693</c:v>
                </c:pt>
                <c:pt idx="10">
                  <c:v>868.87399501518803</c:v>
                </c:pt>
                <c:pt idx="11">
                  <c:v>889.10341601252003</c:v>
                </c:pt>
                <c:pt idx="12">
                  <c:v>909.41517903783449</c:v>
                </c:pt>
                <c:pt idx="13">
                  <c:v>929.81239032743258</c:v>
                </c:pt>
                <c:pt idx="14">
                  <c:v>950.298269328174</c:v>
                </c:pt>
                <c:pt idx="15">
                  <c:v>970.8761521225656</c:v>
                </c:pt>
                <c:pt idx="16">
                  <c:v>977.00243894651715</c:v>
                </c:pt>
                <c:pt idx="17">
                  <c:v>983.54665545075011</c:v>
                </c:pt>
                <c:pt idx="18">
                  <c:v>990.53581198018446</c:v>
                </c:pt>
                <c:pt idx="19">
                  <c:v>997.99483159874046</c:v>
                </c:pt>
                <c:pt idx="20">
                  <c:v>1005.9458212090283</c:v>
                </c:pt>
                <c:pt idx="21">
                  <c:v>1014.4074508843541</c:v>
                </c:pt>
                <c:pt idx="22">
                  <c:v>1023.3945034297474</c:v>
                </c:pt>
                <c:pt idx="23">
                  <c:v>1031.6557471890487</c:v>
                </c:pt>
                <c:pt idx="24">
                  <c:v>1034.456315415149</c:v>
                </c:pt>
                <c:pt idx="25">
                  <c:v>1035.8914886241241</c:v>
                </c:pt>
                <c:pt idx="26">
                  <c:v>1037.3864180600328</c:v>
                </c:pt>
                <c:pt idx="27">
                  <c:v>1038.9459452310873</c:v>
                </c:pt>
                <c:pt idx="28">
                  <c:v>1040.5752955585008</c:v>
                </c:pt>
                <c:pt idx="29">
                  <c:v>1042.2800959731076</c:v>
                </c:pt>
                <c:pt idx="30">
                  <c:v>1044.0663891277236</c:v>
                </c:pt>
                <c:pt idx="31">
                  <c:v>1045.9406428213108</c:v>
                </c:pt>
                <c:pt idx="32">
                  <c:v>1047.9097529796086</c:v>
                </c:pt>
                <c:pt idx="33">
                  <c:v>1049.9810382990313</c:v>
                </c:pt>
                <c:pt idx="34">
                  <c:v>1052.1622244654775</c:v>
                </c:pt>
                <c:pt idx="35" formatCode="_-* #,##0.00_-;\-* #,##0.00_-;_-* &quot;-&quot;??_-;_-@_-">
                  <c:v>1054.4614157465892</c:v>
                </c:pt>
                <c:pt idx="36">
                  <c:v>1055.2435468979213</c:v>
                </c:pt>
                <c:pt idx="37">
                  <c:v>1056.1563510207739</c:v>
                </c:pt>
                <c:pt idx="38">
                  <c:v>1056.9962848498838</c:v>
                </c:pt>
                <c:pt idx="39">
                  <c:v>1056.9962848498838</c:v>
                </c:pt>
                <c:pt idx="40">
                  <c:v>1056.9962848498838</c:v>
                </c:pt>
                <c:pt idx="41">
                  <c:v>1056.9962848498838</c:v>
                </c:pt>
                <c:pt idx="42">
                  <c:v>1056.9962848498838</c:v>
                </c:pt>
                <c:pt idx="43">
                  <c:v>1056.9962848498838</c:v>
                </c:pt>
                <c:pt idx="44">
                  <c:v>1056.9962848498838</c:v>
                </c:pt>
                <c:pt idx="45">
                  <c:v>1056.9962848498838</c:v>
                </c:pt>
              </c:numCache>
            </c:numRef>
          </c:val>
          <c:smooth val="0"/>
          <c:extLst>
            <c:ext xmlns:c16="http://schemas.microsoft.com/office/drawing/2014/chart" uri="{C3380CC4-5D6E-409C-BE32-E72D297353CC}">
              <c16:uniqueId val="{00000003-2A31-4610-8F6E-A7E95E990C83}"/>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2A31-4610-8F6E-A7E95E990C83}"/>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2A31-4610-8F6E-A7E95E990C83}"/>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2A31-4610-8F6E-A7E95E990C83}"/>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2A31-4610-8F6E-A7E95E990C83}"/>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2A31-4610-8F6E-A7E95E990C83}"/>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2A31-4610-8F6E-A7E95E990C83}"/>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2A31-4610-8F6E-A7E95E990C83}"/>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2A31-4610-8F6E-A7E95E990C83}"/>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2A31-4610-8F6E-A7E95E990C83}"/>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8030908805823271"/>
              <c:y val="0.93927623917179082"/>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65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030324074171386"/>
          <c:y val="0.29961397910971005"/>
          <c:w val="0.21368074492542463"/>
          <c:h val="0.38682240679842872"/>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Plots'!$Q$7:$Y$7</c:f>
          <c:strCache>
            <c:ptCount val="9"/>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2160403602244341"/>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0.61589403973509937</c:v>
                </c:pt>
                <c:pt idx="1">
                  <c:v>0.61589403973509937</c:v>
                </c:pt>
                <c:pt idx="2">
                  <c:v>0.61589403973509937</c:v>
                </c:pt>
                <c:pt idx="3">
                  <c:v>0.61589403973509937</c:v>
                </c:pt>
                <c:pt idx="4">
                  <c:v>0.61589403973509937</c:v>
                </c:pt>
                <c:pt idx="5">
                  <c:v>0.61589403973509937</c:v>
                </c:pt>
                <c:pt idx="6">
                  <c:v>0.61589403973509937</c:v>
                </c:pt>
                <c:pt idx="7">
                  <c:v>0.61589403973509937</c:v>
                </c:pt>
                <c:pt idx="8">
                  <c:v>0.61589403973509937</c:v>
                </c:pt>
                <c:pt idx="9">
                  <c:v>0.61589403973509937</c:v>
                </c:pt>
                <c:pt idx="10">
                  <c:v>0.61589403973509937</c:v>
                </c:pt>
                <c:pt idx="11">
                  <c:v>0.61589403973509937</c:v>
                </c:pt>
                <c:pt idx="12">
                  <c:v>0.61589403973509937</c:v>
                </c:pt>
                <c:pt idx="13">
                  <c:v>0.61589403973509937</c:v>
                </c:pt>
                <c:pt idx="14">
                  <c:v>0.61589403973509937</c:v>
                </c:pt>
                <c:pt idx="15">
                  <c:v>0.61589403973509937</c:v>
                </c:pt>
                <c:pt idx="16">
                  <c:v>0.61589403973509937</c:v>
                </c:pt>
                <c:pt idx="17">
                  <c:v>0.61589403973509937</c:v>
                </c:pt>
                <c:pt idx="18">
                  <c:v>0.61589403973509937</c:v>
                </c:pt>
                <c:pt idx="19">
                  <c:v>0.61589403973509937</c:v>
                </c:pt>
                <c:pt idx="20">
                  <c:v>0.61589403973509937</c:v>
                </c:pt>
                <c:pt idx="21">
                  <c:v>0.61589403973509937</c:v>
                </c:pt>
                <c:pt idx="22">
                  <c:v>0.61589403973509937</c:v>
                </c:pt>
                <c:pt idx="23">
                  <c:v>0.61589403973509937</c:v>
                </c:pt>
                <c:pt idx="24">
                  <c:v>0.61589403973509937</c:v>
                </c:pt>
                <c:pt idx="25">
                  <c:v>0.61589403973509937</c:v>
                </c:pt>
                <c:pt idx="26">
                  <c:v>0.61589403973509937</c:v>
                </c:pt>
                <c:pt idx="27">
                  <c:v>0.61589403973509937</c:v>
                </c:pt>
                <c:pt idx="28">
                  <c:v>0.61589403973509937</c:v>
                </c:pt>
                <c:pt idx="29">
                  <c:v>0.61589403973509937</c:v>
                </c:pt>
                <c:pt idx="30">
                  <c:v>0.61589403973509937</c:v>
                </c:pt>
                <c:pt idx="31">
                  <c:v>0.61589403973509937</c:v>
                </c:pt>
                <c:pt idx="32">
                  <c:v>0.61589403973509937</c:v>
                </c:pt>
                <c:pt idx="33">
                  <c:v>0.61589403973509937</c:v>
                </c:pt>
                <c:pt idx="34">
                  <c:v>0.61589403973509937</c:v>
                </c:pt>
                <c:pt idx="35">
                  <c:v>0.61589403973509937</c:v>
                </c:pt>
                <c:pt idx="36">
                  <c:v>0.61589403973509937</c:v>
                </c:pt>
                <c:pt idx="37">
                  <c:v>0.61589403973509937</c:v>
                </c:pt>
                <c:pt idx="38">
                  <c:v>0.61589403973509937</c:v>
                </c:pt>
                <c:pt idx="39">
                  <c:v>0.61589403973509937</c:v>
                </c:pt>
                <c:pt idx="40">
                  <c:v>0.61589403973509937</c:v>
                </c:pt>
                <c:pt idx="41">
                  <c:v>0.61589403973509937</c:v>
                </c:pt>
                <c:pt idx="42">
                  <c:v>0.61589403973509937</c:v>
                </c:pt>
                <c:pt idx="43">
                  <c:v>0.61589403973509937</c:v>
                </c:pt>
                <c:pt idx="44">
                  <c:v>0.61589403973509937</c:v>
                </c:pt>
                <c:pt idx="45">
                  <c:v>0.61589403973509937</c:v>
                </c:pt>
                <c:pt idx="46">
                  <c:v>0.61589403973509937</c:v>
                </c:pt>
              </c:numCache>
            </c:numRef>
          </c:val>
          <c:smooth val="1"/>
          <c:extLst>
            <c:ext xmlns:c16="http://schemas.microsoft.com/office/drawing/2014/chart" uri="{C3380CC4-5D6E-409C-BE32-E72D297353CC}">
              <c16:uniqueId val="{00000000-FBA4-4FFF-9FC6-18B812EB399C}"/>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0.62773871645953427</c:v>
                </c:pt>
                <c:pt idx="1">
                  <c:v>0.63964808889840441</c:v>
                </c:pt>
                <c:pt idx="2">
                  <c:v>0.65162325935810506</c:v>
                </c:pt>
                <c:pt idx="3">
                  <c:v>0.66366535037679319</c:v>
                </c:pt>
                <c:pt idx="4">
                  <c:v>0.67577550510968931</c:v>
                </c:pt>
                <c:pt idx="5">
                  <c:v>0.68795488772185354</c:v>
                </c:pt>
                <c:pt idx="6">
                  <c:v>0.70020468378858214</c:v>
                </c:pt>
                <c:pt idx="7">
                  <c:v>0.71252610070356581</c:v>
                </c:pt>
                <c:pt idx="8">
                  <c:v>0.72492036809497629</c:v>
                </c:pt>
                <c:pt idx="9">
                  <c:v>0.7373887382496237</c:v>
                </c:pt>
                <c:pt idx="10">
                  <c:v>0.74993248654534939</c:v>
                </c:pt>
                <c:pt idx="11">
                  <c:v>0.7625529118918134</c:v>
                </c:pt>
                <c:pt idx="12">
                  <c:v>0.7752513371798353</c:v>
                </c:pt>
                <c:pt idx="13">
                  <c:v>0.78802910973947549</c:v>
                </c:pt>
                <c:pt idx="14">
                  <c:v>0.80088760180699714</c:v>
                </c:pt>
                <c:pt idx="15">
                  <c:v>0.81382821100091596</c:v>
                </c:pt>
                <c:pt idx="16">
                  <c:v>0.82034193584554005</c:v>
                </c:pt>
                <c:pt idx="17">
                  <c:v>0.82694065115093451</c:v>
                </c:pt>
                <c:pt idx="18">
                  <c:v>0.83362583363202059</c:v>
                </c:pt>
                <c:pt idx="19">
                  <c:v>0.84039898738446506</c:v>
                </c:pt>
                <c:pt idx="20">
                  <c:v>0.84726164440881813</c:v>
                </c:pt>
                <c:pt idx="21">
                  <c:v>0.85421536514484442</c:v>
                </c:pt>
                <c:pt idx="22">
                  <c:v>0.86126173901624603</c:v>
                </c:pt>
                <c:pt idx="23">
                  <c:v>0.86782016068664936</c:v>
                </c:pt>
                <c:pt idx="24">
                  <c:v>0.87180251843260426</c:v>
                </c:pt>
                <c:pt idx="25">
                  <c:v>0.87516735857153916</c:v>
                </c:pt>
                <c:pt idx="26">
                  <c:v>0.87855308345533167</c:v>
                </c:pt>
                <c:pt idx="27">
                  <c:v>0.88195988638792389</c:v>
                </c:pt>
                <c:pt idx="28">
                  <c:v>0.88538796253820673</c:v>
                </c:pt>
                <c:pt idx="29">
                  <c:v>0.88883750895847313</c:v>
                </c:pt>
                <c:pt idx="30">
                  <c:v>0.8923087246030561</c:v>
                </c:pt>
                <c:pt idx="31">
                  <c:v>0.89580181034715578</c:v>
                </c:pt>
                <c:pt idx="32">
                  <c:v>0.89931696900585334</c:v>
                </c:pt>
                <c:pt idx="33">
                  <c:v>0.90285440535331696</c:v>
                </c:pt>
                <c:pt idx="34">
                  <c:v>0.90641432614220108</c:v>
                </c:pt>
                <c:pt idx="35">
                  <c:v>0.90999694012323884</c:v>
                </c:pt>
                <c:pt idx="36">
                  <c:v>0.91263947890217212</c:v>
                </c:pt>
                <c:pt idx="37">
                  <c:v>0.91530513444832495</c:v>
                </c:pt>
                <c:pt idx="38">
                  <c:v>0.91799412162620941</c:v>
                </c:pt>
                <c:pt idx="39">
                  <c:v>0.92070665737877966</c:v>
                </c:pt>
                <c:pt idx="40">
                  <c:v>0.92344296074802845</c:v>
                </c:pt>
                <c:pt idx="41">
                  <c:v>0.92620325289579464</c:v>
                </c:pt>
                <c:pt idx="42">
                  <c:v>0.92898775712477466</c:v>
                </c:pt>
                <c:pt idx="43">
                  <c:v>0.9315637147225948</c:v>
                </c:pt>
                <c:pt idx="44">
                  <c:v>0.93341226830331858</c:v>
                </c:pt>
                <c:pt idx="45">
                  <c:v>0.93527564646918848</c:v>
                </c:pt>
              </c:numCache>
            </c:numRef>
          </c:val>
          <c:smooth val="0"/>
          <c:extLst>
            <c:ext xmlns:c16="http://schemas.microsoft.com/office/drawing/2014/chart" uri="{C3380CC4-5D6E-409C-BE32-E72D297353CC}">
              <c16:uniqueId val="{00000001-FBA4-4FFF-9FC6-18B812EB399C}"/>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0.62806306245316812</c:v>
                </c:pt>
                <c:pt idx="1">
                  <c:v>0.64047252444221381</c:v>
                </c:pt>
                <c:pt idx="2">
                  <c:v>0.6531271763748554</c:v>
                </c:pt>
                <c:pt idx="3">
                  <c:v>0.66603186278895377</c:v>
                </c:pt>
                <c:pt idx="4">
                  <c:v>0.67919152394223026</c:v>
                </c:pt>
                <c:pt idx="5">
                  <c:v>0.69261119770352797</c:v>
                </c:pt>
                <c:pt idx="6">
                  <c:v>0.7062960214814431</c:v>
                </c:pt>
                <c:pt idx="7">
                  <c:v>0.72025123419106118</c:v>
                </c:pt>
                <c:pt idx="8">
                  <c:v>0.73448217825955375</c:v>
                </c:pt>
                <c:pt idx="9">
                  <c:v>0.74899430167140146</c:v>
                </c:pt>
                <c:pt idx="10">
                  <c:v>0.76379316005402786</c:v>
                </c:pt>
                <c:pt idx="11">
                  <c:v>0.77888441880464143</c:v>
                </c:pt>
                <c:pt idx="12">
                  <c:v>0.79427385525910066</c:v>
                </c:pt>
                <c:pt idx="13">
                  <c:v>0.80996736090363219</c:v>
                </c:pt>
                <c:pt idx="14">
                  <c:v>0.82597094363024848</c:v>
                </c:pt>
                <c:pt idx="15">
                  <c:v>0.84229073003672894</c:v>
                </c:pt>
                <c:pt idx="16">
                  <c:v>0.85893296777204498</c:v>
                </c:pt>
                <c:pt idx="17">
                  <c:v>0.87590402792812616</c:v>
                </c:pt>
                <c:pt idx="18">
                  <c:v>0.89321040747888436</c:v>
                </c:pt>
                <c:pt idx="19">
                  <c:v>0.91085873176742771</c:v>
                </c:pt>
                <c:pt idx="20">
                  <c:v>0.92885575704241918</c:v>
                </c:pt>
                <c:pt idx="21">
                  <c:v>0.94720837304454808</c:v>
                </c:pt>
                <c:pt idx="22">
                  <c:v>0.96592360564410662</c:v>
                </c:pt>
                <c:pt idx="23">
                  <c:v>0.98500861953067997</c:v>
                </c:pt>
                <c:pt idx="24">
                  <c:v>0.9913907284768213</c:v>
                </c:pt>
                <c:pt idx="25">
                  <c:v>0.9913907284768213</c:v>
                </c:pt>
                <c:pt idx="26">
                  <c:v>0.9913907284768213</c:v>
                </c:pt>
                <c:pt idx="27">
                  <c:v>0.9913907284768213</c:v>
                </c:pt>
                <c:pt idx="28">
                  <c:v>0.9913907284768213</c:v>
                </c:pt>
                <c:pt idx="29">
                  <c:v>0.9913907284768213</c:v>
                </c:pt>
                <c:pt idx="30">
                  <c:v>0.9913907284768213</c:v>
                </c:pt>
                <c:pt idx="31">
                  <c:v>0.9913907284768213</c:v>
                </c:pt>
                <c:pt idx="32">
                  <c:v>0.9913907284768213</c:v>
                </c:pt>
                <c:pt idx="33">
                  <c:v>0.9913907284768213</c:v>
                </c:pt>
                <c:pt idx="34">
                  <c:v>0.9913907284768213</c:v>
                </c:pt>
                <c:pt idx="35">
                  <c:v>0.9913907284768213</c:v>
                </c:pt>
                <c:pt idx="36">
                  <c:v>0.9913907284768213</c:v>
                </c:pt>
                <c:pt idx="37">
                  <c:v>0.9913907284768213</c:v>
                </c:pt>
                <c:pt idx="38">
                  <c:v>0.9913907284768213</c:v>
                </c:pt>
                <c:pt idx="39">
                  <c:v>0.9913907284768213</c:v>
                </c:pt>
                <c:pt idx="40">
                  <c:v>0.9913907284768213</c:v>
                </c:pt>
                <c:pt idx="41">
                  <c:v>0.9913907284768213</c:v>
                </c:pt>
                <c:pt idx="42">
                  <c:v>0.9913907284768213</c:v>
                </c:pt>
                <c:pt idx="43">
                  <c:v>0.9913907284768213</c:v>
                </c:pt>
                <c:pt idx="44">
                  <c:v>0.9913907284768213</c:v>
                </c:pt>
                <c:pt idx="45">
                  <c:v>0.9913907284768213</c:v>
                </c:pt>
              </c:numCache>
            </c:numRef>
          </c:val>
          <c:smooth val="0"/>
          <c:extLst>
            <c:ext xmlns:c16="http://schemas.microsoft.com/office/drawing/2014/chart" uri="{C3380CC4-5D6E-409C-BE32-E72D297353CC}">
              <c16:uniqueId val="{00000002-FBA4-4FFF-9FC6-18B812EB399C}"/>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0.63434206778577962</c:v>
                </c:pt>
                <c:pt idx="1">
                  <c:v>0.65284186343417983</c:v>
                </c:pt>
                <c:pt idx="2">
                  <c:v>0.67139538652704911</c:v>
                </c:pt>
                <c:pt idx="3">
                  <c:v>0.69000467186965642</c:v>
                </c:pt>
                <c:pt idx="4">
                  <c:v>0.70867183184474214</c:v>
                </c:pt>
                <c:pt idx="5">
                  <c:v>0.72739905909623881</c:v>
                </c:pt>
                <c:pt idx="6">
                  <c:v>0.74618862927693885</c:v>
                </c:pt>
                <c:pt idx="7">
                  <c:v>0.76504290385905294</c:v>
                </c:pt>
                <c:pt idx="8">
                  <c:v>0.78396433300634216</c:v>
                </c:pt>
                <c:pt idx="9">
                  <c:v>0.80295545850621508</c:v>
                </c:pt>
                <c:pt idx="10">
                  <c:v>0.82201891675987515</c:v>
                </c:pt>
                <c:pt idx="11">
                  <c:v>0.84115744182830654</c:v>
                </c:pt>
                <c:pt idx="12">
                  <c:v>0.86037386853153686</c:v>
                </c:pt>
                <c:pt idx="13">
                  <c:v>0.87967113559832788</c:v>
                </c:pt>
                <c:pt idx="14">
                  <c:v>0.89905228886298394</c:v>
                </c:pt>
                <c:pt idx="15">
                  <c:v>0.91852048450573853</c:v>
                </c:pt>
                <c:pt idx="16">
                  <c:v>0.92431640392291126</c:v>
                </c:pt>
                <c:pt idx="17">
                  <c:v>0.93050771565823098</c:v>
                </c:pt>
                <c:pt idx="18">
                  <c:v>0.93711997349118681</c:v>
                </c:pt>
                <c:pt idx="19">
                  <c:v>0.9441767564794139</c:v>
                </c:pt>
                <c:pt idx="20">
                  <c:v>0.95169897938413273</c:v>
                </c:pt>
                <c:pt idx="21">
                  <c:v>0.95970430547242591</c:v>
                </c:pt>
                <c:pt idx="22">
                  <c:v>0.96820672036872979</c:v>
                </c:pt>
                <c:pt idx="23">
                  <c:v>0.97602246659323433</c:v>
                </c:pt>
                <c:pt idx="24">
                  <c:v>0.97867201079957333</c:v>
                </c:pt>
                <c:pt idx="25">
                  <c:v>0.98002979056208528</c:v>
                </c:pt>
                <c:pt idx="26">
                  <c:v>0.98144410412491279</c:v>
                </c:pt>
                <c:pt idx="27">
                  <c:v>0.98291953191209769</c:v>
                </c:pt>
                <c:pt idx="28">
                  <c:v>0.9844610175577112</c:v>
                </c:pt>
                <c:pt idx="29">
                  <c:v>0.98607388455355494</c:v>
                </c:pt>
                <c:pt idx="30">
                  <c:v>0.98776384969510278</c:v>
                </c:pt>
                <c:pt idx="31">
                  <c:v>0.9895370319974558</c:v>
                </c:pt>
                <c:pt idx="32">
                  <c:v>0.99139995551523996</c:v>
                </c:pt>
                <c:pt idx="33">
                  <c:v>0.99335954427533713</c:v>
                </c:pt>
                <c:pt idx="34">
                  <c:v>0.9954231073467148</c:v>
                </c:pt>
                <c:pt idx="35">
                  <c:v>0.99759831196460658</c:v>
                </c:pt>
                <c:pt idx="36">
                  <c:v>0.99833826575016205</c:v>
                </c:pt>
                <c:pt idx="37">
                  <c:v>0.99920184580962523</c:v>
                </c:pt>
                <c:pt idx="38">
                  <c:v>0.99999648519383511</c:v>
                </c:pt>
                <c:pt idx="39">
                  <c:v>0.99999648519383511</c:v>
                </c:pt>
                <c:pt idx="40">
                  <c:v>0.99999648519383511</c:v>
                </c:pt>
                <c:pt idx="41">
                  <c:v>0.99999648519383511</c:v>
                </c:pt>
                <c:pt idx="42">
                  <c:v>0.99999648519383511</c:v>
                </c:pt>
                <c:pt idx="43">
                  <c:v>0.99999648519383511</c:v>
                </c:pt>
                <c:pt idx="44">
                  <c:v>0.99999648519383511</c:v>
                </c:pt>
                <c:pt idx="45">
                  <c:v>0.99999648519383511</c:v>
                </c:pt>
              </c:numCache>
            </c:numRef>
          </c:val>
          <c:smooth val="0"/>
          <c:extLst>
            <c:ext xmlns:c16="http://schemas.microsoft.com/office/drawing/2014/chart" uri="{C3380CC4-5D6E-409C-BE32-E72D297353CC}">
              <c16:uniqueId val="{00000003-FBA4-4FFF-9FC6-18B812EB399C}"/>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FBA4-4FFF-9FC6-18B812EB399C}"/>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FBA4-4FFF-9FC6-18B812EB399C}"/>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FBA4-4FFF-9FC6-18B812EB399C}"/>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FBA4-4FFF-9FC6-18B812EB399C}"/>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FBA4-4FFF-9FC6-18B812EB399C}"/>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FBA4-4FFF-9FC6-18B812EB399C}"/>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FBA4-4FFF-9FC6-18B812EB399C}"/>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FBA4-4FFF-9FC6-18B812EB399C}"/>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FBA4-4FFF-9FC6-18B812EB399C}"/>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165427674834052"/>
              <c:y val="0.93597572948352725"/>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60000000000000009"/>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7123443401910086"/>
          <c:y val="0.31641543141325862"/>
          <c:w val="0.22876556598089909"/>
          <c:h val="0.38687299824569876"/>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0</c:v>
                </c:pt>
                <c:pt idx="1">
                  <c:v>8.3992597386950152</c:v>
                </c:pt>
                <c:pt idx="2">
                  <c:v>16.965139076425551</c:v>
                </c:pt>
                <c:pt idx="3">
                  <c:v>25.698560629533233</c:v>
                </c:pt>
                <c:pt idx="4">
                  <c:v>34.600472080161225</c:v>
                </c:pt>
                <c:pt idx="5">
                  <c:v>43.671846608882589</c:v>
                </c:pt>
                <c:pt idx="6">
                  <c:v>52.91368333690022</c:v>
                </c:pt>
                <c:pt idx="7">
                  <c:v>62.327007776498228</c:v>
                </c:pt>
                <c:pt idx="8">
                  <c:v>71.912872291057539</c:v>
                </c:pt>
                <c:pt idx="9">
                  <c:v>81.672356562379818</c:v>
                </c:pt>
                <c:pt idx="10">
                  <c:v>91.606568069633312</c:v>
                </c:pt>
                <c:pt idx="11">
                  <c:v>101.71664257565631</c:v>
                </c:pt>
                <c:pt idx="12">
                  <c:v>112.00374462426288</c:v>
                </c:pt>
                <c:pt idx="13">
                  <c:v>122.46906804639335</c:v>
                </c:pt>
                <c:pt idx="14">
                  <c:v>133.11383647662922</c:v>
                </c:pt>
                <c:pt idx="15">
                  <c:v>143.93930388007371</c:v>
                </c:pt>
                <c:pt idx="16">
                  <c:v>154.9467550893051</c:v>
                </c:pt>
                <c:pt idx="17">
                  <c:v>161.52085437087402</c:v>
                </c:pt>
                <c:pt idx="18">
                  <c:v>168.21323567476338</c:v>
                </c:pt>
                <c:pt idx="19">
                  <c:v>175.02556478291388</c:v>
                </c:pt>
                <c:pt idx="20">
                  <c:v>181.95953932857125</c:v>
                </c:pt>
                <c:pt idx="21">
                  <c:v>189.01688939371294</c:v>
                </c:pt>
                <c:pt idx="22">
                  <c:v>196.19937811871614</c:v>
                </c:pt>
                <c:pt idx="23">
                  <c:v>203.50880232313276</c:v>
                </c:pt>
                <c:pt idx="24">
                  <c:v>210.5341280836295</c:v>
                </c:pt>
                <c:pt idx="25">
                  <c:v>215.78940181685726</c:v>
                </c:pt>
                <c:pt idx="26">
                  <c:v>220.63695995878103</c:v>
                </c:pt>
                <c:pt idx="27">
                  <c:v>225.5230815934035</c:v>
                </c:pt>
                <c:pt idx="28">
                  <c:v>230.44801639497268</c:v>
                </c:pt>
                <c:pt idx="29">
                  <c:v>235.41201686028074</c:v>
                </c:pt>
                <c:pt idx="30">
                  <c:v>240.41533833341219</c:v>
                </c:pt>
                <c:pt idx="31">
                  <c:v>245.45823903262254</c:v>
                </c:pt>
                <c:pt idx="32">
                  <c:v>250.5409800760884</c:v>
                </c:pt>
                <c:pt idx="33">
                  <c:v>255.66382550820367</c:v>
                </c:pt>
                <c:pt idx="34">
                  <c:v>260.82704232708829</c:v>
                </c:pt>
                <c:pt idx="35">
                  <c:v>266.03090051095467</c:v>
                </c:pt>
                <c:pt idx="36">
                  <c:v>271.2756730459102</c:v>
                </c:pt>
                <c:pt idx="37">
                  <c:v>275.87877121150564</c:v>
                </c:pt>
                <c:pt idx="38">
                  <c:v>280.51352237544643</c:v>
                </c:pt>
                <c:pt idx="39">
                  <c:v>285.18025087177421</c:v>
                </c:pt>
                <c:pt idx="40">
                  <c:v>289.87928396631133</c:v>
                </c:pt>
                <c:pt idx="41">
                  <c:v>294.61095188645118</c:v>
                </c:pt>
                <c:pt idx="42">
                  <c:v>299.37558785081632</c:v>
                </c:pt>
                <c:pt idx="43">
                  <c:v>304.17352809952502</c:v>
                </c:pt>
                <c:pt idx="44">
                  <c:v>308.83989892134412</c:v>
                </c:pt>
                <c:pt idx="45">
                  <c:v>313.00457574784525</c:v>
                </c:pt>
              </c:numCache>
            </c:numRef>
          </c:val>
          <c:smooth val="0"/>
          <c:extLst>
            <c:ext xmlns:c16="http://schemas.microsoft.com/office/drawing/2014/chart" uri="{C3380CC4-5D6E-409C-BE32-E72D297353CC}">
              <c16:uniqueId val="{00000000-D89E-4A8C-991E-2E889A8900B4}"/>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0</c:v>
                </c:pt>
                <c:pt idx="1">
                  <c:v>8.6292589450146107</c:v>
                </c:pt>
                <c:pt idx="2">
                  <c:v>17.553066536934161</c:v>
                </c:pt>
                <c:pt idx="3">
                  <c:v>26.77670981271314</c:v>
                </c:pt>
                <c:pt idx="4">
                  <c:v>36.305582650489946</c:v>
                </c:pt>
                <c:pt idx="5">
                  <c:v>46.145187868673986</c:v>
                </c:pt>
                <c:pt idx="6">
                  <c:v>56.301139368244229</c:v>
                </c:pt>
                <c:pt idx="7">
                  <c:v>66.779164316637477</c:v>
                </c:pt>
                <c:pt idx="8">
                  <c:v>77.585105375279795</c:v>
                </c:pt>
                <c:pt idx="9">
                  <c:v>88.724922970560613</c:v>
                </c:pt>
                <c:pt idx="10">
                  <c:v>100.20469761022572</c:v>
                </c:pt>
                <c:pt idx="11">
                  <c:v>112.03063224544663</c:v>
                </c:pt>
                <c:pt idx="12">
                  <c:v>124.20905467976233</c:v>
                </c:pt>
                <c:pt idx="13">
                  <c:v>136.74642002526105</c:v>
                </c:pt>
                <c:pt idx="14">
                  <c:v>149.64931320771305</c:v>
                </c:pt>
                <c:pt idx="15">
                  <c:v>162.92445152098668</c:v>
                </c:pt>
                <c:pt idx="16">
                  <c:v>176.57868723257869</c:v>
                </c:pt>
                <c:pt idx="17">
                  <c:v>190.61901023951046</c:v>
                </c:pt>
                <c:pt idx="18">
                  <c:v>205.05255077811989</c:v>
                </c:pt>
                <c:pt idx="19">
                  <c:v>219.8865821862077</c:v>
                </c:pt>
                <c:pt idx="20">
                  <c:v>235.12852372089466</c:v>
                </c:pt>
                <c:pt idx="21">
                  <c:v>250.78594343124513</c:v>
                </c:pt>
                <c:pt idx="22">
                  <c:v>266.86656108855476</c:v>
                </c:pt>
                <c:pt idx="23">
                  <c:v>283.37825117354305</c:v>
                </c:pt>
                <c:pt idx="24">
                  <c:v>300.32904592386024</c:v>
                </c:pt>
                <c:pt idx="25">
                  <c:v>308.45189549706879</c:v>
                </c:pt>
                <c:pt idx="26">
                  <c:v>312.09872116598956</c:v>
                </c:pt>
                <c:pt idx="27">
                  <c:v>315.72991500383853</c:v>
                </c:pt>
                <c:pt idx="28">
                  <c:v>319.34554670336178</c:v>
                </c:pt>
                <c:pt idx="29">
                  <c:v>322.94568564025894</c:v>
                </c:pt>
                <c:pt idx="30">
                  <c:v>326.53040087434965</c:v>
                </c:pt>
                <c:pt idx="31">
                  <c:v>330.09976115109475</c:v>
                </c:pt>
                <c:pt idx="32">
                  <c:v>333.65383490282261</c:v>
                </c:pt>
                <c:pt idx="33">
                  <c:v>337.19269025044372</c:v>
                </c:pt>
                <c:pt idx="34">
                  <c:v>340.71639500495445</c:v>
                </c:pt>
                <c:pt idx="35">
                  <c:v>344.22501666837513</c:v>
                </c:pt>
                <c:pt idx="36">
                  <c:v>347.71862243569575</c:v>
                </c:pt>
                <c:pt idx="37">
                  <c:v>351.19727919606083</c:v>
                </c:pt>
                <c:pt idx="38">
                  <c:v>354.6610535341789</c:v>
                </c:pt>
                <c:pt idx="39">
                  <c:v>358.11001173172917</c:v>
                </c:pt>
                <c:pt idx="40">
                  <c:v>361.54421976874551</c:v>
                </c:pt>
                <c:pt idx="41">
                  <c:v>364.96374332520583</c:v>
                </c:pt>
                <c:pt idx="42">
                  <c:v>368.36864778195911</c:v>
                </c:pt>
                <c:pt idx="43">
                  <c:v>371.75899822260925</c:v>
                </c:pt>
                <c:pt idx="44">
                  <c:v>375.13485943453054</c:v>
                </c:pt>
                <c:pt idx="45">
                  <c:v>378.49629591049222</c:v>
                </c:pt>
              </c:numCache>
            </c:numRef>
          </c:val>
          <c:smooth val="0"/>
          <c:extLst>
            <c:ext xmlns:c16="http://schemas.microsoft.com/office/drawing/2014/chart" uri="{C3380CC4-5D6E-409C-BE32-E72D297353CC}">
              <c16:uniqueId val="{00000001-D89E-4A8C-991E-2E889A8900B4}"/>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0</c:v>
                </c:pt>
                <c:pt idx="1">
                  <c:v>13.081807369612561</c:v>
                </c:pt>
                <c:pt idx="2">
                  <c:v>26.388380321576175</c:v>
                </c:pt>
                <c:pt idx="3">
                  <c:v>39.920828694811107</c:v>
                </c:pt>
                <c:pt idx="4">
                  <c:v>53.680336799097873</c:v>
                </c:pt>
                <c:pt idx="5">
                  <c:v>67.668165944479057</c:v>
                </c:pt>
                <c:pt idx="6">
                  <c:v>81.88565703977369</c:v>
                </c:pt>
                <c:pt idx="7">
                  <c:v>96.334233261671471</c:v>
                </c:pt>
                <c:pt idx="8">
                  <c:v>111.01540279243547</c:v>
                </c:pt>
                <c:pt idx="9">
                  <c:v>125.93076162756341</c:v>
                </c:pt>
                <c:pt idx="10">
                  <c:v>141.08199645152553</c:v>
                </c:pt>
                <c:pt idx="11">
                  <c:v>156.47088758108799</c:v>
                </c:pt>
                <c:pt idx="12">
                  <c:v>172.09931197551333</c:v>
                </c:pt>
                <c:pt idx="13">
                  <c:v>187.96924631166868</c:v>
                </c:pt>
                <c:pt idx="14">
                  <c:v>204.08277012292794</c:v>
                </c:pt>
                <c:pt idx="15">
                  <c:v>220.44206899949313</c:v>
                </c:pt>
                <c:pt idx="16">
                  <c:v>237.04943784875911</c:v>
                </c:pt>
                <c:pt idx="17">
                  <c:v>244.14800099795883</c:v>
                </c:pt>
                <c:pt idx="18">
                  <c:v>251.57320739901161</c:v>
                </c:pt>
                <c:pt idx="19">
                  <c:v>259.34701166841882</c:v>
                </c:pt>
                <c:pt idx="20">
                  <c:v>267.49021216778902</c:v>
                </c:pt>
                <c:pt idx="21">
                  <c:v>276.02194083940634</c:v>
                </c:pt>
                <c:pt idx="22">
                  <c:v>284.95921870045566</c:v>
                </c:pt>
                <c:pt idx="23">
                  <c:v>294.31661967582505</c:v>
                </c:pt>
                <c:pt idx="24">
                  <c:v>303.25950049307863</c:v>
                </c:pt>
                <c:pt idx="25">
                  <c:v>308.6040401899586</c:v>
                </c:pt>
                <c:pt idx="26">
                  <c:v>313.0447270432573</c:v>
                </c:pt>
                <c:pt idx="27">
                  <c:v>317.52444419998187</c:v>
                </c:pt>
                <c:pt idx="28">
                  <c:v>322.0470229804626</c:v>
                </c:pt>
                <c:pt idx="29">
                  <c:v>326.6165964436687</c:v>
                </c:pt>
                <c:pt idx="30">
                  <c:v>331.23761470537079</c:v>
                </c:pt>
                <c:pt idx="31">
                  <c:v>335.91485814085365</c:v>
                </c:pt>
                <c:pt idx="32">
                  <c:v>340.65344749639831</c:v>
                </c:pt>
                <c:pt idx="33">
                  <c:v>345.45884975293257</c:v>
                </c:pt>
                <c:pt idx="34">
                  <c:v>350.33687840872341</c:v>
                </c:pt>
                <c:pt idx="35">
                  <c:v>355.29368669996336</c:v>
                </c:pt>
                <c:pt idx="36">
                  <c:v>360.33575218172257</c:v>
                </c:pt>
                <c:pt idx="37">
                  <c:v>364.36726169420433</c:v>
                </c:pt>
                <c:pt idx="38">
                  <c:v>368.47898195693995</c:v>
                </c:pt>
                <c:pt idx="39">
                  <c:v>372.53565511840895</c:v>
                </c:pt>
                <c:pt idx="40">
                  <c:v>376.02200204915692</c:v>
                </c:pt>
                <c:pt idx="41">
                  <c:v>379.4934461899727</c:v>
                </c:pt>
                <c:pt idx="42">
                  <c:v>382.95005388234392</c:v>
                </c:pt>
                <c:pt idx="43">
                  <c:v>386.39189116620355</c:v>
                </c:pt>
                <c:pt idx="44">
                  <c:v>389.81902378072618</c:v>
                </c:pt>
                <c:pt idx="45">
                  <c:v>393.23151716638944</c:v>
                </c:pt>
              </c:numCache>
            </c:numRef>
          </c:val>
          <c:smooth val="0"/>
          <c:extLst>
            <c:ext xmlns:c16="http://schemas.microsoft.com/office/drawing/2014/chart" uri="{C3380CC4-5D6E-409C-BE32-E72D297353CC}">
              <c16:uniqueId val="{00000002-D89E-4A8C-991E-2E889A8900B4}"/>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D89E-4A8C-991E-2E889A8900B4}"/>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D89E-4A8C-991E-2E889A8900B4}"/>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D89E-4A8C-991E-2E889A8900B4}"/>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D89E-4A8C-991E-2E889A8900B4}"/>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D89E-4A8C-991E-2E889A8900B4}"/>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D89E-4A8C-991E-2E889A8900B4}"/>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D89E-4A8C-991E-2E889A8900B4}"/>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D89E-4A8C-991E-2E889A8900B4}"/>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D89E-4A8C-991E-2E889A8900B4}"/>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D89E-4A8C-991E-2E889A8900B4}"/>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8834398715603957"/>
              <c:y val="0.9393485956655562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Gt CO2 eq./ year</a:t>
                </a:r>
              </a:p>
            </c:rich>
          </c:tx>
          <c:overlay val="0"/>
        </c:title>
        <c:numFmt formatCode="#,##0.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minorUnit val="0.1"/>
      </c:valAx>
    </c:plotArea>
    <c:legend>
      <c:legendPos val="r"/>
      <c:layout>
        <c:manualLayout>
          <c:xMode val="edge"/>
          <c:yMode val="edge"/>
          <c:x val="0.77779573740965668"/>
          <c:y val="0.35754450530640192"/>
          <c:w val="0.20544682647806856"/>
          <c:h val="0.29428583655303958"/>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4D285EB-2AC3-4F42-BD2A-3C4F0C601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1</Pages>
  <Words>15029</Words>
  <Characters>85667</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4</cp:revision>
  <cp:lastPrinted>2019-09-04T01:43:00Z</cp:lastPrinted>
  <dcterms:created xsi:type="dcterms:W3CDTF">2019-09-04T01:43:00Z</dcterms:created>
  <dcterms:modified xsi:type="dcterms:W3CDTF">2019-09-04T01:43:00Z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