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0861DCFD" w:rsidR="00C81D94" w:rsidRPr="00E069AC" w:rsidRDefault="00630CD1" w:rsidP="00EB247F">
      <w:pPr>
        <w:pStyle w:val="TableofFigures"/>
        <w:tabs>
          <w:tab w:val="right" w:leader="dot" w:pos="9350"/>
        </w:tabs>
        <w:rPr>
          <w:rStyle w:val="Hyperlink"/>
          <w:noProof/>
        </w:rPr>
      </w:pPr>
      <w:r w:rsidRPr="00E069A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A2BD" w14:textId="05B6F6A8" w:rsidR="00856BB5" w:rsidRPr="00EB247F" w:rsidRDefault="00856BB5"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2065AFB3" w:rsidR="00856BB5" w:rsidRPr="00EB247F" w:rsidRDefault="00856BB5" w:rsidP="00504415">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Nuclear</w:t>
                            </w:r>
                            <w:r w:rsidR="00374E57">
                              <w:rPr>
                                <w:rFonts w:cs="Times New Roman"/>
                                <w:b/>
                                <w:smallCaps/>
                                <w:color w:val="404040" w:themeColor="text1" w:themeTint="BF"/>
                                <w:sz w:val="48"/>
                                <w:szCs w:val="48"/>
                              </w:rPr>
                              <w:t xml:space="preserve"> Power</w:t>
                            </w:r>
                          </w:p>
                          <w:p w14:paraId="6774E85B" w14:textId="4FE5AB42" w:rsidR="00856BB5" w:rsidRDefault="00856BB5" w:rsidP="00EB247F">
                            <w:pPr>
                              <w:spacing w:line="240" w:lineRule="auto"/>
                              <w:jc w:val="center"/>
                              <w:rPr>
                                <w:rFonts w:cs="Times New Roman"/>
                                <w:smallCaps/>
                                <w:color w:val="404040" w:themeColor="text1" w:themeTint="BF"/>
                                <w:sz w:val="36"/>
                                <w:szCs w:val="36"/>
                              </w:rPr>
                            </w:pPr>
                          </w:p>
                          <w:p w14:paraId="38E7ECB3" w14:textId="77777777" w:rsidR="00856BB5" w:rsidRPr="00EB247F" w:rsidRDefault="00856BB5" w:rsidP="00EB247F">
                            <w:pPr>
                              <w:spacing w:line="240" w:lineRule="auto"/>
                              <w:jc w:val="center"/>
                              <w:rPr>
                                <w:rFonts w:cs="Times New Roman"/>
                                <w:smallCaps/>
                                <w:color w:val="404040" w:themeColor="text1" w:themeTint="BF"/>
                                <w:sz w:val="36"/>
                                <w:szCs w:val="36"/>
                              </w:rPr>
                            </w:pPr>
                          </w:p>
                          <w:p w14:paraId="30E4023E" w14:textId="5F3CC6ED" w:rsidR="00856BB5" w:rsidRPr="00EB247F" w:rsidRDefault="00856BB5"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5E723A8B" w:rsidR="00856BB5" w:rsidRPr="00EB247F" w:rsidRDefault="00856BB5"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p>
                          <w:p w14:paraId="4CF7CB6C" w14:textId="7D2E28A5" w:rsidR="00856BB5" w:rsidRPr="00EB247F" w:rsidRDefault="00856BB5"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Nuclear</w:t>
                            </w:r>
                            <w:r w:rsidRPr="00EB247F">
                              <w:rPr>
                                <w:rFonts w:cs="Times New Roman"/>
                                <w:smallCaps/>
                                <w:color w:val="404040" w:themeColor="text1" w:themeTint="BF"/>
                                <w:sz w:val="36"/>
                                <w:szCs w:val="36"/>
                              </w:rPr>
                              <w:t xml:space="preserve"> Energy,</w:t>
                            </w:r>
                            <w:r>
                              <w:rPr>
                                <w:rFonts w:cs="Times New Roman"/>
                                <w:smallCaps/>
                                <w:color w:val="404040" w:themeColor="text1" w:themeTint="BF"/>
                                <w:sz w:val="36"/>
                                <w:szCs w:val="36"/>
                              </w:rPr>
                              <w:t xml:space="preserve">  Fission Based;</w:t>
                            </w:r>
                            <w:r w:rsidRPr="00EB247F">
                              <w:rPr>
                                <w:rFonts w:cs="Times New Roman"/>
                                <w:smallCaps/>
                                <w:color w:val="404040" w:themeColor="text1" w:themeTint="BF"/>
                                <w:sz w:val="36"/>
                                <w:szCs w:val="36"/>
                              </w:rPr>
                              <w:t xml:space="preserve"> Electricity Generation, Grid</w:t>
                            </w:r>
                          </w:p>
                          <w:p w14:paraId="5943CD2B" w14:textId="77777777" w:rsidR="00856BB5" w:rsidRPr="00EB247F" w:rsidRDefault="00856BB5" w:rsidP="00EB247F">
                            <w:pPr>
                              <w:spacing w:line="240" w:lineRule="auto"/>
                              <w:rPr>
                                <w:rFonts w:cs="Times New Roman"/>
                                <w:smallCaps/>
                                <w:color w:val="404040" w:themeColor="text1" w:themeTint="BF"/>
                                <w:sz w:val="36"/>
                                <w:szCs w:val="36"/>
                              </w:rPr>
                            </w:pPr>
                          </w:p>
                          <w:p w14:paraId="1922C9C8" w14:textId="77777777" w:rsidR="00856BB5" w:rsidRPr="00EB247F" w:rsidRDefault="00856BB5" w:rsidP="00EB247F">
                            <w:pPr>
                              <w:spacing w:line="240" w:lineRule="auto"/>
                              <w:rPr>
                                <w:rFonts w:cs="Times New Roman"/>
                                <w:smallCaps/>
                                <w:color w:val="404040" w:themeColor="text1" w:themeTint="BF"/>
                                <w:sz w:val="36"/>
                                <w:szCs w:val="36"/>
                              </w:rPr>
                            </w:pPr>
                          </w:p>
                          <w:p w14:paraId="66A3CB5B" w14:textId="77777777" w:rsidR="00856BB5" w:rsidRPr="00EB247F" w:rsidRDefault="00856BB5" w:rsidP="00EB247F">
                            <w:pPr>
                              <w:spacing w:line="240" w:lineRule="auto"/>
                              <w:rPr>
                                <w:rFonts w:cs="Times New Roman"/>
                                <w:smallCaps/>
                                <w:color w:val="404040" w:themeColor="text1" w:themeTint="BF"/>
                                <w:sz w:val="36"/>
                                <w:szCs w:val="36"/>
                              </w:rPr>
                            </w:pPr>
                          </w:p>
                          <w:p w14:paraId="0B02E81E" w14:textId="77777777" w:rsidR="00856BB5" w:rsidRPr="00EB247F" w:rsidRDefault="00856BB5" w:rsidP="00EB247F">
                            <w:pPr>
                              <w:spacing w:line="240" w:lineRule="auto"/>
                              <w:rPr>
                                <w:rFonts w:cs="Times New Roman"/>
                                <w:smallCaps/>
                                <w:color w:val="404040" w:themeColor="text1" w:themeTint="BF"/>
                                <w:sz w:val="36"/>
                                <w:szCs w:val="36"/>
                              </w:rPr>
                            </w:pPr>
                          </w:p>
                          <w:p w14:paraId="596D7C93" w14:textId="02671307" w:rsidR="00856BB5" w:rsidRPr="00EB247F" w:rsidRDefault="00856BB5" w:rsidP="00820BA5">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 3 (June 2020)</w:t>
                            </w:r>
                          </w:p>
                          <w:p w14:paraId="5850EC6A" w14:textId="77777777" w:rsidR="00856BB5" w:rsidRPr="00EB247F" w:rsidRDefault="00856BB5" w:rsidP="00EB247F">
                            <w:pPr>
                              <w:spacing w:after="0" w:line="240" w:lineRule="auto"/>
                              <w:rPr>
                                <w:rFonts w:cs="Times New Roman"/>
                                <w:smallCaps/>
                                <w:color w:val="404040" w:themeColor="text1" w:themeTint="BF"/>
                                <w:sz w:val="36"/>
                                <w:szCs w:val="36"/>
                              </w:rPr>
                            </w:pPr>
                          </w:p>
                          <w:p w14:paraId="338A969E" w14:textId="77777777" w:rsidR="00856BB5" w:rsidRPr="00EB247F" w:rsidRDefault="00856BB5" w:rsidP="00EB247F">
                            <w:pPr>
                              <w:spacing w:after="0" w:line="240" w:lineRule="auto"/>
                              <w:rPr>
                                <w:rFonts w:cs="Times New Roman"/>
                                <w:smallCaps/>
                                <w:color w:val="404040" w:themeColor="text1" w:themeTint="BF"/>
                                <w:sz w:val="36"/>
                                <w:szCs w:val="36"/>
                              </w:rPr>
                            </w:pPr>
                          </w:p>
                          <w:p w14:paraId="21B2BC32" w14:textId="77777777" w:rsidR="00856BB5" w:rsidRPr="00EB247F" w:rsidRDefault="00856BB5" w:rsidP="00EB247F">
                            <w:pPr>
                              <w:spacing w:after="0" w:line="240" w:lineRule="auto"/>
                              <w:rPr>
                                <w:rFonts w:cs="Times New Roman"/>
                                <w:smallCaps/>
                                <w:color w:val="404040" w:themeColor="text1" w:themeTint="BF"/>
                                <w:sz w:val="36"/>
                                <w:szCs w:val="36"/>
                              </w:rPr>
                            </w:pPr>
                          </w:p>
                          <w:p w14:paraId="0EF4437F" w14:textId="77777777" w:rsidR="00856BB5" w:rsidRPr="00EB247F" w:rsidRDefault="00856BB5" w:rsidP="00EB247F">
                            <w:pPr>
                              <w:spacing w:after="0" w:line="240" w:lineRule="auto"/>
                              <w:rPr>
                                <w:rFonts w:cs="Times New Roman"/>
                                <w:smallCaps/>
                                <w:color w:val="404040" w:themeColor="text1" w:themeTint="BF"/>
                                <w:sz w:val="36"/>
                                <w:szCs w:val="36"/>
                              </w:rPr>
                            </w:pPr>
                          </w:p>
                          <w:p w14:paraId="66C10BC1" w14:textId="77777777" w:rsidR="00856BB5" w:rsidRPr="00EB247F" w:rsidRDefault="00856BB5"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446AEF57" w14:textId="361AE469" w:rsidR="00856BB5" w:rsidRDefault="00856BB5" w:rsidP="004B7561">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Marilyn Waite,</w:t>
                            </w:r>
                            <w:r w:rsidRPr="00CE576B">
                              <w:rPr>
                                <w:rFonts w:cs="Times New Roman"/>
                                <w:smallCaps/>
                                <w:color w:val="404040" w:themeColor="text1" w:themeTint="BF"/>
                                <w:sz w:val="28"/>
                                <w:szCs w:val="28"/>
                              </w:rPr>
                              <w:t xml:space="preserve"> </w:t>
                            </w:r>
                            <w:r w:rsidRPr="00CA669D">
                              <w:rPr>
                                <w:rFonts w:cs="Times New Roman"/>
                                <w:smallCaps/>
                                <w:color w:val="404040" w:themeColor="text1" w:themeTint="BF"/>
                                <w:sz w:val="28"/>
                                <w:szCs w:val="28"/>
                              </w:rPr>
                              <w:t>Senior Research Fellow</w:t>
                            </w:r>
                          </w:p>
                          <w:p w14:paraId="2E10B114" w14:textId="556CB35F" w:rsidR="00856BB5" w:rsidRPr="001D14D9" w:rsidRDefault="00856BB5" w:rsidP="004B7561">
                            <w:pPr>
                              <w:spacing w:after="0" w:line="240" w:lineRule="auto"/>
                              <w:rPr>
                                <w:rFonts w:cs="Times New Roman"/>
                                <w:smallCaps/>
                                <w:color w:val="404040" w:themeColor="text1" w:themeTint="BF"/>
                                <w:sz w:val="28"/>
                                <w:szCs w:val="28"/>
                                <w:lang w:val="pt-PT"/>
                              </w:rPr>
                            </w:pPr>
                            <w:r w:rsidRPr="001D14D9">
                              <w:rPr>
                                <w:rFonts w:cs="Times New Roman"/>
                                <w:smallCaps/>
                                <w:color w:val="404040" w:themeColor="text1" w:themeTint="BF"/>
                                <w:sz w:val="28"/>
                                <w:szCs w:val="28"/>
                                <w:lang w:val="pt-PT"/>
                              </w:rPr>
                              <w:t>João Pedro Gouveia, Senior Research Fellow</w:t>
                            </w:r>
                          </w:p>
                          <w:p w14:paraId="6C4588F0" w14:textId="77777777" w:rsidR="00856BB5" w:rsidRPr="001D14D9" w:rsidRDefault="00856BB5" w:rsidP="000829DC">
                            <w:pPr>
                              <w:rPr>
                                <w:rFonts w:cs="Times New Roman"/>
                                <w:smallCaps/>
                                <w:color w:val="404040" w:themeColor="text1" w:themeTint="BF"/>
                                <w:lang w:val="pt-PT"/>
                              </w:rPr>
                            </w:pPr>
                          </w:p>
                          <w:p w14:paraId="1C3CFB47" w14:textId="77777777" w:rsidR="00856BB5" w:rsidRPr="001D14D9" w:rsidRDefault="00856BB5" w:rsidP="007864AB">
                            <w:pPr>
                              <w:rPr>
                                <w:rFonts w:cs="Times New Roman"/>
                                <w:smallCaps/>
                                <w:color w:val="404040" w:themeColor="text1" w:themeTint="BF"/>
                                <w:lang w:val="pt-PT"/>
                              </w:rPr>
                            </w:pPr>
                          </w:p>
                          <w:p w14:paraId="4481356F" w14:textId="6C098178" w:rsidR="00856BB5" w:rsidRPr="00EB247F" w:rsidRDefault="00856BB5"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12BD827B" w:rsidR="00856BB5" w:rsidRPr="0053289D" w:rsidRDefault="0060195D" w:rsidP="007864AB">
                            <w:pPr>
                              <w:rPr>
                                <w:rFonts w:asciiTheme="minorHAnsi" w:hAnsiTheme="minorHAnsi"/>
                                <w:smallCaps/>
                                <w:color w:val="808080" w:themeColor="background1" w:themeShade="80"/>
                                <w:sz w:val="20"/>
                                <w:szCs w:val="20"/>
                              </w:rPr>
                            </w:pPr>
                            <w:hyperlink r:id="rId10" w:history="1">
                              <w:r w:rsidR="00856BB5" w:rsidRPr="0053289D">
                                <w:rPr>
                                  <w:rFonts w:asciiTheme="minorHAnsi" w:hAnsiTheme="minorHAnsi"/>
                                  <w:color w:val="808080" w:themeColor="background1" w:themeShade="80"/>
                                </w:rPr>
                                <w:t>info@drawdown.org</w:t>
                              </w:r>
                            </w:hyperlink>
                            <w:r w:rsidR="00856BB5" w:rsidRPr="0053289D">
                              <w:rPr>
                                <w:rFonts w:asciiTheme="minorHAnsi" w:hAnsiTheme="minorHAnsi"/>
                                <w:smallCaps/>
                                <w:color w:val="808080" w:themeColor="background1" w:themeShade="80"/>
                                <w:sz w:val="20"/>
                                <w:szCs w:val="20"/>
                              </w:rPr>
                              <w:t xml:space="preserve">             </w:t>
                            </w:r>
                            <w:hyperlink r:id="rId11" w:history="1">
                              <w:r w:rsidR="00856BB5" w:rsidRPr="0053289D">
                                <w:rPr>
                                  <w:rFonts w:asciiTheme="minorHAnsi" w:hAnsiTheme="minorHAnsi"/>
                                  <w:color w:val="808080" w:themeColor="background1" w:themeShade="80"/>
                                </w:rPr>
                                <w:t>www.drawdown.org</w:t>
                              </w:r>
                            </w:hyperlink>
                            <w:r w:rsidR="00856BB5" w:rsidRPr="0053289D">
                              <w:rPr>
                                <w:rFonts w:asciiTheme="minorHAnsi" w:hAnsiTheme="minorHAnsi"/>
                                <w:smallCaps/>
                                <w:color w:val="808080" w:themeColor="background1" w:themeShade="80"/>
                                <w:sz w:val="20"/>
                                <w:szCs w:val="20"/>
                              </w:rPr>
                              <w:t xml:space="preserve">  </w:t>
                            </w:r>
                          </w:p>
                          <w:p w14:paraId="05DAFFE7" w14:textId="77777777" w:rsidR="00856BB5" w:rsidRPr="0053289D" w:rsidRDefault="00856BB5" w:rsidP="00C81D94">
                            <w:pPr>
                              <w:rPr>
                                <w:rFonts w:cs="Times New Roman"/>
                                <w:smallCaps/>
                                <w:color w:val="404040" w:themeColor="text1" w:themeTint="BF"/>
                                <w:sz w:val="36"/>
                                <w:szCs w:val="36"/>
                              </w:rPr>
                            </w:pPr>
                          </w:p>
                          <w:p w14:paraId="3D97FBF6" w14:textId="77777777" w:rsidR="00856BB5" w:rsidRPr="0053289D" w:rsidRDefault="00856BB5"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1E55A2BD" w14:textId="05B6F6A8" w:rsidR="00856BB5" w:rsidRPr="00EB247F" w:rsidRDefault="00856BB5"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2065AFB3" w:rsidR="00856BB5" w:rsidRPr="00EB247F" w:rsidRDefault="00856BB5" w:rsidP="00504415">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Nuclear</w:t>
                      </w:r>
                      <w:r w:rsidR="00374E57">
                        <w:rPr>
                          <w:rFonts w:cs="Times New Roman"/>
                          <w:b/>
                          <w:smallCaps/>
                          <w:color w:val="404040" w:themeColor="text1" w:themeTint="BF"/>
                          <w:sz w:val="48"/>
                          <w:szCs w:val="48"/>
                        </w:rPr>
                        <w:t xml:space="preserve"> Power</w:t>
                      </w:r>
                    </w:p>
                    <w:p w14:paraId="6774E85B" w14:textId="4FE5AB42" w:rsidR="00856BB5" w:rsidRDefault="00856BB5" w:rsidP="00EB247F">
                      <w:pPr>
                        <w:spacing w:line="240" w:lineRule="auto"/>
                        <w:jc w:val="center"/>
                        <w:rPr>
                          <w:rFonts w:cs="Times New Roman"/>
                          <w:smallCaps/>
                          <w:color w:val="404040" w:themeColor="text1" w:themeTint="BF"/>
                          <w:sz w:val="36"/>
                          <w:szCs w:val="36"/>
                        </w:rPr>
                      </w:pPr>
                    </w:p>
                    <w:p w14:paraId="38E7ECB3" w14:textId="77777777" w:rsidR="00856BB5" w:rsidRPr="00EB247F" w:rsidRDefault="00856BB5" w:rsidP="00EB247F">
                      <w:pPr>
                        <w:spacing w:line="240" w:lineRule="auto"/>
                        <w:jc w:val="center"/>
                        <w:rPr>
                          <w:rFonts w:cs="Times New Roman"/>
                          <w:smallCaps/>
                          <w:color w:val="404040" w:themeColor="text1" w:themeTint="BF"/>
                          <w:sz w:val="36"/>
                          <w:szCs w:val="36"/>
                        </w:rPr>
                      </w:pPr>
                    </w:p>
                    <w:p w14:paraId="30E4023E" w14:textId="5F3CC6ED" w:rsidR="00856BB5" w:rsidRPr="00EB247F" w:rsidRDefault="00856BB5"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5E723A8B" w:rsidR="00856BB5" w:rsidRPr="00EB247F" w:rsidRDefault="00856BB5"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p>
                    <w:p w14:paraId="4CF7CB6C" w14:textId="7D2E28A5" w:rsidR="00856BB5" w:rsidRPr="00EB247F" w:rsidRDefault="00856BB5"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Nuclear</w:t>
                      </w:r>
                      <w:r w:rsidRPr="00EB247F">
                        <w:rPr>
                          <w:rFonts w:cs="Times New Roman"/>
                          <w:smallCaps/>
                          <w:color w:val="404040" w:themeColor="text1" w:themeTint="BF"/>
                          <w:sz w:val="36"/>
                          <w:szCs w:val="36"/>
                        </w:rPr>
                        <w:t xml:space="preserve"> Energy,</w:t>
                      </w:r>
                      <w:r>
                        <w:rPr>
                          <w:rFonts w:cs="Times New Roman"/>
                          <w:smallCaps/>
                          <w:color w:val="404040" w:themeColor="text1" w:themeTint="BF"/>
                          <w:sz w:val="36"/>
                          <w:szCs w:val="36"/>
                        </w:rPr>
                        <w:t xml:space="preserve">  Fission Based;</w:t>
                      </w:r>
                      <w:r w:rsidRPr="00EB247F">
                        <w:rPr>
                          <w:rFonts w:cs="Times New Roman"/>
                          <w:smallCaps/>
                          <w:color w:val="404040" w:themeColor="text1" w:themeTint="BF"/>
                          <w:sz w:val="36"/>
                          <w:szCs w:val="36"/>
                        </w:rPr>
                        <w:t xml:space="preserve"> Electricity Generation, Grid</w:t>
                      </w:r>
                    </w:p>
                    <w:p w14:paraId="5943CD2B" w14:textId="77777777" w:rsidR="00856BB5" w:rsidRPr="00EB247F" w:rsidRDefault="00856BB5" w:rsidP="00EB247F">
                      <w:pPr>
                        <w:spacing w:line="240" w:lineRule="auto"/>
                        <w:rPr>
                          <w:rFonts w:cs="Times New Roman"/>
                          <w:smallCaps/>
                          <w:color w:val="404040" w:themeColor="text1" w:themeTint="BF"/>
                          <w:sz w:val="36"/>
                          <w:szCs w:val="36"/>
                        </w:rPr>
                      </w:pPr>
                    </w:p>
                    <w:p w14:paraId="1922C9C8" w14:textId="77777777" w:rsidR="00856BB5" w:rsidRPr="00EB247F" w:rsidRDefault="00856BB5" w:rsidP="00EB247F">
                      <w:pPr>
                        <w:spacing w:line="240" w:lineRule="auto"/>
                        <w:rPr>
                          <w:rFonts w:cs="Times New Roman"/>
                          <w:smallCaps/>
                          <w:color w:val="404040" w:themeColor="text1" w:themeTint="BF"/>
                          <w:sz w:val="36"/>
                          <w:szCs w:val="36"/>
                        </w:rPr>
                      </w:pPr>
                    </w:p>
                    <w:p w14:paraId="66A3CB5B" w14:textId="77777777" w:rsidR="00856BB5" w:rsidRPr="00EB247F" w:rsidRDefault="00856BB5" w:rsidP="00EB247F">
                      <w:pPr>
                        <w:spacing w:line="240" w:lineRule="auto"/>
                        <w:rPr>
                          <w:rFonts w:cs="Times New Roman"/>
                          <w:smallCaps/>
                          <w:color w:val="404040" w:themeColor="text1" w:themeTint="BF"/>
                          <w:sz w:val="36"/>
                          <w:szCs w:val="36"/>
                        </w:rPr>
                      </w:pPr>
                    </w:p>
                    <w:p w14:paraId="0B02E81E" w14:textId="77777777" w:rsidR="00856BB5" w:rsidRPr="00EB247F" w:rsidRDefault="00856BB5" w:rsidP="00EB247F">
                      <w:pPr>
                        <w:spacing w:line="240" w:lineRule="auto"/>
                        <w:rPr>
                          <w:rFonts w:cs="Times New Roman"/>
                          <w:smallCaps/>
                          <w:color w:val="404040" w:themeColor="text1" w:themeTint="BF"/>
                          <w:sz w:val="36"/>
                          <w:szCs w:val="36"/>
                        </w:rPr>
                      </w:pPr>
                    </w:p>
                    <w:p w14:paraId="596D7C93" w14:textId="02671307" w:rsidR="00856BB5" w:rsidRPr="00EB247F" w:rsidRDefault="00856BB5" w:rsidP="00820BA5">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 3 (June 2020)</w:t>
                      </w:r>
                    </w:p>
                    <w:p w14:paraId="5850EC6A" w14:textId="77777777" w:rsidR="00856BB5" w:rsidRPr="00EB247F" w:rsidRDefault="00856BB5" w:rsidP="00EB247F">
                      <w:pPr>
                        <w:spacing w:after="0" w:line="240" w:lineRule="auto"/>
                        <w:rPr>
                          <w:rFonts w:cs="Times New Roman"/>
                          <w:smallCaps/>
                          <w:color w:val="404040" w:themeColor="text1" w:themeTint="BF"/>
                          <w:sz w:val="36"/>
                          <w:szCs w:val="36"/>
                        </w:rPr>
                      </w:pPr>
                    </w:p>
                    <w:p w14:paraId="338A969E" w14:textId="77777777" w:rsidR="00856BB5" w:rsidRPr="00EB247F" w:rsidRDefault="00856BB5" w:rsidP="00EB247F">
                      <w:pPr>
                        <w:spacing w:after="0" w:line="240" w:lineRule="auto"/>
                        <w:rPr>
                          <w:rFonts w:cs="Times New Roman"/>
                          <w:smallCaps/>
                          <w:color w:val="404040" w:themeColor="text1" w:themeTint="BF"/>
                          <w:sz w:val="36"/>
                          <w:szCs w:val="36"/>
                        </w:rPr>
                      </w:pPr>
                    </w:p>
                    <w:p w14:paraId="21B2BC32" w14:textId="77777777" w:rsidR="00856BB5" w:rsidRPr="00EB247F" w:rsidRDefault="00856BB5" w:rsidP="00EB247F">
                      <w:pPr>
                        <w:spacing w:after="0" w:line="240" w:lineRule="auto"/>
                        <w:rPr>
                          <w:rFonts w:cs="Times New Roman"/>
                          <w:smallCaps/>
                          <w:color w:val="404040" w:themeColor="text1" w:themeTint="BF"/>
                          <w:sz w:val="36"/>
                          <w:szCs w:val="36"/>
                        </w:rPr>
                      </w:pPr>
                    </w:p>
                    <w:p w14:paraId="0EF4437F" w14:textId="77777777" w:rsidR="00856BB5" w:rsidRPr="00EB247F" w:rsidRDefault="00856BB5" w:rsidP="00EB247F">
                      <w:pPr>
                        <w:spacing w:after="0" w:line="240" w:lineRule="auto"/>
                        <w:rPr>
                          <w:rFonts w:cs="Times New Roman"/>
                          <w:smallCaps/>
                          <w:color w:val="404040" w:themeColor="text1" w:themeTint="BF"/>
                          <w:sz w:val="36"/>
                          <w:szCs w:val="36"/>
                        </w:rPr>
                      </w:pPr>
                    </w:p>
                    <w:p w14:paraId="66C10BC1" w14:textId="77777777" w:rsidR="00856BB5" w:rsidRPr="00EB247F" w:rsidRDefault="00856BB5"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446AEF57" w14:textId="361AE469" w:rsidR="00856BB5" w:rsidRDefault="00856BB5" w:rsidP="004B7561">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Marilyn Waite,</w:t>
                      </w:r>
                      <w:r w:rsidRPr="00CE576B">
                        <w:rPr>
                          <w:rFonts w:cs="Times New Roman"/>
                          <w:smallCaps/>
                          <w:color w:val="404040" w:themeColor="text1" w:themeTint="BF"/>
                          <w:sz w:val="28"/>
                          <w:szCs w:val="28"/>
                        </w:rPr>
                        <w:t xml:space="preserve"> </w:t>
                      </w:r>
                      <w:r w:rsidRPr="00CA669D">
                        <w:rPr>
                          <w:rFonts w:cs="Times New Roman"/>
                          <w:smallCaps/>
                          <w:color w:val="404040" w:themeColor="text1" w:themeTint="BF"/>
                          <w:sz w:val="28"/>
                          <w:szCs w:val="28"/>
                        </w:rPr>
                        <w:t>Senior Research Fellow</w:t>
                      </w:r>
                    </w:p>
                    <w:p w14:paraId="2E10B114" w14:textId="556CB35F" w:rsidR="00856BB5" w:rsidRPr="001D14D9" w:rsidRDefault="00856BB5" w:rsidP="004B7561">
                      <w:pPr>
                        <w:spacing w:after="0" w:line="240" w:lineRule="auto"/>
                        <w:rPr>
                          <w:rFonts w:cs="Times New Roman"/>
                          <w:smallCaps/>
                          <w:color w:val="404040" w:themeColor="text1" w:themeTint="BF"/>
                          <w:sz w:val="28"/>
                          <w:szCs w:val="28"/>
                          <w:lang w:val="pt-PT"/>
                        </w:rPr>
                      </w:pPr>
                      <w:r w:rsidRPr="001D14D9">
                        <w:rPr>
                          <w:rFonts w:cs="Times New Roman"/>
                          <w:smallCaps/>
                          <w:color w:val="404040" w:themeColor="text1" w:themeTint="BF"/>
                          <w:sz w:val="28"/>
                          <w:szCs w:val="28"/>
                          <w:lang w:val="pt-PT"/>
                        </w:rPr>
                        <w:t>João Pedro Gouveia, Senior Research Fellow</w:t>
                      </w:r>
                    </w:p>
                    <w:p w14:paraId="6C4588F0" w14:textId="77777777" w:rsidR="00856BB5" w:rsidRPr="001D14D9" w:rsidRDefault="00856BB5" w:rsidP="000829DC">
                      <w:pPr>
                        <w:rPr>
                          <w:rFonts w:cs="Times New Roman"/>
                          <w:smallCaps/>
                          <w:color w:val="404040" w:themeColor="text1" w:themeTint="BF"/>
                          <w:lang w:val="pt-PT"/>
                        </w:rPr>
                      </w:pPr>
                    </w:p>
                    <w:p w14:paraId="1C3CFB47" w14:textId="77777777" w:rsidR="00856BB5" w:rsidRPr="001D14D9" w:rsidRDefault="00856BB5" w:rsidP="007864AB">
                      <w:pPr>
                        <w:rPr>
                          <w:rFonts w:cs="Times New Roman"/>
                          <w:smallCaps/>
                          <w:color w:val="404040" w:themeColor="text1" w:themeTint="BF"/>
                          <w:lang w:val="pt-PT"/>
                        </w:rPr>
                      </w:pPr>
                    </w:p>
                    <w:p w14:paraId="4481356F" w14:textId="6C098178" w:rsidR="00856BB5" w:rsidRPr="00EB247F" w:rsidRDefault="00856BB5"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12BD827B" w:rsidR="00856BB5" w:rsidRPr="0053289D" w:rsidRDefault="003F0F3C" w:rsidP="007864AB">
                      <w:pPr>
                        <w:rPr>
                          <w:rFonts w:asciiTheme="minorHAnsi" w:hAnsiTheme="minorHAnsi"/>
                          <w:smallCaps/>
                          <w:color w:val="808080" w:themeColor="background1" w:themeShade="80"/>
                          <w:sz w:val="20"/>
                          <w:szCs w:val="20"/>
                        </w:rPr>
                      </w:pPr>
                      <w:hyperlink r:id="rId13" w:history="1">
                        <w:r w:rsidR="00856BB5" w:rsidRPr="0053289D">
                          <w:rPr>
                            <w:rFonts w:asciiTheme="minorHAnsi" w:hAnsiTheme="minorHAnsi"/>
                            <w:color w:val="808080" w:themeColor="background1" w:themeShade="80"/>
                          </w:rPr>
                          <w:t>info@drawdown.org</w:t>
                        </w:r>
                      </w:hyperlink>
                      <w:r w:rsidR="00856BB5" w:rsidRPr="0053289D">
                        <w:rPr>
                          <w:rFonts w:asciiTheme="minorHAnsi" w:hAnsiTheme="minorHAnsi"/>
                          <w:smallCaps/>
                          <w:color w:val="808080" w:themeColor="background1" w:themeShade="80"/>
                          <w:sz w:val="20"/>
                          <w:szCs w:val="20"/>
                        </w:rPr>
                        <w:t xml:space="preserve">             </w:t>
                      </w:r>
                      <w:hyperlink r:id="rId14" w:history="1">
                        <w:r w:rsidR="00856BB5" w:rsidRPr="0053289D">
                          <w:rPr>
                            <w:rFonts w:asciiTheme="minorHAnsi" w:hAnsiTheme="minorHAnsi"/>
                            <w:color w:val="808080" w:themeColor="background1" w:themeShade="80"/>
                          </w:rPr>
                          <w:t>www.drawdown.org</w:t>
                        </w:r>
                      </w:hyperlink>
                      <w:r w:rsidR="00856BB5" w:rsidRPr="0053289D">
                        <w:rPr>
                          <w:rFonts w:asciiTheme="minorHAnsi" w:hAnsiTheme="minorHAnsi"/>
                          <w:smallCaps/>
                          <w:color w:val="808080" w:themeColor="background1" w:themeShade="80"/>
                          <w:sz w:val="20"/>
                          <w:szCs w:val="20"/>
                        </w:rPr>
                        <w:t xml:space="preserve">  </w:t>
                      </w:r>
                    </w:p>
                    <w:p w14:paraId="05DAFFE7" w14:textId="77777777" w:rsidR="00856BB5" w:rsidRPr="0053289D" w:rsidRDefault="00856BB5" w:rsidP="00C81D94">
                      <w:pPr>
                        <w:rPr>
                          <w:rFonts w:cs="Times New Roman"/>
                          <w:smallCaps/>
                          <w:color w:val="404040" w:themeColor="text1" w:themeTint="BF"/>
                          <w:sz w:val="36"/>
                          <w:szCs w:val="36"/>
                        </w:rPr>
                      </w:pPr>
                    </w:p>
                    <w:p w14:paraId="3D97FBF6" w14:textId="77777777" w:rsidR="00856BB5" w:rsidRPr="0053289D" w:rsidRDefault="00856BB5"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E069AC" w:rsidRDefault="551A77D0" w:rsidP="00EB247F">
          <w:pPr>
            <w:rPr>
              <w:rStyle w:val="Heading1Char"/>
            </w:rPr>
          </w:pPr>
          <w:r w:rsidRPr="00E069AC">
            <w:rPr>
              <w:rStyle w:val="Heading1Char"/>
            </w:rPr>
            <w:t>Table of Contents</w:t>
          </w:r>
        </w:p>
        <w:p w14:paraId="1B3797C7" w14:textId="7071DBA7" w:rsidR="00D02875" w:rsidRDefault="00640665">
          <w:pPr>
            <w:pStyle w:val="TOC1"/>
            <w:tabs>
              <w:tab w:val="right" w:leader="dot" w:pos="9350"/>
            </w:tabs>
            <w:rPr>
              <w:rFonts w:asciiTheme="minorHAnsi" w:hAnsiTheme="minorHAnsi"/>
              <w:noProof/>
              <w:sz w:val="24"/>
              <w:szCs w:val="24"/>
              <w:lang w:eastAsia="en-US"/>
            </w:rPr>
          </w:pPr>
          <w:r w:rsidRPr="00E069AC">
            <w:fldChar w:fldCharType="begin"/>
          </w:r>
          <w:r w:rsidRPr="00E069AC">
            <w:instrText xml:space="preserve"> TOC \o "1-3" \h \z \u </w:instrText>
          </w:r>
          <w:r w:rsidRPr="00E069AC">
            <w:fldChar w:fldCharType="separate"/>
          </w:r>
          <w:hyperlink w:anchor="_Toc19323132" w:history="1">
            <w:r w:rsidR="00D02875" w:rsidRPr="00F23F68">
              <w:rPr>
                <w:rStyle w:val="Hyperlink"/>
                <w:noProof/>
              </w:rPr>
              <w:t>List of Figures</w:t>
            </w:r>
            <w:r w:rsidR="00D02875">
              <w:rPr>
                <w:noProof/>
                <w:webHidden/>
              </w:rPr>
              <w:tab/>
            </w:r>
            <w:r w:rsidR="00D02875">
              <w:rPr>
                <w:noProof/>
                <w:webHidden/>
              </w:rPr>
              <w:fldChar w:fldCharType="begin"/>
            </w:r>
            <w:r w:rsidR="00D02875">
              <w:rPr>
                <w:noProof/>
                <w:webHidden/>
              </w:rPr>
              <w:instrText xml:space="preserve"> PAGEREF _Toc19323132 \h </w:instrText>
            </w:r>
            <w:r w:rsidR="00D02875">
              <w:rPr>
                <w:noProof/>
                <w:webHidden/>
              </w:rPr>
            </w:r>
            <w:r w:rsidR="00D02875">
              <w:rPr>
                <w:noProof/>
                <w:webHidden/>
              </w:rPr>
              <w:fldChar w:fldCharType="separate"/>
            </w:r>
            <w:r w:rsidR="00374E57">
              <w:rPr>
                <w:noProof/>
                <w:webHidden/>
              </w:rPr>
              <w:t>4</w:t>
            </w:r>
            <w:r w:rsidR="00D02875">
              <w:rPr>
                <w:noProof/>
                <w:webHidden/>
              </w:rPr>
              <w:fldChar w:fldCharType="end"/>
            </w:r>
          </w:hyperlink>
        </w:p>
        <w:p w14:paraId="3EC67DD7" w14:textId="3881040B" w:rsidR="00D02875" w:rsidRDefault="0060195D">
          <w:pPr>
            <w:pStyle w:val="TOC1"/>
            <w:tabs>
              <w:tab w:val="right" w:leader="dot" w:pos="9350"/>
            </w:tabs>
            <w:rPr>
              <w:rFonts w:asciiTheme="minorHAnsi" w:hAnsiTheme="minorHAnsi"/>
              <w:noProof/>
              <w:sz w:val="24"/>
              <w:szCs w:val="24"/>
              <w:lang w:eastAsia="en-US"/>
            </w:rPr>
          </w:pPr>
          <w:hyperlink w:anchor="_Toc19323133" w:history="1">
            <w:r w:rsidR="00D02875" w:rsidRPr="00F23F68">
              <w:rPr>
                <w:rStyle w:val="Hyperlink"/>
                <w:noProof/>
              </w:rPr>
              <w:t>List of Tables</w:t>
            </w:r>
            <w:r w:rsidR="00D02875">
              <w:rPr>
                <w:noProof/>
                <w:webHidden/>
              </w:rPr>
              <w:tab/>
            </w:r>
            <w:r w:rsidR="00D02875">
              <w:rPr>
                <w:noProof/>
                <w:webHidden/>
              </w:rPr>
              <w:fldChar w:fldCharType="begin"/>
            </w:r>
            <w:r w:rsidR="00D02875">
              <w:rPr>
                <w:noProof/>
                <w:webHidden/>
              </w:rPr>
              <w:instrText xml:space="preserve"> PAGEREF _Toc19323133 \h </w:instrText>
            </w:r>
            <w:r w:rsidR="00D02875">
              <w:rPr>
                <w:noProof/>
                <w:webHidden/>
              </w:rPr>
            </w:r>
            <w:r w:rsidR="00D02875">
              <w:rPr>
                <w:noProof/>
                <w:webHidden/>
              </w:rPr>
              <w:fldChar w:fldCharType="separate"/>
            </w:r>
            <w:r w:rsidR="00374E57">
              <w:rPr>
                <w:noProof/>
                <w:webHidden/>
              </w:rPr>
              <w:t>4</w:t>
            </w:r>
            <w:r w:rsidR="00D02875">
              <w:rPr>
                <w:noProof/>
                <w:webHidden/>
              </w:rPr>
              <w:fldChar w:fldCharType="end"/>
            </w:r>
          </w:hyperlink>
        </w:p>
        <w:p w14:paraId="5FD6850F" w14:textId="0ACDE1F7" w:rsidR="00D02875" w:rsidRDefault="0060195D">
          <w:pPr>
            <w:pStyle w:val="TOC1"/>
            <w:tabs>
              <w:tab w:val="right" w:leader="dot" w:pos="9350"/>
            </w:tabs>
            <w:rPr>
              <w:rFonts w:asciiTheme="minorHAnsi" w:hAnsiTheme="minorHAnsi"/>
              <w:noProof/>
              <w:sz w:val="24"/>
              <w:szCs w:val="24"/>
              <w:lang w:eastAsia="en-US"/>
            </w:rPr>
          </w:pPr>
          <w:hyperlink w:anchor="_Toc19323134" w:history="1">
            <w:r w:rsidR="00D02875" w:rsidRPr="00F23F68">
              <w:rPr>
                <w:rStyle w:val="Hyperlink"/>
                <w:noProof/>
              </w:rPr>
              <w:t>Acronyms and Symbols Used</w:t>
            </w:r>
            <w:r w:rsidR="00D02875">
              <w:rPr>
                <w:noProof/>
                <w:webHidden/>
              </w:rPr>
              <w:tab/>
            </w:r>
            <w:r w:rsidR="00D02875">
              <w:rPr>
                <w:noProof/>
                <w:webHidden/>
              </w:rPr>
              <w:fldChar w:fldCharType="begin"/>
            </w:r>
            <w:r w:rsidR="00D02875">
              <w:rPr>
                <w:noProof/>
                <w:webHidden/>
              </w:rPr>
              <w:instrText xml:space="preserve"> PAGEREF _Toc19323134 \h </w:instrText>
            </w:r>
            <w:r w:rsidR="00D02875">
              <w:rPr>
                <w:noProof/>
                <w:webHidden/>
              </w:rPr>
            </w:r>
            <w:r w:rsidR="00D02875">
              <w:rPr>
                <w:noProof/>
                <w:webHidden/>
              </w:rPr>
              <w:fldChar w:fldCharType="separate"/>
            </w:r>
            <w:r w:rsidR="00374E57">
              <w:rPr>
                <w:noProof/>
                <w:webHidden/>
              </w:rPr>
              <w:t>5</w:t>
            </w:r>
            <w:r w:rsidR="00D02875">
              <w:rPr>
                <w:noProof/>
                <w:webHidden/>
              </w:rPr>
              <w:fldChar w:fldCharType="end"/>
            </w:r>
          </w:hyperlink>
        </w:p>
        <w:p w14:paraId="43BB7621" w14:textId="635842C0" w:rsidR="00D02875" w:rsidRDefault="0060195D">
          <w:pPr>
            <w:pStyle w:val="TOC1"/>
            <w:tabs>
              <w:tab w:val="right" w:leader="dot" w:pos="9350"/>
            </w:tabs>
            <w:rPr>
              <w:rFonts w:asciiTheme="minorHAnsi" w:hAnsiTheme="minorHAnsi"/>
              <w:noProof/>
              <w:sz w:val="24"/>
              <w:szCs w:val="24"/>
              <w:lang w:eastAsia="en-US"/>
            </w:rPr>
          </w:pPr>
          <w:hyperlink w:anchor="_Toc19323135" w:history="1">
            <w:r w:rsidR="00D02875" w:rsidRPr="00F23F68">
              <w:rPr>
                <w:rStyle w:val="Hyperlink"/>
                <w:noProof/>
              </w:rPr>
              <w:t>Executive Summary</w:t>
            </w:r>
            <w:r w:rsidR="00D02875">
              <w:rPr>
                <w:noProof/>
                <w:webHidden/>
              </w:rPr>
              <w:tab/>
            </w:r>
            <w:r w:rsidR="00D02875">
              <w:rPr>
                <w:noProof/>
                <w:webHidden/>
              </w:rPr>
              <w:fldChar w:fldCharType="begin"/>
            </w:r>
            <w:r w:rsidR="00D02875">
              <w:rPr>
                <w:noProof/>
                <w:webHidden/>
              </w:rPr>
              <w:instrText xml:space="preserve"> PAGEREF _Toc19323135 \h </w:instrText>
            </w:r>
            <w:r w:rsidR="00D02875">
              <w:rPr>
                <w:noProof/>
                <w:webHidden/>
              </w:rPr>
            </w:r>
            <w:r w:rsidR="00D02875">
              <w:rPr>
                <w:noProof/>
                <w:webHidden/>
              </w:rPr>
              <w:fldChar w:fldCharType="separate"/>
            </w:r>
            <w:r w:rsidR="00374E57">
              <w:rPr>
                <w:noProof/>
                <w:webHidden/>
              </w:rPr>
              <w:t>7</w:t>
            </w:r>
            <w:r w:rsidR="00D02875">
              <w:rPr>
                <w:noProof/>
                <w:webHidden/>
              </w:rPr>
              <w:fldChar w:fldCharType="end"/>
            </w:r>
          </w:hyperlink>
        </w:p>
        <w:p w14:paraId="09AF9620" w14:textId="53DAFEBB" w:rsidR="00D02875" w:rsidRDefault="0060195D">
          <w:pPr>
            <w:pStyle w:val="TOC1"/>
            <w:tabs>
              <w:tab w:val="left" w:pos="440"/>
              <w:tab w:val="right" w:leader="dot" w:pos="9350"/>
            </w:tabs>
            <w:rPr>
              <w:rFonts w:asciiTheme="minorHAnsi" w:hAnsiTheme="minorHAnsi"/>
              <w:noProof/>
              <w:sz w:val="24"/>
              <w:szCs w:val="24"/>
              <w:lang w:eastAsia="en-US"/>
            </w:rPr>
          </w:pPr>
          <w:hyperlink w:anchor="_Toc19323136" w:history="1">
            <w:r w:rsidR="00D02875" w:rsidRPr="00F23F68">
              <w:rPr>
                <w:rStyle w:val="Hyperlink"/>
                <w:noProof/>
              </w:rPr>
              <w:t>1</w:t>
            </w:r>
            <w:r w:rsidR="00D02875">
              <w:rPr>
                <w:rFonts w:asciiTheme="minorHAnsi" w:hAnsiTheme="minorHAnsi"/>
                <w:noProof/>
                <w:sz w:val="24"/>
                <w:szCs w:val="24"/>
                <w:lang w:eastAsia="en-US"/>
              </w:rPr>
              <w:tab/>
            </w:r>
            <w:r w:rsidR="00D02875" w:rsidRPr="00F23F68">
              <w:rPr>
                <w:rStyle w:val="Hyperlink"/>
                <w:noProof/>
              </w:rPr>
              <w:t>Literature Review</w:t>
            </w:r>
            <w:r w:rsidR="00D02875">
              <w:rPr>
                <w:noProof/>
                <w:webHidden/>
              </w:rPr>
              <w:tab/>
            </w:r>
            <w:r w:rsidR="00D02875">
              <w:rPr>
                <w:noProof/>
                <w:webHidden/>
              </w:rPr>
              <w:fldChar w:fldCharType="begin"/>
            </w:r>
            <w:r w:rsidR="00D02875">
              <w:rPr>
                <w:noProof/>
                <w:webHidden/>
              </w:rPr>
              <w:instrText xml:space="preserve"> PAGEREF _Toc19323136 \h </w:instrText>
            </w:r>
            <w:r w:rsidR="00D02875">
              <w:rPr>
                <w:noProof/>
                <w:webHidden/>
              </w:rPr>
            </w:r>
            <w:r w:rsidR="00D02875">
              <w:rPr>
                <w:noProof/>
                <w:webHidden/>
              </w:rPr>
              <w:fldChar w:fldCharType="separate"/>
            </w:r>
            <w:r w:rsidR="00374E57">
              <w:rPr>
                <w:noProof/>
                <w:webHidden/>
              </w:rPr>
              <w:t>8</w:t>
            </w:r>
            <w:r w:rsidR="00D02875">
              <w:rPr>
                <w:noProof/>
                <w:webHidden/>
              </w:rPr>
              <w:fldChar w:fldCharType="end"/>
            </w:r>
          </w:hyperlink>
        </w:p>
        <w:p w14:paraId="301EFDB4" w14:textId="678202B3" w:rsidR="00D02875" w:rsidRDefault="0060195D">
          <w:pPr>
            <w:pStyle w:val="TOC2"/>
            <w:tabs>
              <w:tab w:val="left" w:pos="960"/>
              <w:tab w:val="right" w:leader="dot" w:pos="9350"/>
            </w:tabs>
            <w:rPr>
              <w:rFonts w:asciiTheme="minorHAnsi" w:hAnsiTheme="minorHAnsi"/>
              <w:noProof/>
              <w:sz w:val="24"/>
              <w:szCs w:val="24"/>
              <w:lang w:eastAsia="en-US"/>
            </w:rPr>
          </w:pPr>
          <w:hyperlink w:anchor="_Toc19323137" w:history="1">
            <w:r w:rsidR="00D02875" w:rsidRPr="00F23F68">
              <w:rPr>
                <w:rStyle w:val="Hyperlink"/>
                <w:noProof/>
              </w:rPr>
              <w:t>1.1.</w:t>
            </w:r>
            <w:r w:rsidR="00D02875">
              <w:rPr>
                <w:rFonts w:asciiTheme="minorHAnsi" w:hAnsiTheme="minorHAnsi"/>
                <w:noProof/>
                <w:sz w:val="24"/>
                <w:szCs w:val="24"/>
                <w:lang w:eastAsia="en-US"/>
              </w:rPr>
              <w:tab/>
            </w:r>
            <w:r w:rsidR="00D02875" w:rsidRPr="00F23F68">
              <w:rPr>
                <w:rStyle w:val="Hyperlink"/>
                <w:noProof/>
              </w:rPr>
              <w:t>State of Nuclear Energy</w:t>
            </w:r>
            <w:r w:rsidR="00D02875">
              <w:rPr>
                <w:noProof/>
                <w:webHidden/>
              </w:rPr>
              <w:tab/>
            </w:r>
            <w:r w:rsidR="00D02875">
              <w:rPr>
                <w:noProof/>
                <w:webHidden/>
              </w:rPr>
              <w:fldChar w:fldCharType="begin"/>
            </w:r>
            <w:r w:rsidR="00D02875">
              <w:rPr>
                <w:noProof/>
                <w:webHidden/>
              </w:rPr>
              <w:instrText xml:space="preserve"> PAGEREF _Toc19323137 \h </w:instrText>
            </w:r>
            <w:r w:rsidR="00D02875">
              <w:rPr>
                <w:noProof/>
                <w:webHidden/>
              </w:rPr>
            </w:r>
            <w:r w:rsidR="00D02875">
              <w:rPr>
                <w:noProof/>
                <w:webHidden/>
              </w:rPr>
              <w:fldChar w:fldCharType="separate"/>
            </w:r>
            <w:r w:rsidR="00374E57">
              <w:rPr>
                <w:noProof/>
                <w:webHidden/>
              </w:rPr>
              <w:t>8</w:t>
            </w:r>
            <w:r w:rsidR="00D02875">
              <w:rPr>
                <w:noProof/>
                <w:webHidden/>
              </w:rPr>
              <w:fldChar w:fldCharType="end"/>
            </w:r>
          </w:hyperlink>
        </w:p>
        <w:p w14:paraId="2FF79F15" w14:textId="048F6EF3" w:rsidR="00D02875" w:rsidRDefault="0060195D">
          <w:pPr>
            <w:pStyle w:val="TOC2"/>
            <w:tabs>
              <w:tab w:val="left" w:pos="960"/>
              <w:tab w:val="right" w:leader="dot" w:pos="9350"/>
            </w:tabs>
            <w:rPr>
              <w:rFonts w:asciiTheme="minorHAnsi" w:hAnsiTheme="minorHAnsi"/>
              <w:noProof/>
              <w:sz w:val="24"/>
              <w:szCs w:val="24"/>
              <w:lang w:eastAsia="en-US"/>
            </w:rPr>
          </w:pPr>
          <w:hyperlink w:anchor="_Toc19323138" w:history="1">
            <w:r w:rsidR="00D02875" w:rsidRPr="00F23F68">
              <w:rPr>
                <w:rStyle w:val="Hyperlink"/>
                <w:noProof/>
              </w:rPr>
              <w:t>1.2.</w:t>
            </w:r>
            <w:r w:rsidR="00D02875">
              <w:rPr>
                <w:rFonts w:asciiTheme="minorHAnsi" w:hAnsiTheme="minorHAnsi"/>
                <w:noProof/>
                <w:sz w:val="24"/>
                <w:szCs w:val="24"/>
                <w:lang w:eastAsia="en-US"/>
              </w:rPr>
              <w:tab/>
            </w:r>
            <w:r w:rsidR="00D02875" w:rsidRPr="00F23F68">
              <w:rPr>
                <w:rStyle w:val="Hyperlink"/>
                <w:noProof/>
              </w:rPr>
              <w:t>Adoption Path</w:t>
            </w:r>
            <w:r w:rsidR="00D02875">
              <w:rPr>
                <w:noProof/>
                <w:webHidden/>
              </w:rPr>
              <w:tab/>
            </w:r>
            <w:r w:rsidR="00D02875">
              <w:rPr>
                <w:noProof/>
                <w:webHidden/>
              </w:rPr>
              <w:fldChar w:fldCharType="begin"/>
            </w:r>
            <w:r w:rsidR="00D02875">
              <w:rPr>
                <w:noProof/>
                <w:webHidden/>
              </w:rPr>
              <w:instrText xml:space="preserve"> PAGEREF _Toc19323138 \h </w:instrText>
            </w:r>
            <w:r w:rsidR="00D02875">
              <w:rPr>
                <w:noProof/>
                <w:webHidden/>
              </w:rPr>
            </w:r>
            <w:r w:rsidR="00D02875">
              <w:rPr>
                <w:noProof/>
                <w:webHidden/>
              </w:rPr>
              <w:fldChar w:fldCharType="separate"/>
            </w:r>
            <w:r w:rsidR="00374E57">
              <w:rPr>
                <w:noProof/>
                <w:webHidden/>
              </w:rPr>
              <w:t>8</w:t>
            </w:r>
            <w:r w:rsidR="00D02875">
              <w:rPr>
                <w:noProof/>
                <w:webHidden/>
              </w:rPr>
              <w:fldChar w:fldCharType="end"/>
            </w:r>
          </w:hyperlink>
        </w:p>
        <w:p w14:paraId="499EC76A" w14:textId="19B16289" w:rsidR="00D02875" w:rsidRDefault="0060195D">
          <w:pPr>
            <w:pStyle w:val="TOC3"/>
            <w:tabs>
              <w:tab w:val="left" w:pos="1200"/>
              <w:tab w:val="right" w:leader="dot" w:pos="9350"/>
            </w:tabs>
            <w:rPr>
              <w:rFonts w:asciiTheme="minorHAnsi" w:hAnsiTheme="minorHAnsi"/>
              <w:noProof/>
              <w:sz w:val="24"/>
              <w:szCs w:val="24"/>
              <w:lang w:eastAsia="en-US"/>
            </w:rPr>
          </w:pPr>
          <w:hyperlink w:anchor="_Toc19323139" w:history="1">
            <w:r w:rsidR="00D02875" w:rsidRPr="00F23F68">
              <w:rPr>
                <w:rStyle w:val="Hyperlink"/>
                <w:noProof/>
              </w:rPr>
              <w:t>1.2.1</w:t>
            </w:r>
            <w:r w:rsidR="00D02875">
              <w:rPr>
                <w:rFonts w:asciiTheme="minorHAnsi" w:hAnsiTheme="minorHAnsi"/>
                <w:noProof/>
                <w:sz w:val="24"/>
                <w:szCs w:val="24"/>
                <w:lang w:eastAsia="en-US"/>
              </w:rPr>
              <w:tab/>
            </w:r>
            <w:r w:rsidR="00D02875" w:rsidRPr="00F23F68">
              <w:rPr>
                <w:rStyle w:val="Hyperlink"/>
                <w:noProof/>
              </w:rPr>
              <w:t>Current Adoption</w:t>
            </w:r>
            <w:r w:rsidR="00D02875">
              <w:rPr>
                <w:noProof/>
                <w:webHidden/>
              </w:rPr>
              <w:tab/>
            </w:r>
            <w:r w:rsidR="00D02875">
              <w:rPr>
                <w:noProof/>
                <w:webHidden/>
              </w:rPr>
              <w:fldChar w:fldCharType="begin"/>
            </w:r>
            <w:r w:rsidR="00D02875">
              <w:rPr>
                <w:noProof/>
                <w:webHidden/>
              </w:rPr>
              <w:instrText xml:space="preserve"> PAGEREF _Toc19323139 \h </w:instrText>
            </w:r>
            <w:r w:rsidR="00D02875">
              <w:rPr>
                <w:noProof/>
                <w:webHidden/>
              </w:rPr>
            </w:r>
            <w:r w:rsidR="00D02875">
              <w:rPr>
                <w:noProof/>
                <w:webHidden/>
              </w:rPr>
              <w:fldChar w:fldCharType="separate"/>
            </w:r>
            <w:r w:rsidR="00374E57">
              <w:rPr>
                <w:noProof/>
                <w:webHidden/>
              </w:rPr>
              <w:t>8</w:t>
            </w:r>
            <w:r w:rsidR="00D02875">
              <w:rPr>
                <w:noProof/>
                <w:webHidden/>
              </w:rPr>
              <w:fldChar w:fldCharType="end"/>
            </w:r>
          </w:hyperlink>
        </w:p>
        <w:p w14:paraId="6B54FEBA" w14:textId="20DF57EC" w:rsidR="00D02875" w:rsidRDefault="0060195D">
          <w:pPr>
            <w:pStyle w:val="TOC3"/>
            <w:tabs>
              <w:tab w:val="left" w:pos="1200"/>
              <w:tab w:val="right" w:leader="dot" w:pos="9350"/>
            </w:tabs>
            <w:rPr>
              <w:rFonts w:asciiTheme="minorHAnsi" w:hAnsiTheme="minorHAnsi"/>
              <w:noProof/>
              <w:sz w:val="24"/>
              <w:szCs w:val="24"/>
              <w:lang w:eastAsia="en-US"/>
            </w:rPr>
          </w:pPr>
          <w:hyperlink w:anchor="_Toc19323140" w:history="1">
            <w:r w:rsidR="00D02875" w:rsidRPr="00F23F68">
              <w:rPr>
                <w:rStyle w:val="Hyperlink"/>
                <w:noProof/>
              </w:rPr>
              <w:t>1.2.2</w:t>
            </w:r>
            <w:r w:rsidR="00D02875">
              <w:rPr>
                <w:rFonts w:asciiTheme="minorHAnsi" w:hAnsiTheme="minorHAnsi"/>
                <w:noProof/>
                <w:sz w:val="24"/>
                <w:szCs w:val="24"/>
                <w:lang w:eastAsia="en-US"/>
              </w:rPr>
              <w:tab/>
            </w:r>
            <w:r w:rsidR="00D02875" w:rsidRPr="00F23F68">
              <w:rPr>
                <w:rStyle w:val="Hyperlink"/>
                <w:noProof/>
              </w:rPr>
              <w:t>Trends to Accelerate Adoption and Barriers</w:t>
            </w:r>
            <w:r w:rsidR="00D02875">
              <w:rPr>
                <w:noProof/>
                <w:webHidden/>
              </w:rPr>
              <w:tab/>
            </w:r>
            <w:r w:rsidR="00D02875">
              <w:rPr>
                <w:noProof/>
                <w:webHidden/>
              </w:rPr>
              <w:fldChar w:fldCharType="begin"/>
            </w:r>
            <w:r w:rsidR="00D02875">
              <w:rPr>
                <w:noProof/>
                <w:webHidden/>
              </w:rPr>
              <w:instrText xml:space="preserve"> PAGEREF _Toc19323140 \h </w:instrText>
            </w:r>
            <w:r w:rsidR="00D02875">
              <w:rPr>
                <w:noProof/>
                <w:webHidden/>
              </w:rPr>
            </w:r>
            <w:r w:rsidR="00D02875">
              <w:rPr>
                <w:noProof/>
                <w:webHidden/>
              </w:rPr>
              <w:fldChar w:fldCharType="separate"/>
            </w:r>
            <w:r w:rsidR="00374E57">
              <w:rPr>
                <w:noProof/>
                <w:webHidden/>
              </w:rPr>
              <w:t>10</w:t>
            </w:r>
            <w:r w:rsidR="00D02875">
              <w:rPr>
                <w:noProof/>
                <w:webHidden/>
              </w:rPr>
              <w:fldChar w:fldCharType="end"/>
            </w:r>
          </w:hyperlink>
        </w:p>
        <w:p w14:paraId="36BD21E1" w14:textId="7928C41F" w:rsidR="00D02875" w:rsidRDefault="0060195D">
          <w:pPr>
            <w:pStyle w:val="TOC2"/>
            <w:tabs>
              <w:tab w:val="left" w:pos="960"/>
              <w:tab w:val="right" w:leader="dot" w:pos="9350"/>
            </w:tabs>
            <w:rPr>
              <w:rFonts w:asciiTheme="minorHAnsi" w:hAnsiTheme="minorHAnsi"/>
              <w:noProof/>
              <w:sz w:val="24"/>
              <w:szCs w:val="24"/>
              <w:lang w:eastAsia="en-US"/>
            </w:rPr>
          </w:pPr>
          <w:hyperlink w:anchor="_Toc19323141" w:history="1">
            <w:r w:rsidR="00D02875" w:rsidRPr="00F23F68">
              <w:rPr>
                <w:rStyle w:val="Hyperlink"/>
                <w:noProof/>
              </w:rPr>
              <w:t>1.3</w:t>
            </w:r>
            <w:r w:rsidR="00D02875">
              <w:rPr>
                <w:rFonts w:asciiTheme="minorHAnsi" w:hAnsiTheme="minorHAnsi"/>
                <w:noProof/>
                <w:sz w:val="24"/>
                <w:szCs w:val="24"/>
                <w:lang w:eastAsia="en-US"/>
              </w:rPr>
              <w:tab/>
            </w:r>
            <w:r w:rsidR="00D02875" w:rsidRPr="00F23F68">
              <w:rPr>
                <w:rStyle w:val="Hyperlink"/>
                <w:noProof/>
              </w:rPr>
              <w:t>Advantages and Disadvantages of Nuclear Power</w:t>
            </w:r>
            <w:r w:rsidR="00D02875">
              <w:rPr>
                <w:noProof/>
                <w:webHidden/>
              </w:rPr>
              <w:tab/>
            </w:r>
            <w:r w:rsidR="00D02875">
              <w:rPr>
                <w:noProof/>
                <w:webHidden/>
              </w:rPr>
              <w:fldChar w:fldCharType="begin"/>
            </w:r>
            <w:r w:rsidR="00D02875">
              <w:rPr>
                <w:noProof/>
                <w:webHidden/>
              </w:rPr>
              <w:instrText xml:space="preserve"> PAGEREF _Toc19323141 \h </w:instrText>
            </w:r>
            <w:r w:rsidR="00D02875">
              <w:rPr>
                <w:noProof/>
                <w:webHidden/>
              </w:rPr>
            </w:r>
            <w:r w:rsidR="00D02875">
              <w:rPr>
                <w:noProof/>
                <w:webHidden/>
              </w:rPr>
              <w:fldChar w:fldCharType="separate"/>
            </w:r>
            <w:r w:rsidR="00374E57">
              <w:rPr>
                <w:noProof/>
                <w:webHidden/>
              </w:rPr>
              <w:t>12</w:t>
            </w:r>
            <w:r w:rsidR="00D02875">
              <w:rPr>
                <w:noProof/>
                <w:webHidden/>
              </w:rPr>
              <w:fldChar w:fldCharType="end"/>
            </w:r>
          </w:hyperlink>
        </w:p>
        <w:p w14:paraId="10C97568" w14:textId="2998E739" w:rsidR="00D02875" w:rsidRDefault="0060195D">
          <w:pPr>
            <w:pStyle w:val="TOC3"/>
            <w:tabs>
              <w:tab w:val="left" w:pos="1200"/>
              <w:tab w:val="right" w:leader="dot" w:pos="9350"/>
            </w:tabs>
            <w:rPr>
              <w:rFonts w:asciiTheme="minorHAnsi" w:hAnsiTheme="minorHAnsi"/>
              <w:noProof/>
              <w:sz w:val="24"/>
              <w:szCs w:val="24"/>
              <w:lang w:eastAsia="en-US"/>
            </w:rPr>
          </w:pPr>
          <w:hyperlink w:anchor="_Toc19323142" w:history="1">
            <w:r w:rsidR="00D02875" w:rsidRPr="00F23F68">
              <w:rPr>
                <w:rStyle w:val="Hyperlink"/>
                <w:noProof/>
              </w:rPr>
              <w:t>1.3.1</w:t>
            </w:r>
            <w:r w:rsidR="00D02875">
              <w:rPr>
                <w:rFonts w:asciiTheme="minorHAnsi" w:hAnsiTheme="minorHAnsi"/>
                <w:noProof/>
                <w:sz w:val="24"/>
                <w:szCs w:val="24"/>
                <w:lang w:eastAsia="en-US"/>
              </w:rPr>
              <w:tab/>
            </w:r>
            <w:r w:rsidR="00D02875" w:rsidRPr="00F23F68">
              <w:rPr>
                <w:rStyle w:val="Hyperlink"/>
                <w:noProof/>
              </w:rPr>
              <w:t>Similar Solutions</w:t>
            </w:r>
            <w:r w:rsidR="00D02875">
              <w:rPr>
                <w:noProof/>
                <w:webHidden/>
              </w:rPr>
              <w:tab/>
            </w:r>
            <w:r w:rsidR="00D02875">
              <w:rPr>
                <w:noProof/>
                <w:webHidden/>
              </w:rPr>
              <w:fldChar w:fldCharType="begin"/>
            </w:r>
            <w:r w:rsidR="00D02875">
              <w:rPr>
                <w:noProof/>
                <w:webHidden/>
              </w:rPr>
              <w:instrText xml:space="preserve"> PAGEREF _Toc19323142 \h </w:instrText>
            </w:r>
            <w:r w:rsidR="00D02875">
              <w:rPr>
                <w:noProof/>
                <w:webHidden/>
              </w:rPr>
            </w:r>
            <w:r w:rsidR="00D02875">
              <w:rPr>
                <w:noProof/>
                <w:webHidden/>
              </w:rPr>
              <w:fldChar w:fldCharType="separate"/>
            </w:r>
            <w:r w:rsidR="00374E57">
              <w:rPr>
                <w:noProof/>
                <w:webHidden/>
              </w:rPr>
              <w:t>12</w:t>
            </w:r>
            <w:r w:rsidR="00D02875">
              <w:rPr>
                <w:noProof/>
                <w:webHidden/>
              </w:rPr>
              <w:fldChar w:fldCharType="end"/>
            </w:r>
          </w:hyperlink>
        </w:p>
        <w:p w14:paraId="1BA9C0E5" w14:textId="31FEC6A0" w:rsidR="00D02875" w:rsidRDefault="0060195D">
          <w:pPr>
            <w:pStyle w:val="TOC3"/>
            <w:tabs>
              <w:tab w:val="left" w:pos="1200"/>
              <w:tab w:val="right" w:leader="dot" w:pos="9350"/>
            </w:tabs>
            <w:rPr>
              <w:rFonts w:asciiTheme="minorHAnsi" w:hAnsiTheme="minorHAnsi"/>
              <w:noProof/>
              <w:sz w:val="24"/>
              <w:szCs w:val="24"/>
              <w:lang w:eastAsia="en-US"/>
            </w:rPr>
          </w:pPr>
          <w:hyperlink w:anchor="_Toc19323143" w:history="1">
            <w:r w:rsidR="00D02875" w:rsidRPr="00F23F68">
              <w:rPr>
                <w:rStyle w:val="Hyperlink"/>
                <w:noProof/>
              </w:rPr>
              <w:t>1.3.2</w:t>
            </w:r>
            <w:r w:rsidR="00D02875">
              <w:rPr>
                <w:rFonts w:asciiTheme="minorHAnsi" w:hAnsiTheme="minorHAnsi"/>
                <w:noProof/>
                <w:sz w:val="24"/>
                <w:szCs w:val="24"/>
                <w:lang w:eastAsia="en-US"/>
              </w:rPr>
              <w:tab/>
            </w:r>
            <w:r w:rsidR="00D02875" w:rsidRPr="00F23F68">
              <w:rPr>
                <w:rStyle w:val="Hyperlink"/>
                <w:noProof/>
              </w:rPr>
              <w:t>Arguments for Adoption</w:t>
            </w:r>
            <w:r w:rsidR="00D02875">
              <w:rPr>
                <w:noProof/>
                <w:webHidden/>
              </w:rPr>
              <w:tab/>
            </w:r>
            <w:r w:rsidR="00D02875">
              <w:rPr>
                <w:noProof/>
                <w:webHidden/>
              </w:rPr>
              <w:fldChar w:fldCharType="begin"/>
            </w:r>
            <w:r w:rsidR="00D02875">
              <w:rPr>
                <w:noProof/>
                <w:webHidden/>
              </w:rPr>
              <w:instrText xml:space="preserve"> PAGEREF _Toc19323143 \h </w:instrText>
            </w:r>
            <w:r w:rsidR="00D02875">
              <w:rPr>
                <w:noProof/>
                <w:webHidden/>
              </w:rPr>
            </w:r>
            <w:r w:rsidR="00D02875">
              <w:rPr>
                <w:noProof/>
                <w:webHidden/>
              </w:rPr>
              <w:fldChar w:fldCharType="separate"/>
            </w:r>
            <w:r w:rsidR="00374E57">
              <w:rPr>
                <w:noProof/>
                <w:webHidden/>
              </w:rPr>
              <w:t>12</w:t>
            </w:r>
            <w:r w:rsidR="00D02875">
              <w:rPr>
                <w:noProof/>
                <w:webHidden/>
              </w:rPr>
              <w:fldChar w:fldCharType="end"/>
            </w:r>
          </w:hyperlink>
        </w:p>
        <w:p w14:paraId="5A59C7D0" w14:textId="5246ABDD" w:rsidR="00D02875" w:rsidRDefault="0060195D">
          <w:pPr>
            <w:pStyle w:val="TOC3"/>
            <w:tabs>
              <w:tab w:val="left" w:pos="1200"/>
              <w:tab w:val="right" w:leader="dot" w:pos="9350"/>
            </w:tabs>
            <w:rPr>
              <w:rFonts w:asciiTheme="minorHAnsi" w:hAnsiTheme="minorHAnsi"/>
              <w:noProof/>
              <w:sz w:val="24"/>
              <w:szCs w:val="24"/>
              <w:lang w:eastAsia="en-US"/>
            </w:rPr>
          </w:pPr>
          <w:hyperlink w:anchor="_Toc19323144" w:history="1">
            <w:r w:rsidR="00D02875" w:rsidRPr="00F23F68">
              <w:rPr>
                <w:rStyle w:val="Hyperlink"/>
                <w:noProof/>
              </w:rPr>
              <w:t>1.3.3</w:t>
            </w:r>
            <w:r w:rsidR="00D02875">
              <w:rPr>
                <w:rFonts w:asciiTheme="minorHAnsi" w:hAnsiTheme="minorHAnsi"/>
                <w:noProof/>
                <w:sz w:val="24"/>
                <w:szCs w:val="24"/>
                <w:lang w:eastAsia="en-US"/>
              </w:rPr>
              <w:tab/>
            </w:r>
            <w:r w:rsidR="00D02875" w:rsidRPr="00F23F68">
              <w:rPr>
                <w:rStyle w:val="Hyperlink"/>
                <w:noProof/>
              </w:rPr>
              <w:t>Additional Benefits and Burdens</w:t>
            </w:r>
            <w:r w:rsidR="00D02875">
              <w:rPr>
                <w:noProof/>
                <w:webHidden/>
              </w:rPr>
              <w:tab/>
            </w:r>
            <w:r w:rsidR="00D02875">
              <w:rPr>
                <w:noProof/>
                <w:webHidden/>
              </w:rPr>
              <w:fldChar w:fldCharType="begin"/>
            </w:r>
            <w:r w:rsidR="00D02875">
              <w:rPr>
                <w:noProof/>
                <w:webHidden/>
              </w:rPr>
              <w:instrText xml:space="preserve"> PAGEREF _Toc19323144 \h </w:instrText>
            </w:r>
            <w:r w:rsidR="00D02875">
              <w:rPr>
                <w:noProof/>
                <w:webHidden/>
              </w:rPr>
            </w:r>
            <w:r w:rsidR="00D02875">
              <w:rPr>
                <w:noProof/>
                <w:webHidden/>
              </w:rPr>
              <w:fldChar w:fldCharType="separate"/>
            </w:r>
            <w:r w:rsidR="00374E57">
              <w:rPr>
                <w:noProof/>
                <w:webHidden/>
              </w:rPr>
              <w:t>12</w:t>
            </w:r>
            <w:r w:rsidR="00D02875">
              <w:rPr>
                <w:noProof/>
                <w:webHidden/>
              </w:rPr>
              <w:fldChar w:fldCharType="end"/>
            </w:r>
          </w:hyperlink>
        </w:p>
        <w:p w14:paraId="4153605D" w14:textId="77980C82" w:rsidR="00D02875" w:rsidRDefault="0060195D">
          <w:pPr>
            <w:pStyle w:val="TOC1"/>
            <w:tabs>
              <w:tab w:val="left" w:pos="440"/>
              <w:tab w:val="right" w:leader="dot" w:pos="9350"/>
            </w:tabs>
            <w:rPr>
              <w:rFonts w:asciiTheme="minorHAnsi" w:hAnsiTheme="minorHAnsi"/>
              <w:noProof/>
              <w:sz w:val="24"/>
              <w:szCs w:val="24"/>
              <w:lang w:eastAsia="en-US"/>
            </w:rPr>
          </w:pPr>
          <w:hyperlink w:anchor="_Toc19323145" w:history="1">
            <w:r w:rsidR="00D02875" w:rsidRPr="00F23F68">
              <w:rPr>
                <w:rStyle w:val="Hyperlink"/>
                <w:noProof/>
              </w:rPr>
              <w:t>2</w:t>
            </w:r>
            <w:r w:rsidR="00D02875">
              <w:rPr>
                <w:rFonts w:asciiTheme="minorHAnsi" w:hAnsiTheme="minorHAnsi"/>
                <w:noProof/>
                <w:sz w:val="24"/>
                <w:szCs w:val="24"/>
                <w:lang w:eastAsia="en-US"/>
              </w:rPr>
              <w:tab/>
            </w:r>
            <w:r w:rsidR="00D02875" w:rsidRPr="00F23F68">
              <w:rPr>
                <w:rStyle w:val="Hyperlink"/>
                <w:noProof/>
              </w:rPr>
              <w:t>Methodology</w:t>
            </w:r>
            <w:r w:rsidR="00D02875">
              <w:rPr>
                <w:noProof/>
                <w:webHidden/>
              </w:rPr>
              <w:tab/>
            </w:r>
            <w:r w:rsidR="00D02875">
              <w:rPr>
                <w:noProof/>
                <w:webHidden/>
              </w:rPr>
              <w:fldChar w:fldCharType="begin"/>
            </w:r>
            <w:r w:rsidR="00D02875">
              <w:rPr>
                <w:noProof/>
                <w:webHidden/>
              </w:rPr>
              <w:instrText xml:space="preserve"> PAGEREF _Toc19323145 \h </w:instrText>
            </w:r>
            <w:r w:rsidR="00D02875">
              <w:rPr>
                <w:noProof/>
                <w:webHidden/>
              </w:rPr>
            </w:r>
            <w:r w:rsidR="00D02875">
              <w:rPr>
                <w:noProof/>
                <w:webHidden/>
              </w:rPr>
              <w:fldChar w:fldCharType="separate"/>
            </w:r>
            <w:r w:rsidR="00374E57">
              <w:rPr>
                <w:noProof/>
                <w:webHidden/>
              </w:rPr>
              <w:t>15</w:t>
            </w:r>
            <w:r w:rsidR="00D02875">
              <w:rPr>
                <w:noProof/>
                <w:webHidden/>
              </w:rPr>
              <w:fldChar w:fldCharType="end"/>
            </w:r>
          </w:hyperlink>
        </w:p>
        <w:p w14:paraId="36A4958B" w14:textId="0139B719" w:rsidR="00D02875" w:rsidRDefault="0060195D">
          <w:pPr>
            <w:pStyle w:val="TOC2"/>
            <w:tabs>
              <w:tab w:val="left" w:pos="960"/>
              <w:tab w:val="right" w:leader="dot" w:pos="9350"/>
            </w:tabs>
            <w:rPr>
              <w:rFonts w:asciiTheme="minorHAnsi" w:hAnsiTheme="minorHAnsi"/>
              <w:noProof/>
              <w:sz w:val="24"/>
              <w:szCs w:val="24"/>
              <w:lang w:eastAsia="en-US"/>
            </w:rPr>
          </w:pPr>
          <w:hyperlink w:anchor="_Toc19323146" w:history="1">
            <w:r w:rsidR="00D02875" w:rsidRPr="00F23F68">
              <w:rPr>
                <w:rStyle w:val="Hyperlink"/>
                <w:noProof/>
              </w:rPr>
              <w:t>2.1</w:t>
            </w:r>
            <w:r w:rsidR="00D02875">
              <w:rPr>
                <w:rFonts w:asciiTheme="minorHAnsi" w:hAnsiTheme="minorHAnsi"/>
                <w:noProof/>
                <w:sz w:val="24"/>
                <w:szCs w:val="24"/>
                <w:lang w:eastAsia="en-US"/>
              </w:rPr>
              <w:tab/>
            </w:r>
            <w:r w:rsidR="00D02875" w:rsidRPr="00F23F68">
              <w:rPr>
                <w:rStyle w:val="Hyperlink"/>
                <w:noProof/>
              </w:rPr>
              <w:t>Introduction</w:t>
            </w:r>
            <w:r w:rsidR="00D02875">
              <w:rPr>
                <w:noProof/>
                <w:webHidden/>
              </w:rPr>
              <w:tab/>
            </w:r>
            <w:r w:rsidR="00D02875">
              <w:rPr>
                <w:noProof/>
                <w:webHidden/>
              </w:rPr>
              <w:fldChar w:fldCharType="begin"/>
            </w:r>
            <w:r w:rsidR="00D02875">
              <w:rPr>
                <w:noProof/>
                <w:webHidden/>
              </w:rPr>
              <w:instrText xml:space="preserve"> PAGEREF _Toc19323146 \h </w:instrText>
            </w:r>
            <w:r w:rsidR="00D02875">
              <w:rPr>
                <w:noProof/>
                <w:webHidden/>
              </w:rPr>
            </w:r>
            <w:r w:rsidR="00D02875">
              <w:rPr>
                <w:noProof/>
                <w:webHidden/>
              </w:rPr>
              <w:fldChar w:fldCharType="separate"/>
            </w:r>
            <w:r w:rsidR="00374E57">
              <w:rPr>
                <w:noProof/>
                <w:webHidden/>
              </w:rPr>
              <w:t>15</w:t>
            </w:r>
            <w:r w:rsidR="00D02875">
              <w:rPr>
                <w:noProof/>
                <w:webHidden/>
              </w:rPr>
              <w:fldChar w:fldCharType="end"/>
            </w:r>
          </w:hyperlink>
        </w:p>
        <w:p w14:paraId="6309D374" w14:textId="79DC5F2F" w:rsidR="00D02875" w:rsidRDefault="0060195D">
          <w:pPr>
            <w:pStyle w:val="TOC2"/>
            <w:tabs>
              <w:tab w:val="left" w:pos="960"/>
              <w:tab w:val="right" w:leader="dot" w:pos="9350"/>
            </w:tabs>
            <w:rPr>
              <w:rFonts w:asciiTheme="minorHAnsi" w:hAnsiTheme="minorHAnsi"/>
              <w:noProof/>
              <w:sz w:val="24"/>
              <w:szCs w:val="24"/>
              <w:lang w:eastAsia="en-US"/>
            </w:rPr>
          </w:pPr>
          <w:hyperlink w:anchor="_Toc19323147" w:history="1">
            <w:r w:rsidR="00D02875" w:rsidRPr="00F23F68">
              <w:rPr>
                <w:rStyle w:val="Hyperlink"/>
                <w:noProof/>
              </w:rPr>
              <w:t>2.2</w:t>
            </w:r>
            <w:r w:rsidR="00D02875">
              <w:rPr>
                <w:rFonts w:asciiTheme="minorHAnsi" w:hAnsiTheme="minorHAnsi"/>
                <w:noProof/>
                <w:sz w:val="24"/>
                <w:szCs w:val="24"/>
                <w:lang w:eastAsia="en-US"/>
              </w:rPr>
              <w:tab/>
            </w:r>
            <w:r w:rsidR="00D02875" w:rsidRPr="00F23F68">
              <w:rPr>
                <w:rStyle w:val="Hyperlink"/>
                <w:noProof/>
              </w:rPr>
              <w:t>Data Sources</w:t>
            </w:r>
            <w:r w:rsidR="00D02875">
              <w:rPr>
                <w:noProof/>
                <w:webHidden/>
              </w:rPr>
              <w:tab/>
            </w:r>
            <w:r w:rsidR="00D02875">
              <w:rPr>
                <w:noProof/>
                <w:webHidden/>
              </w:rPr>
              <w:fldChar w:fldCharType="begin"/>
            </w:r>
            <w:r w:rsidR="00D02875">
              <w:rPr>
                <w:noProof/>
                <w:webHidden/>
              </w:rPr>
              <w:instrText xml:space="preserve"> PAGEREF _Toc19323147 \h </w:instrText>
            </w:r>
            <w:r w:rsidR="00D02875">
              <w:rPr>
                <w:noProof/>
                <w:webHidden/>
              </w:rPr>
            </w:r>
            <w:r w:rsidR="00D02875">
              <w:rPr>
                <w:noProof/>
                <w:webHidden/>
              </w:rPr>
              <w:fldChar w:fldCharType="separate"/>
            </w:r>
            <w:r w:rsidR="00374E57">
              <w:rPr>
                <w:noProof/>
                <w:webHidden/>
              </w:rPr>
              <w:t>16</w:t>
            </w:r>
            <w:r w:rsidR="00D02875">
              <w:rPr>
                <w:noProof/>
                <w:webHidden/>
              </w:rPr>
              <w:fldChar w:fldCharType="end"/>
            </w:r>
          </w:hyperlink>
        </w:p>
        <w:p w14:paraId="0B0200CE" w14:textId="45E38D8B" w:rsidR="00D02875" w:rsidRDefault="0060195D">
          <w:pPr>
            <w:pStyle w:val="TOC2"/>
            <w:tabs>
              <w:tab w:val="left" w:pos="960"/>
              <w:tab w:val="right" w:leader="dot" w:pos="9350"/>
            </w:tabs>
            <w:rPr>
              <w:rFonts w:asciiTheme="minorHAnsi" w:hAnsiTheme="minorHAnsi"/>
              <w:noProof/>
              <w:sz w:val="24"/>
              <w:szCs w:val="24"/>
              <w:lang w:eastAsia="en-US"/>
            </w:rPr>
          </w:pPr>
          <w:hyperlink w:anchor="_Toc19323148" w:history="1">
            <w:r w:rsidR="00D02875" w:rsidRPr="00F23F68">
              <w:rPr>
                <w:rStyle w:val="Hyperlink"/>
                <w:noProof/>
              </w:rPr>
              <w:t>2.3</w:t>
            </w:r>
            <w:r w:rsidR="00D02875">
              <w:rPr>
                <w:rFonts w:asciiTheme="minorHAnsi" w:hAnsiTheme="minorHAnsi"/>
                <w:noProof/>
                <w:sz w:val="24"/>
                <w:szCs w:val="24"/>
                <w:lang w:eastAsia="en-US"/>
              </w:rPr>
              <w:tab/>
            </w:r>
            <w:r w:rsidR="00D02875" w:rsidRPr="00F23F68">
              <w:rPr>
                <w:rStyle w:val="Hyperlink"/>
                <w:noProof/>
              </w:rPr>
              <w:t>Total Addressable Market</w:t>
            </w:r>
            <w:r w:rsidR="00D02875">
              <w:rPr>
                <w:noProof/>
                <w:webHidden/>
              </w:rPr>
              <w:tab/>
            </w:r>
            <w:r w:rsidR="00D02875">
              <w:rPr>
                <w:noProof/>
                <w:webHidden/>
              </w:rPr>
              <w:fldChar w:fldCharType="begin"/>
            </w:r>
            <w:r w:rsidR="00D02875">
              <w:rPr>
                <w:noProof/>
                <w:webHidden/>
              </w:rPr>
              <w:instrText xml:space="preserve"> PAGEREF _Toc19323148 \h </w:instrText>
            </w:r>
            <w:r w:rsidR="00D02875">
              <w:rPr>
                <w:noProof/>
                <w:webHidden/>
              </w:rPr>
            </w:r>
            <w:r w:rsidR="00D02875">
              <w:rPr>
                <w:noProof/>
                <w:webHidden/>
              </w:rPr>
              <w:fldChar w:fldCharType="separate"/>
            </w:r>
            <w:r w:rsidR="00374E57">
              <w:rPr>
                <w:noProof/>
                <w:webHidden/>
              </w:rPr>
              <w:t>18</w:t>
            </w:r>
            <w:r w:rsidR="00D02875">
              <w:rPr>
                <w:noProof/>
                <w:webHidden/>
              </w:rPr>
              <w:fldChar w:fldCharType="end"/>
            </w:r>
          </w:hyperlink>
        </w:p>
        <w:p w14:paraId="66E59562" w14:textId="75E928AF" w:rsidR="00D02875" w:rsidRDefault="0060195D">
          <w:pPr>
            <w:pStyle w:val="TOC2"/>
            <w:tabs>
              <w:tab w:val="left" w:pos="960"/>
              <w:tab w:val="right" w:leader="dot" w:pos="9350"/>
            </w:tabs>
            <w:rPr>
              <w:rFonts w:asciiTheme="minorHAnsi" w:hAnsiTheme="minorHAnsi"/>
              <w:noProof/>
              <w:sz w:val="24"/>
              <w:szCs w:val="24"/>
              <w:lang w:eastAsia="en-US"/>
            </w:rPr>
          </w:pPr>
          <w:hyperlink w:anchor="_Toc19323149" w:history="1">
            <w:r w:rsidR="00D02875" w:rsidRPr="00F23F68">
              <w:rPr>
                <w:rStyle w:val="Hyperlink"/>
                <w:noProof/>
              </w:rPr>
              <w:t>2.4</w:t>
            </w:r>
            <w:r w:rsidR="00D02875">
              <w:rPr>
                <w:rFonts w:asciiTheme="minorHAnsi" w:hAnsiTheme="minorHAnsi"/>
                <w:noProof/>
                <w:sz w:val="24"/>
                <w:szCs w:val="24"/>
                <w:lang w:eastAsia="en-US"/>
              </w:rPr>
              <w:tab/>
            </w:r>
            <w:r w:rsidR="00D02875" w:rsidRPr="00F23F68">
              <w:rPr>
                <w:rStyle w:val="Hyperlink"/>
                <w:noProof/>
              </w:rPr>
              <w:t>Adoption Scenarios</w:t>
            </w:r>
            <w:r w:rsidR="00D02875">
              <w:rPr>
                <w:noProof/>
                <w:webHidden/>
              </w:rPr>
              <w:tab/>
            </w:r>
            <w:r w:rsidR="00D02875">
              <w:rPr>
                <w:noProof/>
                <w:webHidden/>
              </w:rPr>
              <w:fldChar w:fldCharType="begin"/>
            </w:r>
            <w:r w:rsidR="00D02875">
              <w:rPr>
                <w:noProof/>
                <w:webHidden/>
              </w:rPr>
              <w:instrText xml:space="preserve"> PAGEREF _Toc19323149 \h </w:instrText>
            </w:r>
            <w:r w:rsidR="00D02875">
              <w:rPr>
                <w:noProof/>
                <w:webHidden/>
              </w:rPr>
            </w:r>
            <w:r w:rsidR="00D02875">
              <w:rPr>
                <w:noProof/>
                <w:webHidden/>
              </w:rPr>
              <w:fldChar w:fldCharType="separate"/>
            </w:r>
            <w:r w:rsidR="00374E57">
              <w:rPr>
                <w:noProof/>
                <w:webHidden/>
              </w:rPr>
              <w:t>19</w:t>
            </w:r>
            <w:r w:rsidR="00D02875">
              <w:rPr>
                <w:noProof/>
                <w:webHidden/>
              </w:rPr>
              <w:fldChar w:fldCharType="end"/>
            </w:r>
          </w:hyperlink>
        </w:p>
        <w:p w14:paraId="10A0B36F" w14:textId="6D1B1837" w:rsidR="00D02875" w:rsidRDefault="0060195D">
          <w:pPr>
            <w:pStyle w:val="TOC3"/>
            <w:tabs>
              <w:tab w:val="left" w:pos="1200"/>
              <w:tab w:val="right" w:leader="dot" w:pos="9350"/>
            </w:tabs>
            <w:rPr>
              <w:rFonts w:asciiTheme="minorHAnsi" w:hAnsiTheme="minorHAnsi"/>
              <w:noProof/>
              <w:sz w:val="24"/>
              <w:szCs w:val="24"/>
              <w:lang w:eastAsia="en-US"/>
            </w:rPr>
          </w:pPr>
          <w:hyperlink w:anchor="_Toc19323150" w:history="1">
            <w:r w:rsidR="00D02875" w:rsidRPr="00F23F68">
              <w:rPr>
                <w:rStyle w:val="Hyperlink"/>
                <w:noProof/>
              </w:rPr>
              <w:t>2.4.1</w:t>
            </w:r>
            <w:r w:rsidR="00D02875">
              <w:rPr>
                <w:rFonts w:asciiTheme="minorHAnsi" w:hAnsiTheme="minorHAnsi"/>
                <w:noProof/>
                <w:sz w:val="24"/>
                <w:szCs w:val="24"/>
                <w:lang w:eastAsia="en-US"/>
              </w:rPr>
              <w:tab/>
            </w:r>
            <w:r w:rsidR="00D02875" w:rsidRPr="00F23F68">
              <w:rPr>
                <w:rStyle w:val="Hyperlink"/>
                <w:noProof/>
              </w:rPr>
              <w:t>Reference Case / Current Adoption</w:t>
            </w:r>
            <w:r w:rsidR="00D02875">
              <w:rPr>
                <w:noProof/>
                <w:webHidden/>
              </w:rPr>
              <w:tab/>
            </w:r>
            <w:r w:rsidR="00D02875">
              <w:rPr>
                <w:noProof/>
                <w:webHidden/>
              </w:rPr>
              <w:fldChar w:fldCharType="begin"/>
            </w:r>
            <w:r w:rsidR="00D02875">
              <w:rPr>
                <w:noProof/>
                <w:webHidden/>
              </w:rPr>
              <w:instrText xml:space="preserve"> PAGEREF _Toc19323150 \h </w:instrText>
            </w:r>
            <w:r w:rsidR="00D02875">
              <w:rPr>
                <w:noProof/>
                <w:webHidden/>
              </w:rPr>
            </w:r>
            <w:r w:rsidR="00D02875">
              <w:rPr>
                <w:noProof/>
                <w:webHidden/>
              </w:rPr>
              <w:fldChar w:fldCharType="separate"/>
            </w:r>
            <w:r w:rsidR="00374E57">
              <w:rPr>
                <w:noProof/>
                <w:webHidden/>
              </w:rPr>
              <w:t>19</w:t>
            </w:r>
            <w:r w:rsidR="00D02875">
              <w:rPr>
                <w:noProof/>
                <w:webHidden/>
              </w:rPr>
              <w:fldChar w:fldCharType="end"/>
            </w:r>
          </w:hyperlink>
        </w:p>
        <w:p w14:paraId="00107335" w14:textId="09533E6F" w:rsidR="00D02875" w:rsidRDefault="0060195D">
          <w:pPr>
            <w:pStyle w:val="TOC3"/>
            <w:tabs>
              <w:tab w:val="left" w:pos="1200"/>
              <w:tab w:val="right" w:leader="dot" w:pos="9350"/>
            </w:tabs>
            <w:rPr>
              <w:rFonts w:asciiTheme="minorHAnsi" w:hAnsiTheme="minorHAnsi"/>
              <w:noProof/>
              <w:sz w:val="24"/>
              <w:szCs w:val="24"/>
              <w:lang w:eastAsia="en-US"/>
            </w:rPr>
          </w:pPr>
          <w:hyperlink w:anchor="_Toc19323151" w:history="1">
            <w:r w:rsidR="00D02875" w:rsidRPr="00F23F68">
              <w:rPr>
                <w:rStyle w:val="Hyperlink"/>
                <w:noProof/>
              </w:rPr>
              <w:t>2.4.2</w:t>
            </w:r>
            <w:r w:rsidR="00D02875">
              <w:rPr>
                <w:rFonts w:asciiTheme="minorHAnsi" w:hAnsiTheme="minorHAnsi"/>
                <w:noProof/>
                <w:sz w:val="24"/>
                <w:szCs w:val="24"/>
                <w:lang w:eastAsia="en-US"/>
              </w:rPr>
              <w:tab/>
            </w:r>
            <w:r w:rsidR="00D02875" w:rsidRPr="00F23F68">
              <w:rPr>
                <w:rStyle w:val="Hyperlink"/>
                <w:noProof/>
              </w:rPr>
              <w:t>Project Drawdown Scenarios</w:t>
            </w:r>
            <w:r w:rsidR="00D02875">
              <w:rPr>
                <w:noProof/>
                <w:webHidden/>
              </w:rPr>
              <w:tab/>
            </w:r>
            <w:r w:rsidR="00D02875">
              <w:rPr>
                <w:noProof/>
                <w:webHidden/>
              </w:rPr>
              <w:fldChar w:fldCharType="begin"/>
            </w:r>
            <w:r w:rsidR="00D02875">
              <w:rPr>
                <w:noProof/>
                <w:webHidden/>
              </w:rPr>
              <w:instrText xml:space="preserve"> PAGEREF _Toc19323151 \h </w:instrText>
            </w:r>
            <w:r w:rsidR="00D02875">
              <w:rPr>
                <w:noProof/>
                <w:webHidden/>
              </w:rPr>
            </w:r>
            <w:r w:rsidR="00D02875">
              <w:rPr>
                <w:noProof/>
                <w:webHidden/>
              </w:rPr>
              <w:fldChar w:fldCharType="separate"/>
            </w:r>
            <w:r w:rsidR="00374E57">
              <w:rPr>
                <w:noProof/>
                <w:webHidden/>
              </w:rPr>
              <w:t>19</w:t>
            </w:r>
            <w:r w:rsidR="00D02875">
              <w:rPr>
                <w:noProof/>
                <w:webHidden/>
              </w:rPr>
              <w:fldChar w:fldCharType="end"/>
            </w:r>
          </w:hyperlink>
        </w:p>
        <w:p w14:paraId="12206F7B" w14:textId="7735BFB2" w:rsidR="00D02875" w:rsidRDefault="0060195D">
          <w:pPr>
            <w:pStyle w:val="TOC2"/>
            <w:tabs>
              <w:tab w:val="left" w:pos="960"/>
              <w:tab w:val="right" w:leader="dot" w:pos="9350"/>
            </w:tabs>
            <w:rPr>
              <w:rFonts w:asciiTheme="minorHAnsi" w:hAnsiTheme="minorHAnsi"/>
              <w:noProof/>
              <w:sz w:val="24"/>
              <w:szCs w:val="24"/>
              <w:lang w:eastAsia="en-US"/>
            </w:rPr>
          </w:pPr>
          <w:hyperlink w:anchor="_Toc19323152" w:history="1">
            <w:r w:rsidR="00D02875" w:rsidRPr="00F23F68">
              <w:rPr>
                <w:rStyle w:val="Hyperlink"/>
                <w:noProof/>
              </w:rPr>
              <w:t>2.5</w:t>
            </w:r>
            <w:r w:rsidR="00D02875">
              <w:rPr>
                <w:rFonts w:asciiTheme="minorHAnsi" w:hAnsiTheme="minorHAnsi"/>
                <w:noProof/>
                <w:sz w:val="24"/>
                <w:szCs w:val="24"/>
                <w:lang w:eastAsia="en-US"/>
              </w:rPr>
              <w:tab/>
            </w:r>
            <w:r w:rsidR="00D02875" w:rsidRPr="00F23F68">
              <w:rPr>
                <w:rStyle w:val="Hyperlink"/>
                <w:noProof/>
              </w:rPr>
              <w:t>Inputs</w:t>
            </w:r>
            <w:r w:rsidR="00D02875">
              <w:rPr>
                <w:noProof/>
                <w:webHidden/>
              </w:rPr>
              <w:tab/>
            </w:r>
            <w:r w:rsidR="00D02875">
              <w:rPr>
                <w:noProof/>
                <w:webHidden/>
              </w:rPr>
              <w:fldChar w:fldCharType="begin"/>
            </w:r>
            <w:r w:rsidR="00D02875">
              <w:rPr>
                <w:noProof/>
                <w:webHidden/>
              </w:rPr>
              <w:instrText xml:space="preserve"> PAGEREF _Toc19323152 \h </w:instrText>
            </w:r>
            <w:r w:rsidR="00D02875">
              <w:rPr>
                <w:noProof/>
                <w:webHidden/>
              </w:rPr>
            </w:r>
            <w:r w:rsidR="00D02875">
              <w:rPr>
                <w:noProof/>
                <w:webHidden/>
              </w:rPr>
              <w:fldChar w:fldCharType="separate"/>
            </w:r>
            <w:r w:rsidR="00374E57">
              <w:rPr>
                <w:noProof/>
                <w:webHidden/>
              </w:rPr>
              <w:t>20</w:t>
            </w:r>
            <w:r w:rsidR="00D02875">
              <w:rPr>
                <w:noProof/>
                <w:webHidden/>
              </w:rPr>
              <w:fldChar w:fldCharType="end"/>
            </w:r>
          </w:hyperlink>
        </w:p>
        <w:p w14:paraId="01617025" w14:textId="1279B881" w:rsidR="00D02875" w:rsidRDefault="0060195D">
          <w:pPr>
            <w:pStyle w:val="TOC3"/>
            <w:tabs>
              <w:tab w:val="left" w:pos="1200"/>
              <w:tab w:val="right" w:leader="dot" w:pos="9350"/>
            </w:tabs>
            <w:rPr>
              <w:rFonts w:asciiTheme="minorHAnsi" w:hAnsiTheme="minorHAnsi"/>
              <w:noProof/>
              <w:sz w:val="24"/>
              <w:szCs w:val="24"/>
              <w:lang w:eastAsia="en-US"/>
            </w:rPr>
          </w:pPr>
          <w:hyperlink w:anchor="_Toc19323153" w:history="1">
            <w:r w:rsidR="00D02875" w:rsidRPr="00F23F68">
              <w:rPr>
                <w:rStyle w:val="Hyperlink"/>
                <w:noProof/>
              </w:rPr>
              <w:t>2.5.1</w:t>
            </w:r>
            <w:r w:rsidR="00D02875">
              <w:rPr>
                <w:rFonts w:asciiTheme="minorHAnsi" w:hAnsiTheme="minorHAnsi"/>
                <w:noProof/>
                <w:sz w:val="24"/>
                <w:szCs w:val="24"/>
                <w:lang w:eastAsia="en-US"/>
              </w:rPr>
              <w:tab/>
            </w:r>
            <w:r w:rsidR="00D02875" w:rsidRPr="00F23F68">
              <w:rPr>
                <w:rStyle w:val="Hyperlink"/>
                <w:noProof/>
              </w:rPr>
              <w:t>Climate Inputs</w:t>
            </w:r>
            <w:r w:rsidR="00D02875">
              <w:rPr>
                <w:noProof/>
                <w:webHidden/>
              </w:rPr>
              <w:tab/>
            </w:r>
            <w:r w:rsidR="00D02875">
              <w:rPr>
                <w:noProof/>
                <w:webHidden/>
              </w:rPr>
              <w:fldChar w:fldCharType="begin"/>
            </w:r>
            <w:r w:rsidR="00D02875">
              <w:rPr>
                <w:noProof/>
                <w:webHidden/>
              </w:rPr>
              <w:instrText xml:space="preserve"> PAGEREF _Toc19323153 \h </w:instrText>
            </w:r>
            <w:r w:rsidR="00D02875">
              <w:rPr>
                <w:noProof/>
                <w:webHidden/>
              </w:rPr>
            </w:r>
            <w:r w:rsidR="00D02875">
              <w:rPr>
                <w:noProof/>
                <w:webHidden/>
              </w:rPr>
              <w:fldChar w:fldCharType="separate"/>
            </w:r>
            <w:r w:rsidR="00374E57">
              <w:rPr>
                <w:noProof/>
                <w:webHidden/>
              </w:rPr>
              <w:t>20</w:t>
            </w:r>
            <w:r w:rsidR="00D02875">
              <w:rPr>
                <w:noProof/>
                <w:webHidden/>
              </w:rPr>
              <w:fldChar w:fldCharType="end"/>
            </w:r>
          </w:hyperlink>
        </w:p>
        <w:p w14:paraId="1217EDE4" w14:textId="7F0970C8" w:rsidR="00D02875" w:rsidRDefault="0060195D">
          <w:pPr>
            <w:pStyle w:val="TOC3"/>
            <w:tabs>
              <w:tab w:val="left" w:pos="1200"/>
              <w:tab w:val="right" w:leader="dot" w:pos="9350"/>
            </w:tabs>
            <w:rPr>
              <w:rFonts w:asciiTheme="minorHAnsi" w:hAnsiTheme="minorHAnsi"/>
              <w:noProof/>
              <w:sz w:val="24"/>
              <w:szCs w:val="24"/>
              <w:lang w:eastAsia="en-US"/>
            </w:rPr>
          </w:pPr>
          <w:hyperlink w:anchor="_Toc19323154" w:history="1">
            <w:r w:rsidR="00D02875" w:rsidRPr="00F23F68">
              <w:rPr>
                <w:rStyle w:val="Hyperlink"/>
                <w:noProof/>
              </w:rPr>
              <w:t>2.5.2</w:t>
            </w:r>
            <w:r w:rsidR="00D02875">
              <w:rPr>
                <w:rFonts w:asciiTheme="minorHAnsi" w:hAnsiTheme="minorHAnsi"/>
                <w:noProof/>
                <w:sz w:val="24"/>
                <w:szCs w:val="24"/>
                <w:lang w:eastAsia="en-US"/>
              </w:rPr>
              <w:tab/>
            </w:r>
            <w:r w:rsidR="00D02875" w:rsidRPr="00F23F68">
              <w:rPr>
                <w:rStyle w:val="Hyperlink"/>
                <w:noProof/>
              </w:rPr>
              <w:t>Financial Inputs</w:t>
            </w:r>
            <w:r w:rsidR="00D02875">
              <w:rPr>
                <w:noProof/>
                <w:webHidden/>
              </w:rPr>
              <w:tab/>
            </w:r>
            <w:r w:rsidR="00D02875">
              <w:rPr>
                <w:noProof/>
                <w:webHidden/>
              </w:rPr>
              <w:fldChar w:fldCharType="begin"/>
            </w:r>
            <w:r w:rsidR="00D02875">
              <w:rPr>
                <w:noProof/>
                <w:webHidden/>
              </w:rPr>
              <w:instrText xml:space="preserve"> PAGEREF _Toc19323154 \h </w:instrText>
            </w:r>
            <w:r w:rsidR="00D02875">
              <w:rPr>
                <w:noProof/>
                <w:webHidden/>
              </w:rPr>
            </w:r>
            <w:r w:rsidR="00D02875">
              <w:rPr>
                <w:noProof/>
                <w:webHidden/>
              </w:rPr>
              <w:fldChar w:fldCharType="separate"/>
            </w:r>
            <w:r w:rsidR="00374E57">
              <w:rPr>
                <w:noProof/>
                <w:webHidden/>
              </w:rPr>
              <w:t>21</w:t>
            </w:r>
            <w:r w:rsidR="00D02875">
              <w:rPr>
                <w:noProof/>
                <w:webHidden/>
              </w:rPr>
              <w:fldChar w:fldCharType="end"/>
            </w:r>
          </w:hyperlink>
        </w:p>
        <w:p w14:paraId="3B0DF8D3" w14:textId="132A3745" w:rsidR="00D02875" w:rsidRDefault="0060195D">
          <w:pPr>
            <w:pStyle w:val="TOC3"/>
            <w:tabs>
              <w:tab w:val="left" w:pos="1200"/>
              <w:tab w:val="right" w:leader="dot" w:pos="9350"/>
            </w:tabs>
            <w:rPr>
              <w:rFonts w:asciiTheme="minorHAnsi" w:hAnsiTheme="minorHAnsi"/>
              <w:noProof/>
              <w:sz w:val="24"/>
              <w:szCs w:val="24"/>
              <w:lang w:eastAsia="en-US"/>
            </w:rPr>
          </w:pPr>
          <w:hyperlink w:anchor="_Toc19323155" w:history="1">
            <w:r w:rsidR="00D02875" w:rsidRPr="00F23F68">
              <w:rPr>
                <w:rStyle w:val="Hyperlink"/>
                <w:noProof/>
              </w:rPr>
              <w:t>2.5.3</w:t>
            </w:r>
            <w:r w:rsidR="00D02875">
              <w:rPr>
                <w:rFonts w:asciiTheme="minorHAnsi" w:hAnsiTheme="minorHAnsi"/>
                <w:noProof/>
                <w:sz w:val="24"/>
                <w:szCs w:val="24"/>
                <w:lang w:eastAsia="en-US"/>
              </w:rPr>
              <w:tab/>
            </w:r>
            <w:r w:rsidR="00D02875" w:rsidRPr="00F23F68">
              <w:rPr>
                <w:rStyle w:val="Hyperlink"/>
                <w:noProof/>
              </w:rPr>
              <w:t>Technical Inputs</w:t>
            </w:r>
            <w:r w:rsidR="00D02875">
              <w:rPr>
                <w:noProof/>
                <w:webHidden/>
              </w:rPr>
              <w:tab/>
            </w:r>
            <w:r w:rsidR="00D02875">
              <w:rPr>
                <w:noProof/>
                <w:webHidden/>
              </w:rPr>
              <w:fldChar w:fldCharType="begin"/>
            </w:r>
            <w:r w:rsidR="00D02875">
              <w:rPr>
                <w:noProof/>
                <w:webHidden/>
              </w:rPr>
              <w:instrText xml:space="preserve"> PAGEREF _Toc19323155 \h </w:instrText>
            </w:r>
            <w:r w:rsidR="00D02875">
              <w:rPr>
                <w:noProof/>
                <w:webHidden/>
              </w:rPr>
            </w:r>
            <w:r w:rsidR="00D02875">
              <w:rPr>
                <w:noProof/>
                <w:webHidden/>
              </w:rPr>
              <w:fldChar w:fldCharType="separate"/>
            </w:r>
            <w:r w:rsidR="00374E57">
              <w:rPr>
                <w:noProof/>
                <w:webHidden/>
              </w:rPr>
              <w:t>23</w:t>
            </w:r>
            <w:r w:rsidR="00D02875">
              <w:rPr>
                <w:noProof/>
                <w:webHidden/>
              </w:rPr>
              <w:fldChar w:fldCharType="end"/>
            </w:r>
          </w:hyperlink>
        </w:p>
        <w:p w14:paraId="220F7DE4" w14:textId="11110A9E" w:rsidR="00D02875" w:rsidRDefault="0060195D">
          <w:pPr>
            <w:pStyle w:val="TOC2"/>
            <w:tabs>
              <w:tab w:val="right" w:leader="dot" w:pos="9350"/>
            </w:tabs>
            <w:rPr>
              <w:rFonts w:asciiTheme="minorHAnsi" w:hAnsiTheme="minorHAnsi"/>
              <w:noProof/>
              <w:sz w:val="24"/>
              <w:szCs w:val="24"/>
              <w:lang w:eastAsia="en-US"/>
            </w:rPr>
          </w:pPr>
          <w:hyperlink w:anchor="_Toc19323156" w:history="1">
            <w:r w:rsidR="00D02875" w:rsidRPr="00F23F68">
              <w:rPr>
                <w:rStyle w:val="Hyperlink"/>
                <w:noProof/>
              </w:rPr>
              <w:t>2.6 Assumptions</w:t>
            </w:r>
            <w:r w:rsidR="00D02875">
              <w:rPr>
                <w:noProof/>
                <w:webHidden/>
              </w:rPr>
              <w:tab/>
            </w:r>
            <w:r w:rsidR="00D02875">
              <w:rPr>
                <w:noProof/>
                <w:webHidden/>
              </w:rPr>
              <w:fldChar w:fldCharType="begin"/>
            </w:r>
            <w:r w:rsidR="00D02875">
              <w:rPr>
                <w:noProof/>
                <w:webHidden/>
              </w:rPr>
              <w:instrText xml:space="preserve"> PAGEREF _Toc19323156 \h </w:instrText>
            </w:r>
            <w:r w:rsidR="00D02875">
              <w:rPr>
                <w:noProof/>
                <w:webHidden/>
              </w:rPr>
            </w:r>
            <w:r w:rsidR="00D02875">
              <w:rPr>
                <w:noProof/>
                <w:webHidden/>
              </w:rPr>
              <w:fldChar w:fldCharType="separate"/>
            </w:r>
            <w:r w:rsidR="00374E57">
              <w:rPr>
                <w:noProof/>
                <w:webHidden/>
              </w:rPr>
              <w:t>24</w:t>
            </w:r>
            <w:r w:rsidR="00D02875">
              <w:rPr>
                <w:noProof/>
                <w:webHidden/>
              </w:rPr>
              <w:fldChar w:fldCharType="end"/>
            </w:r>
          </w:hyperlink>
        </w:p>
        <w:p w14:paraId="475D6B92" w14:textId="173418AB" w:rsidR="00D02875" w:rsidRDefault="0060195D">
          <w:pPr>
            <w:pStyle w:val="TOC2"/>
            <w:tabs>
              <w:tab w:val="left" w:pos="960"/>
              <w:tab w:val="right" w:leader="dot" w:pos="9350"/>
            </w:tabs>
            <w:rPr>
              <w:rFonts w:asciiTheme="minorHAnsi" w:hAnsiTheme="minorHAnsi"/>
              <w:noProof/>
              <w:sz w:val="24"/>
              <w:szCs w:val="24"/>
              <w:lang w:eastAsia="en-US"/>
            </w:rPr>
          </w:pPr>
          <w:hyperlink w:anchor="_Toc19323157" w:history="1">
            <w:r w:rsidR="00D02875" w:rsidRPr="00F23F68">
              <w:rPr>
                <w:rStyle w:val="Hyperlink"/>
                <w:noProof/>
              </w:rPr>
              <w:t>2.6</w:t>
            </w:r>
            <w:r w:rsidR="00D02875">
              <w:rPr>
                <w:rFonts w:asciiTheme="minorHAnsi" w:hAnsiTheme="minorHAnsi"/>
                <w:noProof/>
                <w:sz w:val="24"/>
                <w:szCs w:val="24"/>
                <w:lang w:eastAsia="en-US"/>
              </w:rPr>
              <w:tab/>
            </w:r>
            <w:r w:rsidR="00D02875" w:rsidRPr="00F23F68">
              <w:rPr>
                <w:rStyle w:val="Hyperlink"/>
                <w:noProof/>
              </w:rPr>
              <w:t>Integration</w:t>
            </w:r>
            <w:r w:rsidR="00D02875">
              <w:rPr>
                <w:noProof/>
                <w:webHidden/>
              </w:rPr>
              <w:tab/>
            </w:r>
            <w:r w:rsidR="00D02875">
              <w:rPr>
                <w:noProof/>
                <w:webHidden/>
              </w:rPr>
              <w:fldChar w:fldCharType="begin"/>
            </w:r>
            <w:r w:rsidR="00D02875">
              <w:rPr>
                <w:noProof/>
                <w:webHidden/>
              </w:rPr>
              <w:instrText xml:space="preserve"> PAGEREF _Toc19323157 \h </w:instrText>
            </w:r>
            <w:r w:rsidR="00D02875">
              <w:rPr>
                <w:noProof/>
                <w:webHidden/>
              </w:rPr>
            </w:r>
            <w:r w:rsidR="00D02875">
              <w:rPr>
                <w:noProof/>
                <w:webHidden/>
              </w:rPr>
              <w:fldChar w:fldCharType="separate"/>
            </w:r>
            <w:r w:rsidR="00374E57">
              <w:rPr>
                <w:noProof/>
                <w:webHidden/>
              </w:rPr>
              <w:t>24</w:t>
            </w:r>
            <w:r w:rsidR="00D02875">
              <w:rPr>
                <w:noProof/>
                <w:webHidden/>
              </w:rPr>
              <w:fldChar w:fldCharType="end"/>
            </w:r>
          </w:hyperlink>
        </w:p>
        <w:p w14:paraId="65F48E69" w14:textId="4EADA194" w:rsidR="00D02875" w:rsidRDefault="0060195D">
          <w:pPr>
            <w:pStyle w:val="TOC1"/>
            <w:tabs>
              <w:tab w:val="left" w:pos="440"/>
              <w:tab w:val="right" w:leader="dot" w:pos="9350"/>
            </w:tabs>
            <w:rPr>
              <w:rFonts w:asciiTheme="minorHAnsi" w:hAnsiTheme="minorHAnsi"/>
              <w:noProof/>
              <w:sz w:val="24"/>
              <w:szCs w:val="24"/>
              <w:lang w:eastAsia="en-US"/>
            </w:rPr>
          </w:pPr>
          <w:hyperlink w:anchor="_Toc19323158" w:history="1">
            <w:r w:rsidR="00D02875" w:rsidRPr="00F23F68">
              <w:rPr>
                <w:rStyle w:val="Hyperlink"/>
                <w:noProof/>
              </w:rPr>
              <w:t>3</w:t>
            </w:r>
            <w:r w:rsidR="00D02875">
              <w:rPr>
                <w:rFonts w:asciiTheme="minorHAnsi" w:hAnsiTheme="minorHAnsi"/>
                <w:noProof/>
                <w:sz w:val="24"/>
                <w:szCs w:val="24"/>
                <w:lang w:eastAsia="en-US"/>
              </w:rPr>
              <w:tab/>
            </w:r>
            <w:r w:rsidR="00D02875" w:rsidRPr="00F23F68">
              <w:rPr>
                <w:rStyle w:val="Hyperlink"/>
                <w:noProof/>
              </w:rPr>
              <w:t>Results</w:t>
            </w:r>
            <w:r w:rsidR="00D02875">
              <w:rPr>
                <w:noProof/>
                <w:webHidden/>
              </w:rPr>
              <w:tab/>
            </w:r>
            <w:r w:rsidR="00D02875">
              <w:rPr>
                <w:noProof/>
                <w:webHidden/>
              </w:rPr>
              <w:fldChar w:fldCharType="begin"/>
            </w:r>
            <w:r w:rsidR="00D02875">
              <w:rPr>
                <w:noProof/>
                <w:webHidden/>
              </w:rPr>
              <w:instrText xml:space="preserve"> PAGEREF _Toc19323158 \h </w:instrText>
            </w:r>
            <w:r w:rsidR="00D02875">
              <w:rPr>
                <w:noProof/>
                <w:webHidden/>
              </w:rPr>
            </w:r>
            <w:r w:rsidR="00D02875">
              <w:rPr>
                <w:noProof/>
                <w:webHidden/>
              </w:rPr>
              <w:fldChar w:fldCharType="separate"/>
            </w:r>
            <w:r w:rsidR="00374E57">
              <w:rPr>
                <w:noProof/>
                <w:webHidden/>
              </w:rPr>
              <w:t>26</w:t>
            </w:r>
            <w:r w:rsidR="00D02875">
              <w:rPr>
                <w:noProof/>
                <w:webHidden/>
              </w:rPr>
              <w:fldChar w:fldCharType="end"/>
            </w:r>
          </w:hyperlink>
        </w:p>
        <w:p w14:paraId="72085232" w14:textId="013CBB6A" w:rsidR="00D02875" w:rsidRDefault="0060195D">
          <w:pPr>
            <w:pStyle w:val="TOC2"/>
            <w:tabs>
              <w:tab w:val="left" w:pos="960"/>
              <w:tab w:val="right" w:leader="dot" w:pos="9350"/>
            </w:tabs>
            <w:rPr>
              <w:rFonts w:asciiTheme="minorHAnsi" w:hAnsiTheme="minorHAnsi"/>
              <w:noProof/>
              <w:sz w:val="24"/>
              <w:szCs w:val="24"/>
              <w:lang w:eastAsia="en-US"/>
            </w:rPr>
          </w:pPr>
          <w:hyperlink w:anchor="_Toc19323159" w:history="1">
            <w:r w:rsidR="00D02875" w:rsidRPr="00F23F68">
              <w:rPr>
                <w:rStyle w:val="Hyperlink"/>
                <w:noProof/>
              </w:rPr>
              <w:t>3.1</w:t>
            </w:r>
            <w:r w:rsidR="00D02875">
              <w:rPr>
                <w:rFonts w:asciiTheme="minorHAnsi" w:hAnsiTheme="minorHAnsi"/>
                <w:noProof/>
                <w:sz w:val="24"/>
                <w:szCs w:val="24"/>
                <w:lang w:eastAsia="en-US"/>
              </w:rPr>
              <w:tab/>
            </w:r>
            <w:r w:rsidR="00D02875" w:rsidRPr="00F23F68">
              <w:rPr>
                <w:rStyle w:val="Hyperlink"/>
                <w:noProof/>
              </w:rPr>
              <w:t>Adoption</w:t>
            </w:r>
            <w:r w:rsidR="00D02875">
              <w:rPr>
                <w:noProof/>
                <w:webHidden/>
              </w:rPr>
              <w:tab/>
            </w:r>
            <w:r w:rsidR="00D02875">
              <w:rPr>
                <w:noProof/>
                <w:webHidden/>
              </w:rPr>
              <w:fldChar w:fldCharType="begin"/>
            </w:r>
            <w:r w:rsidR="00D02875">
              <w:rPr>
                <w:noProof/>
                <w:webHidden/>
              </w:rPr>
              <w:instrText xml:space="preserve"> PAGEREF _Toc19323159 \h </w:instrText>
            </w:r>
            <w:r w:rsidR="00D02875">
              <w:rPr>
                <w:noProof/>
                <w:webHidden/>
              </w:rPr>
            </w:r>
            <w:r w:rsidR="00D02875">
              <w:rPr>
                <w:noProof/>
                <w:webHidden/>
              </w:rPr>
              <w:fldChar w:fldCharType="separate"/>
            </w:r>
            <w:r w:rsidR="00374E57">
              <w:rPr>
                <w:noProof/>
                <w:webHidden/>
              </w:rPr>
              <w:t>26</w:t>
            </w:r>
            <w:r w:rsidR="00D02875">
              <w:rPr>
                <w:noProof/>
                <w:webHidden/>
              </w:rPr>
              <w:fldChar w:fldCharType="end"/>
            </w:r>
          </w:hyperlink>
        </w:p>
        <w:p w14:paraId="44463243" w14:textId="126E59DA" w:rsidR="00D02875" w:rsidRDefault="0060195D">
          <w:pPr>
            <w:pStyle w:val="TOC2"/>
            <w:tabs>
              <w:tab w:val="left" w:pos="960"/>
              <w:tab w:val="right" w:leader="dot" w:pos="9350"/>
            </w:tabs>
            <w:rPr>
              <w:rFonts w:asciiTheme="minorHAnsi" w:hAnsiTheme="minorHAnsi"/>
              <w:noProof/>
              <w:sz w:val="24"/>
              <w:szCs w:val="24"/>
              <w:lang w:eastAsia="en-US"/>
            </w:rPr>
          </w:pPr>
          <w:hyperlink w:anchor="_Toc19323160" w:history="1">
            <w:r w:rsidR="00D02875" w:rsidRPr="00F23F68">
              <w:rPr>
                <w:rStyle w:val="Hyperlink"/>
                <w:noProof/>
              </w:rPr>
              <w:t>3.2</w:t>
            </w:r>
            <w:r w:rsidR="00D02875">
              <w:rPr>
                <w:rFonts w:asciiTheme="minorHAnsi" w:hAnsiTheme="minorHAnsi"/>
                <w:noProof/>
                <w:sz w:val="24"/>
                <w:szCs w:val="24"/>
                <w:lang w:eastAsia="en-US"/>
              </w:rPr>
              <w:tab/>
            </w:r>
            <w:r w:rsidR="00D02875" w:rsidRPr="00F23F68">
              <w:rPr>
                <w:rStyle w:val="Hyperlink"/>
                <w:noProof/>
              </w:rPr>
              <w:t>Climate Impacts</w:t>
            </w:r>
            <w:r w:rsidR="00D02875">
              <w:rPr>
                <w:noProof/>
                <w:webHidden/>
              </w:rPr>
              <w:tab/>
            </w:r>
            <w:r w:rsidR="00D02875">
              <w:rPr>
                <w:noProof/>
                <w:webHidden/>
              </w:rPr>
              <w:fldChar w:fldCharType="begin"/>
            </w:r>
            <w:r w:rsidR="00D02875">
              <w:rPr>
                <w:noProof/>
                <w:webHidden/>
              </w:rPr>
              <w:instrText xml:space="preserve"> PAGEREF _Toc19323160 \h </w:instrText>
            </w:r>
            <w:r w:rsidR="00D02875">
              <w:rPr>
                <w:noProof/>
                <w:webHidden/>
              </w:rPr>
            </w:r>
            <w:r w:rsidR="00D02875">
              <w:rPr>
                <w:noProof/>
                <w:webHidden/>
              </w:rPr>
              <w:fldChar w:fldCharType="separate"/>
            </w:r>
            <w:r w:rsidR="00374E57">
              <w:rPr>
                <w:noProof/>
                <w:webHidden/>
              </w:rPr>
              <w:t>27</w:t>
            </w:r>
            <w:r w:rsidR="00D02875">
              <w:rPr>
                <w:noProof/>
                <w:webHidden/>
              </w:rPr>
              <w:fldChar w:fldCharType="end"/>
            </w:r>
          </w:hyperlink>
        </w:p>
        <w:p w14:paraId="540315F8" w14:textId="18530D8A" w:rsidR="00D02875" w:rsidRDefault="0060195D">
          <w:pPr>
            <w:pStyle w:val="TOC2"/>
            <w:tabs>
              <w:tab w:val="left" w:pos="960"/>
              <w:tab w:val="right" w:leader="dot" w:pos="9350"/>
            </w:tabs>
            <w:rPr>
              <w:rFonts w:asciiTheme="minorHAnsi" w:hAnsiTheme="minorHAnsi"/>
              <w:noProof/>
              <w:sz w:val="24"/>
              <w:szCs w:val="24"/>
              <w:lang w:eastAsia="en-US"/>
            </w:rPr>
          </w:pPr>
          <w:hyperlink w:anchor="_Toc19323161" w:history="1">
            <w:r w:rsidR="00D02875" w:rsidRPr="00F23F68">
              <w:rPr>
                <w:rStyle w:val="Hyperlink"/>
                <w:noProof/>
              </w:rPr>
              <w:t>3.3</w:t>
            </w:r>
            <w:r w:rsidR="00D02875">
              <w:rPr>
                <w:rFonts w:asciiTheme="minorHAnsi" w:hAnsiTheme="minorHAnsi"/>
                <w:noProof/>
                <w:sz w:val="24"/>
                <w:szCs w:val="24"/>
                <w:lang w:eastAsia="en-US"/>
              </w:rPr>
              <w:tab/>
            </w:r>
            <w:r w:rsidR="00D02875" w:rsidRPr="00F23F68">
              <w:rPr>
                <w:rStyle w:val="Hyperlink"/>
                <w:noProof/>
              </w:rPr>
              <w:t>Financial Impacts</w:t>
            </w:r>
            <w:r w:rsidR="00D02875">
              <w:rPr>
                <w:noProof/>
                <w:webHidden/>
              </w:rPr>
              <w:tab/>
            </w:r>
            <w:r w:rsidR="00D02875">
              <w:rPr>
                <w:noProof/>
                <w:webHidden/>
              </w:rPr>
              <w:fldChar w:fldCharType="begin"/>
            </w:r>
            <w:r w:rsidR="00D02875">
              <w:rPr>
                <w:noProof/>
                <w:webHidden/>
              </w:rPr>
              <w:instrText xml:space="preserve"> PAGEREF _Toc19323161 \h </w:instrText>
            </w:r>
            <w:r w:rsidR="00D02875">
              <w:rPr>
                <w:noProof/>
                <w:webHidden/>
              </w:rPr>
            </w:r>
            <w:r w:rsidR="00D02875">
              <w:rPr>
                <w:noProof/>
                <w:webHidden/>
              </w:rPr>
              <w:fldChar w:fldCharType="separate"/>
            </w:r>
            <w:r w:rsidR="00374E57">
              <w:rPr>
                <w:noProof/>
                <w:webHidden/>
              </w:rPr>
              <w:t>29</w:t>
            </w:r>
            <w:r w:rsidR="00D02875">
              <w:rPr>
                <w:noProof/>
                <w:webHidden/>
              </w:rPr>
              <w:fldChar w:fldCharType="end"/>
            </w:r>
          </w:hyperlink>
        </w:p>
        <w:p w14:paraId="156EBEF0" w14:textId="0C478574" w:rsidR="00D02875" w:rsidRDefault="0060195D">
          <w:pPr>
            <w:pStyle w:val="TOC1"/>
            <w:tabs>
              <w:tab w:val="left" w:pos="440"/>
              <w:tab w:val="right" w:leader="dot" w:pos="9350"/>
            </w:tabs>
            <w:rPr>
              <w:rFonts w:asciiTheme="minorHAnsi" w:hAnsiTheme="minorHAnsi"/>
              <w:noProof/>
              <w:sz w:val="24"/>
              <w:szCs w:val="24"/>
              <w:lang w:eastAsia="en-US"/>
            </w:rPr>
          </w:pPr>
          <w:hyperlink w:anchor="_Toc19323162" w:history="1">
            <w:r w:rsidR="00D02875" w:rsidRPr="00F23F68">
              <w:rPr>
                <w:rStyle w:val="Hyperlink"/>
                <w:noProof/>
              </w:rPr>
              <w:t>4</w:t>
            </w:r>
            <w:r w:rsidR="00D02875">
              <w:rPr>
                <w:rFonts w:asciiTheme="minorHAnsi" w:hAnsiTheme="minorHAnsi"/>
                <w:noProof/>
                <w:sz w:val="24"/>
                <w:szCs w:val="24"/>
                <w:lang w:eastAsia="en-US"/>
              </w:rPr>
              <w:tab/>
            </w:r>
            <w:r w:rsidR="00D02875" w:rsidRPr="00F23F68">
              <w:rPr>
                <w:rStyle w:val="Hyperlink"/>
                <w:noProof/>
              </w:rPr>
              <w:t>Discussion</w:t>
            </w:r>
            <w:r w:rsidR="00D02875">
              <w:rPr>
                <w:noProof/>
                <w:webHidden/>
              </w:rPr>
              <w:tab/>
            </w:r>
            <w:r w:rsidR="00D02875">
              <w:rPr>
                <w:noProof/>
                <w:webHidden/>
              </w:rPr>
              <w:fldChar w:fldCharType="begin"/>
            </w:r>
            <w:r w:rsidR="00D02875">
              <w:rPr>
                <w:noProof/>
                <w:webHidden/>
              </w:rPr>
              <w:instrText xml:space="preserve"> PAGEREF _Toc19323162 \h </w:instrText>
            </w:r>
            <w:r w:rsidR="00D02875">
              <w:rPr>
                <w:noProof/>
                <w:webHidden/>
              </w:rPr>
            </w:r>
            <w:r w:rsidR="00D02875">
              <w:rPr>
                <w:noProof/>
                <w:webHidden/>
              </w:rPr>
              <w:fldChar w:fldCharType="separate"/>
            </w:r>
            <w:r w:rsidR="00374E57">
              <w:rPr>
                <w:noProof/>
                <w:webHidden/>
              </w:rPr>
              <w:t>31</w:t>
            </w:r>
            <w:r w:rsidR="00D02875">
              <w:rPr>
                <w:noProof/>
                <w:webHidden/>
              </w:rPr>
              <w:fldChar w:fldCharType="end"/>
            </w:r>
          </w:hyperlink>
        </w:p>
        <w:p w14:paraId="549FA99E" w14:textId="39E52FFE" w:rsidR="00D02875" w:rsidRDefault="0060195D">
          <w:pPr>
            <w:pStyle w:val="TOC2"/>
            <w:tabs>
              <w:tab w:val="left" w:pos="960"/>
              <w:tab w:val="right" w:leader="dot" w:pos="9350"/>
            </w:tabs>
            <w:rPr>
              <w:rFonts w:asciiTheme="minorHAnsi" w:hAnsiTheme="minorHAnsi"/>
              <w:noProof/>
              <w:sz w:val="24"/>
              <w:szCs w:val="24"/>
              <w:lang w:eastAsia="en-US"/>
            </w:rPr>
          </w:pPr>
          <w:hyperlink w:anchor="_Toc19323163" w:history="1">
            <w:r w:rsidR="00D02875" w:rsidRPr="00F23F68">
              <w:rPr>
                <w:rStyle w:val="Hyperlink"/>
                <w:noProof/>
              </w:rPr>
              <w:t>4.1</w:t>
            </w:r>
            <w:r w:rsidR="00D02875">
              <w:rPr>
                <w:rFonts w:asciiTheme="minorHAnsi" w:hAnsiTheme="minorHAnsi"/>
                <w:noProof/>
                <w:sz w:val="24"/>
                <w:szCs w:val="24"/>
                <w:lang w:eastAsia="en-US"/>
              </w:rPr>
              <w:tab/>
            </w:r>
            <w:r w:rsidR="00D02875" w:rsidRPr="00F23F68">
              <w:rPr>
                <w:rStyle w:val="Hyperlink"/>
                <w:noProof/>
              </w:rPr>
              <w:t>Limitations</w:t>
            </w:r>
            <w:r w:rsidR="00D02875">
              <w:rPr>
                <w:noProof/>
                <w:webHidden/>
              </w:rPr>
              <w:tab/>
            </w:r>
            <w:r w:rsidR="00D02875">
              <w:rPr>
                <w:noProof/>
                <w:webHidden/>
              </w:rPr>
              <w:fldChar w:fldCharType="begin"/>
            </w:r>
            <w:r w:rsidR="00D02875">
              <w:rPr>
                <w:noProof/>
                <w:webHidden/>
              </w:rPr>
              <w:instrText xml:space="preserve"> PAGEREF _Toc19323163 \h </w:instrText>
            </w:r>
            <w:r w:rsidR="00D02875">
              <w:rPr>
                <w:noProof/>
                <w:webHidden/>
              </w:rPr>
            </w:r>
            <w:r w:rsidR="00D02875">
              <w:rPr>
                <w:noProof/>
                <w:webHidden/>
              </w:rPr>
              <w:fldChar w:fldCharType="separate"/>
            </w:r>
            <w:r w:rsidR="00374E57">
              <w:rPr>
                <w:noProof/>
                <w:webHidden/>
              </w:rPr>
              <w:t>31</w:t>
            </w:r>
            <w:r w:rsidR="00D02875">
              <w:rPr>
                <w:noProof/>
                <w:webHidden/>
              </w:rPr>
              <w:fldChar w:fldCharType="end"/>
            </w:r>
          </w:hyperlink>
        </w:p>
        <w:p w14:paraId="0C3B0797" w14:textId="5C56ABE5" w:rsidR="00D02875" w:rsidRDefault="0060195D">
          <w:pPr>
            <w:pStyle w:val="TOC2"/>
            <w:tabs>
              <w:tab w:val="left" w:pos="960"/>
              <w:tab w:val="right" w:leader="dot" w:pos="9350"/>
            </w:tabs>
            <w:rPr>
              <w:rFonts w:asciiTheme="minorHAnsi" w:hAnsiTheme="minorHAnsi"/>
              <w:noProof/>
              <w:sz w:val="24"/>
              <w:szCs w:val="24"/>
              <w:lang w:eastAsia="en-US"/>
            </w:rPr>
          </w:pPr>
          <w:hyperlink w:anchor="_Toc19323164" w:history="1">
            <w:r w:rsidR="00D02875" w:rsidRPr="00F23F68">
              <w:rPr>
                <w:rStyle w:val="Hyperlink"/>
                <w:noProof/>
              </w:rPr>
              <w:t>4.2</w:t>
            </w:r>
            <w:r w:rsidR="00D02875">
              <w:rPr>
                <w:rFonts w:asciiTheme="minorHAnsi" w:hAnsiTheme="minorHAnsi"/>
                <w:noProof/>
                <w:sz w:val="24"/>
                <w:szCs w:val="24"/>
                <w:lang w:eastAsia="en-US"/>
              </w:rPr>
              <w:tab/>
            </w:r>
            <w:r w:rsidR="00D02875" w:rsidRPr="00F23F68">
              <w:rPr>
                <w:rStyle w:val="Hyperlink"/>
                <w:noProof/>
              </w:rPr>
              <w:t>Benchmarks</w:t>
            </w:r>
            <w:r w:rsidR="00D02875">
              <w:rPr>
                <w:noProof/>
                <w:webHidden/>
              </w:rPr>
              <w:tab/>
            </w:r>
            <w:r w:rsidR="00D02875">
              <w:rPr>
                <w:noProof/>
                <w:webHidden/>
              </w:rPr>
              <w:fldChar w:fldCharType="begin"/>
            </w:r>
            <w:r w:rsidR="00D02875">
              <w:rPr>
                <w:noProof/>
                <w:webHidden/>
              </w:rPr>
              <w:instrText xml:space="preserve"> PAGEREF _Toc19323164 \h </w:instrText>
            </w:r>
            <w:r w:rsidR="00D02875">
              <w:rPr>
                <w:noProof/>
                <w:webHidden/>
              </w:rPr>
            </w:r>
            <w:r w:rsidR="00D02875">
              <w:rPr>
                <w:noProof/>
                <w:webHidden/>
              </w:rPr>
              <w:fldChar w:fldCharType="separate"/>
            </w:r>
            <w:r w:rsidR="00374E57">
              <w:rPr>
                <w:noProof/>
                <w:webHidden/>
              </w:rPr>
              <w:t>31</w:t>
            </w:r>
            <w:r w:rsidR="00D02875">
              <w:rPr>
                <w:noProof/>
                <w:webHidden/>
              </w:rPr>
              <w:fldChar w:fldCharType="end"/>
            </w:r>
          </w:hyperlink>
        </w:p>
        <w:p w14:paraId="4F9EE2A1" w14:textId="46DC7B74" w:rsidR="00D02875" w:rsidRDefault="0060195D">
          <w:pPr>
            <w:pStyle w:val="TOC1"/>
            <w:tabs>
              <w:tab w:val="left" w:pos="440"/>
              <w:tab w:val="right" w:leader="dot" w:pos="9350"/>
            </w:tabs>
            <w:rPr>
              <w:rFonts w:asciiTheme="minorHAnsi" w:hAnsiTheme="minorHAnsi"/>
              <w:noProof/>
              <w:sz w:val="24"/>
              <w:szCs w:val="24"/>
              <w:lang w:eastAsia="en-US"/>
            </w:rPr>
          </w:pPr>
          <w:hyperlink w:anchor="_Toc19323165" w:history="1">
            <w:r w:rsidR="00D02875" w:rsidRPr="00F23F68">
              <w:rPr>
                <w:rStyle w:val="Hyperlink"/>
                <w:noProof/>
              </w:rPr>
              <w:t>5</w:t>
            </w:r>
            <w:r w:rsidR="00D02875">
              <w:rPr>
                <w:rFonts w:asciiTheme="minorHAnsi" w:hAnsiTheme="minorHAnsi"/>
                <w:noProof/>
                <w:sz w:val="24"/>
                <w:szCs w:val="24"/>
                <w:lang w:eastAsia="en-US"/>
              </w:rPr>
              <w:tab/>
            </w:r>
            <w:r w:rsidR="00D02875" w:rsidRPr="00F23F68">
              <w:rPr>
                <w:rStyle w:val="Hyperlink"/>
                <w:noProof/>
              </w:rPr>
              <w:t>References</w:t>
            </w:r>
            <w:r w:rsidR="00D02875">
              <w:rPr>
                <w:noProof/>
                <w:webHidden/>
              </w:rPr>
              <w:tab/>
            </w:r>
            <w:r w:rsidR="00D02875">
              <w:rPr>
                <w:noProof/>
                <w:webHidden/>
              </w:rPr>
              <w:fldChar w:fldCharType="begin"/>
            </w:r>
            <w:r w:rsidR="00D02875">
              <w:rPr>
                <w:noProof/>
                <w:webHidden/>
              </w:rPr>
              <w:instrText xml:space="preserve"> PAGEREF _Toc19323165 \h </w:instrText>
            </w:r>
            <w:r w:rsidR="00D02875">
              <w:rPr>
                <w:noProof/>
                <w:webHidden/>
              </w:rPr>
            </w:r>
            <w:r w:rsidR="00D02875">
              <w:rPr>
                <w:noProof/>
                <w:webHidden/>
              </w:rPr>
              <w:fldChar w:fldCharType="separate"/>
            </w:r>
            <w:r w:rsidR="00374E57">
              <w:rPr>
                <w:noProof/>
                <w:webHidden/>
              </w:rPr>
              <w:t>33</w:t>
            </w:r>
            <w:r w:rsidR="00D02875">
              <w:rPr>
                <w:noProof/>
                <w:webHidden/>
              </w:rPr>
              <w:fldChar w:fldCharType="end"/>
            </w:r>
          </w:hyperlink>
        </w:p>
        <w:p w14:paraId="1D690BDD" w14:textId="70709D4D" w:rsidR="00D02875" w:rsidRDefault="0060195D">
          <w:pPr>
            <w:pStyle w:val="TOC1"/>
            <w:tabs>
              <w:tab w:val="left" w:pos="440"/>
              <w:tab w:val="right" w:leader="dot" w:pos="9350"/>
            </w:tabs>
            <w:rPr>
              <w:rFonts w:asciiTheme="minorHAnsi" w:hAnsiTheme="minorHAnsi"/>
              <w:noProof/>
              <w:sz w:val="24"/>
              <w:szCs w:val="24"/>
              <w:lang w:eastAsia="en-US"/>
            </w:rPr>
          </w:pPr>
          <w:hyperlink w:anchor="_Toc19323166" w:history="1">
            <w:r w:rsidR="00D02875" w:rsidRPr="00F23F68">
              <w:rPr>
                <w:rStyle w:val="Hyperlink"/>
                <w:noProof/>
              </w:rPr>
              <w:t>6</w:t>
            </w:r>
            <w:r w:rsidR="00D02875">
              <w:rPr>
                <w:rFonts w:asciiTheme="minorHAnsi" w:hAnsiTheme="minorHAnsi"/>
                <w:noProof/>
                <w:sz w:val="24"/>
                <w:szCs w:val="24"/>
                <w:lang w:eastAsia="en-US"/>
              </w:rPr>
              <w:tab/>
            </w:r>
            <w:r w:rsidR="00D02875" w:rsidRPr="00F23F68">
              <w:rPr>
                <w:rStyle w:val="Hyperlink"/>
                <w:noProof/>
              </w:rPr>
              <w:t>Glossary</w:t>
            </w:r>
            <w:r w:rsidR="00D02875">
              <w:rPr>
                <w:noProof/>
                <w:webHidden/>
              </w:rPr>
              <w:tab/>
            </w:r>
            <w:r w:rsidR="00D02875">
              <w:rPr>
                <w:noProof/>
                <w:webHidden/>
              </w:rPr>
              <w:fldChar w:fldCharType="begin"/>
            </w:r>
            <w:r w:rsidR="00D02875">
              <w:rPr>
                <w:noProof/>
                <w:webHidden/>
              </w:rPr>
              <w:instrText xml:space="preserve"> PAGEREF _Toc19323166 \h </w:instrText>
            </w:r>
            <w:r w:rsidR="00D02875">
              <w:rPr>
                <w:noProof/>
                <w:webHidden/>
              </w:rPr>
            </w:r>
            <w:r w:rsidR="00D02875">
              <w:rPr>
                <w:noProof/>
                <w:webHidden/>
              </w:rPr>
              <w:fldChar w:fldCharType="separate"/>
            </w:r>
            <w:r w:rsidR="00374E57">
              <w:rPr>
                <w:noProof/>
                <w:webHidden/>
              </w:rPr>
              <w:t>36</w:t>
            </w:r>
            <w:r w:rsidR="00D02875">
              <w:rPr>
                <w:noProof/>
                <w:webHidden/>
              </w:rPr>
              <w:fldChar w:fldCharType="end"/>
            </w:r>
          </w:hyperlink>
        </w:p>
        <w:p w14:paraId="12C7DAF6" w14:textId="7906F6D1" w:rsidR="00640665" w:rsidRPr="00E069AC" w:rsidRDefault="00640665" w:rsidP="00EB247F">
          <w:pPr>
            <w:spacing w:after="0"/>
          </w:pPr>
          <w:r w:rsidRPr="00E069AC">
            <w:rPr>
              <w:b/>
              <w:bCs/>
              <w:noProof/>
            </w:rPr>
            <w:fldChar w:fldCharType="end"/>
          </w:r>
        </w:p>
      </w:sdtContent>
    </w:sdt>
    <w:p w14:paraId="1827C10C" w14:textId="3B09BCA5" w:rsidR="00F15AEE" w:rsidRPr="00E069AC" w:rsidRDefault="00F15AEE" w:rsidP="00EB247F">
      <w:pPr>
        <w:spacing w:after="0"/>
      </w:pPr>
      <w:r w:rsidRPr="00E069AC">
        <w:br w:type="page"/>
      </w:r>
    </w:p>
    <w:p w14:paraId="325B3971" w14:textId="4DF0A92F" w:rsidR="2D56E7D4" w:rsidRPr="00E069AC" w:rsidRDefault="00C23CAC" w:rsidP="00912CC8">
      <w:pPr>
        <w:pStyle w:val="Heading1"/>
        <w:numPr>
          <w:ilvl w:val="0"/>
          <w:numId w:val="0"/>
        </w:numPr>
        <w:rPr>
          <w:noProof/>
        </w:rPr>
      </w:pPr>
      <w:bookmarkStart w:id="0" w:name="_Toc19323132"/>
      <w:r w:rsidRPr="00E069AC">
        <w:rPr>
          <w:noProof/>
        </w:rPr>
        <w:lastRenderedPageBreak/>
        <w:t xml:space="preserve">List of </w:t>
      </w:r>
      <w:r w:rsidR="2D56E7D4" w:rsidRPr="00E069AC">
        <w:rPr>
          <w:noProof/>
        </w:rPr>
        <w:t>Figures</w:t>
      </w:r>
      <w:bookmarkEnd w:id="0"/>
    </w:p>
    <w:p w14:paraId="4A10A7F5" w14:textId="61746678" w:rsidR="00374E57" w:rsidRDefault="00F15AEE">
      <w:pPr>
        <w:pStyle w:val="TableofFigures"/>
        <w:tabs>
          <w:tab w:val="right" w:leader="dot" w:pos="9350"/>
        </w:tabs>
        <w:rPr>
          <w:rFonts w:asciiTheme="minorHAnsi" w:hAnsiTheme="minorHAnsi"/>
          <w:noProof/>
          <w:sz w:val="24"/>
          <w:szCs w:val="24"/>
          <w:lang w:eastAsia="en-US"/>
        </w:rPr>
      </w:pPr>
      <w:r w:rsidRPr="00E069AC">
        <w:fldChar w:fldCharType="begin"/>
      </w:r>
      <w:r w:rsidRPr="00E069AC">
        <w:instrText xml:space="preserve"> TOC \h \z \c "Figure" </w:instrText>
      </w:r>
      <w:r w:rsidRPr="00E069AC">
        <w:fldChar w:fldCharType="separate"/>
      </w:r>
      <w:hyperlink w:anchor="_Toc44543350" w:history="1">
        <w:r w:rsidR="00374E57" w:rsidRPr="001D63CC">
          <w:rPr>
            <w:rStyle w:val="Hyperlink"/>
            <w:noProof/>
          </w:rPr>
          <w:t>Figure 3.1 World Annual Adoption 2015-2060</w:t>
        </w:r>
        <w:r w:rsidR="00374E57">
          <w:rPr>
            <w:noProof/>
            <w:webHidden/>
          </w:rPr>
          <w:tab/>
        </w:r>
        <w:r w:rsidR="00374E57">
          <w:rPr>
            <w:noProof/>
            <w:webHidden/>
          </w:rPr>
          <w:fldChar w:fldCharType="begin"/>
        </w:r>
        <w:r w:rsidR="00374E57">
          <w:rPr>
            <w:noProof/>
            <w:webHidden/>
          </w:rPr>
          <w:instrText xml:space="preserve"> PAGEREF _Toc44543350 \h </w:instrText>
        </w:r>
        <w:r w:rsidR="00374E57">
          <w:rPr>
            <w:noProof/>
            <w:webHidden/>
          </w:rPr>
        </w:r>
        <w:r w:rsidR="00374E57">
          <w:rPr>
            <w:noProof/>
            <w:webHidden/>
          </w:rPr>
          <w:fldChar w:fldCharType="separate"/>
        </w:r>
        <w:r w:rsidR="00374E57">
          <w:rPr>
            <w:noProof/>
            <w:webHidden/>
          </w:rPr>
          <w:t>27</w:t>
        </w:r>
        <w:r w:rsidR="00374E57">
          <w:rPr>
            <w:noProof/>
            <w:webHidden/>
          </w:rPr>
          <w:fldChar w:fldCharType="end"/>
        </w:r>
      </w:hyperlink>
    </w:p>
    <w:p w14:paraId="7C08376B" w14:textId="29A07CF0" w:rsidR="00374E57" w:rsidRDefault="0060195D">
      <w:pPr>
        <w:pStyle w:val="TableofFigures"/>
        <w:tabs>
          <w:tab w:val="right" w:leader="dot" w:pos="9350"/>
        </w:tabs>
        <w:rPr>
          <w:rFonts w:asciiTheme="minorHAnsi" w:hAnsiTheme="minorHAnsi"/>
          <w:noProof/>
          <w:sz w:val="24"/>
          <w:szCs w:val="24"/>
          <w:lang w:eastAsia="en-US"/>
        </w:rPr>
      </w:pPr>
      <w:hyperlink w:anchor="_Toc44543351" w:history="1">
        <w:r w:rsidR="00374E57" w:rsidRPr="001D63CC">
          <w:rPr>
            <w:rStyle w:val="Hyperlink"/>
            <w:noProof/>
          </w:rPr>
          <w:t>Figure 3.2 World Annual</w:t>
        </w:r>
        <w:r w:rsidR="00374E57" w:rsidRPr="001D63CC">
          <w:rPr>
            <w:rStyle w:val="Hyperlink"/>
            <w:noProof/>
            <w:vertAlign w:val="subscript"/>
          </w:rPr>
          <w:t xml:space="preserve"> </w:t>
        </w:r>
        <w:r w:rsidR="00374E57" w:rsidRPr="001D63CC">
          <w:rPr>
            <w:rStyle w:val="Hyperlink"/>
            <w:noProof/>
          </w:rPr>
          <w:t>Greenhouse Gas Emissions Reduction (2015-2060)</w:t>
        </w:r>
        <w:r w:rsidR="00374E57">
          <w:rPr>
            <w:noProof/>
            <w:webHidden/>
          </w:rPr>
          <w:tab/>
        </w:r>
        <w:r w:rsidR="00374E57">
          <w:rPr>
            <w:noProof/>
            <w:webHidden/>
          </w:rPr>
          <w:fldChar w:fldCharType="begin"/>
        </w:r>
        <w:r w:rsidR="00374E57">
          <w:rPr>
            <w:noProof/>
            <w:webHidden/>
          </w:rPr>
          <w:instrText xml:space="preserve"> PAGEREF _Toc44543351 \h </w:instrText>
        </w:r>
        <w:r w:rsidR="00374E57">
          <w:rPr>
            <w:noProof/>
            <w:webHidden/>
          </w:rPr>
        </w:r>
        <w:r w:rsidR="00374E57">
          <w:rPr>
            <w:noProof/>
            <w:webHidden/>
          </w:rPr>
          <w:fldChar w:fldCharType="separate"/>
        </w:r>
        <w:r w:rsidR="00374E57">
          <w:rPr>
            <w:noProof/>
            <w:webHidden/>
          </w:rPr>
          <w:t>29</w:t>
        </w:r>
        <w:r w:rsidR="00374E57">
          <w:rPr>
            <w:noProof/>
            <w:webHidden/>
          </w:rPr>
          <w:fldChar w:fldCharType="end"/>
        </w:r>
      </w:hyperlink>
    </w:p>
    <w:p w14:paraId="5AD133BD" w14:textId="08233764" w:rsidR="00640665" w:rsidRPr="00E069AC" w:rsidRDefault="00F15AEE" w:rsidP="00483FFA">
      <w:r w:rsidRPr="00E069AC">
        <w:fldChar w:fldCharType="end"/>
      </w:r>
    </w:p>
    <w:p w14:paraId="6055DED9" w14:textId="24973E3A" w:rsidR="006A4A08" w:rsidRPr="00E069AC" w:rsidRDefault="00C23CAC" w:rsidP="00912CC8">
      <w:pPr>
        <w:pStyle w:val="Heading1"/>
        <w:numPr>
          <w:ilvl w:val="0"/>
          <w:numId w:val="0"/>
        </w:numPr>
      </w:pPr>
      <w:bookmarkStart w:id="1" w:name="_Toc19323133"/>
      <w:r w:rsidRPr="00E069AC">
        <w:t xml:space="preserve">List of </w:t>
      </w:r>
      <w:r w:rsidR="2D56E7D4" w:rsidRPr="00E069AC">
        <w:t>Tables</w:t>
      </w:r>
      <w:bookmarkEnd w:id="1"/>
    </w:p>
    <w:p w14:paraId="69E75A13" w14:textId="50045197" w:rsidR="00D02875" w:rsidRDefault="006A4A08">
      <w:pPr>
        <w:pStyle w:val="TableofFigures"/>
        <w:tabs>
          <w:tab w:val="right" w:leader="dot" w:pos="9350"/>
        </w:tabs>
        <w:rPr>
          <w:rFonts w:asciiTheme="minorHAnsi" w:hAnsiTheme="minorHAnsi"/>
          <w:noProof/>
          <w:sz w:val="24"/>
          <w:szCs w:val="24"/>
          <w:lang w:eastAsia="en-US"/>
        </w:rPr>
      </w:pPr>
      <w:r w:rsidRPr="00E069AC">
        <w:fldChar w:fldCharType="begin"/>
      </w:r>
      <w:r w:rsidRPr="00E069AC">
        <w:instrText xml:space="preserve"> TOC \h \z \c "Table" </w:instrText>
      </w:r>
      <w:r w:rsidRPr="00E069AC">
        <w:fldChar w:fldCharType="separate"/>
      </w:r>
      <w:hyperlink w:anchor="_Toc19323115" w:history="1">
        <w:r w:rsidR="00D02875" w:rsidRPr="00092D2D">
          <w:rPr>
            <w:rStyle w:val="Hyperlink"/>
            <w:noProof/>
          </w:rPr>
          <w:t>Table 1.1 U.S. Average Levelized Costs for Dispatchable and Non-Dispatchable Technologies (EIA, 2015)</w:t>
        </w:r>
        <w:r w:rsidR="00D02875">
          <w:rPr>
            <w:noProof/>
            <w:webHidden/>
          </w:rPr>
          <w:tab/>
        </w:r>
        <w:r w:rsidR="00D02875">
          <w:rPr>
            <w:noProof/>
            <w:webHidden/>
          </w:rPr>
          <w:fldChar w:fldCharType="begin"/>
        </w:r>
        <w:r w:rsidR="00D02875">
          <w:rPr>
            <w:noProof/>
            <w:webHidden/>
          </w:rPr>
          <w:instrText xml:space="preserve"> PAGEREF _Toc19323115 \h </w:instrText>
        </w:r>
        <w:r w:rsidR="00D02875">
          <w:rPr>
            <w:noProof/>
            <w:webHidden/>
          </w:rPr>
        </w:r>
        <w:r w:rsidR="00D02875">
          <w:rPr>
            <w:noProof/>
            <w:webHidden/>
          </w:rPr>
          <w:fldChar w:fldCharType="separate"/>
        </w:r>
        <w:r w:rsidR="00374E57">
          <w:rPr>
            <w:noProof/>
            <w:webHidden/>
          </w:rPr>
          <w:t>11</w:t>
        </w:r>
        <w:r w:rsidR="00D02875">
          <w:rPr>
            <w:noProof/>
            <w:webHidden/>
          </w:rPr>
          <w:fldChar w:fldCharType="end"/>
        </w:r>
      </w:hyperlink>
    </w:p>
    <w:p w14:paraId="6B778662" w14:textId="7FA430C1" w:rsidR="00D02875" w:rsidRDefault="0060195D">
      <w:pPr>
        <w:pStyle w:val="TableofFigures"/>
        <w:tabs>
          <w:tab w:val="right" w:leader="dot" w:pos="9350"/>
        </w:tabs>
        <w:rPr>
          <w:rFonts w:asciiTheme="minorHAnsi" w:hAnsiTheme="minorHAnsi"/>
          <w:noProof/>
          <w:sz w:val="24"/>
          <w:szCs w:val="24"/>
          <w:lang w:eastAsia="en-US"/>
        </w:rPr>
      </w:pPr>
      <w:hyperlink w:anchor="_Toc19323116" w:history="1">
        <w:r w:rsidR="00D02875" w:rsidRPr="00092D2D">
          <w:rPr>
            <w:rStyle w:val="Hyperlink"/>
            <w:noProof/>
          </w:rPr>
          <w:t>Table 1.2 Trends that accelerate and decelerate nuclear power</w:t>
        </w:r>
        <w:r w:rsidR="00D02875">
          <w:rPr>
            <w:noProof/>
            <w:webHidden/>
          </w:rPr>
          <w:tab/>
        </w:r>
        <w:r w:rsidR="00D02875">
          <w:rPr>
            <w:noProof/>
            <w:webHidden/>
          </w:rPr>
          <w:fldChar w:fldCharType="begin"/>
        </w:r>
        <w:r w:rsidR="00D02875">
          <w:rPr>
            <w:noProof/>
            <w:webHidden/>
          </w:rPr>
          <w:instrText xml:space="preserve"> PAGEREF _Toc19323116 \h </w:instrText>
        </w:r>
        <w:r w:rsidR="00D02875">
          <w:rPr>
            <w:noProof/>
            <w:webHidden/>
          </w:rPr>
        </w:r>
        <w:r w:rsidR="00D02875">
          <w:rPr>
            <w:noProof/>
            <w:webHidden/>
          </w:rPr>
          <w:fldChar w:fldCharType="separate"/>
        </w:r>
        <w:r w:rsidR="00374E57">
          <w:rPr>
            <w:noProof/>
            <w:webHidden/>
          </w:rPr>
          <w:t>11</w:t>
        </w:r>
        <w:r w:rsidR="00D02875">
          <w:rPr>
            <w:noProof/>
            <w:webHidden/>
          </w:rPr>
          <w:fldChar w:fldCharType="end"/>
        </w:r>
      </w:hyperlink>
    </w:p>
    <w:p w14:paraId="636B44A0" w14:textId="4CB9440B" w:rsidR="00D02875" w:rsidRDefault="0060195D">
      <w:pPr>
        <w:pStyle w:val="TableofFigures"/>
        <w:tabs>
          <w:tab w:val="right" w:leader="dot" w:pos="9350"/>
        </w:tabs>
        <w:rPr>
          <w:rFonts w:asciiTheme="minorHAnsi" w:hAnsiTheme="minorHAnsi"/>
          <w:noProof/>
          <w:sz w:val="24"/>
          <w:szCs w:val="24"/>
          <w:lang w:eastAsia="en-US"/>
        </w:rPr>
      </w:pPr>
      <w:hyperlink w:anchor="_Toc19323117" w:history="1">
        <w:r w:rsidR="00D02875" w:rsidRPr="00092D2D">
          <w:rPr>
            <w:rStyle w:val="Hyperlink"/>
            <w:noProof/>
          </w:rPr>
          <w:t>Table 1.3 Estimated Uranium Resources (Price and Blaise, 2002)</w:t>
        </w:r>
        <w:r w:rsidR="00D02875">
          <w:rPr>
            <w:noProof/>
            <w:webHidden/>
          </w:rPr>
          <w:tab/>
        </w:r>
        <w:r w:rsidR="00D02875">
          <w:rPr>
            <w:noProof/>
            <w:webHidden/>
          </w:rPr>
          <w:fldChar w:fldCharType="begin"/>
        </w:r>
        <w:r w:rsidR="00D02875">
          <w:rPr>
            <w:noProof/>
            <w:webHidden/>
          </w:rPr>
          <w:instrText xml:space="preserve"> PAGEREF _Toc19323117 \h </w:instrText>
        </w:r>
        <w:r w:rsidR="00D02875">
          <w:rPr>
            <w:noProof/>
            <w:webHidden/>
          </w:rPr>
        </w:r>
        <w:r w:rsidR="00D02875">
          <w:rPr>
            <w:noProof/>
            <w:webHidden/>
          </w:rPr>
          <w:fldChar w:fldCharType="separate"/>
        </w:r>
        <w:r w:rsidR="00374E57">
          <w:rPr>
            <w:noProof/>
            <w:webHidden/>
          </w:rPr>
          <w:t>13</w:t>
        </w:r>
        <w:r w:rsidR="00D02875">
          <w:rPr>
            <w:noProof/>
            <w:webHidden/>
          </w:rPr>
          <w:fldChar w:fldCharType="end"/>
        </w:r>
      </w:hyperlink>
    </w:p>
    <w:p w14:paraId="2534A50A" w14:textId="216AADB0" w:rsidR="00D02875" w:rsidRDefault="0060195D">
      <w:pPr>
        <w:pStyle w:val="TableofFigures"/>
        <w:tabs>
          <w:tab w:val="right" w:leader="dot" w:pos="9350"/>
        </w:tabs>
        <w:rPr>
          <w:rFonts w:asciiTheme="minorHAnsi" w:hAnsiTheme="minorHAnsi"/>
          <w:noProof/>
          <w:sz w:val="24"/>
          <w:szCs w:val="24"/>
          <w:lang w:eastAsia="en-US"/>
        </w:rPr>
      </w:pPr>
      <w:hyperlink w:anchor="_Toc19323118" w:history="1">
        <w:r w:rsidR="00D02875" w:rsidRPr="00092D2D">
          <w:rPr>
            <w:rStyle w:val="Hyperlink"/>
            <w:noProof/>
          </w:rPr>
          <w:t>Table 1.4  Summary of Advantages and Disadvantages of Nuclear Power</w:t>
        </w:r>
        <w:r w:rsidR="00D02875">
          <w:rPr>
            <w:noProof/>
            <w:webHidden/>
          </w:rPr>
          <w:tab/>
        </w:r>
        <w:r w:rsidR="00D02875">
          <w:rPr>
            <w:noProof/>
            <w:webHidden/>
          </w:rPr>
          <w:fldChar w:fldCharType="begin"/>
        </w:r>
        <w:r w:rsidR="00D02875">
          <w:rPr>
            <w:noProof/>
            <w:webHidden/>
          </w:rPr>
          <w:instrText xml:space="preserve"> PAGEREF _Toc19323118 \h </w:instrText>
        </w:r>
        <w:r w:rsidR="00D02875">
          <w:rPr>
            <w:noProof/>
            <w:webHidden/>
          </w:rPr>
        </w:r>
        <w:r w:rsidR="00D02875">
          <w:rPr>
            <w:noProof/>
            <w:webHidden/>
          </w:rPr>
          <w:fldChar w:fldCharType="separate"/>
        </w:r>
        <w:r w:rsidR="00374E57">
          <w:rPr>
            <w:noProof/>
            <w:webHidden/>
          </w:rPr>
          <w:t>14</w:t>
        </w:r>
        <w:r w:rsidR="00D02875">
          <w:rPr>
            <w:noProof/>
            <w:webHidden/>
          </w:rPr>
          <w:fldChar w:fldCharType="end"/>
        </w:r>
      </w:hyperlink>
    </w:p>
    <w:p w14:paraId="6FAC2E39" w14:textId="5F4B16D5" w:rsidR="00D02875" w:rsidRDefault="0060195D">
      <w:pPr>
        <w:pStyle w:val="TableofFigures"/>
        <w:tabs>
          <w:tab w:val="right" w:leader="dot" w:pos="9350"/>
        </w:tabs>
        <w:rPr>
          <w:rFonts w:asciiTheme="minorHAnsi" w:hAnsiTheme="minorHAnsi"/>
          <w:noProof/>
          <w:sz w:val="24"/>
          <w:szCs w:val="24"/>
          <w:lang w:eastAsia="en-US"/>
        </w:rPr>
      </w:pPr>
      <w:hyperlink w:anchor="_Toc19323119" w:history="1">
        <w:r w:rsidR="00D02875" w:rsidRPr="00092D2D">
          <w:rPr>
            <w:rStyle w:val="Hyperlink"/>
            <w:noProof/>
          </w:rPr>
          <w:t>Table 2.1 Climate Inputs</w:t>
        </w:r>
        <w:r w:rsidR="00D02875">
          <w:rPr>
            <w:noProof/>
            <w:webHidden/>
          </w:rPr>
          <w:tab/>
        </w:r>
        <w:r w:rsidR="00D02875">
          <w:rPr>
            <w:noProof/>
            <w:webHidden/>
          </w:rPr>
          <w:fldChar w:fldCharType="begin"/>
        </w:r>
        <w:r w:rsidR="00D02875">
          <w:rPr>
            <w:noProof/>
            <w:webHidden/>
          </w:rPr>
          <w:instrText xml:space="preserve"> PAGEREF _Toc19323119 \h </w:instrText>
        </w:r>
        <w:r w:rsidR="00D02875">
          <w:rPr>
            <w:noProof/>
            <w:webHidden/>
          </w:rPr>
        </w:r>
        <w:r w:rsidR="00D02875">
          <w:rPr>
            <w:noProof/>
            <w:webHidden/>
          </w:rPr>
          <w:fldChar w:fldCharType="separate"/>
        </w:r>
        <w:r w:rsidR="00374E57">
          <w:rPr>
            <w:noProof/>
            <w:webHidden/>
          </w:rPr>
          <w:t>21</w:t>
        </w:r>
        <w:r w:rsidR="00D02875">
          <w:rPr>
            <w:noProof/>
            <w:webHidden/>
          </w:rPr>
          <w:fldChar w:fldCharType="end"/>
        </w:r>
      </w:hyperlink>
    </w:p>
    <w:p w14:paraId="3B762663" w14:textId="0DD5227B" w:rsidR="00D02875" w:rsidRDefault="0060195D">
      <w:pPr>
        <w:pStyle w:val="TableofFigures"/>
        <w:tabs>
          <w:tab w:val="right" w:leader="dot" w:pos="9350"/>
        </w:tabs>
        <w:rPr>
          <w:rFonts w:asciiTheme="minorHAnsi" w:hAnsiTheme="minorHAnsi"/>
          <w:noProof/>
          <w:sz w:val="24"/>
          <w:szCs w:val="24"/>
          <w:lang w:eastAsia="en-US"/>
        </w:rPr>
      </w:pPr>
      <w:hyperlink w:anchor="_Toc19323120" w:history="1">
        <w:r w:rsidR="00D02875" w:rsidRPr="00092D2D">
          <w:rPr>
            <w:rStyle w:val="Hyperlink"/>
            <w:noProof/>
          </w:rPr>
          <w:t>Table 2.2 Financial Inputs for Conventional Technologies</w:t>
        </w:r>
        <w:r w:rsidR="00D02875">
          <w:rPr>
            <w:noProof/>
            <w:webHidden/>
          </w:rPr>
          <w:tab/>
        </w:r>
        <w:r w:rsidR="00D02875">
          <w:rPr>
            <w:noProof/>
            <w:webHidden/>
          </w:rPr>
          <w:fldChar w:fldCharType="begin"/>
        </w:r>
        <w:r w:rsidR="00D02875">
          <w:rPr>
            <w:noProof/>
            <w:webHidden/>
          </w:rPr>
          <w:instrText xml:space="preserve"> PAGEREF _Toc19323120 \h </w:instrText>
        </w:r>
        <w:r w:rsidR="00D02875">
          <w:rPr>
            <w:noProof/>
            <w:webHidden/>
          </w:rPr>
        </w:r>
        <w:r w:rsidR="00D02875">
          <w:rPr>
            <w:noProof/>
            <w:webHidden/>
          </w:rPr>
          <w:fldChar w:fldCharType="separate"/>
        </w:r>
        <w:r w:rsidR="00374E57">
          <w:rPr>
            <w:noProof/>
            <w:webHidden/>
          </w:rPr>
          <w:t>22</w:t>
        </w:r>
        <w:r w:rsidR="00D02875">
          <w:rPr>
            <w:noProof/>
            <w:webHidden/>
          </w:rPr>
          <w:fldChar w:fldCharType="end"/>
        </w:r>
      </w:hyperlink>
    </w:p>
    <w:p w14:paraId="3EAB6A2C" w14:textId="05957226" w:rsidR="00D02875" w:rsidRDefault="0060195D">
      <w:pPr>
        <w:pStyle w:val="TableofFigures"/>
        <w:tabs>
          <w:tab w:val="right" w:leader="dot" w:pos="9350"/>
        </w:tabs>
        <w:rPr>
          <w:rFonts w:asciiTheme="minorHAnsi" w:hAnsiTheme="minorHAnsi"/>
          <w:noProof/>
          <w:sz w:val="24"/>
          <w:szCs w:val="24"/>
          <w:lang w:eastAsia="en-US"/>
        </w:rPr>
      </w:pPr>
      <w:hyperlink w:anchor="_Toc19323121" w:history="1">
        <w:r w:rsidR="00D02875" w:rsidRPr="00092D2D">
          <w:rPr>
            <w:rStyle w:val="Hyperlink"/>
            <w:noProof/>
          </w:rPr>
          <w:t>Table 2.3 Financial Inputs for Solution</w:t>
        </w:r>
        <w:r w:rsidR="00D02875">
          <w:rPr>
            <w:noProof/>
            <w:webHidden/>
          </w:rPr>
          <w:tab/>
        </w:r>
        <w:r w:rsidR="00D02875">
          <w:rPr>
            <w:noProof/>
            <w:webHidden/>
          </w:rPr>
          <w:fldChar w:fldCharType="begin"/>
        </w:r>
        <w:r w:rsidR="00D02875">
          <w:rPr>
            <w:noProof/>
            <w:webHidden/>
          </w:rPr>
          <w:instrText xml:space="preserve"> PAGEREF _Toc19323121 \h </w:instrText>
        </w:r>
        <w:r w:rsidR="00D02875">
          <w:rPr>
            <w:noProof/>
            <w:webHidden/>
          </w:rPr>
        </w:r>
        <w:r w:rsidR="00D02875">
          <w:rPr>
            <w:noProof/>
            <w:webHidden/>
          </w:rPr>
          <w:fldChar w:fldCharType="separate"/>
        </w:r>
        <w:r w:rsidR="00374E57">
          <w:rPr>
            <w:noProof/>
            <w:webHidden/>
          </w:rPr>
          <w:t>22</w:t>
        </w:r>
        <w:r w:rsidR="00D02875">
          <w:rPr>
            <w:noProof/>
            <w:webHidden/>
          </w:rPr>
          <w:fldChar w:fldCharType="end"/>
        </w:r>
      </w:hyperlink>
    </w:p>
    <w:p w14:paraId="5114FB64" w14:textId="46FC0BBD" w:rsidR="00D02875" w:rsidRDefault="0060195D">
      <w:pPr>
        <w:pStyle w:val="TableofFigures"/>
        <w:tabs>
          <w:tab w:val="right" w:leader="dot" w:pos="9350"/>
        </w:tabs>
        <w:rPr>
          <w:rFonts w:asciiTheme="minorHAnsi" w:hAnsiTheme="minorHAnsi"/>
          <w:noProof/>
          <w:sz w:val="24"/>
          <w:szCs w:val="24"/>
          <w:lang w:eastAsia="en-US"/>
        </w:rPr>
      </w:pPr>
      <w:hyperlink w:anchor="_Toc19323122" w:history="1">
        <w:r w:rsidR="00D02875" w:rsidRPr="00092D2D">
          <w:rPr>
            <w:rStyle w:val="Hyperlink"/>
            <w:noProof/>
          </w:rPr>
          <w:t>Table 2.4 Technical Inputs Conventional Technologies</w:t>
        </w:r>
        <w:r w:rsidR="00D02875">
          <w:rPr>
            <w:noProof/>
            <w:webHidden/>
          </w:rPr>
          <w:tab/>
        </w:r>
        <w:r w:rsidR="00D02875">
          <w:rPr>
            <w:noProof/>
            <w:webHidden/>
          </w:rPr>
          <w:fldChar w:fldCharType="begin"/>
        </w:r>
        <w:r w:rsidR="00D02875">
          <w:rPr>
            <w:noProof/>
            <w:webHidden/>
          </w:rPr>
          <w:instrText xml:space="preserve"> PAGEREF _Toc19323122 \h </w:instrText>
        </w:r>
        <w:r w:rsidR="00D02875">
          <w:rPr>
            <w:noProof/>
            <w:webHidden/>
          </w:rPr>
        </w:r>
        <w:r w:rsidR="00D02875">
          <w:rPr>
            <w:noProof/>
            <w:webHidden/>
          </w:rPr>
          <w:fldChar w:fldCharType="separate"/>
        </w:r>
        <w:r w:rsidR="00374E57">
          <w:rPr>
            <w:noProof/>
            <w:webHidden/>
          </w:rPr>
          <w:t>23</w:t>
        </w:r>
        <w:r w:rsidR="00D02875">
          <w:rPr>
            <w:noProof/>
            <w:webHidden/>
          </w:rPr>
          <w:fldChar w:fldCharType="end"/>
        </w:r>
      </w:hyperlink>
    </w:p>
    <w:p w14:paraId="2CFD0A44" w14:textId="7B55CDF0" w:rsidR="00D02875" w:rsidRDefault="0060195D">
      <w:pPr>
        <w:pStyle w:val="TableofFigures"/>
        <w:tabs>
          <w:tab w:val="right" w:leader="dot" w:pos="9350"/>
        </w:tabs>
        <w:rPr>
          <w:rFonts w:asciiTheme="minorHAnsi" w:hAnsiTheme="minorHAnsi"/>
          <w:noProof/>
          <w:sz w:val="24"/>
          <w:szCs w:val="24"/>
          <w:lang w:eastAsia="en-US"/>
        </w:rPr>
      </w:pPr>
      <w:hyperlink w:anchor="_Toc19323123" w:history="1">
        <w:r w:rsidR="00D02875" w:rsidRPr="00092D2D">
          <w:rPr>
            <w:rStyle w:val="Hyperlink"/>
            <w:noProof/>
          </w:rPr>
          <w:t>Table 2.5 Technical Inputs Solution</w:t>
        </w:r>
        <w:r w:rsidR="00D02875">
          <w:rPr>
            <w:noProof/>
            <w:webHidden/>
          </w:rPr>
          <w:tab/>
        </w:r>
        <w:r w:rsidR="00D02875">
          <w:rPr>
            <w:noProof/>
            <w:webHidden/>
          </w:rPr>
          <w:fldChar w:fldCharType="begin"/>
        </w:r>
        <w:r w:rsidR="00D02875">
          <w:rPr>
            <w:noProof/>
            <w:webHidden/>
          </w:rPr>
          <w:instrText xml:space="preserve"> PAGEREF _Toc19323123 \h </w:instrText>
        </w:r>
        <w:r w:rsidR="00D02875">
          <w:rPr>
            <w:noProof/>
            <w:webHidden/>
          </w:rPr>
        </w:r>
        <w:r w:rsidR="00D02875">
          <w:rPr>
            <w:noProof/>
            <w:webHidden/>
          </w:rPr>
          <w:fldChar w:fldCharType="separate"/>
        </w:r>
        <w:r w:rsidR="00374E57">
          <w:rPr>
            <w:noProof/>
            <w:webHidden/>
          </w:rPr>
          <w:t>23</w:t>
        </w:r>
        <w:r w:rsidR="00D02875">
          <w:rPr>
            <w:noProof/>
            <w:webHidden/>
          </w:rPr>
          <w:fldChar w:fldCharType="end"/>
        </w:r>
      </w:hyperlink>
    </w:p>
    <w:p w14:paraId="027F8B81" w14:textId="416FBA28" w:rsidR="00D02875" w:rsidRDefault="0060195D">
      <w:pPr>
        <w:pStyle w:val="TableofFigures"/>
        <w:tabs>
          <w:tab w:val="right" w:leader="dot" w:pos="9350"/>
        </w:tabs>
        <w:rPr>
          <w:rFonts w:asciiTheme="minorHAnsi" w:hAnsiTheme="minorHAnsi"/>
          <w:noProof/>
          <w:sz w:val="24"/>
          <w:szCs w:val="24"/>
          <w:lang w:eastAsia="en-US"/>
        </w:rPr>
      </w:pPr>
      <w:hyperlink w:anchor="_Toc19323124" w:history="1">
        <w:r w:rsidR="00D02875" w:rsidRPr="00092D2D">
          <w:rPr>
            <w:rStyle w:val="Hyperlink"/>
            <w:noProof/>
          </w:rPr>
          <w:t>Table 3.1 World Adoption of the Solution</w:t>
        </w:r>
        <w:r w:rsidR="00D02875">
          <w:rPr>
            <w:noProof/>
            <w:webHidden/>
          </w:rPr>
          <w:tab/>
        </w:r>
        <w:r w:rsidR="00D02875">
          <w:rPr>
            <w:noProof/>
            <w:webHidden/>
          </w:rPr>
          <w:fldChar w:fldCharType="begin"/>
        </w:r>
        <w:r w:rsidR="00D02875">
          <w:rPr>
            <w:noProof/>
            <w:webHidden/>
          </w:rPr>
          <w:instrText xml:space="preserve"> PAGEREF _Toc19323124 \h </w:instrText>
        </w:r>
        <w:r w:rsidR="00D02875">
          <w:rPr>
            <w:noProof/>
            <w:webHidden/>
          </w:rPr>
        </w:r>
        <w:r w:rsidR="00D02875">
          <w:rPr>
            <w:noProof/>
            <w:webHidden/>
          </w:rPr>
          <w:fldChar w:fldCharType="separate"/>
        </w:r>
        <w:r w:rsidR="00374E57">
          <w:rPr>
            <w:noProof/>
            <w:webHidden/>
          </w:rPr>
          <w:t>26</w:t>
        </w:r>
        <w:r w:rsidR="00D02875">
          <w:rPr>
            <w:noProof/>
            <w:webHidden/>
          </w:rPr>
          <w:fldChar w:fldCharType="end"/>
        </w:r>
      </w:hyperlink>
    </w:p>
    <w:p w14:paraId="72177B33" w14:textId="517B9D3D" w:rsidR="00D02875" w:rsidRDefault="0060195D">
      <w:pPr>
        <w:pStyle w:val="TableofFigures"/>
        <w:tabs>
          <w:tab w:val="right" w:leader="dot" w:pos="9350"/>
        </w:tabs>
        <w:rPr>
          <w:rFonts w:asciiTheme="minorHAnsi" w:hAnsiTheme="minorHAnsi"/>
          <w:noProof/>
          <w:sz w:val="24"/>
          <w:szCs w:val="24"/>
          <w:lang w:eastAsia="en-US"/>
        </w:rPr>
      </w:pPr>
      <w:hyperlink w:anchor="_Toc19323125" w:history="1">
        <w:r w:rsidR="00D02875" w:rsidRPr="00092D2D">
          <w:rPr>
            <w:rStyle w:val="Hyperlink"/>
            <w:noProof/>
          </w:rPr>
          <w:t>Table 3.2 Climate Impacts</w:t>
        </w:r>
        <w:r w:rsidR="00D02875">
          <w:rPr>
            <w:noProof/>
            <w:webHidden/>
          </w:rPr>
          <w:tab/>
        </w:r>
        <w:r w:rsidR="00D02875">
          <w:rPr>
            <w:noProof/>
            <w:webHidden/>
          </w:rPr>
          <w:fldChar w:fldCharType="begin"/>
        </w:r>
        <w:r w:rsidR="00D02875">
          <w:rPr>
            <w:noProof/>
            <w:webHidden/>
          </w:rPr>
          <w:instrText xml:space="preserve"> PAGEREF _Toc19323125 \h </w:instrText>
        </w:r>
        <w:r w:rsidR="00D02875">
          <w:rPr>
            <w:noProof/>
            <w:webHidden/>
          </w:rPr>
        </w:r>
        <w:r w:rsidR="00D02875">
          <w:rPr>
            <w:noProof/>
            <w:webHidden/>
          </w:rPr>
          <w:fldChar w:fldCharType="separate"/>
        </w:r>
        <w:r w:rsidR="00374E57">
          <w:rPr>
            <w:noProof/>
            <w:webHidden/>
          </w:rPr>
          <w:t>27</w:t>
        </w:r>
        <w:r w:rsidR="00D02875">
          <w:rPr>
            <w:noProof/>
            <w:webHidden/>
          </w:rPr>
          <w:fldChar w:fldCharType="end"/>
        </w:r>
      </w:hyperlink>
    </w:p>
    <w:p w14:paraId="09DE3B3C" w14:textId="05698ABC" w:rsidR="00D02875" w:rsidRDefault="0060195D">
      <w:pPr>
        <w:pStyle w:val="TableofFigures"/>
        <w:tabs>
          <w:tab w:val="right" w:leader="dot" w:pos="9350"/>
        </w:tabs>
        <w:rPr>
          <w:rFonts w:asciiTheme="minorHAnsi" w:hAnsiTheme="minorHAnsi"/>
          <w:noProof/>
          <w:sz w:val="24"/>
          <w:szCs w:val="24"/>
          <w:lang w:eastAsia="en-US"/>
        </w:rPr>
      </w:pPr>
      <w:hyperlink w:anchor="_Toc19323126" w:history="1">
        <w:r w:rsidR="00D02875" w:rsidRPr="00092D2D">
          <w:rPr>
            <w:rStyle w:val="Hyperlink"/>
            <w:noProof/>
          </w:rPr>
          <w:t>Table 3.3 Impacts on Atmospheric Concentrations of CO</w:t>
        </w:r>
        <w:r w:rsidR="00D02875" w:rsidRPr="00092D2D">
          <w:rPr>
            <w:rStyle w:val="Hyperlink"/>
            <w:noProof/>
            <w:vertAlign w:val="subscript"/>
          </w:rPr>
          <w:t>2</w:t>
        </w:r>
        <w:r w:rsidR="00D02875" w:rsidRPr="00092D2D">
          <w:rPr>
            <w:rStyle w:val="Hyperlink"/>
            <w:noProof/>
          </w:rPr>
          <w:t>-eq</w:t>
        </w:r>
        <w:r w:rsidR="00D02875">
          <w:rPr>
            <w:noProof/>
            <w:webHidden/>
          </w:rPr>
          <w:tab/>
        </w:r>
        <w:r w:rsidR="00D02875">
          <w:rPr>
            <w:noProof/>
            <w:webHidden/>
          </w:rPr>
          <w:fldChar w:fldCharType="begin"/>
        </w:r>
        <w:r w:rsidR="00D02875">
          <w:rPr>
            <w:noProof/>
            <w:webHidden/>
          </w:rPr>
          <w:instrText xml:space="preserve"> PAGEREF _Toc19323126 \h </w:instrText>
        </w:r>
        <w:r w:rsidR="00D02875">
          <w:rPr>
            <w:noProof/>
            <w:webHidden/>
          </w:rPr>
        </w:r>
        <w:r w:rsidR="00D02875">
          <w:rPr>
            <w:noProof/>
            <w:webHidden/>
          </w:rPr>
          <w:fldChar w:fldCharType="separate"/>
        </w:r>
        <w:r w:rsidR="00374E57">
          <w:rPr>
            <w:noProof/>
            <w:webHidden/>
          </w:rPr>
          <w:t>28</w:t>
        </w:r>
        <w:r w:rsidR="00D02875">
          <w:rPr>
            <w:noProof/>
            <w:webHidden/>
          </w:rPr>
          <w:fldChar w:fldCharType="end"/>
        </w:r>
      </w:hyperlink>
    </w:p>
    <w:p w14:paraId="2D931FF9" w14:textId="48874495" w:rsidR="00D02875" w:rsidRDefault="0060195D">
      <w:pPr>
        <w:pStyle w:val="TableofFigures"/>
        <w:tabs>
          <w:tab w:val="right" w:leader="dot" w:pos="9350"/>
        </w:tabs>
        <w:rPr>
          <w:rFonts w:asciiTheme="minorHAnsi" w:hAnsiTheme="minorHAnsi"/>
          <w:noProof/>
          <w:sz w:val="24"/>
          <w:szCs w:val="24"/>
          <w:lang w:eastAsia="en-US"/>
        </w:rPr>
      </w:pPr>
      <w:hyperlink w:anchor="_Toc19323127" w:history="1">
        <w:r w:rsidR="00D02875" w:rsidRPr="00092D2D">
          <w:rPr>
            <w:rStyle w:val="Hyperlink"/>
            <w:noProof/>
          </w:rPr>
          <w:t>Table 3.4 Financial Impacts</w:t>
        </w:r>
        <w:r w:rsidR="00D02875">
          <w:rPr>
            <w:noProof/>
            <w:webHidden/>
          </w:rPr>
          <w:tab/>
        </w:r>
        <w:r w:rsidR="00D02875">
          <w:rPr>
            <w:noProof/>
            <w:webHidden/>
          </w:rPr>
          <w:fldChar w:fldCharType="begin"/>
        </w:r>
        <w:r w:rsidR="00D02875">
          <w:rPr>
            <w:noProof/>
            <w:webHidden/>
          </w:rPr>
          <w:instrText xml:space="preserve"> PAGEREF _Toc19323127 \h </w:instrText>
        </w:r>
        <w:r w:rsidR="00D02875">
          <w:rPr>
            <w:noProof/>
            <w:webHidden/>
          </w:rPr>
        </w:r>
        <w:r w:rsidR="00D02875">
          <w:rPr>
            <w:noProof/>
            <w:webHidden/>
          </w:rPr>
          <w:fldChar w:fldCharType="separate"/>
        </w:r>
        <w:r w:rsidR="00374E57">
          <w:rPr>
            <w:noProof/>
            <w:webHidden/>
          </w:rPr>
          <w:t>29</w:t>
        </w:r>
        <w:r w:rsidR="00D02875">
          <w:rPr>
            <w:noProof/>
            <w:webHidden/>
          </w:rPr>
          <w:fldChar w:fldCharType="end"/>
        </w:r>
      </w:hyperlink>
    </w:p>
    <w:p w14:paraId="003E6FA0" w14:textId="4B5E75CD" w:rsidR="00D02875" w:rsidRDefault="0060195D">
      <w:pPr>
        <w:pStyle w:val="TableofFigures"/>
        <w:tabs>
          <w:tab w:val="right" w:leader="dot" w:pos="9350"/>
        </w:tabs>
        <w:rPr>
          <w:rFonts w:asciiTheme="minorHAnsi" w:hAnsiTheme="minorHAnsi"/>
          <w:noProof/>
          <w:sz w:val="24"/>
          <w:szCs w:val="24"/>
          <w:lang w:eastAsia="en-US"/>
        </w:rPr>
      </w:pPr>
      <w:hyperlink w:anchor="_Toc19323128" w:history="1">
        <w:r w:rsidR="00D02875" w:rsidRPr="00092D2D">
          <w:rPr>
            <w:rStyle w:val="Hyperlink"/>
            <w:noProof/>
          </w:rPr>
          <w:t>Table 4.1 Benchmarks</w:t>
        </w:r>
        <w:r w:rsidR="00D02875">
          <w:rPr>
            <w:noProof/>
            <w:webHidden/>
          </w:rPr>
          <w:tab/>
        </w:r>
        <w:r w:rsidR="00D02875">
          <w:rPr>
            <w:noProof/>
            <w:webHidden/>
          </w:rPr>
          <w:fldChar w:fldCharType="begin"/>
        </w:r>
        <w:r w:rsidR="00D02875">
          <w:rPr>
            <w:noProof/>
            <w:webHidden/>
          </w:rPr>
          <w:instrText xml:space="preserve"> PAGEREF _Toc19323128 \h </w:instrText>
        </w:r>
        <w:r w:rsidR="00D02875">
          <w:rPr>
            <w:noProof/>
            <w:webHidden/>
          </w:rPr>
        </w:r>
        <w:r w:rsidR="00D02875">
          <w:rPr>
            <w:noProof/>
            <w:webHidden/>
          </w:rPr>
          <w:fldChar w:fldCharType="separate"/>
        </w:r>
        <w:r w:rsidR="00374E57">
          <w:rPr>
            <w:noProof/>
            <w:webHidden/>
          </w:rPr>
          <w:t>32</w:t>
        </w:r>
        <w:r w:rsidR="00D02875">
          <w:rPr>
            <w:noProof/>
            <w:webHidden/>
          </w:rPr>
          <w:fldChar w:fldCharType="end"/>
        </w:r>
      </w:hyperlink>
    </w:p>
    <w:p w14:paraId="4825AD3F" w14:textId="65F7AE52" w:rsidR="00640665" w:rsidRPr="00E069AC" w:rsidRDefault="006A4A08" w:rsidP="00E069AC">
      <w:r w:rsidRPr="00E069AC">
        <w:fldChar w:fldCharType="end"/>
      </w:r>
      <w:r w:rsidR="00640665" w:rsidRPr="00E069AC">
        <w:br w:type="page"/>
      </w:r>
    </w:p>
    <w:p w14:paraId="314CD877" w14:textId="0A90708E" w:rsidR="00FA6897" w:rsidRPr="00E069AC" w:rsidRDefault="2D56E7D4" w:rsidP="00912CC8">
      <w:pPr>
        <w:pStyle w:val="Heading1"/>
        <w:numPr>
          <w:ilvl w:val="0"/>
          <w:numId w:val="0"/>
        </w:numPr>
        <w:ind w:left="720"/>
      </w:pPr>
      <w:bookmarkStart w:id="2" w:name="_Toc19323134"/>
      <w:r w:rsidRPr="00E069AC">
        <w:lastRenderedPageBreak/>
        <w:t>Acronyms and Symbols Used</w:t>
      </w:r>
      <w:bookmarkEnd w:id="2"/>
    </w:p>
    <w:p w14:paraId="4FF8FA0E" w14:textId="77777777" w:rsidR="00D37CE4" w:rsidRPr="00D37CE4" w:rsidRDefault="00D37CE4" w:rsidP="0025278E">
      <w:pPr>
        <w:pStyle w:val="ListParagraph"/>
        <w:numPr>
          <w:ilvl w:val="0"/>
          <w:numId w:val="31"/>
        </w:numPr>
      </w:pPr>
      <w:r w:rsidRPr="00D37CE4">
        <w:t>2D - 2 degrees scenario</w:t>
      </w:r>
    </w:p>
    <w:p w14:paraId="1D9DCCA5" w14:textId="77777777" w:rsidR="00D37CE4" w:rsidRPr="00D37CE4" w:rsidRDefault="00D37CE4" w:rsidP="0025278E">
      <w:pPr>
        <w:pStyle w:val="ListParagraph"/>
        <w:numPr>
          <w:ilvl w:val="0"/>
          <w:numId w:val="31"/>
        </w:numPr>
      </w:pPr>
      <w:r w:rsidRPr="00D37CE4">
        <w:t>B2D – Beyond 2 degrees scenario</w:t>
      </w:r>
    </w:p>
    <w:p w14:paraId="49C09C73" w14:textId="77777777" w:rsidR="00D37CE4" w:rsidRPr="00D37CE4" w:rsidRDefault="00D37CE4" w:rsidP="0025278E">
      <w:pPr>
        <w:pStyle w:val="ListParagraph"/>
        <w:numPr>
          <w:ilvl w:val="0"/>
          <w:numId w:val="31"/>
        </w:numPr>
      </w:pPr>
      <w:r w:rsidRPr="00D37CE4">
        <w:t>BOP – Balance-of-plant</w:t>
      </w:r>
    </w:p>
    <w:p w14:paraId="7D3EBEB1" w14:textId="77777777" w:rsidR="00D37CE4" w:rsidRPr="00D37CE4" w:rsidRDefault="00D37CE4" w:rsidP="0025278E">
      <w:pPr>
        <w:pStyle w:val="ListParagraph"/>
        <w:numPr>
          <w:ilvl w:val="0"/>
          <w:numId w:val="31"/>
        </w:numPr>
      </w:pPr>
      <w:r w:rsidRPr="00D37CE4">
        <w:t xml:space="preserve">BWR - Boiling water reactor </w:t>
      </w:r>
    </w:p>
    <w:p w14:paraId="6B26811D" w14:textId="77777777" w:rsidR="00D37CE4" w:rsidRPr="00D37CE4" w:rsidRDefault="00D37CE4" w:rsidP="0027545E">
      <w:pPr>
        <w:pStyle w:val="ListParagraph"/>
        <w:numPr>
          <w:ilvl w:val="0"/>
          <w:numId w:val="31"/>
        </w:numPr>
        <w:spacing w:after="160"/>
      </w:pPr>
      <w:r w:rsidRPr="00D37CE4">
        <w:t>CO</w:t>
      </w:r>
      <w:r w:rsidRPr="00D37CE4">
        <w:rPr>
          <w:vertAlign w:val="subscript"/>
        </w:rPr>
        <w:t>2</w:t>
      </w:r>
      <w:r w:rsidRPr="00D37CE4">
        <w:t xml:space="preserve"> – Carbon dioxide</w:t>
      </w:r>
    </w:p>
    <w:p w14:paraId="3F341645" w14:textId="77777777" w:rsidR="00D37CE4" w:rsidRPr="00D37CE4" w:rsidRDefault="00D37CE4" w:rsidP="0027545E">
      <w:pPr>
        <w:pStyle w:val="ListParagraph"/>
        <w:numPr>
          <w:ilvl w:val="0"/>
          <w:numId w:val="31"/>
        </w:numPr>
        <w:spacing w:after="0"/>
      </w:pPr>
      <w:r w:rsidRPr="00D37CE4">
        <w:t>DS – Degree Scenario</w:t>
      </w:r>
    </w:p>
    <w:p w14:paraId="4C471BB9" w14:textId="77777777" w:rsidR="00D37CE4" w:rsidRPr="00D37CE4" w:rsidRDefault="00D37CE4" w:rsidP="0025278E">
      <w:pPr>
        <w:pStyle w:val="ListParagraph"/>
        <w:numPr>
          <w:ilvl w:val="0"/>
          <w:numId w:val="31"/>
        </w:numPr>
      </w:pPr>
      <w:r w:rsidRPr="00D37CE4">
        <w:t>EAR - Estimated additional resources</w:t>
      </w:r>
    </w:p>
    <w:p w14:paraId="5EFF6D0F" w14:textId="77777777" w:rsidR="00D37CE4" w:rsidRPr="00D37CE4" w:rsidRDefault="00D37CE4" w:rsidP="0027545E">
      <w:pPr>
        <w:pStyle w:val="ListParagraph"/>
        <w:numPr>
          <w:ilvl w:val="0"/>
          <w:numId w:val="31"/>
        </w:numPr>
        <w:spacing w:after="0"/>
      </w:pPr>
      <w:r w:rsidRPr="00D37CE4">
        <w:t>ETP – Energy Technology Perspectives</w:t>
      </w:r>
    </w:p>
    <w:p w14:paraId="0807C506" w14:textId="77777777" w:rsidR="00D37CE4" w:rsidRPr="00D37CE4" w:rsidRDefault="00D37CE4" w:rsidP="0027545E">
      <w:pPr>
        <w:pStyle w:val="ListParagraph"/>
        <w:numPr>
          <w:ilvl w:val="0"/>
          <w:numId w:val="31"/>
        </w:numPr>
        <w:spacing w:after="160"/>
      </w:pPr>
      <w:r w:rsidRPr="00D37CE4">
        <w:t>EU – European Union</w:t>
      </w:r>
    </w:p>
    <w:p w14:paraId="2D1E323A" w14:textId="77777777" w:rsidR="00D37CE4" w:rsidRPr="00D37CE4" w:rsidRDefault="00D37CE4" w:rsidP="0027545E">
      <w:pPr>
        <w:pStyle w:val="ListParagraph"/>
        <w:numPr>
          <w:ilvl w:val="0"/>
          <w:numId w:val="31"/>
        </w:numPr>
        <w:spacing w:after="160"/>
      </w:pPr>
      <w:r w:rsidRPr="00D37CE4">
        <w:t>EV – Electric Vehicle</w:t>
      </w:r>
    </w:p>
    <w:p w14:paraId="7A7993A3" w14:textId="77777777" w:rsidR="00D37CE4" w:rsidRPr="00D37CE4" w:rsidRDefault="00D37CE4" w:rsidP="0027545E">
      <w:pPr>
        <w:pStyle w:val="ListParagraph"/>
        <w:numPr>
          <w:ilvl w:val="0"/>
          <w:numId w:val="31"/>
        </w:numPr>
        <w:spacing w:after="160"/>
      </w:pPr>
      <w:r w:rsidRPr="00D37CE4">
        <w:t>EWG - Energy Watch Group</w:t>
      </w:r>
    </w:p>
    <w:p w14:paraId="2521D9BD" w14:textId="77777777" w:rsidR="00D37CE4" w:rsidRPr="00D37CE4" w:rsidRDefault="00D37CE4" w:rsidP="0025278E">
      <w:pPr>
        <w:pStyle w:val="ListParagraph"/>
        <w:numPr>
          <w:ilvl w:val="0"/>
          <w:numId w:val="31"/>
        </w:numPr>
      </w:pPr>
      <w:r w:rsidRPr="00D37CE4">
        <w:t>FBR - Fast breeder reactor</w:t>
      </w:r>
    </w:p>
    <w:p w14:paraId="1EAAF583" w14:textId="77777777" w:rsidR="00D37CE4" w:rsidRPr="00D37CE4" w:rsidRDefault="00D37CE4" w:rsidP="0025278E">
      <w:pPr>
        <w:pStyle w:val="ListParagraph"/>
        <w:numPr>
          <w:ilvl w:val="0"/>
          <w:numId w:val="31"/>
        </w:numPr>
      </w:pPr>
      <w:r w:rsidRPr="00D37CE4">
        <w:t>GCR - Gas-cooled reactors</w:t>
      </w:r>
    </w:p>
    <w:p w14:paraId="1F9971DE" w14:textId="77777777" w:rsidR="00D37CE4" w:rsidRPr="00D37CE4" w:rsidRDefault="00D37CE4" w:rsidP="0027545E">
      <w:pPr>
        <w:pStyle w:val="ListParagraph"/>
        <w:numPr>
          <w:ilvl w:val="0"/>
          <w:numId w:val="31"/>
        </w:numPr>
        <w:spacing w:after="160"/>
      </w:pPr>
      <w:r w:rsidRPr="00D37CE4">
        <w:t>GHG – Greenhouse Gases</w:t>
      </w:r>
    </w:p>
    <w:p w14:paraId="5CB20BDE" w14:textId="77777777" w:rsidR="00D37CE4" w:rsidRPr="00D37CE4" w:rsidRDefault="00D37CE4" w:rsidP="0027545E">
      <w:pPr>
        <w:pStyle w:val="ListParagraph"/>
        <w:numPr>
          <w:ilvl w:val="0"/>
          <w:numId w:val="31"/>
        </w:numPr>
        <w:spacing w:after="160"/>
      </w:pPr>
      <w:r w:rsidRPr="00D37CE4">
        <w:t xml:space="preserve">Gt – Gigatons </w:t>
      </w:r>
    </w:p>
    <w:p w14:paraId="357E22A9" w14:textId="77777777" w:rsidR="00D37CE4" w:rsidRPr="00D37CE4" w:rsidRDefault="00D37CE4" w:rsidP="0027545E">
      <w:pPr>
        <w:pStyle w:val="ListParagraph"/>
        <w:numPr>
          <w:ilvl w:val="0"/>
          <w:numId w:val="31"/>
        </w:numPr>
        <w:spacing w:after="160"/>
      </w:pPr>
      <w:r w:rsidRPr="00D37CE4">
        <w:t xml:space="preserve">GW - Gigawatts </w:t>
      </w:r>
    </w:p>
    <w:p w14:paraId="43046D29" w14:textId="77777777" w:rsidR="00D37CE4" w:rsidRPr="00D37CE4" w:rsidRDefault="00D37CE4" w:rsidP="0025278E">
      <w:pPr>
        <w:pStyle w:val="ListParagraph"/>
        <w:numPr>
          <w:ilvl w:val="0"/>
          <w:numId w:val="31"/>
        </w:numPr>
      </w:pPr>
      <w:r w:rsidRPr="00D37CE4">
        <w:t xml:space="preserve">HTGR - high temperature gas-cooled reactor </w:t>
      </w:r>
    </w:p>
    <w:p w14:paraId="1BDC877A" w14:textId="77777777" w:rsidR="00D37CE4" w:rsidRPr="00D37CE4" w:rsidRDefault="00D37CE4" w:rsidP="0025278E">
      <w:pPr>
        <w:pStyle w:val="ListParagraph"/>
        <w:numPr>
          <w:ilvl w:val="0"/>
          <w:numId w:val="31"/>
        </w:numPr>
      </w:pPr>
      <w:r w:rsidRPr="00D37CE4">
        <w:t>HWR - Heavy-water-moderated reactor</w:t>
      </w:r>
    </w:p>
    <w:p w14:paraId="76461508" w14:textId="1F0E219D" w:rsidR="00D37CE4" w:rsidRPr="00D37CE4" w:rsidRDefault="00D37CE4" w:rsidP="0025278E">
      <w:pPr>
        <w:pStyle w:val="ListParagraph"/>
        <w:numPr>
          <w:ilvl w:val="0"/>
          <w:numId w:val="31"/>
        </w:numPr>
      </w:pPr>
      <w:r w:rsidRPr="00D37CE4">
        <w:t xml:space="preserve">IAEA – </w:t>
      </w:r>
      <w:r>
        <w:t>International Atomic Energy Agency</w:t>
      </w:r>
    </w:p>
    <w:p w14:paraId="79A1B935" w14:textId="77777777" w:rsidR="00D37CE4" w:rsidRPr="00D37CE4" w:rsidRDefault="00D37CE4" w:rsidP="0027545E">
      <w:pPr>
        <w:pStyle w:val="ListParagraph"/>
        <w:numPr>
          <w:ilvl w:val="0"/>
          <w:numId w:val="31"/>
        </w:numPr>
        <w:spacing w:after="0"/>
      </w:pPr>
      <w:r w:rsidRPr="00D37CE4">
        <w:t>IEA – International Energy Agency</w:t>
      </w:r>
    </w:p>
    <w:p w14:paraId="4C4B1645" w14:textId="77777777" w:rsidR="00D37CE4" w:rsidRPr="00D37CE4" w:rsidRDefault="00D37CE4" w:rsidP="0027545E">
      <w:pPr>
        <w:pStyle w:val="ListParagraph"/>
        <w:numPr>
          <w:ilvl w:val="0"/>
          <w:numId w:val="31"/>
        </w:numPr>
        <w:spacing w:after="0"/>
      </w:pPr>
      <w:r w:rsidRPr="00D37CE4">
        <w:t>IEEJ – The Institute of Energy Economics, Japan</w:t>
      </w:r>
    </w:p>
    <w:p w14:paraId="77A2442F" w14:textId="77777777" w:rsidR="00D37CE4" w:rsidRPr="00D37CE4" w:rsidRDefault="00D37CE4" w:rsidP="0027545E">
      <w:pPr>
        <w:pStyle w:val="ListParagraph"/>
        <w:numPr>
          <w:ilvl w:val="0"/>
          <w:numId w:val="31"/>
        </w:numPr>
        <w:spacing w:after="160"/>
      </w:pPr>
      <w:r w:rsidRPr="00D37CE4">
        <w:t>IPCC – Intergovernmental Panel for Climate Change</w:t>
      </w:r>
    </w:p>
    <w:p w14:paraId="271EA73A" w14:textId="77777777" w:rsidR="00D37CE4" w:rsidRPr="00D37CE4" w:rsidRDefault="00D37CE4" w:rsidP="0027545E">
      <w:pPr>
        <w:pStyle w:val="ListParagraph"/>
        <w:numPr>
          <w:ilvl w:val="0"/>
          <w:numId w:val="31"/>
        </w:numPr>
        <w:spacing w:after="160"/>
      </w:pPr>
      <w:r w:rsidRPr="00D37CE4">
        <w:t>IRENA – International Renewable Energy Agency</w:t>
      </w:r>
    </w:p>
    <w:p w14:paraId="5E022220" w14:textId="77777777" w:rsidR="00D37CE4" w:rsidRPr="00D37CE4" w:rsidRDefault="00D37CE4" w:rsidP="0027545E">
      <w:pPr>
        <w:pStyle w:val="ListParagraph"/>
        <w:numPr>
          <w:ilvl w:val="0"/>
          <w:numId w:val="31"/>
        </w:numPr>
        <w:spacing w:after="160"/>
      </w:pPr>
      <w:r w:rsidRPr="00D37CE4">
        <w:t>LCA – Life Cycle Assessment</w:t>
      </w:r>
    </w:p>
    <w:p w14:paraId="12E41F76" w14:textId="77777777" w:rsidR="00D37CE4" w:rsidRPr="00D37CE4" w:rsidRDefault="00D37CE4" w:rsidP="0027545E">
      <w:pPr>
        <w:pStyle w:val="ListParagraph"/>
        <w:numPr>
          <w:ilvl w:val="0"/>
          <w:numId w:val="31"/>
        </w:numPr>
        <w:spacing w:after="160"/>
      </w:pPr>
      <w:r w:rsidRPr="00D37CE4">
        <w:t>LCOE – Levelized costs of electricity</w:t>
      </w:r>
    </w:p>
    <w:p w14:paraId="5497B2AE" w14:textId="1D628108" w:rsidR="00D37CE4" w:rsidRPr="00D37CE4" w:rsidRDefault="00D37CE4" w:rsidP="00F3570C">
      <w:pPr>
        <w:pStyle w:val="ListParagraph"/>
        <w:numPr>
          <w:ilvl w:val="0"/>
          <w:numId w:val="31"/>
        </w:numPr>
      </w:pPr>
      <w:r w:rsidRPr="00D37CE4">
        <w:t xml:space="preserve">LEU - </w:t>
      </w:r>
      <w:r>
        <w:t>L</w:t>
      </w:r>
      <w:r w:rsidRPr="00D37CE4">
        <w:t>ow-enriched uranium</w:t>
      </w:r>
    </w:p>
    <w:p w14:paraId="5AAE9B9F" w14:textId="77777777" w:rsidR="00D37CE4" w:rsidRPr="00D37CE4" w:rsidRDefault="00D37CE4" w:rsidP="004E37EC">
      <w:pPr>
        <w:pStyle w:val="ListParagraph"/>
        <w:numPr>
          <w:ilvl w:val="0"/>
          <w:numId w:val="31"/>
        </w:numPr>
        <w:spacing w:after="160"/>
      </w:pPr>
      <w:r w:rsidRPr="00D37CE4">
        <w:t>LUT - Lappeenranta University of Technology</w:t>
      </w:r>
    </w:p>
    <w:p w14:paraId="7794F781" w14:textId="77777777" w:rsidR="00D37CE4" w:rsidRPr="00D37CE4" w:rsidRDefault="00D37CE4" w:rsidP="0025278E">
      <w:pPr>
        <w:pStyle w:val="ListParagraph"/>
        <w:numPr>
          <w:ilvl w:val="0"/>
          <w:numId w:val="31"/>
        </w:numPr>
      </w:pPr>
      <w:r w:rsidRPr="00D37CE4">
        <w:t>LWGR - Light-water-cooled graphite moderated reactor</w:t>
      </w:r>
    </w:p>
    <w:p w14:paraId="28E7FA6A" w14:textId="77777777" w:rsidR="00D37CE4" w:rsidRPr="00D37CE4" w:rsidRDefault="00D37CE4" w:rsidP="00F3570C">
      <w:pPr>
        <w:pStyle w:val="ListParagraph"/>
        <w:numPr>
          <w:ilvl w:val="0"/>
          <w:numId w:val="31"/>
        </w:numPr>
      </w:pPr>
      <w:r w:rsidRPr="00D37CE4">
        <w:t xml:space="preserve">LWR - light-water reactor </w:t>
      </w:r>
    </w:p>
    <w:p w14:paraId="667E735F" w14:textId="77777777" w:rsidR="00D37CE4" w:rsidRPr="00D37CE4" w:rsidRDefault="00D37CE4" w:rsidP="0025278E">
      <w:pPr>
        <w:pStyle w:val="ListParagraph"/>
        <w:numPr>
          <w:ilvl w:val="0"/>
          <w:numId w:val="31"/>
        </w:numPr>
      </w:pPr>
      <w:r w:rsidRPr="00D37CE4">
        <w:t>MOX – Mixed Oxides</w:t>
      </w:r>
    </w:p>
    <w:p w14:paraId="1C1CEC90" w14:textId="77777777" w:rsidR="00D37CE4" w:rsidRPr="00D37CE4" w:rsidRDefault="00D37CE4" w:rsidP="0025278E">
      <w:pPr>
        <w:pStyle w:val="ListParagraph"/>
        <w:numPr>
          <w:ilvl w:val="0"/>
          <w:numId w:val="31"/>
        </w:numPr>
      </w:pPr>
      <w:r w:rsidRPr="00D37CE4">
        <w:t>NEA – Nuclear Energy Agency</w:t>
      </w:r>
    </w:p>
    <w:p w14:paraId="1CAC1D1E" w14:textId="77777777" w:rsidR="00D37CE4" w:rsidRPr="00D37CE4" w:rsidRDefault="00D37CE4" w:rsidP="0025278E">
      <w:pPr>
        <w:pStyle w:val="ListParagraph"/>
        <w:numPr>
          <w:ilvl w:val="0"/>
          <w:numId w:val="31"/>
        </w:numPr>
      </w:pPr>
      <w:r w:rsidRPr="00D37CE4">
        <w:lastRenderedPageBreak/>
        <w:t>NPP – Nuclear Power Plants</w:t>
      </w:r>
    </w:p>
    <w:p w14:paraId="11E5C258" w14:textId="77777777" w:rsidR="00D37CE4" w:rsidRPr="00D37CE4" w:rsidRDefault="00D37CE4" w:rsidP="00D37CE4">
      <w:pPr>
        <w:pStyle w:val="ListParagraph"/>
        <w:numPr>
          <w:ilvl w:val="0"/>
          <w:numId w:val="31"/>
        </w:numPr>
        <w:spacing w:after="160"/>
      </w:pPr>
      <w:r w:rsidRPr="00D37CE4">
        <w:t>O&amp;M – Operation and Maintenance</w:t>
      </w:r>
    </w:p>
    <w:p w14:paraId="365D7785" w14:textId="77777777" w:rsidR="00D37CE4" w:rsidRPr="00D37CE4" w:rsidRDefault="00D37CE4" w:rsidP="00D37CE4">
      <w:pPr>
        <w:pStyle w:val="ListParagraph"/>
        <w:numPr>
          <w:ilvl w:val="0"/>
          <w:numId w:val="31"/>
        </w:numPr>
        <w:spacing w:after="160"/>
      </w:pPr>
      <w:r w:rsidRPr="00D37CE4">
        <w:t xml:space="preserve">OECD – </w:t>
      </w:r>
      <w:r w:rsidRPr="00D37CE4">
        <w:rPr>
          <w:rFonts w:eastAsia="Times New Roman" w:cs="Times New Roman"/>
          <w:sz w:val="24"/>
          <w:szCs w:val="24"/>
          <w:lang w:eastAsia="en-US"/>
        </w:rPr>
        <w:t>The Organisation for Economic Co-operation and Development</w:t>
      </w:r>
    </w:p>
    <w:p w14:paraId="3ABF0315" w14:textId="77777777" w:rsidR="00D37CE4" w:rsidRPr="00D37CE4" w:rsidRDefault="00D37CE4" w:rsidP="0027545E">
      <w:pPr>
        <w:pStyle w:val="ListParagraph"/>
        <w:numPr>
          <w:ilvl w:val="0"/>
          <w:numId w:val="31"/>
        </w:numPr>
        <w:spacing w:after="160"/>
      </w:pPr>
      <w:r w:rsidRPr="00D37CE4">
        <w:t>PPM - parts per million</w:t>
      </w:r>
    </w:p>
    <w:p w14:paraId="4CE60755" w14:textId="77777777" w:rsidR="00D37CE4" w:rsidRPr="00D37CE4" w:rsidRDefault="00D37CE4" w:rsidP="0025278E">
      <w:pPr>
        <w:pStyle w:val="ListParagraph"/>
        <w:numPr>
          <w:ilvl w:val="0"/>
          <w:numId w:val="31"/>
        </w:numPr>
      </w:pPr>
      <w:r w:rsidRPr="00D37CE4">
        <w:t>PTGR - Pressure tube graphite reactor</w:t>
      </w:r>
    </w:p>
    <w:p w14:paraId="2FB42564" w14:textId="77777777" w:rsidR="00D37CE4" w:rsidRPr="00D37CE4" w:rsidRDefault="00D37CE4" w:rsidP="0025278E">
      <w:pPr>
        <w:pStyle w:val="ListParagraph"/>
        <w:numPr>
          <w:ilvl w:val="0"/>
          <w:numId w:val="31"/>
        </w:numPr>
      </w:pPr>
      <w:r w:rsidRPr="00D37CE4">
        <w:t xml:space="preserve">PWR - Pressurized water reactor </w:t>
      </w:r>
    </w:p>
    <w:p w14:paraId="2D0B3B2E" w14:textId="77777777" w:rsidR="00D37CE4" w:rsidRPr="00D37CE4" w:rsidRDefault="00D37CE4" w:rsidP="00F3570C">
      <w:pPr>
        <w:pStyle w:val="ListParagraph"/>
        <w:numPr>
          <w:ilvl w:val="0"/>
          <w:numId w:val="31"/>
        </w:numPr>
      </w:pPr>
      <w:r w:rsidRPr="00D37CE4">
        <w:t xml:space="preserve">PWR - pressurized water reactors </w:t>
      </w:r>
    </w:p>
    <w:p w14:paraId="22EA22FD" w14:textId="77777777" w:rsidR="00D37CE4" w:rsidRPr="00D37CE4" w:rsidRDefault="00D37CE4" w:rsidP="0027545E">
      <w:pPr>
        <w:pStyle w:val="ListParagraph"/>
        <w:numPr>
          <w:ilvl w:val="0"/>
          <w:numId w:val="31"/>
        </w:numPr>
        <w:spacing w:after="160"/>
      </w:pPr>
      <w:r w:rsidRPr="00D37CE4">
        <w:t>R&amp;D – Research and Development</w:t>
      </w:r>
    </w:p>
    <w:p w14:paraId="0B4CFE22" w14:textId="77777777" w:rsidR="00D37CE4" w:rsidRPr="00D37CE4" w:rsidRDefault="00D37CE4" w:rsidP="0025278E">
      <w:pPr>
        <w:pStyle w:val="ListParagraph"/>
        <w:numPr>
          <w:ilvl w:val="0"/>
          <w:numId w:val="31"/>
        </w:numPr>
      </w:pPr>
      <w:r w:rsidRPr="00D37CE4">
        <w:t xml:space="preserve">RAR - Reasonable assured resources </w:t>
      </w:r>
    </w:p>
    <w:p w14:paraId="23BE1700" w14:textId="77777777" w:rsidR="00D37CE4" w:rsidRPr="00D37CE4" w:rsidRDefault="00D37CE4" w:rsidP="0027545E">
      <w:pPr>
        <w:pStyle w:val="ListParagraph"/>
        <w:numPr>
          <w:ilvl w:val="0"/>
          <w:numId w:val="31"/>
        </w:numPr>
        <w:spacing w:after="160"/>
      </w:pPr>
      <w:r w:rsidRPr="00D37CE4">
        <w:t>REF – Reference Scenario</w:t>
      </w:r>
    </w:p>
    <w:p w14:paraId="4E851AC3" w14:textId="77777777" w:rsidR="00D37CE4" w:rsidRPr="00D37CE4" w:rsidRDefault="00D37CE4" w:rsidP="0027545E">
      <w:pPr>
        <w:pStyle w:val="ListParagraph"/>
        <w:numPr>
          <w:ilvl w:val="0"/>
          <w:numId w:val="31"/>
        </w:numPr>
        <w:spacing w:after="160"/>
      </w:pPr>
      <w:r w:rsidRPr="00D37CE4">
        <w:t>RES – Renewable Energy Sources</w:t>
      </w:r>
    </w:p>
    <w:p w14:paraId="63609AC8" w14:textId="77777777" w:rsidR="00D37CE4" w:rsidRPr="00D37CE4" w:rsidRDefault="00D37CE4" w:rsidP="0027545E">
      <w:pPr>
        <w:pStyle w:val="ListParagraph"/>
        <w:numPr>
          <w:ilvl w:val="0"/>
          <w:numId w:val="31"/>
        </w:numPr>
        <w:spacing w:after="160"/>
      </w:pPr>
      <w:r w:rsidRPr="00D37CE4">
        <w:t>RRS -  Reduction and Replacement Solutions Model</w:t>
      </w:r>
    </w:p>
    <w:p w14:paraId="0C1ED2BC" w14:textId="77777777" w:rsidR="00D37CE4" w:rsidRPr="00D37CE4" w:rsidRDefault="00D37CE4" w:rsidP="00F3570C">
      <w:pPr>
        <w:pStyle w:val="ListParagraph"/>
        <w:numPr>
          <w:ilvl w:val="0"/>
          <w:numId w:val="31"/>
        </w:numPr>
      </w:pPr>
      <w:r w:rsidRPr="00D37CE4">
        <w:t xml:space="preserve">SDS – Sustainable Development Scenario </w:t>
      </w:r>
    </w:p>
    <w:p w14:paraId="1587353D" w14:textId="77777777" w:rsidR="00D37CE4" w:rsidRPr="00D37CE4" w:rsidRDefault="00D37CE4" w:rsidP="0025278E">
      <w:pPr>
        <w:pStyle w:val="ListParagraph"/>
        <w:numPr>
          <w:ilvl w:val="0"/>
          <w:numId w:val="31"/>
        </w:numPr>
      </w:pPr>
      <w:r w:rsidRPr="00D37CE4">
        <w:t>SR – Speculative Resources</w:t>
      </w:r>
    </w:p>
    <w:p w14:paraId="7F122ED0" w14:textId="77777777" w:rsidR="00D37CE4" w:rsidRPr="00D37CE4" w:rsidRDefault="00D37CE4" w:rsidP="0027545E">
      <w:pPr>
        <w:pStyle w:val="ListParagraph"/>
        <w:numPr>
          <w:ilvl w:val="0"/>
          <w:numId w:val="31"/>
        </w:numPr>
        <w:rPr>
          <w:bCs/>
        </w:rPr>
      </w:pPr>
      <w:r w:rsidRPr="00D37CE4">
        <w:rPr>
          <w:bCs/>
        </w:rPr>
        <w:t>TAM - Total Addressable Market</w:t>
      </w:r>
    </w:p>
    <w:p w14:paraId="779AD09A" w14:textId="77777777" w:rsidR="00D37CE4" w:rsidRPr="00D37CE4" w:rsidRDefault="00D37CE4" w:rsidP="0027545E">
      <w:pPr>
        <w:pStyle w:val="ListParagraph"/>
        <w:numPr>
          <w:ilvl w:val="0"/>
          <w:numId w:val="31"/>
        </w:numPr>
        <w:rPr>
          <w:bCs/>
        </w:rPr>
      </w:pPr>
      <w:r w:rsidRPr="00D37CE4">
        <w:rPr>
          <w:bCs/>
        </w:rPr>
        <w:t>TWh - Terawatt-Hours</w:t>
      </w:r>
    </w:p>
    <w:p w14:paraId="0941ABA5" w14:textId="77777777" w:rsidR="00D37CE4" w:rsidRPr="00D37CE4" w:rsidRDefault="00D37CE4" w:rsidP="0027545E">
      <w:pPr>
        <w:pStyle w:val="ListParagraph"/>
        <w:numPr>
          <w:ilvl w:val="0"/>
          <w:numId w:val="31"/>
        </w:numPr>
        <w:spacing w:after="160"/>
      </w:pPr>
      <w:r w:rsidRPr="00D37CE4">
        <w:t>US – United States</w:t>
      </w:r>
    </w:p>
    <w:p w14:paraId="37628A9F" w14:textId="77777777" w:rsidR="00D37CE4" w:rsidRPr="00D37CE4" w:rsidRDefault="00D37CE4" w:rsidP="0027545E">
      <w:pPr>
        <w:pStyle w:val="ListParagraph"/>
        <w:numPr>
          <w:ilvl w:val="0"/>
          <w:numId w:val="31"/>
        </w:numPr>
        <w:spacing w:after="160"/>
      </w:pPr>
      <w:r w:rsidRPr="00D37CE4">
        <w:t>USD – United States Dollar</w:t>
      </w:r>
    </w:p>
    <w:p w14:paraId="5A6CB9A5" w14:textId="77777777" w:rsidR="00D37CE4" w:rsidRPr="00D37CE4" w:rsidRDefault="00D37CE4" w:rsidP="00F3570C">
      <w:pPr>
        <w:pStyle w:val="ListParagraph"/>
        <w:numPr>
          <w:ilvl w:val="0"/>
          <w:numId w:val="31"/>
        </w:numPr>
      </w:pPr>
      <w:r w:rsidRPr="00D37CE4">
        <w:t>VRES - Variable Renewable Energy Sources</w:t>
      </w:r>
    </w:p>
    <w:p w14:paraId="181ADE83" w14:textId="77777777" w:rsidR="00D37CE4" w:rsidRPr="00D37CE4" w:rsidRDefault="00D37CE4" w:rsidP="0025278E">
      <w:pPr>
        <w:pStyle w:val="ListParagraph"/>
        <w:numPr>
          <w:ilvl w:val="0"/>
          <w:numId w:val="31"/>
        </w:numPr>
      </w:pPr>
      <w:r w:rsidRPr="00D37CE4">
        <w:t>WEO – World Energy Outlook</w:t>
      </w:r>
    </w:p>
    <w:p w14:paraId="59D70CD3" w14:textId="77777777" w:rsidR="00D37CE4" w:rsidRPr="00D37CE4" w:rsidRDefault="00D37CE4" w:rsidP="0025278E">
      <w:pPr>
        <w:pStyle w:val="ListParagraph"/>
        <w:numPr>
          <w:ilvl w:val="0"/>
          <w:numId w:val="31"/>
        </w:numPr>
      </w:pPr>
      <w:r w:rsidRPr="00D37CE4">
        <w:t>WI – Nuclear Island</w:t>
      </w:r>
    </w:p>
    <w:p w14:paraId="64A9A494" w14:textId="60ABA522" w:rsidR="004162CA" w:rsidRPr="00F3570C" w:rsidRDefault="004162CA" w:rsidP="004162CA">
      <w:pPr>
        <w:pStyle w:val="ListParagraph"/>
        <w:numPr>
          <w:ilvl w:val="0"/>
          <w:numId w:val="31"/>
        </w:numPr>
        <w:sectPr w:rsidR="004162CA" w:rsidRPr="00F3570C" w:rsidSect="00EB247F">
          <w:footerReference w:type="even" r:id="rId15"/>
          <w:footerReference w:type="default" r:id="rId16"/>
          <w:pgSz w:w="12240" w:h="15840"/>
          <w:pgMar w:top="1440" w:right="1440" w:bottom="1440" w:left="1440" w:header="720" w:footer="720" w:gutter="0"/>
          <w:cols w:space="720"/>
          <w:titlePg/>
          <w:docGrid w:linePitch="299"/>
        </w:sectPr>
      </w:pPr>
    </w:p>
    <w:p w14:paraId="258D1C7E" w14:textId="623AAE82" w:rsidR="00E844EA" w:rsidRPr="00E069AC" w:rsidRDefault="551A77D0" w:rsidP="00912CC8">
      <w:pPr>
        <w:pStyle w:val="Heading1"/>
        <w:numPr>
          <w:ilvl w:val="0"/>
          <w:numId w:val="0"/>
        </w:numPr>
      </w:pPr>
      <w:bookmarkStart w:id="3" w:name="_Toc19323135"/>
      <w:r w:rsidRPr="00E069AC">
        <w:lastRenderedPageBreak/>
        <w:t>Executive Summary</w:t>
      </w:r>
      <w:bookmarkEnd w:id="3"/>
    </w:p>
    <w:p w14:paraId="2DA048F6" w14:textId="45EBBAE6" w:rsidR="00CE576B" w:rsidRPr="004162CA" w:rsidRDefault="00CE576B" w:rsidP="002C548E">
      <w:pPr>
        <w:pStyle w:val="NormalWeb"/>
        <w:spacing w:before="0" w:beforeAutospacing="0" w:after="120" w:afterAutospacing="0" w:line="240" w:lineRule="auto"/>
        <w:rPr>
          <w:rFonts w:eastAsiaTheme="minorEastAsia" w:cstheme="minorBidi"/>
          <w:sz w:val="22"/>
          <w:lang w:eastAsia="ja-JP"/>
        </w:rPr>
      </w:pPr>
      <w:r w:rsidRPr="00CE576B">
        <w:rPr>
          <w:rFonts w:eastAsiaTheme="minorEastAsia" w:cstheme="minorBidi"/>
          <w:sz w:val="22"/>
          <w:szCs w:val="22"/>
          <w:lang w:eastAsia="ja-JP"/>
        </w:rPr>
        <w:t>Project Drawdown defines nuclear as: the electricity generation from nuclear fission in the form of Uranium 235 as used in pressurized water reactors, a type of light-water reactor using low-enriched uranium fuel. This solution replaces conventional electricity-generating technologies such as coal, oil, and natural gas power plants.</w:t>
      </w:r>
      <w:r>
        <w:rPr>
          <w:rFonts w:eastAsiaTheme="minorEastAsia" w:cstheme="minorBidi"/>
          <w:sz w:val="22"/>
          <w:szCs w:val="22"/>
          <w:lang w:eastAsia="ja-JP"/>
        </w:rPr>
        <w:t xml:space="preserve"> </w:t>
      </w:r>
      <w:r w:rsidRPr="00CE576B">
        <w:rPr>
          <w:rFonts w:eastAsiaTheme="minorEastAsia" w:cstheme="minorBidi"/>
          <w:sz w:val="22"/>
          <w:szCs w:val="22"/>
          <w:lang w:eastAsia="ja-JP"/>
        </w:rPr>
        <w:t xml:space="preserve">Commercialized civil nuclear energy captures the energy released by the splitting of atoms in radioactive elements. This energy can be extremely powerful and resource-efficient: 1 kilogram of </w:t>
      </w:r>
      <w:r w:rsidRPr="004162CA">
        <w:rPr>
          <w:rFonts w:eastAsiaTheme="minorEastAsia" w:cstheme="minorBidi"/>
          <w:sz w:val="22"/>
          <w:lang w:eastAsia="ja-JP"/>
        </w:rPr>
        <w:t>uranium-235 contains two to three million times the energy equivalent of 1 kilogram of oil or coal (ENS, 2016). During nuclear fission in the reactor core, heat is produced; this heat is used to boil water into steam; the steam then turns turbine blades that drive generators to make electricity.</w:t>
      </w:r>
    </w:p>
    <w:p w14:paraId="0AD90BEB" w14:textId="1C19F992" w:rsidR="004162CA" w:rsidRPr="004162CA" w:rsidRDefault="00CE576B" w:rsidP="004162CA">
      <w:pPr>
        <w:pStyle w:val="NormalWeb"/>
        <w:spacing w:before="0" w:beforeAutospacing="0" w:after="120" w:afterAutospacing="0" w:line="240" w:lineRule="auto"/>
        <w:rPr>
          <w:rFonts w:eastAsiaTheme="minorEastAsia" w:cstheme="minorBidi"/>
          <w:sz w:val="22"/>
          <w:lang w:eastAsia="ja-JP"/>
        </w:rPr>
      </w:pPr>
      <w:r w:rsidRPr="004162CA">
        <w:rPr>
          <w:rFonts w:eastAsiaTheme="minorEastAsia" w:cstheme="minorBidi"/>
          <w:sz w:val="22"/>
          <w:lang w:eastAsia="ja-JP"/>
        </w:rPr>
        <w:t>This analysis models the adoption of nuclear fission as used in pressurized water reactors, a type of light-water reactor using low-enriched uranium fuel, the most prevalent form of nuclear energy in 2016. Advanced reactors such as thorium-based reactors, gas-cooled reactors, pebble bed reactors, and other technologies in the pre-commercialization phases are out of the scope of this research.</w:t>
      </w:r>
      <w:r w:rsidR="002C548E" w:rsidRPr="004162CA">
        <w:rPr>
          <w:rFonts w:eastAsiaTheme="minorEastAsia" w:cstheme="minorBidi"/>
          <w:sz w:val="22"/>
          <w:lang w:eastAsia="ja-JP"/>
        </w:rPr>
        <w:t xml:space="preserve"> </w:t>
      </w:r>
      <w:r w:rsidRPr="004162CA">
        <w:rPr>
          <w:rFonts w:eastAsiaTheme="minorEastAsia" w:cstheme="minorBidi"/>
          <w:sz w:val="22"/>
          <w:lang w:eastAsia="ja-JP"/>
        </w:rPr>
        <w:t xml:space="preserve">The total addressable market for nuclear electricity generation is based on projected global electricity generation in terawatt-hours from 2020-2050, with current adoption estimated at around </w:t>
      </w:r>
      <w:r w:rsidR="00855C2A" w:rsidRPr="004162CA">
        <w:rPr>
          <w:rFonts w:eastAsiaTheme="minorEastAsia" w:cstheme="minorBidi"/>
          <w:sz w:val="22"/>
          <w:lang w:eastAsia="ja-JP"/>
        </w:rPr>
        <w:t>12.2</w:t>
      </w:r>
      <w:r w:rsidRPr="004162CA">
        <w:rPr>
          <w:rFonts w:eastAsiaTheme="minorEastAsia" w:cstheme="minorBidi"/>
          <w:sz w:val="22"/>
          <w:lang w:eastAsia="ja-JP"/>
        </w:rPr>
        <w:t>% of generation (i.e. 2,</w:t>
      </w:r>
      <w:r w:rsidR="00855C2A" w:rsidRPr="004162CA">
        <w:rPr>
          <w:rFonts w:eastAsiaTheme="minorEastAsia" w:cstheme="minorBidi"/>
          <w:sz w:val="22"/>
          <w:lang w:eastAsia="ja-JP"/>
        </w:rPr>
        <w:t>752</w:t>
      </w:r>
      <w:r w:rsidRPr="004162CA">
        <w:rPr>
          <w:rFonts w:eastAsiaTheme="minorEastAsia" w:cstheme="minorBidi"/>
          <w:sz w:val="22"/>
          <w:lang w:eastAsia="ja-JP"/>
        </w:rPr>
        <w:t xml:space="preserve"> terawatt-hours). Impacts of increased adoption of nuclear from 2020-2050 were generated based on three growth scenarios, which were assessed in comparison to a Reference Scenario where the solution’s market share was fixed at the current levels.</w:t>
      </w:r>
      <w:r w:rsidR="004162CA" w:rsidRPr="004162CA">
        <w:rPr>
          <w:rFonts w:eastAsiaTheme="minorEastAsia" w:cstheme="minorBidi"/>
          <w:sz w:val="22"/>
          <w:lang w:eastAsia="ja-JP"/>
        </w:rPr>
        <w:t xml:space="preserve"> </w:t>
      </w:r>
      <w:r w:rsidR="002C548E" w:rsidRPr="004162CA">
        <w:rPr>
          <w:i/>
          <w:sz w:val="22"/>
        </w:rPr>
        <w:t>Plausible Scenario</w:t>
      </w:r>
      <w:r w:rsidR="002C548E" w:rsidRPr="004162CA">
        <w:rPr>
          <w:sz w:val="22"/>
        </w:rPr>
        <w:t xml:space="preserve"> is b</w:t>
      </w:r>
      <w:r w:rsidRPr="004162CA">
        <w:rPr>
          <w:sz w:val="22"/>
        </w:rPr>
        <w:t xml:space="preserve">ased on the evaluation of </w:t>
      </w:r>
      <w:r w:rsidR="0084391C" w:rsidRPr="004162CA">
        <w:rPr>
          <w:sz w:val="22"/>
        </w:rPr>
        <w:t>six climate optimistic scenarios</w:t>
      </w:r>
      <w:r w:rsidR="004162CA" w:rsidRPr="004162CA">
        <w:rPr>
          <w:sz w:val="22"/>
        </w:rPr>
        <w:t xml:space="preserve"> and ambitious solution adoption scenarios</w:t>
      </w:r>
      <w:r w:rsidR="0084391C" w:rsidRPr="004162CA">
        <w:rPr>
          <w:sz w:val="22"/>
        </w:rPr>
        <w:t xml:space="preserve"> from IEA (2017) Energy Technology Perspectives 2DS and B2DS scenarios; IEA (2018) World Energy Outlook SDS; Equinor (2018) Renewal Scenario; Grantham Institute and Carbon Tracker (2017) with the strong mitigation policy scenario, with Original technology costs and Medium energy demand; and IEEJ (2018) Advanced Tech Scenario; using a medium growth trajectory. In this </w:t>
      </w:r>
      <w:r w:rsidR="004162CA" w:rsidRPr="004162CA">
        <w:rPr>
          <w:sz w:val="22"/>
        </w:rPr>
        <w:t>scenario</w:t>
      </w:r>
      <w:r w:rsidR="0084391C" w:rsidRPr="004162CA">
        <w:rPr>
          <w:sz w:val="22"/>
        </w:rPr>
        <w:t xml:space="preserve"> </w:t>
      </w:r>
      <w:r w:rsidR="004162CA" w:rsidRPr="004162CA">
        <w:rPr>
          <w:sz w:val="22"/>
        </w:rPr>
        <w:t>nuclear</w:t>
      </w:r>
      <w:r w:rsidR="0084391C" w:rsidRPr="004162CA">
        <w:rPr>
          <w:sz w:val="22"/>
        </w:rPr>
        <w:t xml:space="preserve"> </w:t>
      </w:r>
      <w:r w:rsidRPr="004162CA">
        <w:rPr>
          <w:sz w:val="22"/>
        </w:rPr>
        <w:t>captur</w:t>
      </w:r>
      <w:r w:rsidR="0084391C" w:rsidRPr="004162CA">
        <w:rPr>
          <w:sz w:val="22"/>
        </w:rPr>
        <w:t>es</w:t>
      </w:r>
      <w:r w:rsidRPr="004162CA">
        <w:rPr>
          <w:sz w:val="22"/>
        </w:rPr>
        <w:t xml:space="preserve"> 1</w:t>
      </w:r>
      <w:r w:rsidR="002C61D2">
        <w:rPr>
          <w:sz w:val="22"/>
        </w:rPr>
        <w:t>3</w:t>
      </w:r>
      <w:r w:rsidR="00855C2A" w:rsidRPr="004162CA">
        <w:rPr>
          <w:sz w:val="22"/>
        </w:rPr>
        <w:t>.</w:t>
      </w:r>
      <w:r w:rsidR="002C61D2">
        <w:rPr>
          <w:sz w:val="22"/>
        </w:rPr>
        <w:t>4</w:t>
      </w:r>
      <w:r w:rsidR="004162CA">
        <w:rPr>
          <w:sz w:val="22"/>
        </w:rPr>
        <w:t>%</w:t>
      </w:r>
      <w:r w:rsidRPr="004162CA">
        <w:rPr>
          <w:sz w:val="22"/>
        </w:rPr>
        <w:t xml:space="preserve"> of the electricity generation market share in 2050 (i.e. 6,</w:t>
      </w:r>
      <w:r w:rsidR="00855C2A" w:rsidRPr="004162CA">
        <w:rPr>
          <w:sz w:val="22"/>
        </w:rPr>
        <w:t>093</w:t>
      </w:r>
      <w:r w:rsidRPr="004162CA">
        <w:rPr>
          <w:sz w:val="22"/>
        </w:rPr>
        <w:t xml:space="preserve"> terawatt-hours). </w:t>
      </w:r>
      <w:r w:rsidR="002C548E" w:rsidRPr="004162CA">
        <w:rPr>
          <w:i/>
          <w:sz w:val="22"/>
        </w:rPr>
        <w:t>Drawdown Scenario</w:t>
      </w:r>
      <w:r w:rsidR="004162CA" w:rsidRPr="004162CA">
        <w:rPr>
          <w:i/>
          <w:sz w:val="22"/>
        </w:rPr>
        <w:t xml:space="preserve"> </w:t>
      </w:r>
      <w:r w:rsidR="004162CA" w:rsidRPr="004162CA">
        <w:rPr>
          <w:sz w:val="22"/>
        </w:rPr>
        <w:t xml:space="preserve">follows the same adoption trajectory as the </w:t>
      </w:r>
      <w:r w:rsidR="004162CA" w:rsidRPr="004162CA">
        <w:rPr>
          <w:i/>
          <w:sz w:val="22"/>
        </w:rPr>
        <w:t>Plausible scenario.</w:t>
      </w:r>
      <w:r w:rsidRPr="004162CA">
        <w:rPr>
          <w:sz w:val="22"/>
        </w:rPr>
        <w:t xml:space="preserve"> </w:t>
      </w:r>
      <w:r w:rsidR="004162CA" w:rsidRPr="004162CA">
        <w:rPr>
          <w:sz w:val="22"/>
        </w:rPr>
        <w:t>W</w:t>
      </w:r>
      <w:r w:rsidRPr="004162CA">
        <w:rPr>
          <w:sz w:val="22"/>
        </w:rPr>
        <w:t>ith the target of 100</w:t>
      </w:r>
      <w:r w:rsidR="004162CA">
        <w:rPr>
          <w:sz w:val="22"/>
        </w:rPr>
        <w:t>%</w:t>
      </w:r>
      <w:r w:rsidRPr="004162CA">
        <w:rPr>
          <w:sz w:val="22"/>
        </w:rPr>
        <w:t xml:space="preserve"> electricity generation from </w:t>
      </w:r>
      <w:r w:rsidR="004162CA">
        <w:rPr>
          <w:sz w:val="22"/>
        </w:rPr>
        <w:t>RES</w:t>
      </w:r>
      <w:r w:rsidRPr="004162CA">
        <w:rPr>
          <w:sz w:val="22"/>
        </w:rPr>
        <w:t xml:space="preserve"> in 2050, </w:t>
      </w:r>
      <w:r w:rsidR="00855C2A" w:rsidRPr="004162CA">
        <w:rPr>
          <w:sz w:val="22"/>
        </w:rPr>
        <w:t>Optimum S</w:t>
      </w:r>
      <w:r w:rsidR="004162CA" w:rsidRPr="004162CA">
        <w:rPr>
          <w:sz w:val="22"/>
        </w:rPr>
        <w:t>c</w:t>
      </w:r>
      <w:r w:rsidR="00855C2A" w:rsidRPr="004162CA">
        <w:rPr>
          <w:sz w:val="22"/>
        </w:rPr>
        <w:t xml:space="preserve">enario </w:t>
      </w:r>
      <w:r w:rsidRPr="004162CA">
        <w:rPr>
          <w:sz w:val="22"/>
        </w:rPr>
        <w:t xml:space="preserve">shows </w:t>
      </w:r>
      <w:r w:rsidR="00855C2A" w:rsidRPr="004162CA">
        <w:rPr>
          <w:sz w:val="22"/>
        </w:rPr>
        <w:t>a reduction to zero by</w:t>
      </w:r>
      <w:r w:rsidR="004162CA" w:rsidRPr="004162CA">
        <w:rPr>
          <w:sz w:val="22"/>
        </w:rPr>
        <w:t xml:space="preserve"> </w:t>
      </w:r>
      <w:r w:rsidR="00855C2A" w:rsidRPr="004162CA">
        <w:rPr>
          <w:sz w:val="22"/>
        </w:rPr>
        <w:t xml:space="preserve">2050 of </w:t>
      </w:r>
      <w:r w:rsidR="0084391C" w:rsidRPr="004162CA">
        <w:rPr>
          <w:sz w:val="22"/>
        </w:rPr>
        <w:t>nuclear</w:t>
      </w:r>
      <w:r w:rsidR="00855C2A" w:rsidRPr="004162CA">
        <w:rPr>
          <w:sz w:val="22"/>
        </w:rPr>
        <w:t xml:space="preserve"> power use. </w:t>
      </w:r>
      <w:r w:rsidR="004162CA" w:rsidRPr="004162CA">
        <w:rPr>
          <w:sz w:val="22"/>
        </w:rPr>
        <w:t xml:space="preserve">This scenario builds upon the combined analysis of the results of three 100% RES scenarios of electricity generation by 2050, being Greenpeace (2015) Advanced Energy [R]evolution Scenario; Ram </w:t>
      </w:r>
      <w:r w:rsidR="004162CA" w:rsidRPr="00850C63">
        <w:rPr>
          <w:i/>
          <w:sz w:val="22"/>
        </w:rPr>
        <w:t>et al.</w:t>
      </w:r>
      <w:r w:rsidR="004162CA" w:rsidRPr="004162CA">
        <w:rPr>
          <w:sz w:val="22"/>
        </w:rPr>
        <w:t xml:space="preserve"> (2019) scenario and Ecofys (2018) 1.5ºC scenario.</w:t>
      </w:r>
    </w:p>
    <w:p w14:paraId="5B1CC49F" w14:textId="49EC285D" w:rsidR="00CE576B" w:rsidRPr="00CE576B" w:rsidRDefault="00CE576B" w:rsidP="002C548E">
      <w:pPr>
        <w:pStyle w:val="NormalWeb"/>
        <w:spacing w:before="0" w:beforeAutospacing="0" w:after="120" w:afterAutospacing="0" w:line="240" w:lineRule="auto"/>
        <w:rPr>
          <w:rFonts w:eastAsiaTheme="minorEastAsia" w:cstheme="minorBidi"/>
          <w:sz w:val="22"/>
          <w:szCs w:val="22"/>
          <w:lang w:eastAsia="ja-JP"/>
        </w:rPr>
      </w:pPr>
      <w:r w:rsidRPr="004162CA">
        <w:rPr>
          <w:rFonts w:eastAsiaTheme="minorEastAsia" w:cstheme="minorBidi"/>
          <w:sz w:val="22"/>
          <w:lang w:eastAsia="ja-JP"/>
        </w:rPr>
        <w:t xml:space="preserve">Compared to the Reference Scenario, the financial results for the Plausible Scenario of adoption show </w:t>
      </w:r>
      <w:r w:rsidR="002C61D2">
        <w:rPr>
          <w:rFonts w:eastAsiaTheme="minorEastAsia" w:cstheme="minorBidi"/>
          <w:sz w:val="22"/>
          <w:lang w:eastAsia="ja-JP"/>
        </w:rPr>
        <w:t>marginal</w:t>
      </w:r>
      <w:r w:rsidRPr="004162CA">
        <w:rPr>
          <w:rFonts w:eastAsiaTheme="minorEastAsia" w:cstheme="minorBidi"/>
          <w:sz w:val="22"/>
          <w:lang w:eastAsia="ja-JP"/>
        </w:rPr>
        <w:t xml:space="preserve"> first costs of US$</w:t>
      </w:r>
      <w:r w:rsidR="00855C2A" w:rsidRPr="004162CA">
        <w:rPr>
          <w:rFonts w:eastAsiaTheme="minorEastAsia" w:cstheme="minorBidi"/>
          <w:sz w:val="22"/>
          <w:lang w:eastAsia="ja-JP"/>
        </w:rPr>
        <w:t>192</w:t>
      </w:r>
      <w:r w:rsidRPr="004162CA">
        <w:rPr>
          <w:rFonts w:eastAsiaTheme="minorEastAsia" w:cstheme="minorBidi"/>
          <w:sz w:val="22"/>
          <w:lang w:eastAsia="ja-JP"/>
        </w:rPr>
        <w:t xml:space="preserve"> billion from 2020-50, and </w:t>
      </w:r>
      <w:r w:rsidR="00855C2A" w:rsidRPr="004162CA">
        <w:rPr>
          <w:rFonts w:eastAsiaTheme="minorEastAsia" w:cstheme="minorBidi"/>
          <w:sz w:val="22"/>
          <w:lang w:eastAsia="ja-JP"/>
        </w:rPr>
        <w:t>near</w:t>
      </w:r>
      <w:r w:rsidRPr="004162CA">
        <w:rPr>
          <w:rFonts w:eastAsiaTheme="minorEastAsia" w:cstheme="minorBidi"/>
          <w:sz w:val="22"/>
          <w:lang w:eastAsia="ja-JP"/>
        </w:rPr>
        <w:t xml:space="preserve"> US$</w:t>
      </w:r>
      <w:r w:rsidR="00855C2A" w:rsidRPr="004162CA">
        <w:rPr>
          <w:rFonts w:eastAsiaTheme="minorEastAsia" w:cstheme="minorBidi"/>
          <w:sz w:val="22"/>
          <w:lang w:eastAsia="ja-JP"/>
        </w:rPr>
        <w:t>159</w:t>
      </w:r>
      <w:r w:rsidRPr="004162CA">
        <w:rPr>
          <w:rFonts w:eastAsiaTheme="minorEastAsia" w:cstheme="minorBidi"/>
          <w:sz w:val="22"/>
          <w:lang w:eastAsia="ja-JP"/>
        </w:rPr>
        <w:t xml:space="preserve"> </w:t>
      </w:r>
      <w:r w:rsidR="00855C2A" w:rsidRPr="004162CA">
        <w:rPr>
          <w:rFonts w:eastAsiaTheme="minorEastAsia" w:cstheme="minorBidi"/>
          <w:sz w:val="22"/>
          <w:lang w:eastAsia="ja-JP"/>
        </w:rPr>
        <w:t>billion</w:t>
      </w:r>
      <w:r w:rsidRPr="004162CA">
        <w:rPr>
          <w:rFonts w:eastAsiaTheme="minorEastAsia" w:cstheme="minorBidi"/>
          <w:sz w:val="22"/>
          <w:lang w:eastAsia="ja-JP"/>
        </w:rPr>
        <w:t xml:space="preserve"> in savings over the same period. Under the Plausible Scenario, the adoption of nuclear for electricity generation could avoid </w:t>
      </w:r>
      <w:r w:rsidR="00855C2A" w:rsidRPr="004162CA">
        <w:rPr>
          <w:rFonts w:eastAsiaTheme="minorEastAsia" w:cstheme="minorBidi"/>
          <w:sz w:val="22"/>
          <w:lang w:eastAsia="ja-JP"/>
        </w:rPr>
        <w:t>3.25</w:t>
      </w:r>
      <w:r w:rsidRPr="004162CA">
        <w:rPr>
          <w:rFonts w:eastAsiaTheme="minorEastAsia" w:cstheme="minorBidi"/>
          <w:sz w:val="22"/>
          <w:lang w:eastAsia="ja-JP"/>
        </w:rPr>
        <w:t xml:space="preserve"> gigatons of carbon dioxide-equivalent greenhouse gas emissions from 2020-2050</w:t>
      </w:r>
      <w:r w:rsidR="00855C2A" w:rsidRPr="004162CA">
        <w:rPr>
          <w:rFonts w:eastAsiaTheme="minorEastAsia" w:cstheme="minorBidi"/>
          <w:sz w:val="22"/>
          <w:lang w:eastAsia="ja-JP"/>
        </w:rPr>
        <w:t xml:space="preserve">. </w:t>
      </w:r>
      <w:r w:rsidRPr="004162CA">
        <w:rPr>
          <w:rFonts w:eastAsiaTheme="minorEastAsia" w:cstheme="minorBidi"/>
          <w:sz w:val="22"/>
          <w:lang w:eastAsia="ja-JP"/>
        </w:rPr>
        <w:t xml:space="preserve">Drawdown </w:t>
      </w:r>
      <w:r w:rsidR="00855C2A" w:rsidRPr="004162CA">
        <w:rPr>
          <w:rFonts w:eastAsiaTheme="minorEastAsia" w:cstheme="minorBidi"/>
          <w:sz w:val="22"/>
          <w:lang w:eastAsia="ja-JP"/>
        </w:rPr>
        <w:t>Scenario projects that nuclear represents 8.6% of the TAM in 2050 with the</w:t>
      </w:r>
      <w:r w:rsidR="00855C2A" w:rsidRPr="004162CA">
        <w:rPr>
          <w:rFonts w:eastAsiaTheme="minorEastAsia" w:cstheme="minorBidi"/>
          <w:sz w:val="21"/>
          <w:szCs w:val="22"/>
          <w:lang w:eastAsia="ja-JP"/>
        </w:rPr>
        <w:t xml:space="preserve"> </w:t>
      </w:r>
      <w:r w:rsidR="00855C2A" w:rsidRPr="00855C2A">
        <w:rPr>
          <w:rFonts w:eastAsiaTheme="minorEastAsia" w:cstheme="minorBidi"/>
          <w:sz w:val="22"/>
          <w:szCs w:val="22"/>
          <w:lang w:eastAsia="ja-JP"/>
        </w:rPr>
        <w:t xml:space="preserve">same impact as the Plausible Scenario (i.e. </w:t>
      </w:r>
      <w:r w:rsidR="002C61D2">
        <w:rPr>
          <w:rFonts w:eastAsiaTheme="minorEastAsia" w:cstheme="minorBidi"/>
          <w:sz w:val="22"/>
          <w:szCs w:val="22"/>
          <w:lang w:eastAsia="ja-JP"/>
        </w:rPr>
        <w:t>2.9</w:t>
      </w:r>
      <w:r w:rsidR="00855C2A" w:rsidRPr="00855C2A">
        <w:rPr>
          <w:rFonts w:eastAsiaTheme="minorEastAsia" w:cstheme="minorBidi"/>
          <w:sz w:val="22"/>
          <w:szCs w:val="22"/>
          <w:lang w:eastAsia="ja-JP"/>
        </w:rPr>
        <w:t xml:space="preserve"> gigatons of carbon dioxide-equivalent greenhouse gas emissions).</w:t>
      </w:r>
      <w:r w:rsidRPr="00855C2A">
        <w:rPr>
          <w:rFonts w:eastAsiaTheme="minorEastAsia" w:cstheme="minorBidi"/>
          <w:sz w:val="22"/>
          <w:szCs w:val="22"/>
          <w:lang w:eastAsia="ja-JP"/>
        </w:rPr>
        <w:t xml:space="preserve"> </w:t>
      </w:r>
      <w:r w:rsidR="00855C2A" w:rsidRPr="00855C2A">
        <w:rPr>
          <w:rFonts w:eastAsiaTheme="minorEastAsia" w:cstheme="minorBidi"/>
          <w:sz w:val="22"/>
          <w:szCs w:val="22"/>
          <w:lang w:eastAsia="ja-JP"/>
        </w:rPr>
        <w:t xml:space="preserve">Due to the phasing out of all nuclear powerplants by 2050, the </w:t>
      </w:r>
      <w:r w:rsidRPr="00855C2A">
        <w:rPr>
          <w:rFonts w:eastAsiaTheme="minorEastAsia" w:cstheme="minorBidi"/>
          <w:sz w:val="22"/>
          <w:szCs w:val="22"/>
          <w:lang w:eastAsia="ja-JP"/>
        </w:rPr>
        <w:t>Optimum Scenarios</w:t>
      </w:r>
      <w:r w:rsidR="00855C2A" w:rsidRPr="00855C2A">
        <w:rPr>
          <w:rFonts w:eastAsiaTheme="minorEastAsia" w:cstheme="minorBidi"/>
          <w:sz w:val="22"/>
          <w:szCs w:val="22"/>
          <w:lang w:eastAsia="ja-JP"/>
        </w:rPr>
        <w:t xml:space="preserve"> unfolds negative results for total emissions reductions of -55.4 gigatons when compared to the REF scenario.</w:t>
      </w:r>
    </w:p>
    <w:p w14:paraId="23AA84E3" w14:textId="7C721F19" w:rsidR="00CE576B" w:rsidRPr="00CE576B" w:rsidRDefault="00CE576B" w:rsidP="002C548E">
      <w:pPr>
        <w:pStyle w:val="NormalWeb"/>
        <w:spacing w:before="0" w:beforeAutospacing="0" w:after="120" w:afterAutospacing="0" w:line="240" w:lineRule="auto"/>
        <w:rPr>
          <w:rFonts w:eastAsiaTheme="minorEastAsia" w:cstheme="minorBidi"/>
          <w:sz w:val="22"/>
          <w:szCs w:val="22"/>
          <w:lang w:eastAsia="ja-JP"/>
        </w:rPr>
      </w:pPr>
      <w:r w:rsidRPr="00CE576B">
        <w:rPr>
          <w:rFonts w:eastAsiaTheme="minorEastAsia" w:cstheme="minorBidi"/>
          <w:sz w:val="22"/>
          <w:szCs w:val="22"/>
          <w:lang w:eastAsia="ja-JP"/>
        </w:rPr>
        <w:t>The adoption of nuclear power plants depends on a number of factors. Trends that may accelerate its adoption include: the public acceptance of nuclear power as a climate change abatement and job creation strategy; the commercialization of technologies that produce less radioactive waste; government support (subsidies, loan guarantees, etc.) of nuclear power; and a carbon tax. Trends that may decelerate the adoption of nuclear power plants include: public disapproval of nuclear power, nuclear incidents and accidents, lack of nuclear power skills training, and cost overruns and delays on the construction.</w:t>
      </w:r>
      <w:r w:rsidR="002C548E">
        <w:rPr>
          <w:rFonts w:eastAsiaTheme="minorEastAsia" w:cstheme="minorBidi"/>
          <w:sz w:val="22"/>
          <w:szCs w:val="22"/>
          <w:lang w:eastAsia="ja-JP"/>
        </w:rPr>
        <w:t xml:space="preserve"> </w:t>
      </w:r>
      <w:r w:rsidRPr="00CE576B">
        <w:rPr>
          <w:rFonts w:eastAsiaTheme="minorEastAsia" w:cstheme="minorBidi"/>
          <w:sz w:val="22"/>
          <w:szCs w:val="22"/>
          <w:lang w:eastAsia="ja-JP"/>
        </w:rPr>
        <w:t>Advantages of increasing nuclear energy adoption include: the zero-carbon nature of generation, provision of baseload capability, a high capacity factor, and the ability to use nuclear’s waste heat to power other systems. The disadvantages of increasing nuclear energy adoption include legacy waste and the public perception of risk that leads to a high cost of capital for new builds.</w:t>
      </w:r>
    </w:p>
    <w:p w14:paraId="536FB063" w14:textId="77777777" w:rsidR="00F52595" w:rsidRPr="00E069AC" w:rsidRDefault="00F52595" w:rsidP="00912CC8">
      <w:pPr>
        <w:pStyle w:val="Heading1"/>
        <w:sectPr w:rsidR="00F52595" w:rsidRPr="00E069AC" w:rsidSect="00BB79D6">
          <w:footerReference w:type="even" r:id="rId17"/>
          <w:footerReference w:type="default" r:id="rId18"/>
          <w:pgSz w:w="12240" w:h="15840"/>
          <w:pgMar w:top="1440" w:right="1440" w:bottom="1440" w:left="1440" w:header="720" w:footer="720" w:gutter="0"/>
          <w:cols w:space="720"/>
        </w:sectPr>
      </w:pPr>
    </w:p>
    <w:p w14:paraId="34916870" w14:textId="0045908A" w:rsidR="00E815C8" w:rsidRPr="00E069AC" w:rsidRDefault="551A77D0" w:rsidP="00912CC8">
      <w:pPr>
        <w:pStyle w:val="Heading1"/>
      </w:pPr>
      <w:bookmarkStart w:id="4" w:name="_Toc19323136"/>
      <w:r w:rsidRPr="00E069AC">
        <w:lastRenderedPageBreak/>
        <w:t>Literature Review</w:t>
      </w:r>
      <w:bookmarkEnd w:id="4"/>
    </w:p>
    <w:p w14:paraId="05406D4C" w14:textId="4D2AD58E" w:rsidR="006A4A08" w:rsidRDefault="551A77D0" w:rsidP="009A25BC">
      <w:pPr>
        <w:pStyle w:val="Heading2"/>
        <w:numPr>
          <w:ilvl w:val="1"/>
          <w:numId w:val="44"/>
        </w:numPr>
      </w:pPr>
      <w:bookmarkStart w:id="5" w:name="_Toc19323137"/>
      <w:r w:rsidRPr="00E069AC">
        <w:t xml:space="preserve">State of </w:t>
      </w:r>
      <w:r w:rsidR="002C548E">
        <w:t>Nuclear Energy</w:t>
      </w:r>
      <w:bookmarkEnd w:id="5"/>
    </w:p>
    <w:p w14:paraId="4B0F5360" w14:textId="6ACADAFE" w:rsidR="002C548E" w:rsidRPr="002C548E" w:rsidRDefault="002C548E" w:rsidP="002C548E">
      <w:r w:rsidRPr="002C548E">
        <w:t>The scope of the Nuclear Energy Drawdown solution is nuclear fission in the form of Uranium 235 as used in pressurized water reactors (PWRs), a type of light-water reactor (LWRs), using low-enriched uranium (LEU) fuel, the most prevalent form of nuclear energy. Out of scope are advanced reactors such as thorium-based reactors, gas-cooled reactors, pebble bed reactors, and other technologies in the pre-commercialization phases.</w:t>
      </w:r>
    </w:p>
    <w:p w14:paraId="25FE64EA" w14:textId="77777777" w:rsidR="002C548E" w:rsidRPr="002C548E" w:rsidRDefault="002C548E" w:rsidP="002C548E">
      <w:r w:rsidRPr="002C548E">
        <w:t>Commercialized civil nuclear energy, based on the fission of uranium-235, captures the energy during the splitting of atoms in radioactive elements. This energy can be extremely powerful and resource efficient—1 kilogram of uranium-235 contains two to three million times the energy equivalent of 1 kg of oil or 1 kg of coal (ENS, 2016).</w:t>
      </w:r>
    </w:p>
    <w:p w14:paraId="71B722CD" w14:textId="1D31C572" w:rsidR="007E3C27" w:rsidRDefault="002C548E" w:rsidP="003E2EAC">
      <w:r w:rsidRPr="002C548E">
        <w:t xml:space="preserve">In nuclear fission, atoms release energy when they split apart to form smaller atoms. The atoms originate from fuel—the most common fuel source being uranium. Uranium is mined from deposits around the world, with the largest deposits of uranium located in Canada, Kazakhstan, Australia, Russia and Niger. Uranium is chemically processed, formed into ceramic pellets, stacked end-to-end in metal fuel rods, assembled into a bundle (a bundle contains sometimes hundreds of fuel rods), and inserted into a reactor core. During nuclear fission in the reactor core, heat is produced; this heat is used to boil water into steam; the steam then turns turbine blades that drive generators to make electricity. </w:t>
      </w:r>
    </w:p>
    <w:p w14:paraId="111F4010" w14:textId="55A27CF3" w:rsidR="00434F61" w:rsidRPr="00E069AC" w:rsidRDefault="551A77D0" w:rsidP="00C83A29">
      <w:pPr>
        <w:pStyle w:val="Heading2"/>
        <w:numPr>
          <w:ilvl w:val="1"/>
          <w:numId w:val="44"/>
        </w:numPr>
      </w:pPr>
      <w:bookmarkStart w:id="6" w:name="_Toc19323138"/>
      <w:bookmarkStart w:id="7" w:name="_Hlk532375010"/>
      <w:r w:rsidRPr="00E069AC">
        <w:t>Adoption Path</w:t>
      </w:r>
      <w:bookmarkEnd w:id="6"/>
    </w:p>
    <w:p w14:paraId="2027DBA6" w14:textId="2B6436C2" w:rsidR="00D1508C" w:rsidRDefault="551A77D0" w:rsidP="005D49A8">
      <w:pPr>
        <w:pStyle w:val="Heading3"/>
      </w:pPr>
      <w:bookmarkStart w:id="8" w:name="_Toc19323139"/>
      <w:bookmarkEnd w:id="7"/>
      <w:r w:rsidRPr="00E069AC">
        <w:t>Current Adoption</w:t>
      </w:r>
      <w:bookmarkEnd w:id="8"/>
    </w:p>
    <w:p w14:paraId="5063921D" w14:textId="77777777" w:rsidR="008C0AE0" w:rsidRPr="0084391C" w:rsidRDefault="008C0AE0" w:rsidP="008C0AE0">
      <w:r w:rsidRPr="0084391C">
        <w:t>Annually, there are about 2.8 trillion kWh of electricity generated globally from nuclear power (Fetter, 2009), representing about 15% of the world’s electricity. Since the Fukushima accident in March 2011, nuclear power has decreased to about 11% of the world electricity market share and evolves as Japan restarts its nuclear reactors.</w:t>
      </w:r>
    </w:p>
    <w:p w14:paraId="2E616EA7" w14:textId="396AFE6E" w:rsidR="008C0AE0" w:rsidRPr="008C0AE0" w:rsidRDefault="008C0AE0" w:rsidP="008C0AE0">
      <w:r w:rsidRPr="0084391C">
        <w:t xml:space="preserve">Nuclear power is the largest source of low-carbon electricity in OECD countries and second at a global level. As a point of comparison, as of 2019, there are 60 operating nuclear power plants in the United States, representing about 20% of the USA’s electricity footprint, and 58 operating nuclear power plants in France, representing 75-80% of France’s electricity. As of 2016, 30 countries worldwide are operating 450 nuclear </w:t>
      </w:r>
      <w:r w:rsidRPr="0084391C">
        <w:lastRenderedPageBreak/>
        <w:t>reactors for electricity generation and 60 new nuclear plants are under construction in 15 countries (IAEA, 201</w:t>
      </w:r>
      <w:r w:rsidR="0052355A" w:rsidRPr="0084391C">
        <w:t>9</w:t>
      </w:r>
      <w:r w:rsidRPr="0084391C">
        <w:t>).</w:t>
      </w:r>
    </w:p>
    <w:p w14:paraId="2A418393" w14:textId="15260990" w:rsidR="008C0AE0" w:rsidRPr="0084391C" w:rsidRDefault="008C0AE0" w:rsidP="0084391C">
      <w:pPr>
        <w:spacing w:after="0"/>
      </w:pPr>
      <w:r w:rsidRPr="008C0AE0">
        <w:t xml:space="preserve">This </w:t>
      </w:r>
      <w:r>
        <w:t xml:space="preserve">technology is </w:t>
      </w:r>
      <w:r w:rsidRPr="008C0AE0">
        <w:t>a mature one, with the engineering, design, construction, operation, and decommissioning of LWRs very well understood. In recent years, however, the construction of Generation III/III+ reactors have been met with significant delays and cost overruns.  For example, as of October 2016, the Olkiluoto 3 LWR in Finland is 10 years behind schedule and €5</w:t>
      </w:r>
      <w:r w:rsidR="003D1D09">
        <w:t xml:space="preserve"> billion</w:t>
      </w:r>
      <w:r w:rsidRPr="008C0AE0">
        <w:t xml:space="preserve"> over budget. Generation III reactors are characterized by standardized design, high availability and a long operating life of 60 years, resistance to an aircraft impact, higher burn-up to use fuel more fully and reduce waste, and greater use of burnable absorbers to extend fuel life (WNA, 2016). Also, as of 2015, The US-based Vogtle NPP expansion costs were originally estimated at $6.1 billion, but have grown to $7.4 billion with an operating date pushed back by two years (Overtun, 2015).</w:t>
      </w:r>
    </w:p>
    <w:p w14:paraId="3E4C659F" w14:textId="7E370A85" w:rsidR="008C0AE0" w:rsidRPr="0084391C" w:rsidRDefault="008C0AE0" w:rsidP="005131AE">
      <w:pPr>
        <w:jc w:val="center"/>
      </w:pPr>
      <w:r w:rsidRPr="0084391C">
        <w:rPr>
          <w:noProof/>
        </w:rPr>
        <w:drawing>
          <wp:inline distT="0" distB="0" distL="0" distR="0" wp14:anchorId="14830DB0" wp14:editId="5A22006D">
            <wp:extent cx="4914900" cy="465760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8-24 at 15.51.37.png"/>
                    <pic:cNvPicPr/>
                  </pic:nvPicPr>
                  <pic:blipFill>
                    <a:blip r:embed="rId19"/>
                    <a:stretch>
                      <a:fillRect/>
                    </a:stretch>
                  </pic:blipFill>
                  <pic:spPr>
                    <a:xfrm>
                      <a:off x="0" y="0"/>
                      <a:ext cx="4915631" cy="4658296"/>
                    </a:xfrm>
                    <a:prstGeom prst="rect">
                      <a:avLst/>
                    </a:prstGeom>
                  </pic:spPr>
                </pic:pic>
              </a:graphicData>
            </a:graphic>
          </wp:inline>
        </w:drawing>
      </w:r>
    </w:p>
    <w:p w14:paraId="13E35D68" w14:textId="77777777" w:rsidR="008C0AE0" w:rsidRPr="00D16A5D" w:rsidRDefault="008C0AE0" w:rsidP="008C0AE0">
      <w:pPr>
        <w:pStyle w:val="Caption"/>
        <w:jc w:val="center"/>
      </w:pPr>
      <w:r w:rsidRPr="0084391C">
        <w:t>Figure 1.1 - Number of Nuclear Power Reactors Operating Worldwide by Country (Source: IAEA PRIS, 2019)</w:t>
      </w:r>
    </w:p>
    <w:p w14:paraId="0D56A779" w14:textId="77777777" w:rsidR="008C0AE0" w:rsidRPr="008C0AE0" w:rsidRDefault="008C0AE0" w:rsidP="008C0AE0"/>
    <w:p w14:paraId="4B6E5C96" w14:textId="26F065AA" w:rsidR="00D1508C" w:rsidRDefault="551A77D0" w:rsidP="005D49A8">
      <w:pPr>
        <w:pStyle w:val="Heading3"/>
      </w:pPr>
      <w:bookmarkStart w:id="9" w:name="_Toc19323140"/>
      <w:r w:rsidRPr="00E069AC">
        <w:t>Trends</w:t>
      </w:r>
      <w:r w:rsidR="000C3205" w:rsidRPr="00E069AC">
        <w:t xml:space="preserve"> </w:t>
      </w:r>
      <w:r w:rsidR="00A53CDF" w:rsidRPr="00E069AC">
        <w:t>to Accelerate Adoption</w:t>
      </w:r>
      <w:r w:rsidR="00CE634C">
        <w:t xml:space="preserve"> and Barriers</w:t>
      </w:r>
      <w:bookmarkEnd w:id="9"/>
    </w:p>
    <w:p w14:paraId="36BFA8FA" w14:textId="198E9FD5" w:rsidR="005131AE" w:rsidRPr="00812046" w:rsidRDefault="005131AE" w:rsidP="005131AE">
      <w:pPr>
        <w:rPr>
          <w:bCs/>
        </w:rPr>
      </w:pPr>
      <w:r>
        <w:rPr>
          <w:bCs/>
        </w:rPr>
        <w:t xml:space="preserve">To expand NPPs, a significant expansion of human resources, increased public confidence in the technology, and improved economic feasibility for each new project would be needed. </w:t>
      </w:r>
      <w:r w:rsidRPr="00812046">
        <w:rPr>
          <w:bCs/>
        </w:rPr>
        <w:t>On average, nuclea</w:t>
      </w:r>
      <w:r>
        <w:rPr>
          <w:bCs/>
        </w:rPr>
        <w:t>r plants directly employ 400-</w:t>
      </w:r>
      <w:r w:rsidRPr="00812046">
        <w:rPr>
          <w:bCs/>
        </w:rPr>
        <w:t>700 people, and a single unit may directly employ as many as 1,000 people</w:t>
      </w:r>
      <w:r>
        <w:rPr>
          <w:bCs/>
        </w:rPr>
        <w:t xml:space="preserve"> (NRC, 2013)</w:t>
      </w:r>
      <w:r w:rsidRPr="00812046">
        <w:rPr>
          <w:bCs/>
        </w:rPr>
        <w:t>.</w:t>
      </w:r>
      <w:r>
        <w:rPr>
          <w:bCs/>
        </w:rPr>
        <w:t xml:space="preserve"> The nuclear industry thus often encompasses a large employment footprint where </w:t>
      </w:r>
      <w:r w:rsidR="00CE634C">
        <w:rPr>
          <w:bCs/>
        </w:rPr>
        <w:t>i</w:t>
      </w:r>
      <w:r>
        <w:rPr>
          <w:bCs/>
        </w:rPr>
        <w:t xml:space="preserve">t operates. Nuclear power requires expertise in a variety of science and technology fields such as radioprotection, nuclear physics, most engineering disciplines, and instrumentation and control. These skills and competencies take time and training to build. The total potential workforce loss from retirement and other attrition in the nuclear power field could be as much as 48% in a 5-year time horizon, presenting unique worker shortfall challenges for the maintenance and expansion of nuclear energy (NRC, 2013). </w:t>
      </w:r>
    </w:p>
    <w:p w14:paraId="457FF7B5" w14:textId="77777777" w:rsidR="005131AE" w:rsidRDefault="005131AE" w:rsidP="005131AE">
      <w:pPr>
        <w:rPr>
          <w:bCs/>
        </w:rPr>
      </w:pPr>
      <w:r>
        <w:rPr>
          <w:bCs/>
        </w:rPr>
        <w:t>The expansion of nuclear power requires the right to operate in the eyes of the public. Nuclear power has long suffered from a bad public image, partly due to public misunderstanding of the differences between atomic weapons and civil nuclear energy, proliferation concerns, and highly dramatized plant incidents. If nuclear power is to have a future, increased awareness and understanding by the public coupled with public acceptance will be necessary.</w:t>
      </w:r>
    </w:p>
    <w:p w14:paraId="7D2ED4EC" w14:textId="63D37AD3" w:rsidR="00CE634C" w:rsidRDefault="005131AE" w:rsidP="005131AE">
      <w:pPr>
        <w:rPr>
          <w:bCs/>
        </w:rPr>
      </w:pPr>
      <w:r>
        <w:rPr>
          <w:bCs/>
        </w:rPr>
        <w:t>Finally, the economics of nuclear power compared to other low-carbon sources of energy must be favorable in order to maintain and expand the existing fleet of reactors. The economics include not only the cost to construct, operate, and decommission a NPP, but also to remove, treat</w:t>
      </w:r>
      <w:r w:rsidRPr="00812046">
        <w:rPr>
          <w:bCs/>
        </w:rPr>
        <w:t xml:space="preserve"> and permanently </w:t>
      </w:r>
      <w:r>
        <w:rPr>
          <w:bCs/>
        </w:rPr>
        <w:t>dispose</w:t>
      </w:r>
      <w:r w:rsidRPr="00812046">
        <w:rPr>
          <w:bCs/>
        </w:rPr>
        <w:t xml:space="preserve"> of or </w:t>
      </w:r>
      <w:r>
        <w:rPr>
          <w:bCs/>
        </w:rPr>
        <w:t>store</w:t>
      </w:r>
      <w:r w:rsidRPr="00812046">
        <w:rPr>
          <w:bCs/>
        </w:rPr>
        <w:t xml:space="preserve"> spent nuclear fuel from the plants.</w:t>
      </w:r>
      <w:r w:rsidRPr="00B144E5">
        <w:rPr>
          <w:bCs/>
        </w:rPr>
        <w:t xml:space="preserve"> </w:t>
      </w:r>
      <w:r>
        <w:rPr>
          <w:bCs/>
        </w:rPr>
        <w:t xml:space="preserve">The ability of nuclear power projects to stay within budget and be delivered on time is an important component of the economics; there have been significant cost overruns in recent years, especially for reactors constructed in developed economies. </w:t>
      </w:r>
      <w:r w:rsidRPr="00220408">
        <w:rPr>
          <w:bCs/>
        </w:rPr>
        <w:t>Levelized cost of electricity (LCOE) is the per-</w:t>
      </w:r>
      <w:r>
        <w:rPr>
          <w:bCs/>
        </w:rPr>
        <w:t>kWh</w:t>
      </w:r>
      <w:r w:rsidRPr="00220408">
        <w:rPr>
          <w:bCs/>
        </w:rPr>
        <w:t xml:space="preserve"> </w:t>
      </w:r>
      <w:r>
        <w:rPr>
          <w:bCs/>
        </w:rPr>
        <w:t xml:space="preserve">cost </w:t>
      </w:r>
      <w:r w:rsidRPr="00220408">
        <w:rPr>
          <w:bCs/>
        </w:rPr>
        <w:t>of building and operating a generating plant over an assumed</w:t>
      </w:r>
      <w:r>
        <w:rPr>
          <w:bCs/>
        </w:rPr>
        <w:t xml:space="preserve"> financial life and duty cycle; inputs include capital costs, fuel costs, fixed and variable operations and maintenance costs, financing costs, and an assumed utilization rate for each plant type (EIA, 2013). Nuclear power becomes an attractive option when using the LCOE metric</w:t>
      </w:r>
      <w:r w:rsidR="00CE634C">
        <w:rPr>
          <w:bCs/>
        </w:rPr>
        <w:t xml:space="preserve"> (Table 1.1)</w:t>
      </w:r>
      <w:r>
        <w:rPr>
          <w:bCs/>
        </w:rPr>
        <w:t>.</w:t>
      </w:r>
      <w:r w:rsidR="0052355A">
        <w:rPr>
          <w:bCs/>
        </w:rPr>
        <w:t xml:space="preserve"> </w:t>
      </w:r>
      <w:r w:rsidR="00CE634C">
        <w:rPr>
          <w:bCs/>
        </w:rPr>
        <w:t xml:space="preserve">Table 1.2. provides a summary of key factors that might accelerate or be a barrier to increase Nuclear adoption. </w:t>
      </w:r>
    </w:p>
    <w:p w14:paraId="1E6A5BF8" w14:textId="77777777" w:rsidR="0052355A" w:rsidRDefault="0052355A">
      <w:pPr>
        <w:spacing w:after="160" w:line="259" w:lineRule="auto"/>
        <w:jc w:val="left"/>
        <w:rPr>
          <w:i/>
          <w:iCs/>
          <w:color w:val="1F497D" w:themeColor="text2"/>
          <w:sz w:val="18"/>
          <w:szCs w:val="18"/>
        </w:rPr>
      </w:pPr>
      <w:bookmarkStart w:id="10" w:name="_Toc341364709"/>
      <w:r>
        <w:br w:type="page"/>
      </w:r>
    </w:p>
    <w:p w14:paraId="178EF59F" w14:textId="431BD941" w:rsidR="00CE634C" w:rsidRPr="00CE634C" w:rsidRDefault="00CE634C" w:rsidP="00CE634C">
      <w:pPr>
        <w:pStyle w:val="Caption"/>
        <w:jc w:val="center"/>
      </w:pPr>
      <w:bookmarkStart w:id="11" w:name="_Toc19323115"/>
      <w:r>
        <w:t>Table 1.</w:t>
      </w:r>
      <w:r w:rsidR="0060195D">
        <w:fldChar w:fldCharType="begin"/>
      </w:r>
      <w:r w:rsidR="0060195D">
        <w:instrText xml:space="preserve"> SEQ Table \* ARABIC </w:instrText>
      </w:r>
      <w:r w:rsidR="0060195D">
        <w:fldChar w:fldCharType="separate"/>
      </w:r>
      <w:r>
        <w:t>1</w:t>
      </w:r>
      <w:r w:rsidR="0060195D">
        <w:fldChar w:fldCharType="end"/>
      </w:r>
      <w:r>
        <w:t xml:space="preserve"> U.S. Average Levelized Costs for Dispatchable and Non-Dispatchable Technologies (EIA, 2015)</w:t>
      </w:r>
      <w:bookmarkEnd w:id="10"/>
      <w:bookmarkEnd w:id="11"/>
    </w:p>
    <w:p w14:paraId="510BFEEF" w14:textId="77777777" w:rsidR="00CE634C" w:rsidRDefault="00CE634C" w:rsidP="00CE634C">
      <w:pPr>
        <w:spacing w:after="0" w:line="240" w:lineRule="auto"/>
        <w:rPr>
          <w:bCs/>
        </w:rPr>
      </w:pPr>
    </w:p>
    <w:tbl>
      <w:tblPr>
        <w:tblStyle w:val="TableGrid"/>
        <w:tblW w:w="0" w:type="auto"/>
        <w:tblLook w:val="04A0" w:firstRow="1" w:lastRow="0" w:firstColumn="1" w:lastColumn="0" w:noHBand="0" w:noVBand="1"/>
      </w:tblPr>
      <w:tblGrid>
        <w:gridCol w:w="2178"/>
        <w:gridCol w:w="1033"/>
        <w:gridCol w:w="1151"/>
        <w:gridCol w:w="1096"/>
        <w:gridCol w:w="1162"/>
        <w:gridCol w:w="1358"/>
        <w:gridCol w:w="1225"/>
      </w:tblGrid>
      <w:tr w:rsidR="00CE634C" w:rsidRPr="00BF421C" w14:paraId="4DF6FF9D" w14:textId="77777777" w:rsidTr="00CE634C">
        <w:tc>
          <w:tcPr>
            <w:tcW w:w="2178" w:type="dxa"/>
            <w:shd w:val="clear" w:color="auto" w:fill="4F81BD" w:themeFill="accent1"/>
          </w:tcPr>
          <w:p w14:paraId="544009D7" w14:textId="77777777" w:rsidR="00CE634C" w:rsidRPr="00CE634C" w:rsidRDefault="00CE634C" w:rsidP="00CE634C">
            <w:pPr>
              <w:spacing w:line="240" w:lineRule="auto"/>
              <w:jc w:val="center"/>
              <w:rPr>
                <w:rFonts w:cs="Times New Roman"/>
                <w:b/>
                <w:color w:val="FFFFFF" w:themeColor="background1"/>
                <w:sz w:val="20"/>
                <w:szCs w:val="20"/>
              </w:rPr>
            </w:pPr>
          </w:p>
        </w:tc>
        <w:tc>
          <w:tcPr>
            <w:tcW w:w="6971" w:type="dxa"/>
            <w:gridSpan w:val="6"/>
            <w:shd w:val="clear" w:color="auto" w:fill="4F81BD" w:themeFill="accent1"/>
          </w:tcPr>
          <w:p w14:paraId="37C64FFA" w14:textId="77777777" w:rsidR="00CE634C" w:rsidRPr="00CE634C" w:rsidRDefault="00CE634C" w:rsidP="00CE634C">
            <w:pPr>
              <w:spacing w:line="240" w:lineRule="auto"/>
              <w:jc w:val="center"/>
              <w:rPr>
                <w:rFonts w:cs="Times New Roman"/>
                <w:b/>
                <w:color w:val="FFFFFF" w:themeColor="background1"/>
                <w:sz w:val="20"/>
                <w:szCs w:val="20"/>
              </w:rPr>
            </w:pPr>
            <w:r w:rsidRPr="00CE634C">
              <w:rPr>
                <w:rFonts w:cs="Times New Roman"/>
                <w:b/>
                <w:color w:val="FFFFFF" w:themeColor="background1"/>
                <w:sz w:val="20"/>
                <w:szCs w:val="20"/>
              </w:rPr>
              <w:t>U.S. Average Levelized Costs (2013 $/MWh) for Plants Entering Service in 2020</w:t>
            </w:r>
          </w:p>
        </w:tc>
      </w:tr>
      <w:tr w:rsidR="00CE634C" w:rsidRPr="00BF421C" w14:paraId="7AA330A0" w14:textId="77777777" w:rsidTr="00CE634C">
        <w:tc>
          <w:tcPr>
            <w:tcW w:w="2178" w:type="dxa"/>
            <w:shd w:val="clear" w:color="auto" w:fill="4F81BD" w:themeFill="accent1"/>
          </w:tcPr>
          <w:p w14:paraId="17B9030E" w14:textId="77777777" w:rsidR="00CE634C" w:rsidRPr="00CE634C" w:rsidRDefault="00CE634C" w:rsidP="00CE634C">
            <w:pPr>
              <w:spacing w:line="240" w:lineRule="auto"/>
              <w:jc w:val="center"/>
              <w:rPr>
                <w:rFonts w:cs="Times New Roman"/>
                <w:b/>
                <w:color w:val="FFFFFF" w:themeColor="background1"/>
                <w:sz w:val="20"/>
                <w:szCs w:val="20"/>
              </w:rPr>
            </w:pPr>
            <w:r w:rsidRPr="00CE634C">
              <w:rPr>
                <w:rFonts w:cs="Times New Roman"/>
                <w:b/>
                <w:color w:val="FFFFFF" w:themeColor="background1"/>
                <w:sz w:val="20"/>
                <w:szCs w:val="20"/>
              </w:rPr>
              <w:t>Plant Type</w:t>
            </w:r>
          </w:p>
        </w:tc>
        <w:tc>
          <w:tcPr>
            <w:tcW w:w="1033" w:type="dxa"/>
            <w:shd w:val="clear" w:color="auto" w:fill="4F81BD" w:themeFill="accent1"/>
          </w:tcPr>
          <w:p w14:paraId="2FB6DB79" w14:textId="77777777" w:rsidR="00CE634C" w:rsidRPr="00CE634C" w:rsidRDefault="00CE634C" w:rsidP="00CE634C">
            <w:pPr>
              <w:spacing w:line="240" w:lineRule="auto"/>
              <w:jc w:val="center"/>
              <w:rPr>
                <w:rFonts w:cs="Times New Roman"/>
                <w:b/>
                <w:color w:val="FFFFFF" w:themeColor="background1"/>
                <w:sz w:val="20"/>
                <w:szCs w:val="20"/>
              </w:rPr>
            </w:pPr>
            <w:r w:rsidRPr="00CE634C">
              <w:rPr>
                <w:rFonts w:cs="Times New Roman"/>
                <w:b/>
                <w:color w:val="FFFFFF" w:themeColor="background1"/>
                <w:sz w:val="20"/>
                <w:szCs w:val="20"/>
              </w:rPr>
              <w:t>Capacity Factor (%)</w:t>
            </w:r>
          </w:p>
        </w:tc>
        <w:tc>
          <w:tcPr>
            <w:tcW w:w="1151" w:type="dxa"/>
            <w:shd w:val="clear" w:color="auto" w:fill="4F81BD" w:themeFill="accent1"/>
          </w:tcPr>
          <w:p w14:paraId="150E6AF4" w14:textId="77777777" w:rsidR="00CE634C" w:rsidRPr="00CE634C" w:rsidRDefault="00CE634C" w:rsidP="00CE634C">
            <w:pPr>
              <w:spacing w:line="240" w:lineRule="auto"/>
              <w:jc w:val="center"/>
              <w:rPr>
                <w:rFonts w:cs="Times New Roman"/>
                <w:b/>
                <w:color w:val="FFFFFF" w:themeColor="background1"/>
                <w:sz w:val="20"/>
                <w:szCs w:val="20"/>
              </w:rPr>
            </w:pPr>
            <w:r w:rsidRPr="00CE634C">
              <w:rPr>
                <w:rFonts w:cs="Times New Roman"/>
                <w:b/>
                <w:color w:val="FFFFFF" w:themeColor="background1"/>
                <w:sz w:val="20"/>
                <w:szCs w:val="20"/>
              </w:rPr>
              <w:t>Levelized Capital Cost</w:t>
            </w:r>
          </w:p>
        </w:tc>
        <w:tc>
          <w:tcPr>
            <w:tcW w:w="1096" w:type="dxa"/>
            <w:shd w:val="clear" w:color="auto" w:fill="4F81BD" w:themeFill="accent1"/>
          </w:tcPr>
          <w:p w14:paraId="6529DCBE" w14:textId="77777777" w:rsidR="00CE634C" w:rsidRPr="00CE634C" w:rsidRDefault="00CE634C" w:rsidP="00CE634C">
            <w:pPr>
              <w:spacing w:line="240" w:lineRule="auto"/>
              <w:jc w:val="center"/>
              <w:rPr>
                <w:rFonts w:cs="Times New Roman"/>
                <w:b/>
                <w:color w:val="FFFFFF" w:themeColor="background1"/>
                <w:sz w:val="20"/>
                <w:szCs w:val="20"/>
              </w:rPr>
            </w:pPr>
            <w:r w:rsidRPr="00CE634C">
              <w:rPr>
                <w:rFonts w:cs="Times New Roman"/>
                <w:b/>
                <w:color w:val="FFFFFF" w:themeColor="background1"/>
                <w:sz w:val="20"/>
                <w:szCs w:val="20"/>
              </w:rPr>
              <w:t>Fixed O&amp;M</w:t>
            </w:r>
          </w:p>
        </w:tc>
        <w:tc>
          <w:tcPr>
            <w:tcW w:w="1162" w:type="dxa"/>
            <w:shd w:val="clear" w:color="auto" w:fill="4F81BD" w:themeFill="accent1"/>
          </w:tcPr>
          <w:p w14:paraId="12065784" w14:textId="77777777" w:rsidR="00CE634C" w:rsidRPr="00CE634C" w:rsidRDefault="00CE634C" w:rsidP="00CE634C">
            <w:pPr>
              <w:spacing w:line="240" w:lineRule="auto"/>
              <w:jc w:val="center"/>
              <w:rPr>
                <w:rFonts w:cs="Times New Roman"/>
                <w:b/>
                <w:color w:val="FFFFFF" w:themeColor="background1"/>
                <w:sz w:val="20"/>
                <w:szCs w:val="20"/>
              </w:rPr>
            </w:pPr>
            <w:r w:rsidRPr="00CE634C">
              <w:rPr>
                <w:rFonts w:cs="Times New Roman"/>
                <w:b/>
                <w:color w:val="FFFFFF" w:themeColor="background1"/>
                <w:sz w:val="20"/>
                <w:szCs w:val="20"/>
              </w:rPr>
              <w:t>Variable O&amp;M (including fuel)</w:t>
            </w:r>
          </w:p>
        </w:tc>
        <w:tc>
          <w:tcPr>
            <w:tcW w:w="1304" w:type="dxa"/>
            <w:shd w:val="clear" w:color="auto" w:fill="4F81BD" w:themeFill="accent1"/>
          </w:tcPr>
          <w:p w14:paraId="18582B69" w14:textId="77777777" w:rsidR="00CE634C" w:rsidRPr="00CE634C" w:rsidRDefault="00CE634C" w:rsidP="00CE634C">
            <w:pPr>
              <w:spacing w:line="240" w:lineRule="auto"/>
              <w:jc w:val="center"/>
              <w:rPr>
                <w:rFonts w:cs="Times New Roman"/>
                <w:b/>
                <w:color w:val="FFFFFF" w:themeColor="background1"/>
                <w:sz w:val="20"/>
                <w:szCs w:val="20"/>
              </w:rPr>
            </w:pPr>
            <w:r w:rsidRPr="00CE634C">
              <w:rPr>
                <w:rFonts w:cs="Times New Roman"/>
                <w:b/>
                <w:color w:val="FFFFFF" w:themeColor="background1"/>
                <w:sz w:val="20"/>
                <w:szCs w:val="20"/>
              </w:rPr>
              <w:t>Transmission Investment</w:t>
            </w:r>
          </w:p>
        </w:tc>
        <w:tc>
          <w:tcPr>
            <w:tcW w:w="1225" w:type="dxa"/>
            <w:shd w:val="clear" w:color="auto" w:fill="4F81BD" w:themeFill="accent1"/>
          </w:tcPr>
          <w:p w14:paraId="0986276D" w14:textId="77777777" w:rsidR="00CE634C" w:rsidRPr="00CE634C" w:rsidRDefault="00CE634C" w:rsidP="00CE634C">
            <w:pPr>
              <w:spacing w:line="240" w:lineRule="auto"/>
              <w:jc w:val="center"/>
              <w:rPr>
                <w:rFonts w:cs="Times New Roman"/>
                <w:b/>
                <w:color w:val="FFFFFF" w:themeColor="background1"/>
                <w:sz w:val="20"/>
                <w:szCs w:val="20"/>
              </w:rPr>
            </w:pPr>
            <w:r w:rsidRPr="00CE634C">
              <w:rPr>
                <w:rFonts w:cs="Times New Roman"/>
                <w:b/>
                <w:color w:val="FFFFFF" w:themeColor="background1"/>
                <w:sz w:val="20"/>
                <w:szCs w:val="20"/>
              </w:rPr>
              <w:t>Total System LCOE</w:t>
            </w:r>
          </w:p>
        </w:tc>
      </w:tr>
      <w:tr w:rsidR="00CE634C" w:rsidRPr="00BF421C" w14:paraId="05F06FD3" w14:textId="77777777" w:rsidTr="00FE2E76">
        <w:tc>
          <w:tcPr>
            <w:tcW w:w="9149" w:type="dxa"/>
            <w:gridSpan w:val="7"/>
          </w:tcPr>
          <w:p w14:paraId="618D5485" w14:textId="77777777" w:rsidR="00CE634C" w:rsidRPr="00CE634C" w:rsidRDefault="00CE634C" w:rsidP="00FE2E76">
            <w:pPr>
              <w:rPr>
                <w:rFonts w:cs="Times New Roman"/>
                <w:b/>
                <w:bCs/>
                <w:sz w:val="20"/>
                <w:szCs w:val="20"/>
              </w:rPr>
            </w:pPr>
            <w:r w:rsidRPr="00CE634C">
              <w:rPr>
                <w:rFonts w:cs="Times New Roman"/>
                <w:b/>
                <w:bCs/>
                <w:sz w:val="20"/>
                <w:szCs w:val="20"/>
              </w:rPr>
              <w:t>Dispatchable Technologies</w:t>
            </w:r>
          </w:p>
        </w:tc>
      </w:tr>
      <w:tr w:rsidR="00CE634C" w:rsidRPr="00BF421C" w14:paraId="5175F441" w14:textId="77777777" w:rsidTr="00FE2E76">
        <w:tc>
          <w:tcPr>
            <w:tcW w:w="2178" w:type="dxa"/>
          </w:tcPr>
          <w:p w14:paraId="73FEAEA4" w14:textId="77777777" w:rsidR="00CE634C" w:rsidRPr="00CE634C" w:rsidRDefault="00CE634C" w:rsidP="00FE2E76">
            <w:pPr>
              <w:rPr>
                <w:rFonts w:cs="Times New Roman"/>
                <w:bCs/>
                <w:sz w:val="20"/>
                <w:szCs w:val="20"/>
              </w:rPr>
            </w:pPr>
            <w:r w:rsidRPr="00CE634C">
              <w:rPr>
                <w:rFonts w:cs="Times New Roman"/>
                <w:bCs/>
                <w:sz w:val="20"/>
                <w:szCs w:val="20"/>
              </w:rPr>
              <w:t>Conventional Coal</w:t>
            </w:r>
          </w:p>
        </w:tc>
        <w:tc>
          <w:tcPr>
            <w:tcW w:w="1033" w:type="dxa"/>
          </w:tcPr>
          <w:p w14:paraId="0C7EC43D" w14:textId="77777777" w:rsidR="00CE634C" w:rsidRPr="00CE634C" w:rsidRDefault="00CE634C" w:rsidP="00FE2E76">
            <w:pPr>
              <w:rPr>
                <w:rFonts w:cs="Times New Roman"/>
                <w:bCs/>
                <w:sz w:val="20"/>
                <w:szCs w:val="20"/>
              </w:rPr>
            </w:pPr>
            <w:r w:rsidRPr="00CE634C">
              <w:rPr>
                <w:rFonts w:cs="Times New Roman"/>
                <w:bCs/>
                <w:sz w:val="20"/>
                <w:szCs w:val="20"/>
              </w:rPr>
              <w:t>85</w:t>
            </w:r>
          </w:p>
        </w:tc>
        <w:tc>
          <w:tcPr>
            <w:tcW w:w="1151" w:type="dxa"/>
          </w:tcPr>
          <w:p w14:paraId="763B18F8" w14:textId="77777777" w:rsidR="00CE634C" w:rsidRPr="00CE634C" w:rsidRDefault="00CE634C" w:rsidP="00FE2E76">
            <w:pPr>
              <w:rPr>
                <w:rFonts w:cs="Times New Roman"/>
                <w:bCs/>
                <w:sz w:val="20"/>
                <w:szCs w:val="20"/>
              </w:rPr>
            </w:pPr>
            <w:r w:rsidRPr="00CE634C">
              <w:rPr>
                <w:rFonts w:cs="Times New Roman"/>
                <w:bCs/>
                <w:sz w:val="20"/>
                <w:szCs w:val="20"/>
              </w:rPr>
              <w:t>60.4</w:t>
            </w:r>
          </w:p>
        </w:tc>
        <w:tc>
          <w:tcPr>
            <w:tcW w:w="1096" w:type="dxa"/>
          </w:tcPr>
          <w:p w14:paraId="5439E6DE" w14:textId="77777777" w:rsidR="00CE634C" w:rsidRPr="00CE634C" w:rsidRDefault="00CE634C" w:rsidP="00FE2E76">
            <w:pPr>
              <w:rPr>
                <w:rFonts w:cs="Times New Roman"/>
                <w:bCs/>
                <w:sz w:val="20"/>
                <w:szCs w:val="20"/>
              </w:rPr>
            </w:pPr>
            <w:r w:rsidRPr="00CE634C">
              <w:rPr>
                <w:rFonts w:cs="Times New Roman"/>
                <w:bCs/>
                <w:sz w:val="20"/>
                <w:szCs w:val="20"/>
              </w:rPr>
              <w:t>4.2</w:t>
            </w:r>
          </w:p>
        </w:tc>
        <w:tc>
          <w:tcPr>
            <w:tcW w:w="1162" w:type="dxa"/>
          </w:tcPr>
          <w:p w14:paraId="4C5AA764" w14:textId="77777777" w:rsidR="00CE634C" w:rsidRPr="00CE634C" w:rsidRDefault="00CE634C" w:rsidP="00FE2E76">
            <w:pPr>
              <w:rPr>
                <w:rFonts w:cs="Times New Roman"/>
                <w:bCs/>
                <w:sz w:val="20"/>
                <w:szCs w:val="20"/>
              </w:rPr>
            </w:pPr>
            <w:r w:rsidRPr="00CE634C">
              <w:rPr>
                <w:rFonts w:cs="Times New Roman"/>
                <w:bCs/>
                <w:sz w:val="20"/>
                <w:szCs w:val="20"/>
              </w:rPr>
              <w:t>29.4</w:t>
            </w:r>
          </w:p>
        </w:tc>
        <w:tc>
          <w:tcPr>
            <w:tcW w:w="1304" w:type="dxa"/>
          </w:tcPr>
          <w:p w14:paraId="4CD491E0" w14:textId="77777777" w:rsidR="00CE634C" w:rsidRPr="00CE634C" w:rsidRDefault="00CE634C" w:rsidP="00FE2E76">
            <w:pPr>
              <w:rPr>
                <w:rFonts w:cs="Times New Roman"/>
                <w:bCs/>
                <w:sz w:val="20"/>
                <w:szCs w:val="20"/>
              </w:rPr>
            </w:pPr>
            <w:r w:rsidRPr="00CE634C">
              <w:rPr>
                <w:rFonts w:cs="Times New Roman"/>
                <w:bCs/>
                <w:sz w:val="20"/>
                <w:szCs w:val="20"/>
              </w:rPr>
              <w:t>1.2</w:t>
            </w:r>
          </w:p>
        </w:tc>
        <w:tc>
          <w:tcPr>
            <w:tcW w:w="1225" w:type="dxa"/>
          </w:tcPr>
          <w:p w14:paraId="11ED2375" w14:textId="77777777" w:rsidR="00CE634C" w:rsidRPr="00CE634C" w:rsidRDefault="00CE634C" w:rsidP="00FE2E76">
            <w:pPr>
              <w:rPr>
                <w:rFonts w:cs="Times New Roman"/>
                <w:bCs/>
                <w:sz w:val="20"/>
                <w:szCs w:val="20"/>
              </w:rPr>
            </w:pPr>
            <w:r w:rsidRPr="00CE634C">
              <w:rPr>
                <w:rFonts w:cs="Times New Roman"/>
                <w:bCs/>
                <w:sz w:val="20"/>
                <w:szCs w:val="20"/>
              </w:rPr>
              <w:t>95.1</w:t>
            </w:r>
          </w:p>
        </w:tc>
      </w:tr>
      <w:tr w:rsidR="00CE634C" w:rsidRPr="00BF421C" w14:paraId="18F108BC" w14:textId="77777777" w:rsidTr="00FE2E76">
        <w:tc>
          <w:tcPr>
            <w:tcW w:w="2178" w:type="dxa"/>
          </w:tcPr>
          <w:p w14:paraId="352836A8" w14:textId="77777777" w:rsidR="00CE634C" w:rsidRPr="00CE634C" w:rsidRDefault="00CE634C" w:rsidP="00FE2E76">
            <w:pPr>
              <w:rPr>
                <w:rFonts w:cs="Times New Roman"/>
                <w:bCs/>
                <w:sz w:val="20"/>
                <w:szCs w:val="20"/>
              </w:rPr>
            </w:pPr>
            <w:r w:rsidRPr="00CE634C">
              <w:rPr>
                <w:rFonts w:cs="Times New Roman"/>
                <w:bCs/>
                <w:sz w:val="20"/>
                <w:szCs w:val="20"/>
              </w:rPr>
              <w:t>Advanced Coal</w:t>
            </w:r>
          </w:p>
        </w:tc>
        <w:tc>
          <w:tcPr>
            <w:tcW w:w="1033" w:type="dxa"/>
          </w:tcPr>
          <w:p w14:paraId="62C5AB16" w14:textId="77777777" w:rsidR="00CE634C" w:rsidRPr="00CE634C" w:rsidRDefault="00CE634C" w:rsidP="00FE2E76">
            <w:pPr>
              <w:rPr>
                <w:rFonts w:cs="Times New Roman"/>
                <w:bCs/>
                <w:sz w:val="20"/>
                <w:szCs w:val="20"/>
              </w:rPr>
            </w:pPr>
            <w:r w:rsidRPr="00CE634C">
              <w:rPr>
                <w:rFonts w:cs="Times New Roman"/>
                <w:bCs/>
                <w:sz w:val="20"/>
                <w:szCs w:val="20"/>
              </w:rPr>
              <w:t>85</w:t>
            </w:r>
          </w:p>
        </w:tc>
        <w:tc>
          <w:tcPr>
            <w:tcW w:w="1151" w:type="dxa"/>
          </w:tcPr>
          <w:p w14:paraId="544165F3" w14:textId="77777777" w:rsidR="00CE634C" w:rsidRPr="00CE634C" w:rsidRDefault="00CE634C" w:rsidP="00FE2E76">
            <w:pPr>
              <w:rPr>
                <w:rFonts w:cs="Times New Roman"/>
                <w:bCs/>
                <w:sz w:val="20"/>
                <w:szCs w:val="20"/>
              </w:rPr>
            </w:pPr>
            <w:r w:rsidRPr="00CE634C">
              <w:rPr>
                <w:rFonts w:cs="Times New Roman"/>
                <w:bCs/>
                <w:sz w:val="20"/>
                <w:szCs w:val="20"/>
              </w:rPr>
              <w:t>76.9</w:t>
            </w:r>
          </w:p>
        </w:tc>
        <w:tc>
          <w:tcPr>
            <w:tcW w:w="1096" w:type="dxa"/>
          </w:tcPr>
          <w:p w14:paraId="6BF0F7E3" w14:textId="77777777" w:rsidR="00CE634C" w:rsidRPr="00CE634C" w:rsidRDefault="00CE634C" w:rsidP="00FE2E76">
            <w:pPr>
              <w:rPr>
                <w:rFonts w:cs="Times New Roman"/>
                <w:bCs/>
                <w:sz w:val="20"/>
                <w:szCs w:val="20"/>
              </w:rPr>
            </w:pPr>
            <w:r w:rsidRPr="00CE634C">
              <w:rPr>
                <w:rFonts w:cs="Times New Roman"/>
                <w:bCs/>
                <w:sz w:val="20"/>
                <w:szCs w:val="20"/>
              </w:rPr>
              <w:t>6.9</w:t>
            </w:r>
          </w:p>
        </w:tc>
        <w:tc>
          <w:tcPr>
            <w:tcW w:w="1162" w:type="dxa"/>
          </w:tcPr>
          <w:p w14:paraId="1662ACCA" w14:textId="77777777" w:rsidR="00CE634C" w:rsidRPr="00CE634C" w:rsidRDefault="00CE634C" w:rsidP="00FE2E76">
            <w:pPr>
              <w:rPr>
                <w:rFonts w:cs="Times New Roman"/>
                <w:bCs/>
                <w:sz w:val="20"/>
                <w:szCs w:val="20"/>
              </w:rPr>
            </w:pPr>
            <w:r w:rsidRPr="00CE634C">
              <w:rPr>
                <w:rFonts w:cs="Times New Roman"/>
                <w:bCs/>
                <w:sz w:val="20"/>
                <w:szCs w:val="20"/>
              </w:rPr>
              <w:t>30.7</w:t>
            </w:r>
          </w:p>
        </w:tc>
        <w:tc>
          <w:tcPr>
            <w:tcW w:w="1304" w:type="dxa"/>
          </w:tcPr>
          <w:p w14:paraId="628B7575" w14:textId="77777777" w:rsidR="00CE634C" w:rsidRPr="00CE634C" w:rsidRDefault="00CE634C" w:rsidP="00FE2E76">
            <w:pPr>
              <w:rPr>
                <w:rFonts w:cs="Times New Roman"/>
                <w:bCs/>
                <w:sz w:val="20"/>
                <w:szCs w:val="20"/>
              </w:rPr>
            </w:pPr>
            <w:r w:rsidRPr="00CE634C">
              <w:rPr>
                <w:rFonts w:cs="Times New Roman"/>
                <w:bCs/>
                <w:sz w:val="20"/>
                <w:szCs w:val="20"/>
              </w:rPr>
              <w:t>1.2</w:t>
            </w:r>
          </w:p>
        </w:tc>
        <w:tc>
          <w:tcPr>
            <w:tcW w:w="1225" w:type="dxa"/>
          </w:tcPr>
          <w:p w14:paraId="1B25EC90" w14:textId="77777777" w:rsidR="00CE634C" w:rsidRPr="00CE634C" w:rsidRDefault="00CE634C" w:rsidP="00FE2E76">
            <w:pPr>
              <w:rPr>
                <w:rFonts w:cs="Times New Roman"/>
                <w:bCs/>
                <w:sz w:val="20"/>
                <w:szCs w:val="20"/>
              </w:rPr>
            </w:pPr>
            <w:r w:rsidRPr="00CE634C">
              <w:rPr>
                <w:rFonts w:cs="Times New Roman"/>
                <w:bCs/>
                <w:sz w:val="20"/>
                <w:szCs w:val="20"/>
              </w:rPr>
              <w:t>115.7</w:t>
            </w:r>
          </w:p>
        </w:tc>
      </w:tr>
      <w:tr w:rsidR="00CE634C" w:rsidRPr="00BF421C" w14:paraId="3EAA81EB" w14:textId="77777777" w:rsidTr="00FE2E76">
        <w:tc>
          <w:tcPr>
            <w:tcW w:w="2178" w:type="dxa"/>
          </w:tcPr>
          <w:p w14:paraId="71E8E584" w14:textId="77777777" w:rsidR="00CE634C" w:rsidRPr="00CE634C" w:rsidRDefault="00CE634C" w:rsidP="00FE2E76">
            <w:pPr>
              <w:rPr>
                <w:rFonts w:cs="Times New Roman"/>
                <w:bCs/>
                <w:sz w:val="20"/>
                <w:szCs w:val="20"/>
              </w:rPr>
            </w:pPr>
            <w:r w:rsidRPr="00CE634C">
              <w:rPr>
                <w:rFonts w:cs="Times New Roman"/>
                <w:bCs/>
                <w:sz w:val="20"/>
                <w:szCs w:val="20"/>
              </w:rPr>
              <w:t xml:space="preserve">Natural Gas-fired Advanced Combined Cycle </w:t>
            </w:r>
          </w:p>
        </w:tc>
        <w:tc>
          <w:tcPr>
            <w:tcW w:w="1033" w:type="dxa"/>
          </w:tcPr>
          <w:p w14:paraId="0EB9F543" w14:textId="77777777" w:rsidR="00CE634C" w:rsidRPr="00CE634C" w:rsidRDefault="00CE634C" w:rsidP="00FE2E76">
            <w:pPr>
              <w:rPr>
                <w:rFonts w:cs="Times New Roman"/>
                <w:bCs/>
                <w:sz w:val="20"/>
                <w:szCs w:val="20"/>
              </w:rPr>
            </w:pPr>
            <w:r w:rsidRPr="00CE634C">
              <w:rPr>
                <w:rFonts w:cs="Times New Roman"/>
                <w:bCs/>
                <w:sz w:val="20"/>
                <w:szCs w:val="20"/>
              </w:rPr>
              <w:t>87</w:t>
            </w:r>
          </w:p>
        </w:tc>
        <w:tc>
          <w:tcPr>
            <w:tcW w:w="1151" w:type="dxa"/>
          </w:tcPr>
          <w:p w14:paraId="0F02CC02" w14:textId="77777777" w:rsidR="00CE634C" w:rsidRPr="00CE634C" w:rsidRDefault="00CE634C" w:rsidP="00FE2E76">
            <w:pPr>
              <w:rPr>
                <w:rFonts w:cs="Times New Roman"/>
                <w:bCs/>
                <w:sz w:val="20"/>
                <w:szCs w:val="20"/>
              </w:rPr>
            </w:pPr>
            <w:r w:rsidRPr="00CE634C">
              <w:rPr>
                <w:rFonts w:cs="Times New Roman"/>
                <w:bCs/>
                <w:sz w:val="20"/>
                <w:szCs w:val="20"/>
              </w:rPr>
              <w:t>15.9</w:t>
            </w:r>
          </w:p>
        </w:tc>
        <w:tc>
          <w:tcPr>
            <w:tcW w:w="1096" w:type="dxa"/>
          </w:tcPr>
          <w:p w14:paraId="795912D5" w14:textId="77777777" w:rsidR="00CE634C" w:rsidRPr="00CE634C" w:rsidRDefault="00CE634C" w:rsidP="00FE2E76">
            <w:pPr>
              <w:rPr>
                <w:rFonts w:cs="Times New Roman"/>
                <w:bCs/>
                <w:sz w:val="20"/>
                <w:szCs w:val="20"/>
              </w:rPr>
            </w:pPr>
            <w:r w:rsidRPr="00CE634C">
              <w:rPr>
                <w:rFonts w:cs="Times New Roman"/>
                <w:bCs/>
                <w:sz w:val="20"/>
                <w:szCs w:val="20"/>
              </w:rPr>
              <w:t>2.0</w:t>
            </w:r>
          </w:p>
        </w:tc>
        <w:tc>
          <w:tcPr>
            <w:tcW w:w="1162" w:type="dxa"/>
          </w:tcPr>
          <w:p w14:paraId="693478BA" w14:textId="77777777" w:rsidR="00CE634C" w:rsidRPr="00CE634C" w:rsidRDefault="00CE634C" w:rsidP="00FE2E76">
            <w:pPr>
              <w:rPr>
                <w:rFonts w:cs="Times New Roman"/>
                <w:bCs/>
                <w:sz w:val="20"/>
                <w:szCs w:val="20"/>
              </w:rPr>
            </w:pPr>
            <w:r w:rsidRPr="00CE634C">
              <w:rPr>
                <w:rFonts w:cs="Times New Roman"/>
                <w:bCs/>
                <w:sz w:val="20"/>
                <w:szCs w:val="20"/>
              </w:rPr>
              <w:t>53.6</w:t>
            </w:r>
          </w:p>
        </w:tc>
        <w:tc>
          <w:tcPr>
            <w:tcW w:w="1304" w:type="dxa"/>
          </w:tcPr>
          <w:p w14:paraId="1D086172" w14:textId="77777777" w:rsidR="00CE634C" w:rsidRPr="00CE634C" w:rsidRDefault="00CE634C" w:rsidP="00FE2E76">
            <w:pPr>
              <w:rPr>
                <w:rFonts w:cs="Times New Roman"/>
                <w:bCs/>
                <w:sz w:val="20"/>
                <w:szCs w:val="20"/>
              </w:rPr>
            </w:pPr>
            <w:r w:rsidRPr="00CE634C">
              <w:rPr>
                <w:rFonts w:cs="Times New Roman"/>
                <w:bCs/>
                <w:sz w:val="20"/>
                <w:szCs w:val="20"/>
              </w:rPr>
              <w:t>1.2</w:t>
            </w:r>
          </w:p>
        </w:tc>
        <w:tc>
          <w:tcPr>
            <w:tcW w:w="1225" w:type="dxa"/>
          </w:tcPr>
          <w:p w14:paraId="658F1F23" w14:textId="77777777" w:rsidR="00CE634C" w:rsidRPr="00CE634C" w:rsidRDefault="00CE634C" w:rsidP="00FE2E76">
            <w:pPr>
              <w:rPr>
                <w:rFonts w:cs="Times New Roman"/>
                <w:bCs/>
                <w:sz w:val="20"/>
                <w:szCs w:val="20"/>
              </w:rPr>
            </w:pPr>
            <w:r w:rsidRPr="00CE634C">
              <w:rPr>
                <w:rFonts w:cs="Times New Roman"/>
                <w:bCs/>
                <w:sz w:val="20"/>
                <w:szCs w:val="20"/>
              </w:rPr>
              <w:t>72.6</w:t>
            </w:r>
          </w:p>
        </w:tc>
      </w:tr>
      <w:tr w:rsidR="00CE634C" w:rsidRPr="00BF421C" w14:paraId="5497C137" w14:textId="77777777" w:rsidTr="00FE2E76">
        <w:tc>
          <w:tcPr>
            <w:tcW w:w="2178" w:type="dxa"/>
          </w:tcPr>
          <w:p w14:paraId="2E46E60B" w14:textId="77777777" w:rsidR="00CE634C" w:rsidRPr="00CE634C" w:rsidRDefault="00CE634C" w:rsidP="00FE2E76">
            <w:pPr>
              <w:rPr>
                <w:rFonts w:cs="Times New Roman"/>
                <w:bCs/>
                <w:sz w:val="20"/>
                <w:szCs w:val="20"/>
              </w:rPr>
            </w:pPr>
            <w:r w:rsidRPr="00CE634C">
              <w:rPr>
                <w:rFonts w:cs="Times New Roman"/>
                <w:bCs/>
                <w:sz w:val="20"/>
                <w:szCs w:val="20"/>
              </w:rPr>
              <w:t>Advanced Nuclear</w:t>
            </w:r>
          </w:p>
        </w:tc>
        <w:tc>
          <w:tcPr>
            <w:tcW w:w="1033" w:type="dxa"/>
          </w:tcPr>
          <w:p w14:paraId="70F40D62" w14:textId="77777777" w:rsidR="00CE634C" w:rsidRPr="00CE634C" w:rsidRDefault="00CE634C" w:rsidP="00FE2E76">
            <w:pPr>
              <w:rPr>
                <w:rFonts w:cs="Times New Roman"/>
                <w:bCs/>
                <w:sz w:val="20"/>
                <w:szCs w:val="20"/>
              </w:rPr>
            </w:pPr>
            <w:r w:rsidRPr="00CE634C">
              <w:rPr>
                <w:rFonts w:cs="Times New Roman"/>
                <w:bCs/>
                <w:sz w:val="20"/>
                <w:szCs w:val="20"/>
              </w:rPr>
              <w:t>90</w:t>
            </w:r>
          </w:p>
        </w:tc>
        <w:tc>
          <w:tcPr>
            <w:tcW w:w="1151" w:type="dxa"/>
          </w:tcPr>
          <w:p w14:paraId="5DB25D30" w14:textId="77777777" w:rsidR="00CE634C" w:rsidRPr="00CE634C" w:rsidRDefault="00CE634C" w:rsidP="00FE2E76">
            <w:pPr>
              <w:rPr>
                <w:rFonts w:cs="Times New Roman"/>
                <w:bCs/>
                <w:sz w:val="20"/>
                <w:szCs w:val="20"/>
              </w:rPr>
            </w:pPr>
            <w:r w:rsidRPr="00CE634C">
              <w:rPr>
                <w:rFonts w:cs="Times New Roman"/>
                <w:bCs/>
                <w:sz w:val="20"/>
                <w:szCs w:val="20"/>
              </w:rPr>
              <w:t>70.1</w:t>
            </w:r>
          </w:p>
        </w:tc>
        <w:tc>
          <w:tcPr>
            <w:tcW w:w="1096" w:type="dxa"/>
          </w:tcPr>
          <w:p w14:paraId="1EADEC8E" w14:textId="77777777" w:rsidR="00CE634C" w:rsidRPr="00CE634C" w:rsidRDefault="00CE634C" w:rsidP="00FE2E76">
            <w:pPr>
              <w:rPr>
                <w:rFonts w:cs="Times New Roman"/>
                <w:bCs/>
                <w:sz w:val="20"/>
                <w:szCs w:val="20"/>
              </w:rPr>
            </w:pPr>
            <w:r w:rsidRPr="00CE634C">
              <w:rPr>
                <w:rFonts w:cs="Times New Roman"/>
                <w:bCs/>
                <w:sz w:val="20"/>
                <w:szCs w:val="20"/>
              </w:rPr>
              <w:t>11.8</w:t>
            </w:r>
          </w:p>
        </w:tc>
        <w:tc>
          <w:tcPr>
            <w:tcW w:w="1162" w:type="dxa"/>
          </w:tcPr>
          <w:p w14:paraId="1158CF91" w14:textId="77777777" w:rsidR="00CE634C" w:rsidRPr="00CE634C" w:rsidRDefault="00CE634C" w:rsidP="00FE2E76">
            <w:pPr>
              <w:rPr>
                <w:rFonts w:cs="Times New Roman"/>
                <w:bCs/>
                <w:sz w:val="20"/>
                <w:szCs w:val="20"/>
              </w:rPr>
            </w:pPr>
            <w:r w:rsidRPr="00CE634C">
              <w:rPr>
                <w:rFonts w:cs="Times New Roman"/>
                <w:bCs/>
                <w:sz w:val="20"/>
                <w:szCs w:val="20"/>
              </w:rPr>
              <w:t>12.2</w:t>
            </w:r>
          </w:p>
        </w:tc>
        <w:tc>
          <w:tcPr>
            <w:tcW w:w="1304" w:type="dxa"/>
          </w:tcPr>
          <w:p w14:paraId="171FA833" w14:textId="77777777" w:rsidR="00CE634C" w:rsidRPr="00CE634C" w:rsidRDefault="00CE634C" w:rsidP="00FE2E76">
            <w:pPr>
              <w:rPr>
                <w:rFonts w:cs="Times New Roman"/>
                <w:bCs/>
                <w:sz w:val="20"/>
                <w:szCs w:val="20"/>
              </w:rPr>
            </w:pPr>
            <w:r w:rsidRPr="00CE634C">
              <w:rPr>
                <w:rFonts w:cs="Times New Roman"/>
                <w:bCs/>
                <w:sz w:val="20"/>
                <w:szCs w:val="20"/>
              </w:rPr>
              <w:t>1.1</w:t>
            </w:r>
          </w:p>
        </w:tc>
        <w:tc>
          <w:tcPr>
            <w:tcW w:w="1225" w:type="dxa"/>
          </w:tcPr>
          <w:p w14:paraId="34845AAF" w14:textId="77777777" w:rsidR="00CE634C" w:rsidRPr="00CE634C" w:rsidRDefault="00CE634C" w:rsidP="00FE2E76">
            <w:pPr>
              <w:rPr>
                <w:rFonts w:cs="Times New Roman"/>
                <w:bCs/>
                <w:sz w:val="20"/>
                <w:szCs w:val="20"/>
              </w:rPr>
            </w:pPr>
            <w:r w:rsidRPr="00CE634C">
              <w:rPr>
                <w:rFonts w:cs="Times New Roman"/>
                <w:bCs/>
                <w:sz w:val="20"/>
                <w:szCs w:val="20"/>
              </w:rPr>
              <w:t>95.2</w:t>
            </w:r>
          </w:p>
        </w:tc>
      </w:tr>
      <w:tr w:rsidR="00CE634C" w:rsidRPr="00BF421C" w14:paraId="53971769" w14:textId="77777777" w:rsidTr="00FE2E76">
        <w:tc>
          <w:tcPr>
            <w:tcW w:w="2178" w:type="dxa"/>
          </w:tcPr>
          <w:p w14:paraId="5CDC4C6C" w14:textId="77777777" w:rsidR="00CE634C" w:rsidRPr="00CE634C" w:rsidRDefault="00CE634C" w:rsidP="00FE2E76">
            <w:pPr>
              <w:rPr>
                <w:rFonts w:cs="Times New Roman"/>
                <w:bCs/>
                <w:sz w:val="20"/>
                <w:szCs w:val="20"/>
              </w:rPr>
            </w:pPr>
            <w:r w:rsidRPr="00CE634C">
              <w:rPr>
                <w:rFonts w:cs="Times New Roman"/>
                <w:bCs/>
                <w:sz w:val="20"/>
                <w:szCs w:val="20"/>
              </w:rPr>
              <w:t xml:space="preserve">Geothermal </w:t>
            </w:r>
          </w:p>
        </w:tc>
        <w:tc>
          <w:tcPr>
            <w:tcW w:w="1033" w:type="dxa"/>
          </w:tcPr>
          <w:p w14:paraId="0A6CA53A" w14:textId="77777777" w:rsidR="00CE634C" w:rsidRPr="00CE634C" w:rsidRDefault="00CE634C" w:rsidP="00FE2E76">
            <w:pPr>
              <w:rPr>
                <w:rFonts w:cs="Times New Roman"/>
                <w:bCs/>
                <w:sz w:val="20"/>
                <w:szCs w:val="20"/>
              </w:rPr>
            </w:pPr>
            <w:r w:rsidRPr="00CE634C">
              <w:rPr>
                <w:rFonts w:cs="Times New Roman"/>
                <w:bCs/>
                <w:sz w:val="20"/>
                <w:szCs w:val="20"/>
              </w:rPr>
              <w:t>92</w:t>
            </w:r>
          </w:p>
        </w:tc>
        <w:tc>
          <w:tcPr>
            <w:tcW w:w="1151" w:type="dxa"/>
          </w:tcPr>
          <w:p w14:paraId="050B5B52" w14:textId="77777777" w:rsidR="00CE634C" w:rsidRPr="00CE634C" w:rsidRDefault="00CE634C" w:rsidP="00FE2E76">
            <w:pPr>
              <w:rPr>
                <w:rFonts w:cs="Times New Roman"/>
                <w:bCs/>
                <w:sz w:val="20"/>
                <w:szCs w:val="20"/>
              </w:rPr>
            </w:pPr>
            <w:r w:rsidRPr="00CE634C">
              <w:rPr>
                <w:rFonts w:cs="Times New Roman"/>
                <w:bCs/>
                <w:sz w:val="20"/>
                <w:szCs w:val="20"/>
              </w:rPr>
              <w:t>34.1</w:t>
            </w:r>
          </w:p>
        </w:tc>
        <w:tc>
          <w:tcPr>
            <w:tcW w:w="1096" w:type="dxa"/>
          </w:tcPr>
          <w:p w14:paraId="1FBB0393" w14:textId="77777777" w:rsidR="00CE634C" w:rsidRPr="00CE634C" w:rsidRDefault="00CE634C" w:rsidP="00FE2E76">
            <w:pPr>
              <w:rPr>
                <w:rFonts w:cs="Times New Roman"/>
                <w:bCs/>
                <w:sz w:val="20"/>
                <w:szCs w:val="20"/>
              </w:rPr>
            </w:pPr>
            <w:r w:rsidRPr="00CE634C">
              <w:rPr>
                <w:rFonts w:cs="Times New Roman"/>
                <w:bCs/>
                <w:sz w:val="20"/>
                <w:szCs w:val="20"/>
              </w:rPr>
              <w:t>12.3</w:t>
            </w:r>
          </w:p>
        </w:tc>
        <w:tc>
          <w:tcPr>
            <w:tcW w:w="1162" w:type="dxa"/>
          </w:tcPr>
          <w:p w14:paraId="6484ED60" w14:textId="77777777" w:rsidR="00CE634C" w:rsidRPr="00CE634C" w:rsidRDefault="00CE634C" w:rsidP="00FE2E76">
            <w:pPr>
              <w:rPr>
                <w:rFonts w:cs="Times New Roman"/>
                <w:bCs/>
                <w:sz w:val="20"/>
                <w:szCs w:val="20"/>
              </w:rPr>
            </w:pPr>
            <w:r w:rsidRPr="00CE634C">
              <w:rPr>
                <w:rFonts w:cs="Times New Roman"/>
                <w:bCs/>
                <w:sz w:val="20"/>
                <w:szCs w:val="20"/>
              </w:rPr>
              <w:t>0.0</w:t>
            </w:r>
          </w:p>
        </w:tc>
        <w:tc>
          <w:tcPr>
            <w:tcW w:w="1304" w:type="dxa"/>
          </w:tcPr>
          <w:p w14:paraId="5A9366F2" w14:textId="77777777" w:rsidR="00CE634C" w:rsidRPr="00CE634C" w:rsidRDefault="00CE634C" w:rsidP="00FE2E76">
            <w:pPr>
              <w:rPr>
                <w:rFonts w:cs="Times New Roman"/>
                <w:bCs/>
                <w:sz w:val="20"/>
                <w:szCs w:val="20"/>
              </w:rPr>
            </w:pPr>
            <w:r w:rsidRPr="00CE634C">
              <w:rPr>
                <w:rFonts w:cs="Times New Roman"/>
                <w:bCs/>
                <w:sz w:val="20"/>
                <w:szCs w:val="20"/>
              </w:rPr>
              <w:t>1.4</w:t>
            </w:r>
          </w:p>
        </w:tc>
        <w:tc>
          <w:tcPr>
            <w:tcW w:w="1225" w:type="dxa"/>
          </w:tcPr>
          <w:p w14:paraId="63E14168" w14:textId="77777777" w:rsidR="00CE634C" w:rsidRPr="00CE634C" w:rsidRDefault="00CE634C" w:rsidP="00FE2E76">
            <w:pPr>
              <w:rPr>
                <w:rFonts w:cs="Times New Roman"/>
                <w:bCs/>
                <w:sz w:val="20"/>
                <w:szCs w:val="20"/>
              </w:rPr>
            </w:pPr>
            <w:r w:rsidRPr="00CE634C">
              <w:rPr>
                <w:rFonts w:cs="Times New Roman"/>
                <w:bCs/>
                <w:sz w:val="20"/>
                <w:szCs w:val="20"/>
              </w:rPr>
              <w:t>47.8</w:t>
            </w:r>
          </w:p>
        </w:tc>
      </w:tr>
      <w:tr w:rsidR="00CE634C" w:rsidRPr="00BF421C" w14:paraId="4B381F4F" w14:textId="77777777" w:rsidTr="00FE2E76">
        <w:tc>
          <w:tcPr>
            <w:tcW w:w="2178" w:type="dxa"/>
          </w:tcPr>
          <w:p w14:paraId="6669EECF" w14:textId="77777777" w:rsidR="00CE634C" w:rsidRPr="00CE634C" w:rsidRDefault="00CE634C" w:rsidP="00FE2E76">
            <w:pPr>
              <w:rPr>
                <w:rFonts w:cs="Times New Roman"/>
                <w:bCs/>
                <w:sz w:val="20"/>
                <w:szCs w:val="20"/>
              </w:rPr>
            </w:pPr>
            <w:r w:rsidRPr="00CE634C">
              <w:rPr>
                <w:rFonts w:cs="Times New Roman"/>
                <w:bCs/>
                <w:sz w:val="20"/>
                <w:szCs w:val="20"/>
              </w:rPr>
              <w:t>Biomass</w:t>
            </w:r>
          </w:p>
        </w:tc>
        <w:tc>
          <w:tcPr>
            <w:tcW w:w="1033" w:type="dxa"/>
          </w:tcPr>
          <w:p w14:paraId="08FB68F9" w14:textId="77777777" w:rsidR="00CE634C" w:rsidRPr="00CE634C" w:rsidRDefault="00CE634C" w:rsidP="00FE2E76">
            <w:pPr>
              <w:rPr>
                <w:rFonts w:cs="Times New Roman"/>
                <w:bCs/>
                <w:sz w:val="20"/>
                <w:szCs w:val="20"/>
              </w:rPr>
            </w:pPr>
            <w:r w:rsidRPr="00CE634C">
              <w:rPr>
                <w:rFonts w:cs="Times New Roman"/>
                <w:bCs/>
                <w:sz w:val="20"/>
                <w:szCs w:val="20"/>
              </w:rPr>
              <w:t>83</w:t>
            </w:r>
          </w:p>
        </w:tc>
        <w:tc>
          <w:tcPr>
            <w:tcW w:w="1151" w:type="dxa"/>
          </w:tcPr>
          <w:p w14:paraId="2FF6CFE8" w14:textId="77777777" w:rsidR="00CE634C" w:rsidRPr="00CE634C" w:rsidRDefault="00CE634C" w:rsidP="00FE2E76">
            <w:pPr>
              <w:rPr>
                <w:rFonts w:cs="Times New Roman"/>
                <w:bCs/>
                <w:sz w:val="20"/>
                <w:szCs w:val="20"/>
              </w:rPr>
            </w:pPr>
            <w:r w:rsidRPr="00CE634C">
              <w:rPr>
                <w:rFonts w:cs="Times New Roman"/>
                <w:bCs/>
                <w:sz w:val="20"/>
                <w:szCs w:val="20"/>
              </w:rPr>
              <w:t>47.1</w:t>
            </w:r>
          </w:p>
        </w:tc>
        <w:tc>
          <w:tcPr>
            <w:tcW w:w="1096" w:type="dxa"/>
          </w:tcPr>
          <w:p w14:paraId="2A92BAA5" w14:textId="77777777" w:rsidR="00CE634C" w:rsidRPr="00CE634C" w:rsidRDefault="00CE634C" w:rsidP="00FE2E76">
            <w:pPr>
              <w:rPr>
                <w:rFonts w:cs="Times New Roman"/>
                <w:bCs/>
                <w:sz w:val="20"/>
                <w:szCs w:val="20"/>
              </w:rPr>
            </w:pPr>
            <w:r w:rsidRPr="00CE634C">
              <w:rPr>
                <w:rFonts w:cs="Times New Roman"/>
                <w:bCs/>
                <w:sz w:val="20"/>
                <w:szCs w:val="20"/>
              </w:rPr>
              <w:t>14.5</w:t>
            </w:r>
          </w:p>
        </w:tc>
        <w:tc>
          <w:tcPr>
            <w:tcW w:w="1162" w:type="dxa"/>
          </w:tcPr>
          <w:p w14:paraId="5A0F0ABB" w14:textId="77777777" w:rsidR="00CE634C" w:rsidRPr="00CE634C" w:rsidRDefault="00CE634C" w:rsidP="00FE2E76">
            <w:pPr>
              <w:rPr>
                <w:rFonts w:cs="Times New Roman"/>
                <w:bCs/>
                <w:sz w:val="20"/>
                <w:szCs w:val="20"/>
              </w:rPr>
            </w:pPr>
            <w:r w:rsidRPr="00CE634C">
              <w:rPr>
                <w:rFonts w:cs="Times New Roman"/>
                <w:bCs/>
                <w:sz w:val="20"/>
                <w:szCs w:val="20"/>
              </w:rPr>
              <w:t>37.6</w:t>
            </w:r>
          </w:p>
        </w:tc>
        <w:tc>
          <w:tcPr>
            <w:tcW w:w="1304" w:type="dxa"/>
          </w:tcPr>
          <w:p w14:paraId="0E1B8A05" w14:textId="77777777" w:rsidR="00CE634C" w:rsidRPr="00CE634C" w:rsidRDefault="00CE634C" w:rsidP="00FE2E76">
            <w:pPr>
              <w:rPr>
                <w:rFonts w:cs="Times New Roman"/>
                <w:bCs/>
                <w:sz w:val="20"/>
                <w:szCs w:val="20"/>
              </w:rPr>
            </w:pPr>
            <w:r w:rsidRPr="00CE634C">
              <w:rPr>
                <w:rFonts w:cs="Times New Roman"/>
                <w:bCs/>
                <w:sz w:val="20"/>
                <w:szCs w:val="20"/>
              </w:rPr>
              <w:t>1.2</w:t>
            </w:r>
          </w:p>
        </w:tc>
        <w:tc>
          <w:tcPr>
            <w:tcW w:w="1225" w:type="dxa"/>
          </w:tcPr>
          <w:p w14:paraId="518A8C60" w14:textId="77777777" w:rsidR="00CE634C" w:rsidRPr="00CE634C" w:rsidRDefault="00CE634C" w:rsidP="00FE2E76">
            <w:pPr>
              <w:rPr>
                <w:rFonts w:cs="Times New Roman"/>
                <w:bCs/>
                <w:sz w:val="20"/>
                <w:szCs w:val="20"/>
              </w:rPr>
            </w:pPr>
            <w:r w:rsidRPr="00CE634C">
              <w:rPr>
                <w:rFonts w:cs="Times New Roman"/>
                <w:bCs/>
                <w:sz w:val="20"/>
                <w:szCs w:val="20"/>
              </w:rPr>
              <w:t>100.5</w:t>
            </w:r>
          </w:p>
        </w:tc>
      </w:tr>
      <w:tr w:rsidR="00CE634C" w:rsidRPr="00BF421C" w14:paraId="3ADC75F0" w14:textId="77777777" w:rsidTr="00FE2E76">
        <w:tc>
          <w:tcPr>
            <w:tcW w:w="9149" w:type="dxa"/>
            <w:gridSpan w:val="7"/>
          </w:tcPr>
          <w:p w14:paraId="4315EAC6" w14:textId="77777777" w:rsidR="00CE634C" w:rsidRPr="00CE634C" w:rsidRDefault="00CE634C" w:rsidP="00FE2E76">
            <w:pPr>
              <w:rPr>
                <w:rFonts w:cs="Times New Roman"/>
                <w:bCs/>
                <w:sz w:val="20"/>
                <w:szCs w:val="20"/>
              </w:rPr>
            </w:pPr>
            <w:r w:rsidRPr="00CE634C">
              <w:rPr>
                <w:rFonts w:cs="Times New Roman"/>
                <w:b/>
                <w:bCs/>
                <w:sz w:val="20"/>
                <w:szCs w:val="20"/>
              </w:rPr>
              <w:t>Dispatchable Technologies</w:t>
            </w:r>
          </w:p>
        </w:tc>
      </w:tr>
      <w:tr w:rsidR="00CE634C" w:rsidRPr="00BF421C" w14:paraId="7AAB6A2C" w14:textId="77777777" w:rsidTr="00FE2E76">
        <w:tc>
          <w:tcPr>
            <w:tcW w:w="2178" w:type="dxa"/>
          </w:tcPr>
          <w:p w14:paraId="36A54105" w14:textId="77777777" w:rsidR="00CE634C" w:rsidRPr="00CE634C" w:rsidRDefault="00CE634C" w:rsidP="00FE2E76">
            <w:pPr>
              <w:rPr>
                <w:rFonts w:cs="Times New Roman"/>
                <w:bCs/>
                <w:sz w:val="20"/>
                <w:szCs w:val="20"/>
              </w:rPr>
            </w:pPr>
            <w:r w:rsidRPr="00CE634C">
              <w:rPr>
                <w:rFonts w:cs="Times New Roman"/>
                <w:bCs/>
                <w:sz w:val="20"/>
                <w:szCs w:val="20"/>
              </w:rPr>
              <w:t>Onshore Wind</w:t>
            </w:r>
          </w:p>
        </w:tc>
        <w:tc>
          <w:tcPr>
            <w:tcW w:w="1033" w:type="dxa"/>
          </w:tcPr>
          <w:p w14:paraId="7CBC2592" w14:textId="77777777" w:rsidR="00CE634C" w:rsidRPr="00CE634C" w:rsidRDefault="00CE634C" w:rsidP="00FE2E76">
            <w:pPr>
              <w:rPr>
                <w:rFonts w:cs="Times New Roman"/>
                <w:bCs/>
                <w:sz w:val="20"/>
                <w:szCs w:val="20"/>
              </w:rPr>
            </w:pPr>
            <w:r w:rsidRPr="00CE634C">
              <w:rPr>
                <w:rFonts w:cs="Times New Roman"/>
                <w:bCs/>
                <w:sz w:val="20"/>
                <w:szCs w:val="20"/>
              </w:rPr>
              <w:t>36</w:t>
            </w:r>
          </w:p>
        </w:tc>
        <w:tc>
          <w:tcPr>
            <w:tcW w:w="1151" w:type="dxa"/>
          </w:tcPr>
          <w:p w14:paraId="58FA3A30" w14:textId="77777777" w:rsidR="00CE634C" w:rsidRPr="00CE634C" w:rsidRDefault="00CE634C" w:rsidP="00FE2E76">
            <w:pPr>
              <w:rPr>
                <w:rFonts w:cs="Times New Roman"/>
                <w:bCs/>
                <w:sz w:val="20"/>
                <w:szCs w:val="20"/>
              </w:rPr>
            </w:pPr>
            <w:r w:rsidRPr="00CE634C">
              <w:rPr>
                <w:rFonts w:cs="Times New Roman"/>
                <w:bCs/>
                <w:sz w:val="20"/>
                <w:szCs w:val="20"/>
              </w:rPr>
              <w:t>57.7</w:t>
            </w:r>
          </w:p>
        </w:tc>
        <w:tc>
          <w:tcPr>
            <w:tcW w:w="1096" w:type="dxa"/>
          </w:tcPr>
          <w:p w14:paraId="12972FDD" w14:textId="77777777" w:rsidR="00CE634C" w:rsidRPr="00CE634C" w:rsidRDefault="00CE634C" w:rsidP="00FE2E76">
            <w:pPr>
              <w:rPr>
                <w:rFonts w:cs="Times New Roman"/>
                <w:bCs/>
                <w:sz w:val="20"/>
                <w:szCs w:val="20"/>
              </w:rPr>
            </w:pPr>
            <w:r w:rsidRPr="00CE634C">
              <w:rPr>
                <w:rFonts w:cs="Times New Roman"/>
                <w:bCs/>
                <w:sz w:val="20"/>
                <w:szCs w:val="20"/>
              </w:rPr>
              <w:t>12.8</w:t>
            </w:r>
          </w:p>
        </w:tc>
        <w:tc>
          <w:tcPr>
            <w:tcW w:w="1162" w:type="dxa"/>
          </w:tcPr>
          <w:p w14:paraId="4D13DE64" w14:textId="77777777" w:rsidR="00CE634C" w:rsidRPr="00CE634C" w:rsidRDefault="00CE634C" w:rsidP="00FE2E76">
            <w:pPr>
              <w:rPr>
                <w:rFonts w:cs="Times New Roman"/>
                <w:bCs/>
                <w:sz w:val="20"/>
                <w:szCs w:val="20"/>
              </w:rPr>
            </w:pPr>
            <w:r w:rsidRPr="00CE634C">
              <w:rPr>
                <w:rFonts w:cs="Times New Roman"/>
                <w:bCs/>
                <w:sz w:val="20"/>
                <w:szCs w:val="20"/>
              </w:rPr>
              <w:t>0.0</w:t>
            </w:r>
          </w:p>
        </w:tc>
        <w:tc>
          <w:tcPr>
            <w:tcW w:w="1304" w:type="dxa"/>
          </w:tcPr>
          <w:p w14:paraId="0E478982" w14:textId="77777777" w:rsidR="00CE634C" w:rsidRPr="00CE634C" w:rsidRDefault="00CE634C" w:rsidP="00FE2E76">
            <w:pPr>
              <w:rPr>
                <w:rFonts w:cs="Times New Roman"/>
                <w:bCs/>
                <w:sz w:val="20"/>
                <w:szCs w:val="20"/>
              </w:rPr>
            </w:pPr>
            <w:r w:rsidRPr="00CE634C">
              <w:rPr>
                <w:rFonts w:cs="Times New Roman"/>
                <w:bCs/>
                <w:sz w:val="20"/>
                <w:szCs w:val="20"/>
              </w:rPr>
              <w:t>3.1</w:t>
            </w:r>
          </w:p>
        </w:tc>
        <w:tc>
          <w:tcPr>
            <w:tcW w:w="1225" w:type="dxa"/>
          </w:tcPr>
          <w:p w14:paraId="6972F845" w14:textId="77777777" w:rsidR="00CE634C" w:rsidRPr="00CE634C" w:rsidRDefault="00CE634C" w:rsidP="00FE2E76">
            <w:pPr>
              <w:rPr>
                <w:rFonts w:cs="Times New Roman"/>
                <w:bCs/>
                <w:sz w:val="20"/>
                <w:szCs w:val="20"/>
              </w:rPr>
            </w:pPr>
            <w:r w:rsidRPr="00CE634C">
              <w:rPr>
                <w:rFonts w:cs="Times New Roman"/>
                <w:bCs/>
                <w:sz w:val="20"/>
                <w:szCs w:val="20"/>
              </w:rPr>
              <w:t>73.6</w:t>
            </w:r>
          </w:p>
        </w:tc>
      </w:tr>
      <w:tr w:rsidR="00CE634C" w:rsidRPr="00BF421C" w14:paraId="41376CE0" w14:textId="77777777" w:rsidTr="00FE2E76">
        <w:tc>
          <w:tcPr>
            <w:tcW w:w="2178" w:type="dxa"/>
          </w:tcPr>
          <w:p w14:paraId="1D150489" w14:textId="77777777" w:rsidR="00CE634C" w:rsidRPr="00CE634C" w:rsidRDefault="00CE634C" w:rsidP="00FE2E76">
            <w:pPr>
              <w:rPr>
                <w:rFonts w:cs="Times New Roman"/>
                <w:bCs/>
                <w:sz w:val="20"/>
                <w:szCs w:val="20"/>
              </w:rPr>
            </w:pPr>
            <w:r w:rsidRPr="00CE634C">
              <w:rPr>
                <w:rFonts w:cs="Times New Roman"/>
                <w:bCs/>
                <w:sz w:val="20"/>
                <w:szCs w:val="20"/>
              </w:rPr>
              <w:t>Offshore Wind</w:t>
            </w:r>
          </w:p>
        </w:tc>
        <w:tc>
          <w:tcPr>
            <w:tcW w:w="1033" w:type="dxa"/>
          </w:tcPr>
          <w:p w14:paraId="4A5BBAA2" w14:textId="77777777" w:rsidR="00CE634C" w:rsidRPr="00CE634C" w:rsidRDefault="00CE634C" w:rsidP="00FE2E76">
            <w:pPr>
              <w:rPr>
                <w:rFonts w:cs="Times New Roman"/>
                <w:bCs/>
                <w:sz w:val="20"/>
                <w:szCs w:val="20"/>
              </w:rPr>
            </w:pPr>
            <w:r w:rsidRPr="00CE634C">
              <w:rPr>
                <w:rFonts w:cs="Times New Roman"/>
                <w:bCs/>
                <w:sz w:val="20"/>
                <w:szCs w:val="20"/>
              </w:rPr>
              <w:t>38</w:t>
            </w:r>
          </w:p>
        </w:tc>
        <w:tc>
          <w:tcPr>
            <w:tcW w:w="1151" w:type="dxa"/>
          </w:tcPr>
          <w:p w14:paraId="3C13C1E7" w14:textId="77777777" w:rsidR="00CE634C" w:rsidRPr="00CE634C" w:rsidRDefault="00CE634C" w:rsidP="00FE2E76">
            <w:pPr>
              <w:rPr>
                <w:rFonts w:cs="Times New Roman"/>
                <w:bCs/>
                <w:sz w:val="20"/>
                <w:szCs w:val="20"/>
              </w:rPr>
            </w:pPr>
            <w:r w:rsidRPr="00CE634C">
              <w:rPr>
                <w:rFonts w:cs="Times New Roman"/>
                <w:bCs/>
                <w:sz w:val="20"/>
                <w:szCs w:val="20"/>
              </w:rPr>
              <w:t>168.6</w:t>
            </w:r>
          </w:p>
        </w:tc>
        <w:tc>
          <w:tcPr>
            <w:tcW w:w="1096" w:type="dxa"/>
          </w:tcPr>
          <w:p w14:paraId="5D0287B8" w14:textId="77777777" w:rsidR="00CE634C" w:rsidRPr="00CE634C" w:rsidRDefault="00CE634C" w:rsidP="00FE2E76">
            <w:pPr>
              <w:rPr>
                <w:rFonts w:cs="Times New Roman"/>
                <w:bCs/>
                <w:sz w:val="20"/>
                <w:szCs w:val="20"/>
              </w:rPr>
            </w:pPr>
            <w:r w:rsidRPr="00CE634C">
              <w:rPr>
                <w:rFonts w:cs="Times New Roman"/>
                <w:bCs/>
                <w:sz w:val="20"/>
                <w:szCs w:val="20"/>
              </w:rPr>
              <w:t>22.5</w:t>
            </w:r>
          </w:p>
        </w:tc>
        <w:tc>
          <w:tcPr>
            <w:tcW w:w="1162" w:type="dxa"/>
          </w:tcPr>
          <w:p w14:paraId="451D7EA7" w14:textId="77777777" w:rsidR="00CE634C" w:rsidRPr="00CE634C" w:rsidRDefault="00CE634C" w:rsidP="00FE2E76">
            <w:pPr>
              <w:rPr>
                <w:rFonts w:cs="Times New Roman"/>
                <w:bCs/>
                <w:sz w:val="20"/>
                <w:szCs w:val="20"/>
              </w:rPr>
            </w:pPr>
            <w:r w:rsidRPr="00CE634C">
              <w:rPr>
                <w:rFonts w:cs="Times New Roman"/>
                <w:bCs/>
                <w:sz w:val="20"/>
                <w:szCs w:val="20"/>
              </w:rPr>
              <w:t>0.0</w:t>
            </w:r>
          </w:p>
        </w:tc>
        <w:tc>
          <w:tcPr>
            <w:tcW w:w="1304" w:type="dxa"/>
          </w:tcPr>
          <w:p w14:paraId="17909A39" w14:textId="77777777" w:rsidR="00CE634C" w:rsidRPr="00CE634C" w:rsidRDefault="00CE634C" w:rsidP="00FE2E76">
            <w:pPr>
              <w:rPr>
                <w:rFonts w:cs="Times New Roman"/>
                <w:bCs/>
                <w:sz w:val="20"/>
                <w:szCs w:val="20"/>
              </w:rPr>
            </w:pPr>
            <w:r w:rsidRPr="00CE634C">
              <w:rPr>
                <w:rFonts w:cs="Times New Roman"/>
                <w:bCs/>
                <w:sz w:val="20"/>
                <w:szCs w:val="20"/>
              </w:rPr>
              <w:t>5.8</w:t>
            </w:r>
          </w:p>
        </w:tc>
        <w:tc>
          <w:tcPr>
            <w:tcW w:w="1225" w:type="dxa"/>
          </w:tcPr>
          <w:p w14:paraId="2179301C" w14:textId="77777777" w:rsidR="00CE634C" w:rsidRPr="00CE634C" w:rsidRDefault="00CE634C" w:rsidP="00FE2E76">
            <w:pPr>
              <w:rPr>
                <w:rFonts w:cs="Times New Roman"/>
                <w:bCs/>
                <w:sz w:val="20"/>
                <w:szCs w:val="20"/>
              </w:rPr>
            </w:pPr>
            <w:r w:rsidRPr="00CE634C">
              <w:rPr>
                <w:rFonts w:cs="Times New Roman"/>
                <w:bCs/>
                <w:sz w:val="20"/>
                <w:szCs w:val="20"/>
              </w:rPr>
              <w:t>196.9</w:t>
            </w:r>
          </w:p>
        </w:tc>
      </w:tr>
      <w:tr w:rsidR="00CE634C" w:rsidRPr="00BF421C" w14:paraId="034FF727" w14:textId="77777777" w:rsidTr="00FE2E76">
        <w:tc>
          <w:tcPr>
            <w:tcW w:w="2178" w:type="dxa"/>
          </w:tcPr>
          <w:p w14:paraId="0658AAE4" w14:textId="77777777" w:rsidR="00CE634C" w:rsidRPr="00CE634C" w:rsidRDefault="00CE634C" w:rsidP="00FE2E76">
            <w:pPr>
              <w:rPr>
                <w:rFonts w:cs="Times New Roman"/>
                <w:bCs/>
                <w:sz w:val="20"/>
                <w:szCs w:val="20"/>
              </w:rPr>
            </w:pPr>
            <w:r w:rsidRPr="00CE634C">
              <w:rPr>
                <w:rFonts w:cs="Times New Roman"/>
                <w:bCs/>
                <w:sz w:val="20"/>
                <w:szCs w:val="20"/>
              </w:rPr>
              <w:t>Solar PV</w:t>
            </w:r>
          </w:p>
        </w:tc>
        <w:tc>
          <w:tcPr>
            <w:tcW w:w="1033" w:type="dxa"/>
          </w:tcPr>
          <w:p w14:paraId="12A09452" w14:textId="77777777" w:rsidR="00CE634C" w:rsidRPr="00CE634C" w:rsidRDefault="00CE634C" w:rsidP="00FE2E76">
            <w:pPr>
              <w:rPr>
                <w:rFonts w:cs="Times New Roman"/>
                <w:bCs/>
                <w:sz w:val="20"/>
                <w:szCs w:val="20"/>
              </w:rPr>
            </w:pPr>
            <w:r w:rsidRPr="00CE634C">
              <w:rPr>
                <w:rFonts w:cs="Times New Roman"/>
                <w:bCs/>
                <w:sz w:val="20"/>
                <w:szCs w:val="20"/>
              </w:rPr>
              <w:t>25</w:t>
            </w:r>
          </w:p>
        </w:tc>
        <w:tc>
          <w:tcPr>
            <w:tcW w:w="1151" w:type="dxa"/>
          </w:tcPr>
          <w:p w14:paraId="3566B6B3" w14:textId="77777777" w:rsidR="00CE634C" w:rsidRPr="00CE634C" w:rsidRDefault="00CE634C" w:rsidP="00FE2E76">
            <w:pPr>
              <w:rPr>
                <w:rFonts w:cs="Times New Roman"/>
                <w:bCs/>
                <w:sz w:val="20"/>
                <w:szCs w:val="20"/>
              </w:rPr>
            </w:pPr>
            <w:r w:rsidRPr="00CE634C">
              <w:rPr>
                <w:rFonts w:cs="Times New Roman"/>
                <w:bCs/>
                <w:sz w:val="20"/>
                <w:szCs w:val="20"/>
              </w:rPr>
              <w:t>109.8</w:t>
            </w:r>
          </w:p>
        </w:tc>
        <w:tc>
          <w:tcPr>
            <w:tcW w:w="1096" w:type="dxa"/>
          </w:tcPr>
          <w:p w14:paraId="407BD19C" w14:textId="77777777" w:rsidR="00CE634C" w:rsidRPr="00CE634C" w:rsidRDefault="00CE634C" w:rsidP="00FE2E76">
            <w:pPr>
              <w:rPr>
                <w:rFonts w:cs="Times New Roman"/>
                <w:bCs/>
                <w:sz w:val="20"/>
                <w:szCs w:val="20"/>
              </w:rPr>
            </w:pPr>
            <w:r w:rsidRPr="00CE634C">
              <w:rPr>
                <w:rFonts w:cs="Times New Roman"/>
                <w:bCs/>
                <w:sz w:val="20"/>
                <w:szCs w:val="20"/>
              </w:rPr>
              <w:t>11.4</w:t>
            </w:r>
          </w:p>
        </w:tc>
        <w:tc>
          <w:tcPr>
            <w:tcW w:w="1162" w:type="dxa"/>
          </w:tcPr>
          <w:p w14:paraId="69252CAE" w14:textId="77777777" w:rsidR="00CE634C" w:rsidRPr="00CE634C" w:rsidRDefault="00CE634C" w:rsidP="00FE2E76">
            <w:pPr>
              <w:rPr>
                <w:rFonts w:cs="Times New Roman"/>
                <w:bCs/>
                <w:sz w:val="20"/>
                <w:szCs w:val="20"/>
              </w:rPr>
            </w:pPr>
            <w:r w:rsidRPr="00CE634C">
              <w:rPr>
                <w:rFonts w:cs="Times New Roman"/>
                <w:bCs/>
                <w:sz w:val="20"/>
                <w:szCs w:val="20"/>
              </w:rPr>
              <w:t>0.0</w:t>
            </w:r>
          </w:p>
        </w:tc>
        <w:tc>
          <w:tcPr>
            <w:tcW w:w="1304" w:type="dxa"/>
          </w:tcPr>
          <w:p w14:paraId="522FF556" w14:textId="77777777" w:rsidR="00CE634C" w:rsidRPr="00CE634C" w:rsidRDefault="00CE634C" w:rsidP="00FE2E76">
            <w:pPr>
              <w:rPr>
                <w:rFonts w:cs="Times New Roman"/>
                <w:bCs/>
                <w:sz w:val="20"/>
                <w:szCs w:val="20"/>
              </w:rPr>
            </w:pPr>
            <w:r w:rsidRPr="00CE634C">
              <w:rPr>
                <w:rFonts w:cs="Times New Roman"/>
                <w:bCs/>
                <w:sz w:val="20"/>
                <w:szCs w:val="20"/>
              </w:rPr>
              <w:t>4.1</w:t>
            </w:r>
          </w:p>
        </w:tc>
        <w:tc>
          <w:tcPr>
            <w:tcW w:w="1225" w:type="dxa"/>
          </w:tcPr>
          <w:p w14:paraId="14E3D430" w14:textId="77777777" w:rsidR="00CE634C" w:rsidRPr="00CE634C" w:rsidRDefault="00CE634C" w:rsidP="00FE2E76">
            <w:pPr>
              <w:rPr>
                <w:rFonts w:cs="Times New Roman"/>
                <w:bCs/>
                <w:sz w:val="20"/>
                <w:szCs w:val="20"/>
              </w:rPr>
            </w:pPr>
            <w:r w:rsidRPr="00CE634C">
              <w:rPr>
                <w:rFonts w:cs="Times New Roman"/>
                <w:bCs/>
                <w:sz w:val="20"/>
                <w:szCs w:val="20"/>
              </w:rPr>
              <w:t>125.3</w:t>
            </w:r>
          </w:p>
        </w:tc>
      </w:tr>
      <w:tr w:rsidR="00CE634C" w:rsidRPr="00BF421C" w14:paraId="1506E359" w14:textId="77777777" w:rsidTr="00FE2E76">
        <w:tc>
          <w:tcPr>
            <w:tcW w:w="2178" w:type="dxa"/>
          </w:tcPr>
          <w:p w14:paraId="2DC9521C" w14:textId="77777777" w:rsidR="00CE634C" w:rsidRPr="00CE634C" w:rsidRDefault="00CE634C" w:rsidP="00FE2E76">
            <w:pPr>
              <w:rPr>
                <w:rFonts w:cs="Times New Roman"/>
                <w:bCs/>
                <w:sz w:val="20"/>
                <w:szCs w:val="20"/>
              </w:rPr>
            </w:pPr>
            <w:r w:rsidRPr="00CE634C">
              <w:rPr>
                <w:rFonts w:cs="Times New Roman"/>
                <w:bCs/>
                <w:sz w:val="20"/>
                <w:szCs w:val="20"/>
              </w:rPr>
              <w:t>Solar Thermal</w:t>
            </w:r>
          </w:p>
        </w:tc>
        <w:tc>
          <w:tcPr>
            <w:tcW w:w="1033" w:type="dxa"/>
          </w:tcPr>
          <w:p w14:paraId="1F5FC5D5" w14:textId="77777777" w:rsidR="00CE634C" w:rsidRPr="00CE634C" w:rsidRDefault="00CE634C" w:rsidP="00FE2E76">
            <w:pPr>
              <w:rPr>
                <w:rFonts w:cs="Times New Roman"/>
                <w:bCs/>
                <w:sz w:val="20"/>
                <w:szCs w:val="20"/>
              </w:rPr>
            </w:pPr>
            <w:r w:rsidRPr="00CE634C">
              <w:rPr>
                <w:rFonts w:cs="Times New Roman"/>
                <w:bCs/>
                <w:sz w:val="20"/>
                <w:szCs w:val="20"/>
              </w:rPr>
              <w:t>20</w:t>
            </w:r>
          </w:p>
        </w:tc>
        <w:tc>
          <w:tcPr>
            <w:tcW w:w="1151" w:type="dxa"/>
          </w:tcPr>
          <w:p w14:paraId="383535B3" w14:textId="77777777" w:rsidR="00CE634C" w:rsidRPr="00CE634C" w:rsidRDefault="00CE634C" w:rsidP="00FE2E76">
            <w:pPr>
              <w:rPr>
                <w:rFonts w:cs="Times New Roman"/>
                <w:bCs/>
                <w:sz w:val="20"/>
                <w:szCs w:val="20"/>
              </w:rPr>
            </w:pPr>
            <w:r w:rsidRPr="00CE634C">
              <w:rPr>
                <w:rFonts w:cs="Times New Roman"/>
                <w:bCs/>
                <w:sz w:val="20"/>
                <w:szCs w:val="20"/>
              </w:rPr>
              <w:t>191.6</w:t>
            </w:r>
          </w:p>
        </w:tc>
        <w:tc>
          <w:tcPr>
            <w:tcW w:w="1096" w:type="dxa"/>
          </w:tcPr>
          <w:p w14:paraId="6C59EC24" w14:textId="77777777" w:rsidR="00CE634C" w:rsidRPr="00CE634C" w:rsidRDefault="00CE634C" w:rsidP="00FE2E76">
            <w:pPr>
              <w:rPr>
                <w:rFonts w:cs="Times New Roman"/>
                <w:bCs/>
                <w:sz w:val="20"/>
                <w:szCs w:val="20"/>
              </w:rPr>
            </w:pPr>
            <w:r w:rsidRPr="00CE634C">
              <w:rPr>
                <w:rFonts w:cs="Times New Roman"/>
                <w:bCs/>
                <w:sz w:val="20"/>
                <w:szCs w:val="20"/>
              </w:rPr>
              <w:t>42.1</w:t>
            </w:r>
          </w:p>
        </w:tc>
        <w:tc>
          <w:tcPr>
            <w:tcW w:w="1162" w:type="dxa"/>
          </w:tcPr>
          <w:p w14:paraId="50C5124B" w14:textId="77777777" w:rsidR="00CE634C" w:rsidRPr="00CE634C" w:rsidRDefault="00CE634C" w:rsidP="00FE2E76">
            <w:pPr>
              <w:rPr>
                <w:rFonts w:cs="Times New Roman"/>
                <w:bCs/>
                <w:sz w:val="20"/>
                <w:szCs w:val="20"/>
              </w:rPr>
            </w:pPr>
            <w:r w:rsidRPr="00CE634C">
              <w:rPr>
                <w:rFonts w:cs="Times New Roman"/>
                <w:bCs/>
                <w:sz w:val="20"/>
                <w:szCs w:val="20"/>
              </w:rPr>
              <w:t>0.0</w:t>
            </w:r>
          </w:p>
        </w:tc>
        <w:tc>
          <w:tcPr>
            <w:tcW w:w="1304" w:type="dxa"/>
          </w:tcPr>
          <w:p w14:paraId="335BB2C5" w14:textId="77777777" w:rsidR="00CE634C" w:rsidRPr="00CE634C" w:rsidRDefault="00CE634C" w:rsidP="00FE2E76">
            <w:pPr>
              <w:rPr>
                <w:rFonts w:cs="Times New Roman"/>
                <w:bCs/>
                <w:sz w:val="20"/>
                <w:szCs w:val="20"/>
              </w:rPr>
            </w:pPr>
            <w:r w:rsidRPr="00CE634C">
              <w:rPr>
                <w:rFonts w:cs="Times New Roman"/>
                <w:bCs/>
                <w:sz w:val="20"/>
                <w:szCs w:val="20"/>
              </w:rPr>
              <w:t>6.0</w:t>
            </w:r>
          </w:p>
        </w:tc>
        <w:tc>
          <w:tcPr>
            <w:tcW w:w="1225" w:type="dxa"/>
          </w:tcPr>
          <w:p w14:paraId="5FE5FC24" w14:textId="77777777" w:rsidR="00CE634C" w:rsidRPr="00CE634C" w:rsidRDefault="00CE634C" w:rsidP="00FE2E76">
            <w:pPr>
              <w:rPr>
                <w:rFonts w:cs="Times New Roman"/>
                <w:bCs/>
                <w:sz w:val="20"/>
                <w:szCs w:val="20"/>
              </w:rPr>
            </w:pPr>
            <w:r w:rsidRPr="00CE634C">
              <w:rPr>
                <w:rFonts w:cs="Times New Roman"/>
                <w:bCs/>
                <w:sz w:val="20"/>
                <w:szCs w:val="20"/>
              </w:rPr>
              <w:t>239.7</w:t>
            </w:r>
          </w:p>
        </w:tc>
      </w:tr>
      <w:tr w:rsidR="00CE634C" w:rsidRPr="00BF421C" w14:paraId="69864C4F" w14:textId="77777777" w:rsidTr="00FE2E76">
        <w:trPr>
          <w:trHeight w:val="50"/>
        </w:trPr>
        <w:tc>
          <w:tcPr>
            <w:tcW w:w="2178" w:type="dxa"/>
          </w:tcPr>
          <w:p w14:paraId="444C80E2" w14:textId="77777777" w:rsidR="00CE634C" w:rsidRPr="00CE634C" w:rsidRDefault="00CE634C" w:rsidP="00FE2E76">
            <w:pPr>
              <w:rPr>
                <w:rFonts w:cs="Times New Roman"/>
                <w:bCs/>
                <w:sz w:val="20"/>
                <w:szCs w:val="20"/>
              </w:rPr>
            </w:pPr>
            <w:r w:rsidRPr="00CE634C">
              <w:rPr>
                <w:rFonts w:cs="Times New Roman"/>
                <w:bCs/>
                <w:sz w:val="20"/>
                <w:szCs w:val="20"/>
              </w:rPr>
              <w:t>Hydroelectric</w:t>
            </w:r>
          </w:p>
        </w:tc>
        <w:tc>
          <w:tcPr>
            <w:tcW w:w="1033" w:type="dxa"/>
          </w:tcPr>
          <w:p w14:paraId="45F936BE" w14:textId="77777777" w:rsidR="00CE634C" w:rsidRPr="00CE634C" w:rsidRDefault="00CE634C" w:rsidP="00FE2E76">
            <w:pPr>
              <w:rPr>
                <w:rFonts w:cs="Times New Roman"/>
                <w:bCs/>
                <w:sz w:val="20"/>
                <w:szCs w:val="20"/>
              </w:rPr>
            </w:pPr>
            <w:r w:rsidRPr="00CE634C">
              <w:rPr>
                <w:rFonts w:cs="Times New Roman"/>
                <w:bCs/>
                <w:sz w:val="20"/>
                <w:szCs w:val="20"/>
              </w:rPr>
              <w:t>54</w:t>
            </w:r>
          </w:p>
        </w:tc>
        <w:tc>
          <w:tcPr>
            <w:tcW w:w="1151" w:type="dxa"/>
          </w:tcPr>
          <w:p w14:paraId="04B5EC4C" w14:textId="77777777" w:rsidR="00CE634C" w:rsidRPr="00CE634C" w:rsidRDefault="00CE634C" w:rsidP="00FE2E76">
            <w:pPr>
              <w:rPr>
                <w:rFonts w:cs="Times New Roman"/>
                <w:bCs/>
                <w:sz w:val="20"/>
                <w:szCs w:val="20"/>
              </w:rPr>
            </w:pPr>
            <w:r w:rsidRPr="00CE634C">
              <w:rPr>
                <w:rFonts w:cs="Times New Roman"/>
                <w:bCs/>
                <w:sz w:val="20"/>
                <w:szCs w:val="20"/>
              </w:rPr>
              <w:t>80.7</w:t>
            </w:r>
          </w:p>
        </w:tc>
        <w:tc>
          <w:tcPr>
            <w:tcW w:w="1096" w:type="dxa"/>
          </w:tcPr>
          <w:p w14:paraId="5236C7D8" w14:textId="77777777" w:rsidR="00CE634C" w:rsidRPr="00CE634C" w:rsidRDefault="00CE634C" w:rsidP="00FE2E76">
            <w:pPr>
              <w:rPr>
                <w:rFonts w:cs="Times New Roman"/>
                <w:bCs/>
                <w:sz w:val="20"/>
                <w:szCs w:val="20"/>
              </w:rPr>
            </w:pPr>
            <w:r w:rsidRPr="00CE634C">
              <w:rPr>
                <w:rFonts w:cs="Times New Roman"/>
                <w:bCs/>
                <w:sz w:val="20"/>
                <w:szCs w:val="20"/>
              </w:rPr>
              <w:t>3.9</w:t>
            </w:r>
          </w:p>
        </w:tc>
        <w:tc>
          <w:tcPr>
            <w:tcW w:w="1162" w:type="dxa"/>
          </w:tcPr>
          <w:p w14:paraId="1A9D9811" w14:textId="77777777" w:rsidR="00CE634C" w:rsidRPr="00CE634C" w:rsidRDefault="00CE634C" w:rsidP="00FE2E76">
            <w:pPr>
              <w:rPr>
                <w:rFonts w:cs="Times New Roman"/>
                <w:bCs/>
                <w:sz w:val="20"/>
                <w:szCs w:val="20"/>
              </w:rPr>
            </w:pPr>
            <w:r w:rsidRPr="00CE634C">
              <w:rPr>
                <w:rFonts w:cs="Times New Roman"/>
                <w:bCs/>
                <w:sz w:val="20"/>
                <w:szCs w:val="20"/>
              </w:rPr>
              <w:t>7.0</w:t>
            </w:r>
          </w:p>
        </w:tc>
        <w:tc>
          <w:tcPr>
            <w:tcW w:w="1304" w:type="dxa"/>
          </w:tcPr>
          <w:p w14:paraId="2ADF7B8D" w14:textId="77777777" w:rsidR="00CE634C" w:rsidRPr="00CE634C" w:rsidRDefault="00CE634C" w:rsidP="00FE2E76">
            <w:pPr>
              <w:rPr>
                <w:rFonts w:cs="Times New Roman"/>
                <w:bCs/>
                <w:sz w:val="20"/>
                <w:szCs w:val="20"/>
              </w:rPr>
            </w:pPr>
            <w:r w:rsidRPr="00CE634C">
              <w:rPr>
                <w:rFonts w:cs="Times New Roman"/>
                <w:bCs/>
                <w:sz w:val="20"/>
                <w:szCs w:val="20"/>
              </w:rPr>
              <w:t>2.0</w:t>
            </w:r>
          </w:p>
        </w:tc>
        <w:tc>
          <w:tcPr>
            <w:tcW w:w="1225" w:type="dxa"/>
          </w:tcPr>
          <w:p w14:paraId="5A938C9D" w14:textId="77777777" w:rsidR="00CE634C" w:rsidRPr="00CE634C" w:rsidRDefault="00CE634C" w:rsidP="00FE2E76">
            <w:pPr>
              <w:rPr>
                <w:rFonts w:cs="Times New Roman"/>
                <w:bCs/>
                <w:sz w:val="20"/>
                <w:szCs w:val="20"/>
              </w:rPr>
            </w:pPr>
            <w:r w:rsidRPr="00CE634C">
              <w:rPr>
                <w:rFonts w:cs="Times New Roman"/>
                <w:bCs/>
                <w:sz w:val="20"/>
                <w:szCs w:val="20"/>
              </w:rPr>
              <w:t>83.5</w:t>
            </w:r>
          </w:p>
        </w:tc>
      </w:tr>
    </w:tbl>
    <w:p w14:paraId="47843A5C" w14:textId="77777777" w:rsidR="005131AE" w:rsidRDefault="005131AE" w:rsidP="005131AE"/>
    <w:p w14:paraId="7687C43F" w14:textId="4BBBC2D9" w:rsidR="00CE634C" w:rsidRDefault="00CE634C" w:rsidP="00CE634C">
      <w:pPr>
        <w:pStyle w:val="Caption"/>
        <w:jc w:val="center"/>
        <w:rPr>
          <w:bCs/>
        </w:rPr>
      </w:pPr>
      <w:bookmarkStart w:id="12" w:name="_Toc341364710"/>
      <w:bookmarkStart w:id="13" w:name="_Toc19323116"/>
      <w:r>
        <w:t>Table 1.</w:t>
      </w:r>
      <w:r w:rsidR="0060195D">
        <w:fldChar w:fldCharType="begin"/>
      </w:r>
      <w:r w:rsidR="0060195D">
        <w:instrText xml:space="preserve"> SEQ Table \* ARABIC </w:instrText>
      </w:r>
      <w:r w:rsidR="0060195D">
        <w:fldChar w:fldCharType="separate"/>
      </w:r>
      <w:r>
        <w:rPr>
          <w:noProof/>
        </w:rPr>
        <w:t>2</w:t>
      </w:r>
      <w:r w:rsidR="0060195D">
        <w:rPr>
          <w:noProof/>
        </w:rPr>
        <w:fldChar w:fldCharType="end"/>
      </w:r>
      <w:r>
        <w:t xml:space="preserve"> Trends that accelerate and decelerate nuclear power</w:t>
      </w:r>
      <w:bookmarkEnd w:id="12"/>
      <w:bookmarkEnd w:id="13"/>
    </w:p>
    <w:tbl>
      <w:tblPr>
        <w:tblStyle w:val="TableGrid"/>
        <w:tblW w:w="0" w:type="auto"/>
        <w:tblLook w:val="04A0" w:firstRow="1" w:lastRow="0" w:firstColumn="1" w:lastColumn="0" w:noHBand="0" w:noVBand="1"/>
      </w:tblPr>
      <w:tblGrid>
        <w:gridCol w:w="4788"/>
        <w:gridCol w:w="4410"/>
      </w:tblGrid>
      <w:tr w:rsidR="00CE634C" w:rsidRPr="00EC35F4" w14:paraId="1221D9DA" w14:textId="77777777" w:rsidTr="00CE634C">
        <w:tc>
          <w:tcPr>
            <w:tcW w:w="4788" w:type="dxa"/>
            <w:shd w:val="clear" w:color="auto" w:fill="4F81BD" w:themeFill="accent1"/>
          </w:tcPr>
          <w:p w14:paraId="5180AC82" w14:textId="77777777" w:rsidR="00CE634C" w:rsidRPr="00CE634C" w:rsidRDefault="00CE634C" w:rsidP="00CE634C">
            <w:pPr>
              <w:jc w:val="center"/>
              <w:rPr>
                <w:b/>
                <w:bCs/>
                <w:color w:val="FFFFFF" w:themeColor="background1"/>
                <w:sz w:val="20"/>
              </w:rPr>
            </w:pPr>
            <w:r w:rsidRPr="00CE634C">
              <w:rPr>
                <w:b/>
                <w:bCs/>
                <w:color w:val="FFFFFF" w:themeColor="background1"/>
                <w:sz w:val="20"/>
              </w:rPr>
              <w:t>Trends that Accelerate Adoption of NPP</w:t>
            </w:r>
          </w:p>
        </w:tc>
        <w:tc>
          <w:tcPr>
            <w:tcW w:w="4410" w:type="dxa"/>
            <w:shd w:val="clear" w:color="auto" w:fill="4F81BD" w:themeFill="accent1"/>
          </w:tcPr>
          <w:p w14:paraId="5066C860" w14:textId="77777777" w:rsidR="00CE634C" w:rsidRPr="00CE634C" w:rsidRDefault="00CE634C" w:rsidP="00CE634C">
            <w:pPr>
              <w:jc w:val="center"/>
              <w:rPr>
                <w:b/>
                <w:bCs/>
                <w:color w:val="FFFFFF" w:themeColor="background1"/>
                <w:sz w:val="20"/>
              </w:rPr>
            </w:pPr>
            <w:r w:rsidRPr="00CE634C">
              <w:rPr>
                <w:b/>
                <w:bCs/>
                <w:color w:val="FFFFFF" w:themeColor="background1"/>
                <w:sz w:val="20"/>
              </w:rPr>
              <w:t>Trends that Decelerate Adoption of NPP</w:t>
            </w:r>
          </w:p>
        </w:tc>
      </w:tr>
      <w:tr w:rsidR="00CE634C" w:rsidRPr="00EC35F4" w14:paraId="64213DC5" w14:textId="77777777" w:rsidTr="00FE2E76">
        <w:tc>
          <w:tcPr>
            <w:tcW w:w="4788" w:type="dxa"/>
          </w:tcPr>
          <w:p w14:paraId="37AF44E8" w14:textId="77777777" w:rsidR="00CE634C" w:rsidRPr="00EC35F4" w:rsidRDefault="00CE634C" w:rsidP="00CE634C">
            <w:pPr>
              <w:pStyle w:val="ListParagraph"/>
              <w:numPr>
                <w:ilvl w:val="0"/>
                <w:numId w:val="46"/>
              </w:numPr>
              <w:spacing w:after="0" w:line="240" w:lineRule="auto"/>
              <w:jc w:val="left"/>
              <w:rPr>
                <w:bCs/>
                <w:sz w:val="20"/>
              </w:rPr>
            </w:pPr>
            <w:r w:rsidRPr="00EC35F4">
              <w:rPr>
                <w:bCs/>
                <w:sz w:val="20"/>
              </w:rPr>
              <w:t>Public acceptance of nuclear power as a climate change abatement and job creation strategy</w:t>
            </w:r>
          </w:p>
        </w:tc>
        <w:tc>
          <w:tcPr>
            <w:tcW w:w="4410" w:type="dxa"/>
          </w:tcPr>
          <w:p w14:paraId="59F34169" w14:textId="77777777" w:rsidR="00CE634C" w:rsidRPr="00EC35F4" w:rsidRDefault="00CE634C" w:rsidP="00CE634C">
            <w:pPr>
              <w:pStyle w:val="ListParagraph"/>
              <w:numPr>
                <w:ilvl w:val="0"/>
                <w:numId w:val="46"/>
              </w:numPr>
              <w:spacing w:after="0" w:line="240" w:lineRule="auto"/>
              <w:jc w:val="left"/>
              <w:rPr>
                <w:bCs/>
                <w:sz w:val="20"/>
              </w:rPr>
            </w:pPr>
            <w:r w:rsidRPr="00EC35F4">
              <w:rPr>
                <w:bCs/>
                <w:sz w:val="20"/>
              </w:rPr>
              <w:t>Public disapproval of nuclear power</w:t>
            </w:r>
          </w:p>
        </w:tc>
      </w:tr>
      <w:tr w:rsidR="00CE634C" w:rsidRPr="00EC35F4" w14:paraId="6B4937B8" w14:textId="77777777" w:rsidTr="00FE2E76">
        <w:tc>
          <w:tcPr>
            <w:tcW w:w="4788" w:type="dxa"/>
          </w:tcPr>
          <w:p w14:paraId="6A4BAC98" w14:textId="77777777" w:rsidR="00CE634C" w:rsidRPr="00EC35F4" w:rsidRDefault="00CE634C" w:rsidP="00CE634C">
            <w:pPr>
              <w:pStyle w:val="ListParagraph"/>
              <w:numPr>
                <w:ilvl w:val="0"/>
                <w:numId w:val="46"/>
              </w:numPr>
              <w:spacing w:after="0" w:line="240" w:lineRule="auto"/>
              <w:jc w:val="left"/>
              <w:rPr>
                <w:bCs/>
                <w:sz w:val="20"/>
              </w:rPr>
            </w:pPr>
            <w:r w:rsidRPr="00EC35F4">
              <w:rPr>
                <w:bCs/>
                <w:sz w:val="20"/>
              </w:rPr>
              <w:t>Commercialization of technologies that produce less radioactive waste</w:t>
            </w:r>
          </w:p>
        </w:tc>
        <w:tc>
          <w:tcPr>
            <w:tcW w:w="4410" w:type="dxa"/>
          </w:tcPr>
          <w:p w14:paraId="742930FC" w14:textId="77777777" w:rsidR="00CE634C" w:rsidRPr="00EC35F4" w:rsidRDefault="00CE634C" w:rsidP="00CE634C">
            <w:pPr>
              <w:pStyle w:val="ListParagraph"/>
              <w:numPr>
                <w:ilvl w:val="0"/>
                <w:numId w:val="46"/>
              </w:numPr>
              <w:spacing w:after="0" w:line="240" w:lineRule="auto"/>
              <w:jc w:val="left"/>
              <w:rPr>
                <w:bCs/>
                <w:sz w:val="20"/>
              </w:rPr>
            </w:pPr>
            <w:r w:rsidRPr="00EC35F4">
              <w:rPr>
                <w:bCs/>
                <w:sz w:val="20"/>
              </w:rPr>
              <w:t>Nuclear accidents</w:t>
            </w:r>
          </w:p>
        </w:tc>
      </w:tr>
      <w:tr w:rsidR="00CE634C" w:rsidRPr="00EC35F4" w14:paraId="7518B90A" w14:textId="77777777" w:rsidTr="00FE2E76">
        <w:tc>
          <w:tcPr>
            <w:tcW w:w="4788" w:type="dxa"/>
          </w:tcPr>
          <w:p w14:paraId="72EB7791" w14:textId="77777777" w:rsidR="00CE634C" w:rsidRPr="00EC35F4" w:rsidRDefault="00CE634C" w:rsidP="00CE634C">
            <w:pPr>
              <w:pStyle w:val="ListParagraph"/>
              <w:numPr>
                <w:ilvl w:val="0"/>
                <w:numId w:val="46"/>
              </w:numPr>
              <w:spacing w:after="0" w:line="240" w:lineRule="auto"/>
              <w:jc w:val="left"/>
              <w:rPr>
                <w:bCs/>
                <w:sz w:val="20"/>
              </w:rPr>
            </w:pPr>
            <w:r w:rsidRPr="00EC35F4">
              <w:rPr>
                <w:bCs/>
                <w:sz w:val="20"/>
              </w:rPr>
              <w:t>Government support (subsidies, loan guarantees, etc.) of nuclear power</w:t>
            </w:r>
          </w:p>
        </w:tc>
        <w:tc>
          <w:tcPr>
            <w:tcW w:w="4410" w:type="dxa"/>
          </w:tcPr>
          <w:p w14:paraId="4E56DAE7" w14:textId="77777777" w:rsidR="00CE634C" w:rsidRPr="00EC35F4" w:rsidRDefault="00CE634C" w:rsidP="00CE634C">
            <w:pPr>
              <w:pStyle w:val="ListParagraph"/>
              <w:numPr>
                <w:ilvl w:val="0"/>
                <w:numId w:val="46"/>
              </w:numPr>
              <w:spacing w:after="0" w:line="240" w:lineRule="auto"/>
              <w:jc w:val="left"/>
              <w:rPr>
                <w:bCs/>
                <w:sz w:val="20"/>
              </w:rPr>
            </w:pPr>
            <w:r w:rsidRPr="00EC35F4">
              <w:rPr>
                <w:bCs/>
                <w:sz w:val="20"/>
              </w:rPr>
              <w:t>Lack of nuclear power skills training</w:t>
            </w:r>
          </w:p>
        </w:tc>
      </w:tr>
      <w:tr w:rsidR="00CE634C" w:rsidRPr="00EC35F4" w14:paraId="0803C580" w14:textId="77777777" w:rsidTr="00FE2E76">
        <w:tc>
          <w:tcPr>
            <w:tcW w:w="4788" w:type="dxa"/>
          </w:tcPr>
          <w:p w14:paraId="507FAEC4" w14:textId="77777777" w:rsidR="00CE634C" w:rsidRPr="00EC35F4" w:rsidRDefault="00CE634C" w:rsidP="00CE634C">
            <w:pPr>
              <w:pStyle w:val="ListParagraph"/>
              <w:numPr>
                <w:ilvl w:val="0"/>
                <w:numId w:val="46"/>
              </w:numPr>
              <w:spacing w:after="0" w:line="240" w:lineRule="auto"/>
              <w:jc w:val="left"/>
              <w:rPr>
                <w:bCs/>
                <w:sz w:val="20"/>
              </w:rPr>
            </w:pPr>
            <w:r w:rsidRPr="00EC35F4">
              <w:rPr>
                <w:bCs/>
                <w:sz w:val="20"/>
              </w:rPr>
              <w:t>Carbon tax</w:t>
            </w:r>
          </w:p>
        </w:tc>
        <w:tc>
          <w:tcPr>
            <w:tcW w:w="4410" w:type="dxa"/>
          </w:tcPr>
          <w:p w14:paraId="4D60720A" w14:textId="77777777" w:rsidR="00CE634C" w:rsidRPr="00EC35F4" w:rsidRDefault="00CE634C" w:rsidP="00CE634C">
            <w:pPr>
              <w:pStyle w:val="ListParagraph"/>
              <w:numPr>
                <w:ilvl w:val="0"/>
                <w:numId w:val="46"/>
              </w:numPr>
              <w:spacing w:after="0" w:line="240" w:lineRule="auto"/>
              <w:jc w:val="left"/>
              <w:rPr>
                <w:bCs/>
                <w:sz w:val="20"/>
              </w:rPr>
            </w:pPr>
            <w:r w:rsidRPr="00EC35F4">
              <w:rPr>
                <w:bCs/>
                <w:sz w:val="20"/>
              </w:rPr>
              <w:t>Cost overruns and delays of NPP construction</w:t>
            </w:r>
          </w:p>
        </w:tc>
      </w:tr>
    </w:tbl>
    <w:p w14:paraId="3ACE37DD" w14:textId="77777777" w:rsidR="00CE634C" w:rsidRPr="005131AE" w:rsidRDefault="00CE634C" w:rsidP="005131AE"/>
    <w:p w14:paraId="12A2F24A" w14:textId="08EDA89F" w:rsidR="001C49CB" w:rsidRPr="00820BA5" w:rsidRDefault="551A77D0" w:rsidP="00820BA5">
      <w:pPr>
        <w:pStyle w:val="Heading2"/>
        <w:numPr>
          <w:ilvl w:val="1"/>
          <w:numId w:val="26"/>
        </w:numPr>
      </w:pPr>
      <w:bookmarkStart w:id="14" w:name="_Toc19323141"/>
      <w:r w:rsidRPr="00820BA5">
        <w:t>Advantages</w:t>
      </w:r>
      <w:r w:rsidRPr="004B7561">
        <w:t xml:space="preserve"> and </w:t>
      </w:r>
      <w:r w:rsidR="00F2636B" w:rsidRPr="004B7561">
        <w:t>D</w:t>
      </w:r>
      <w:r w:rsidRPr="004B7561">
        <w:t xml:space="preserve">isadvantages of </w:t>
      </w:r>
      <w:r w:rsidR="0052355A">
        <w:t>Nuclear Power</w:t>
      </w:r>
      <w:bookmarkEnd w:id="14"/>
    </w:p>
    <w:p w14:paraId="473285D3" w14:textId="44D8B551" w:rsidR="00202788" w:rsidRPr="00E069AC" w:rsidRDefault="551A77D0" w:rsidP="00820BA5">
      <w:pPr>
        <w:pStyle w:val="Heading3"/>
      </w:pPr>
      <w:bookmarkStart w:id="15" w:name="_Toc19323142"/>
      <w:r w:rsidRPr="00E069AC">
        <w:t>Similar Solutions</w:t>
      </w:r>
      <w:bookmarkEnd w:id="15"/>
    </w:p>
    <w:p w14:paraId="6D7463B7" w14:textId="2E200DDC" w:rsidR="00202788" w:rsidRPr="0084391C" w:rsidRDefault="0084391C" w:rsidP="00EB247F">
      <w:pPr>
        <w:rPr>
          <w:rFonts w:cs="Times New Roman"/>
        </w:rPr>
      </w:pPr>
      <w:r w:rsidRPr="0084391C">
        <w:rPr>
          <w:rFonts w:cs="Times New Roman"/>
        </w:rPr>
        <w:t>Due to the specific use of Uranium as input and the particularities of nuclear power, it is considered herein that there are no</w:t>
      </w:r>
      <w:r w:rsidR="00202788" w:rsidRPr="0084391C">
        <w:rPr>
          <w:rFonts w:cs="Times New Roman"/>
        </w:rPr>
        <w:t xml:space="preserve"> </w:t>
      </w:r>
      <w:r w:rsidRPr="0084391C">
        <w:rPr>
          <w:rFonts w:cs="Times New Roman"/>
        </w:rPr>
        <w:t xml:space="preserve">similar </w:t>
      </w:r>
      <w:r w:rsidR="00202788" w:rsidRPr="0084391C">
        <w:rPr>
          <w:rFonts w:cs="Times New Roman"/>
        </w:rPr>
        <w:t>solutions in the electricity generation sector</w:t>
      </w:r>
      <w:r w:rsidRPr="0084391C">
        <w:rPr>
          <w:rFonts w:cs="Times New Roman"/>
        </w:rPr>
        <w:t>.</w:t>
      </w:r>
    </w:p>
    <w:p w14:paraId="66FEF337" w14:textId="7E1039B7" w:rsidR="000330C6" w:rsidRDefault="551A77D0" w:rsidP="00820BA5">
      <w:pPr>
        <w:pStyle w:val="Heading3"/>
        <w:numPr>
          <w:ilvl w:val="2"/>
          <w:numId w:val="42"/>
        </w:numPr>
      </w:pPr>
      <w:bookmarkStart w:id="16" w:name="_Toc19323143"/>
      <w:r w:rsidRPr="00E069AC">
        <w:t>Arguments for Adoption</w:t>
      </w:r>
      <w:bookmarkEnd w:id="16"/>
    </w:p>
    <w:p w14:paraId="45D98081" w14:textId="18044725" w:rsidR="00060E34" w:rsidRDefault="00060E34" w:rsidP="00060E34">
      <w:pPr>
        <w:spacing w:after="0"/>
        <w:rPr>
          <w:bCs/>
        </w:rPr>
      </w:pPr>
      <w:r>
        <w:rPr>
          <w:bCs/>
        </w:rPr>
        <w:t>The main advantages of nuclear energy are two-fold: (1) there are no greenhouse gas emissions while operating and (2) nuclear power plants are non-intermittent zero-emission sources of baseload power.  In a greenhouse gas constrained world, it is critical to produce electricity and heat without emitting additional greenhouse gases. Nuclear reactors do not produce carbon dioxide or other air pollutants during operation, making nuclear reactors an attractive option from a climate change perspective. In addition, nuclear reactors provide this zero-carbon energy continuously—without dependence on the unpredictability of the wind or the time-limited nature of the sun. As intermittent sources are connected to grids without adequate storage capacity, it is critical to have a base load energy source that can compensate. Most base load energy options, however, are carbon-emitting fossil fuels such as coal and gas. Renewable energy base load options, namely hydropower, biomass and geothermal energy, are mostly restricted to certain geographic locations to make them economically viable.</w:t>
      </w:r>
    </w:p>
    <w:p w14:paraId="5E5033A1" w14:textId="1EC07DCD" w:rsidR="00060E34" w:rsidRPr="0084391C" w:rsidRDefault="00060E34" w:rsidP="0084391C">
      <w:pPr>
        <w:spacing w:after="0"/>
        <w:rPr>
          <w:bCs/>
        </w:rPr>
      </w:pPr>
      <w:r>
        <w:rPr>
          <w:bCs/>
        </w:rPr>
        <w:t>An additional advantage of nuclear power plants is that they produce both waste heat and steam. This waste heat can be, and for some reactors is, used for district heating and to power other industrial operations (such as desalination plants). Nuclear reactors are very reliable and provide baseload power over 90% of the time. This high capacity factor is one of the primary efficiency benefits to nuclear energy over other base load sources.</w:t>
      </w:r>
    </w:p>
    <w:p w14:paraId="631C1215" w14:textId="77777777" w:rsidR="006D6012" w:rsidRPr="00E069AC" w:rsidRDefault="551A77D0" w:rsidP="005D49A8">
      <w:pPr>
        <w:pStyle w:val="Heading3"/>
      </w:pPr>
      <w:bookmarkStart w:id="17" w:name="_Toc19323144"/>
      <w:r w:rsidRPr="00E069AC">
        <w:t>Additional Benefits and Burdens</w:t>
      </w:r>
      <w:bookmarkEnd w:id="17"/>
    </w:p>
    <w:p w14:paraId="32670BF2" w14:textId="3B72A94F" w:rsidR="00060E34" w:rsidRPr="009B0677" w:rsidRDefault="00060E34" w:rsidP="00060E34">
      <w:pPr>
        <w:autoSpaceDE w:val="0"/>
        <w:rPr>
          <w:rFonts w:eastAsia="Times New Roman"/>
          <w:bCs/>
        </w:rPr>
      </w:pPr>
      <w:r w:rsidRPr="009B0677">
        <w:rPr>
          <w:rFonts w:eastAsia="Times New Roman"/>
          <w:bCs/>
        </w:rPr>
        <w:t>The primary disadvantages of nuclear power are two-fold: (1)</w:t>
      </w:r>
      <w:r>
        <w:rPr>
          <w:rFonts w:eastAsia="Times New Roman"/>
          <w:bCs/>
        </w:rPr>
        <w:t xml:space="preserve"> the currently commercialized technology of nuclear power plants creates legacy waste and (2) perceptions of nuclear risk and safety make the cost of capital for the construction of new power plants burdensomely high.</w:t>
      </w:r>
    </w:p>
    <w:p w14:paraId="1CC9BE2A" w14:textId="206A93CF" w:rsidR="00060E34" w:rsidRPr="00C05ADE" w:rsidRDefault="00060E34" w:rsidP="00060E34">
      <w:pPr>
        <w:autoSpaceDE w:val="0"/>
        <w:rPr>
          <w:rFonts w:eastAsia="Times New Roman"/>
          <w:bCs/>
        </w:rPr>
      </w:pPr>
      <w:r w:rsidRPr="00C05ADE">
        <w:rPr>
          <w:rFonts w:eastAsia="Times New Roman"/>
          <w:bCs/>
        </w:rPr>
        <w:t xml:space="preserve">One of the main critiques of nuclear power is that in its current form, radioactive waste such as uranium mill tailings and spent (or used) reactor fuel is created. </w:t>
      </w:r>
      <w:r>
        <w:rPr>
          <w:rFonts w:eastAsia="Times New Roman"/>
          <w:bCs/>
        </w:rPr>
        <w:t>The spent fuel</w:t>
      </w:r>
      <w:r w:rsidRPr="00C05ADE">
        <w:rPr>
          <w:rFonts w:eastAsia="Times New Roman"/>
          <w:bCs/>
        </w:rPr>
        <w:t xml:space="preserve"> waste can be toxic and hazardous, and </w:t>
      </w:r>
      <w:r w:rsidRPr="003857B5">
        <w:rPr>
          <w:rFonts w:eastAsia="Times New Roman"/>
          <w:bCs/>
        </w:rPr>
        <w:t>remain so during their radioactive lifetime that can last thousands of years. Some solutions exist to reduce the amount of waste and create a closed loop cycle where nuclear fuel is recycled. In France, for example, spent fuel is reprocessed so that it can be reused and remade into fuel, rods, and assemblies. This recycled fuel is called MOX—</w:t>
      </w:r>
      <w:r w:rsidRPr="003857B5">
        <w:rPr>
          <w:rFonts w:cs="Arial"/>
          <w:color w:val="14181A"/>
        </w:rPr>
        <w:t xml:space="preserve">for </w:t>
      </w:r>
      <w:r w:rsidRPr="003857B5">
        <w:rPr>
          <w:rFonts w:eastAsia="Times New Roman"/>
          <w:bCs/>
        </w:rPr>
        <w:t>mixed oxides</w:t>
      </w:r>
      <w:r>
        <w:rPr>
          <w:rFonts w:eastAsia="Times New Roman"/>
          <w:bCs/>
        </w:rPr>
        <w:t xml:space="preserve">. Since the 1970s, </w:t>
      </w:r>
      <w:r w:rsidRPr="00E02EFD">
        <w:rPr>
          <w:rFonts w:eastAsia="Times New Roman"/>
          <w:bCs/>
        </w:rPr>
        <w:t>41 reactors have been loaded with MOX fuel assemblies</w:t>
      </w:r>
      <w:r>
        <w:rPr>
          <w:rFonts w:eastAsia="Times New Roman"/>
          <w:bCs/>
        </w:rPr>
        <w:t>, representing about 10% of the world’s LWRs</w:t>
      </w:r>
      <w:r w:rsidRPr="00E02EFD">
        <w:rPr>
          <w:rFonts w:eastAsia="Times New Roman"/>
          <w:bCs/>
        </w:rPr>
        <w:t>: 36 in Europe (21 in France, 10 in Germany, 3 in Switzerland and 2 in Belgium), 1 is in the United States and 4 are in Japan</w:t>
      </w:r>
      <w:r>
        <w:rPr>
          <w:rFonts w:eastAsia="Times New Roman"/>
          <w:bCs/>
        </w:rPr>
        <w:t xml:space="preserve"> (AREVA, 2016)</w:t>
      </w:r>
      <w:r w:rsidRPr="00E02EFD">
        <w:rPr>
          <w:rFonts w:eastAsia="Times New Roman"/>
          <w:bCs/>
        </w:rPr>
        <w:t>.</w:t>
      </w:r>
      <w:r>
        <w:rPr>
          <w:rFonts w:eastAsia="Times New Roman"/>
          <w:bCs/>
        </w:rPr>
        <w:t xml:space="preserve"> Other forms of nuclear power in the research and development (R&amp;D) phase, including fusion, would significantly reduce the need for waste disposal sites if these new forms were commercially deployed. </w:t>
      </w:r>
    </w:p>
    <w:p w14:paraId="1346B141" w14:textId="3802CC4F" w:rsidR="00060E34" w:rsidRPr="00DC0E0A" w:rsidRDefault="00EB20CE" w:rsidP="00060E34">
      <w:pPr>
        <w:autoSpaceDE w:val="0"/>
        <w:rPr>
          <w:rFonts w:eastAsia="Times New Roman"/>
          <w:bCs/>
        </w:rPr>
      </w:pPr>
      <w:r>
        <w:rPr>
          <w:rFonts w:eastAsia="Times New Roman"/>
          <w:bCs/>
        </w:rPr>
        <w:t>There were no d</w:t>
      </w:r>
      <w:r w:rsidRPr="00C05ADE">
        <w:rPr>
          <w:rFonts w:eastAsia="Times New Roman"/>
          <w:bCs/>
        </w:rPr>
        <w:t>irect radiation-induced casualties</w:t>
      </w:r>
      <w:r>
        <w:rPr>
          <w:rFonts w:eastAsia="Times New Roman"/>
          <w:bCs/>
        </w:rPr>
        <w:t xml:space="preserve"> caused</w:t>
      </w:r>
      <w:r w:rsidRPr="00C05ADE">
        <w:rPr>
          <w:rFonts w:eastAsia="Times New Roman"/>
          <w:bCs/>
        </w:rPr>
        <w:t xml:space="preserve"> </w:t>
      </w:r>
      <w:r>
        <w:rPr>
          <w:rFonts w:eastAsia="Times New Roman"/>
          <w:bCs/>
        </w:rPr>
        <w:t>from the</w:t>
      </w:r>
      <w:r w:rsidR="00060E34" w:rsidRPr="00C05ADE">
        <w:rPr>
          <w:rFonts w:eastAsia="Times New Roman"/>
          <w:bCs/>
        </w:rPr>
        <w:t xml:space="preserve"> Fukushima Daiichi nuclear power plant (NPP) accident, </w:t>
      </w:r>
      <w:r>
        <w:rPr>
          <w:rFonts w:eastAsia="Times New Roman"/>
          <w:bCs/>
        </w:rPr>
        <w:t xml:space="preserve">though </w:t>
      </w:r>
      <w:r w:rsidR="00060E34" w:rsidRPr="00C05ADE">
        <w:rPr>
          <w:rFonts w:eastAsia="Times New Roman"/>
          <w:bCs/>
        </w:rPr>
        <w:t>it raised concerns over the safety of NPPs and provoked a decrease in confidence by the public, changing energy policies in some countries such as Germany</w:t>
      </w:r>
      <w:sdt>
        <w:sdtPr>
          <w:rPr>
            <w:rFonts w:eastAsia="Times New Roman"/>
            <w:bCs/>
          </w:rPr>
          <w:id w:val="215016226"/>
          <w:citation/>
        </w:sdtPr>
        <w:sdtEndPr/>
        <w:sdtContent>
          <w:r w:rsidR="00060E34" w:rsidRPr="00C05ADE">
            <w:rPr>
              <w:rFonts w:eastAsia="Times New Roman"/>
              <w:bCs/>
            </w:rPr>
            <w:fldChar w:fldCharType="begin"/>
          </w:r>
          <w:r w:rsidR="00060E34" w:rsidRPr="00C05ADE">
            <w:rPr>
              <w:rFonts w:eastAsia="Times New Roman"/>
              <w:bCs/>
            </w:rPr>
            <w:instrText xml:space="preserve"> CITATION OEC15 \l 1033 </w:instrText>
          </w:r>
          <w:r w:rsidR="00060E34" w:rsidRPr="00C05ADE">
            <w:rPr>
              <w:rFonts w:eastAsia="Times New Roman"/>
              <w:bCs/>
            </w:rPr>
            <w:fldChar w:fldCharType="separate"/>
          </w:r>
          <w:r w:rsidR="00060E34" w:rsidRPr="00C05ADE">
            <w:rPr>
              <w:rFonts w:eastAsia="Times New Roman"/>
              <w:bCs/>
              <w:noProof/>
            </w:rPr>
            <w:t xml:space="preserve"> </w:t>
          </w:r>
          <w:r w:rsidR="00060E34" w:rsidRPr="00C05ADE">
            <w:rPr>
              <w:rFonts w:eastAsia="Times New Roman"/>
              <w:noProof/>
            </w:rPr>
            <w:t>(OECD/IEA/Nuclear Energy Agency, 2015)</w:t>
          </w:r>
          <w:r w:rsidR="00060E34" w:rsidRPr="00C05ADE">
            <w:rPr>
              <w:rFonts w:eastAsia="Times New Roman"/>
              <w:bCs/>
            </w:rPr>
            <w:fldChar w:fldCharType="end"/>
          </w:r>
        </w:sdtContent>
      </w:sdt>
      <w:r w:rsidR="00060E34" w:rsidRPr="00C05ADE">
        <w:rPr>
          <w:rFonts w:eastAsia="Times New Roman"/>
          <w:bCs/>
        </w:rPr>
        <w:t>.</w:t>
      </w:r>
    </w:p>
    <w:p w14:paraId="106C078F" w14:textId="1B6AA4A3" w:rsidR="0084391C" w:rsidRPr="0084391C" w:rsidRDefault="00060E34" w:rsidP="0084391C">
      <w:pPr>
        <w:autoSpaceDE w:val="0"/>
        <w:rPr>
          <w:rFonts w:eastAsia="Times New Roman"/>
          <w:bCs/>
        </w:rPr>
      </w:pPr>
      <w:r w:rsidRPr="00DC0E0A">
        <w:rPr>
          <w:rFonts w:eastAsia="Times New Roman"/>
          <w:bCs/>
        </w:rPr>
        <w:t>Other points of contention concerning nuclear power are the abundance of uranium and life cycle emissions. There is some debate as to how long uranium can be found, with some sources pointing to 200 years while others claim that it is indefinite as we learn to extract uranium from seawater. The OECD NEA has estimated the uranium resources by known conventional resources, undiscovered conventional resources, secondary sources, and unconventional resources.</w:t>
      </w:r>
      <w:bookmarkStart w:id="18" w:name="_Toc341364711"/>
    </w:p>
    <w:p w14:paraId="378820D6" w14:textId="31366FCE" w:rsidR="00060E34" w:rsidRPr="0084391C" w:rsidRDefault="00060E34" w:rsidP="0084391C">
      <w:pPr>
        <w:pStyle w:val="Caption"/>
        <w:jc w:val="center"/>
      </w:pPr>
      <w:bookmarkStart w:id="19" w:name="_Toc19323117"/>
      <w:r>
        <w:t>Table 1.</w:t>
      </w:r>
      <w:r w:rsidR="0060195D">
        <w:fldChar w:fldCharType="begin"/>
      </w:r>
      <w:r w:rsidR="0060195D">
        <w:instrText xml:space="preserve"> SEQ Table \* ARABIC </w:instrText>
      </w:r>
      <w:r w:rsidR="0060195D">
        <w:fldChar w:fldCharType="separate"/>
      </w:r>
      <w:r>
        <w:rPr>
          <w:noProof/>
        </w:rPr>
        <w:t>3</w:t>
      </w:r>
      <w:r w:rsidR="0060195D">
        <w:rPr>
          <w:noProof/>
        </w:rPr>
        <w:fldChar w:fldCharType="end"/>
      </w:r>
      <w:r>
        <w:t xml:space="preserve"> Estimated Uranium Resources (Price and Blaise, 2002</w:t>
      </w:r>
      <w:bookmarkEnd w:id="18"/>
      <w:r w:rsidR="00061361">
        <w:t>)</w:t>
      </w:r>
      <w:bookmarkEnd w:id="19"/>
    </w:p>
    <w:tbl>
      <w:tblPr>
        <w:tblStyle w:val="GridTable1Light-Accent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8"/>
        <w:gridCol w:w="1980"/>
      </w:tblGrid>
      <w:tr w:rsidR="00060E34" w:rsidRPr="00060E34" w14:paraId="6BABC0BA" w14:textId="77777777" w:rsidTr="0084391C">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4968" w:type="dxa"/>
            <w:tcBorders>
              <w:bottom w:val="none" w:sz="0" w:space="0" w:color="auto"/>
            </w:tcBorders>
            <w:shd w:val="clear" w:color="auto" w:fill="4F81BD" w:themeFill="accent1"/>
          </w:tcPr>
          <w:p w14:paraId="7C6082D0" w14:textId="77777777" w:rsidR="00060E34" w:rsidRPr="00060E34" w:rsidRDefault="00060E34" w:rsidP="00FE2E76">
            <w:pPr>
              <w:autoSpaceDE w:val="0"/>
              <w:rPr>
                <w:rFonts w:eastAsia="Times New Roman"/>
                <w:bCs w:val="0"/>
                <w:color w:val="FFFFFF" w:themeColor="background1"/>
                <w:sz w:val="20"/>
              </w:rPr>
            </w:pPr>
            <w:r w:rsidRPr="00060E34">
              <w:rPr>
                <w:rFonts w:eastAsia="Times New Roman"/>
                <w:bCs w:val="0"/>
                <w:color w:val="FFFFFF" w:themeColor="background1"/>
                <w:sz w:val="20"/>
              </w:rPr>
              <w:t>Resource type</w:t>
            </w:r>
          </w:p>
        </w:tc>
        <w:tc>
          <w:tcPr>
            <w:tcW w:w="1980" w:type="dxa"/>
            <w:tcBorders>
              <w:bottom w:val="none" w:sz="0" w:space="0" w:color="auto"/>
            </w:tcBorders>
            <w:shd w:val="clear" w:color="auto" w:fill="4F81BD" w:themeFill="accent1"/>
          </w:tcPr>
          <w:p w14:paraId="1D8753EF" w14:textId="6CC4D200" w:rsidR="00060E34" w:rsidRPr="00060E34" w:rsidRDefault="00060E34" w:rsidP="00FE2E76">
            <w:pPr>
              <w:autoSpaceDE w:val="0"/>
              <w:cnfStyle w:val="100000000000" w:firstRow="1" w:lastRow="0" w:firstColumn="0" w:lastColumn="0" w:oddVBand="0" w:evenVBand="0" w:oddHBand="0" w:evenHBand="0" w:firstRowFirstColumn="0" w:firstRowLastColumn="0" w:lastRowFirstColumn="0" w:lastRowLastColumn="0"/>
              <w:rPr>
                <w:rFonts w:eastAsia="Times New Roman"/>
                <w:bCs w:val="0"/>
                <w:color w:val="FFFFFF" w:themeColor="background1"/>
                <w:sz w:val="20"/>
              </w:rPr>
            </w:pPr>
            <w:r w:rsidRPr="00060E34">
              <w:rPr>
                <w:rFonts w:eastAsia="Times New Roman"/>
                <w:bCs w:val="0"/>
                <w:color w:val="FFFFFF" w:themeColor="background1"/>
                <w:sz w:val="20"/>
              </w:rPr>
              <w:t>Estimate (1</w:t>
            </w:r>
            <w:r w:rsidR="0084391C">
              <w:rPr>
                <w:rFonts w:eastAsia="Times New Roman"/>
                <w:bCs w:val="0"/>
                <w:color w:val="FFFFFF" w:themeColor="background1"/>
                <w:sz w:val="20"/>
              </w:rPr>
              <w:t>,</w:t>
            </w:r>
            <w:r w:rsidRPr="00060E34">
              <w:rPr>
                <w:rFonts w:eastAsia="Times New Roman"/>
                <w:bCs w:val="0"/>
                <w:color w:val="FFFFFF" w:themeColor="background1"/>
                <w:sz w:val="20"/>
              </w:rPr>
              <w:t>000 t)</w:t>
            </w:r>
          </w:p>
        </w:tc>
      </w:tr>
      <w:tr w:rsidR="00060E34" w:rsidRPr="00060E34" w14:paraId="1F333210" w14:textId="77777777" w:rsidTr="0084391C">
        <w:trPr>
          <w:trHeight w:val="127"/>
          <w:jc w:val="center"/>
        </w:trPr>
        <w:tc>
          <w:tcPr>
            <w:cnfStyle w:val="001000000000" w:firstRow="0" w:lastRow="0" w:firstColumn="1" w:lastColumn="0" w:oddVBand="0" w:evenVBand="0" w:oddHBand="0" w:evenHBand="0" w:firstRowFirstColumn="0" w:firstRowLastColumn="0" w:lastRowFirstColumn="0" w:lastRowLastColumn="0"/>
            <w:tcW w:w="6948" w:type="dxa"/>
            <w:gridSpan w:val="2"/>
          </w:tcPr>
          <w:p w14:paraId="370D95A8" w14:textId="77777777" w:rsidR="00060E34" w:rsidRPr="00060E34" w:rsidRDefault="00060E34" w:rsidP="00FE2E76">
            <w:pPr>
              <w:autoSpaceDE w:val="0"/>
              <w:rPr>
                <w:rFonts w:eastAsia="Times New Roman"/>
                <w:bCs w:val="0"/>
                <w:i/>
                <w:sz w:val="20"/>
              </w:rPr>
            </w:pPr>
            <w:r w:rsidRPr="00060E34">
              <w:rPr>
                <w:rFonts w:eastAsia="Times New Roman"/>
                <w:bCs w:val="0"/>
                <w:i/>
                <w:sz w:val="20"/>
              </w:rPr>
              <w:t>Known conventional resources:</w:t>
            </w:r>
          </w:p>
        </w:tc>
      </w:tr>
      <w:tr w:rsidR="00060E34" w:rsidRPr="00060E34" w14:paraId="7AAAD687" w14:textId="77777777" w:rsidTr="00060E34">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0A145619" w14:textId="77777777" w:rsidR="00060E34" w:rsidRPr="00060E34" w:rsidRDefault="00060E34" w:rsidP="00FE2E76">
            <w:pPr>
              <w:autoSpaceDE w:val="0"/>
              <w:ind w:left="708"/>
              <w:rPr>
                <w:rFonts w:eastAsia="Times New Roman"/>
                <w:b w:val="0"/>
                <w:bCs w:val="0"/>
                <w:sz w:val="20"/>
              </w:rPr>
            </w:pPr>
            <w:r w:rsidRPr="00060E34">
              <w:rPr>
                <w:rFonts w:eastAsia="Times New Roman"/>
                <w:b w:val="0"/>
                <w:bCs w:val="0"/>
                <w:sz w:val="20"/>
              </w:rPr>
              <w:t>Reasonable assured resources (RAR)</w:t>
            </w:r>
          </w:p>
        </w:tc>
        <w:tc>
          <w:tcPr>
            <w:tcW w:w="1980" w:type="dxa"/>
          </w:tcPr>
          <w:p w14:paraId="4937BF18" w14:textId="75895ED3" w:rsidR="00060E34" w:rsidRPr="00060E34" w:rsidRDefault="00060E34" w:rsidP="00FE2E76">
            <w:pPr>
              <w:autoSpaceDE w:val="0"/>
              <w:cnfStyle w:val="000000000000" w:firstRow="0" w:lastRow="0" w:firstColumn="0" w:lastColumn="0" w:oddVBand="0" w:evenVBand="0" w:oddHBand="0" w:evenHBand="0" w:firstRowFirstColumn="0" w:firstRowLastColumn="0" w:lastRowFirstColumn="0" w:lastRowLastColumn="0"/>
              <w:rPr>
                <w:rFonts w:eastAsia="Times New Roman"/>
                <w:bCs/>
                <w:sz w:val="20"/>
              </w:rPr>
            </w:pPr>
            <w:r w:rsidRPr="00060E34">
              <w:rPr>
                <w:rFonts w:eastAsia="Times New Roman"/>
                <w:bCs/>
                <w:sz w:val="20"/>
              </w:rPr>
              <w:t>2</w:t>
            </w:r>
            <w:r w:rsidR="0084391C">
              <w:rPr>
                <w:rFonts w:eastAsia="Times New Roman"/>
                <w:bCs/>
                <w:sz w:val="20"/>
              </w:rPr>
              <w:t>,</w:t>
            </w:r>
            <w:r w:rsidRPr="00060E34">
              <w:rPr>
                <w:rFonts w:eastAsia="Times New Roman"/>
                <w:bCs/>
                <w:sz w:val="20"/>
              </w:rPr>
              <w:t>850</w:t>
            </w:r>
          </w:p>
        </w:tc>
      </w:tr>
      <w:tr w:rsidR="00060E34" w:rsidRPr="00060E34" w14:paraId="161B11E7" w14:textId="77777777" w:rsidTr="00060E34">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06F4FEF2" w14:textId="77777777" w:rsidR="00060E34" w:rsidRPr="00060E34" w:rsidRDefault="00060E34" w:rsidP="00FE2E76">
            <w:pPr>
              <w:autoSpaceDE w:val="0"/>
              <w:ind w:left="708"/>
              <w:rPr>
                <w:rFonts w:eastAsia="Times New Roman"/>
                <w:b w:val="0"/>
                <w:bCs w:val="0"/>
                <w:sz w:val="20"/>
              </w:rPr>
            </w:pPr>
            <w:r w:rsidRPr="00060E34">
              <w:rPr>
                <w:rFonts w:eastAsia="Times New Roman"/>
                <w:b w:val="0"/>
                <w:bCs w:val="0"/>
                <w:sz w:val="20"/>
              </w:rPr>
              <w:t>Estimated additional resources cat. I (EAR-I)</w:t>
            </w:r>
          </w:p>
        </w:tc>
        <w:tc>
          <w:tcPr>
            <w:tcW w:w="1980" w:type="dxa"/>
          </w:tcPr>
          <w:p w14:paraId="7FE52DCD" w14:textId="38937050" w:rsidR="00060E34" w:rsidRPr="00060E34" w:rsidRDefault="00060E34" w:rsidP="00FE2E76">
            <w:pPr>
              <w:autoSpaceDE w:val="0"/>
              <w:cnfStyle w:val="000000000000" w:firstRow="0" w:lastRow="0" w:firstColumn="0" w:lastColumn="0" w:oddVBand="0" w:evenVBand="0" w:oddHBand="0" w:evenHBand="0" w:firstRowFirstColumn="0" w:firstRowLastColumn="0" w:lastRowFirstColumn="0" w:lastRowLastColumn="0"/>
              <w:rPr>
                <w:rFonts w:eastAsia="Times New Roman"/>
                <w:bCs/>
                <w:sz w:val="20"/>
              </w:rPr>
            </w:pPr>
            <w:r w:rsidRPr="00060E34">
              <w:rPr>
                <w:rFonts w:eastAsia="Times New Roman"/>
                <w:bCs/>
                <w:sz w:val="20"/>
              </w:rPr>
              <w:t>1</w:t>
            </w:r>
            <w:r w:rsidR="0084391C">
              <w:rPr>
                <w:rFonts w:eastAsia="Times New Roman"/>
                <w:bCs/>
                <w:sz w:val="20"/>
              </w:rPr>
              <w:t>,</w:t>
            </w:r>
            <w:r w:rsidRPr="00060E34">
              <w:rPr>
                <w:rFonts w:eastAsia="Times New Roman"/>
                <w:bCs/>
                <w:sz w:val="20"/>
              </w:rPr>
              <w:t>080</w:t>
            </w:r>
          </w:p>
        </w:tc>
      </w:tr>
      <w:tr w:rsidR="00060E34" w:rsidRPr="00060E34" w14:paraId="090E241F" w14:textId="77777777" w:rsidTr="00060E34">
        <w:trPr>
          <w:jc w:val="center"/>
        </w:trPr>
        <w:tc>
          <w:tcPr>
            <w:cnfStyle w:val="001000000000" w:firstRow="0" w:lastRow="0" w:firstColumn="1" w:lastColumn="0" w:oddVBand="0" w:evenVBand="0" w:oddHBand="0" w:evenHBand="0" w:firstRowFirstColumn="0" w:firstRowLastColumn="0" w:lastRowFirstColumn="0" w:lastRowLastColumn="0"/>
            <w:tcW w:w="6948" w:type="dxa"/>
            <w:gridSpan w:val="2"/>
          </w:tcPr>
          <w:p w14:paraId="278A8B48" w14:textId="77777777" w:rsidR="00060E34" w:rsidRPr="00060E34" w:rsidRDefault="00060E34" w:rsidP="00FE2E76">
            <w:pPr>
              <w:autoSpaceDE w:val="0"/>
              <w:rPr>
                <w:rFonts w:eastAsia="Times New Roman"/>
                <w:bCs w:val="0"/>
                <w:i/>
                <w:sz w:val="20"/>
              </w:rPr>
            </w:pPr>
            <w:r w:rsidRPr="00060E34">
              <w:rPr>
                <w:rFonts w:eastAsia="Times New Roman"/>
                <w:bCs w:val="0"/>
                <w:i/>
                <w:sz w:val="20"/>
              </w:rPr>
              <w:t>Undiscovered conventional resources:</w:t>
            </w:r>
          </w:p>
        </w:tc>
      </w:tr>
      <w:tr w:rsidR="00060E34" w:rsidRPr="00060E34" w14:paraId="0C70D5A0" w14:textId="77777777" w:rsidTr="00060E34">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7E8C805D" w14:textId="77777777" w:rsidR="00060E34" w:rsidRPr="00060E34" w:rsidRDefault="00060E34" w:rsidP="00FE2E76">
            <w:pPr>
              <w:autoSpaceDE w:val="0"/>
              <w:ind w:left="708"/>
              <w:rPr>
                <w:rFonts w:eastAsia="Times New Roman"/>
                <w:b w:val="0"/>
                <w:bCs w:val="0"/>
                <w:sz w:val="20"/>
              </w:rPr>
            </w:pPr>
            <w:r w:rsidRPr="00060E34">
              <w:rPr>
                <w:rFonts w:eastAsia="Times New Roman"/>
                <w:b w:val="0"/>
                <w:bCs w:val="0"/>
                <w:sz w:val="20"/>
              </w:rPr>
              <w:t>Estimated additional resources cat. II (EAR-II)</w:t>
            </w:r>
          </w:p>
        </w:tc>
        <w:tc>
          <w:tcPr>
            <w:tcW w:w="1980" w:type="dxa"/>
          </w:tcPr>
          <w:p w14:paraId="6F257E72" w14:textId="179A62D4" w:rsidR="00060E34" w:rsidRPr="00060E34" w:rsidRDefault="00060E34" w:rsidP="00FE2E76">
            <w:pPr>
              <w:autoSpaceDE w:val="0"/>
              <w:cnfStyle w:val="000000000000" w:firstRow="0" w:lastRow="0" w:firstColumn="0" w:lastColumn="0" w:oddVBand="0" w:evenVBand="0" w:oddHBand="0" w:evenHBand="0" w:firstRowFirstColumn="0" w:firstRowLastColumn="0" w:lastRowFirstColumn="0" w:lastRowLastColumn="0"/>
              <w:rPr>
                <w:rFonts w:eastAsia="Times New Roman"/>
                <w:bCs/>
                <w:sz w:val="20"/>
              </w:rPr>
            </w:pPr>
            <w:r w:rsidRPr="00060E34">
              <w:rPr>
                <w:rFonts w:eastAsia="Times New Roman"/>
                <w:bCs/>
                <w:sz w:val="20"/>
              </w:rPr>
              <w:t>2</w:t>
            </w:r>
            <w:r w:rsidR="0084391C">
              <w:rPr>
                <w:rFonts w:eastAsia="Times New Roman"/>
                <w:bCs/>
                <w:sz w:val="20"/>
              </w:rPr>
              <w:t>,</w:t>
            </w:r>
            <w:r w:rsidRPr="00060E34">
              <w:rPr>
                <w:rFonts w:eastAsia="Times New Roman"/>
                <w:bCs/>
                <w:sz w:val="20"/>
              </w:rPr>
              <w:t>330</w:t>
            </w:r>
          </w:p>
        </w:tc>
      </w:tr>
      <w:tr w:rsidR="00060E34" w:rsidRPr="00060E34" w14:paraId="119C4F5C" w14:textId="77777777" w:rsidTr="00060E34">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5FC0187D" w14:textId="77777777" w:rsidR="00060E34" w:rsidRPr="00060E34" w:rsidRDefault="00060E34" w:rsidP="00FE2E76">
            <w:pPr>
              <w:autoSpaceDE w:val="0"/>
              <w:ind w:left="708"/>
              <w:rPr>
                <w:rFonts w:eastAsia="Times New Roman"/>
                <w:b w:val="0"/>
                <w:bCs w:val="0"/>
                <w:sz w:val="20"/>
              </w:rPr>
            </w:pPr>
            <w:r w:rsidRPr="00060E34">
              <w:rPr>
                <w:rFonts w:eastAsia="Times New Roman"/>
                <w:b w:val="0"/>
                <w:bCs w:val="0"/>
                <w:sz w:val="20"/>
              </w:rPr>
              <w:t>Speculative resources (SR)</w:t>
            </w:r>
          </w:p>
        </w:tc>
        <w:tc>
          <w:tcPr>
            <w:tcW w:w="1980" w:type="dxa"/>
          </w:tcPr>
          <w:p w14:paraId="67786A8B" w14:textId="3BEB520E" w:rsidR="00060E34" w:rsidRPr="00060E34" w:rsidRDefault="00060E34" w:rsidP="00FE2E76">
            <w:pPr>
              <w:autoSpaceDE w:val="0"/>
              <w:cnfStyle w:val="000000000000" w:firstRow="0" w:lastRow="0" w:firstColumn="0" w:lastColumn="0" w:oddVBand="0" w:evenVBand="0" w:oddHBand="0" w:evenHBand="0" w:firstRowFirstColumn="0" w:firstRowLastColumn="0" w:lastRowFirstColumn="0" w:lastRowLastColumn="0"/>
              <w:rPr>
                <w:rFonts w:eastAsia="Times New Roman"/>
                <w:bCs/>
                <w:sz w:val="20"/>
              </w:rPr>
            </w:pPr>
            <w:r w:rsidRPr="00060E34">
              <w:rPr>
                <w:rFonts w:eastAsia="Times New Roman"/>
                <w:bCs/>
                <w:sz w:val="20"/>
              </w:rPr>
              <w:t>9</w:t>
            </w:r>
            <w:r w:rsidR="0084391C">
              <w:rPr>
                <w:rFonts w:eastAsia="Times New Roman"/>
                <w:bCs/>
                <w:sz w:val="20"/>
              </w:rPr>
              <w:t>,</w:t>
            </w:r>
            <w:r w:rsidRPr="00060E34">
              <w:rPr>
                <w:rFonts w:eastAsia="Times New Roman"/>
                <w:bCs/>
                <w:sz w:val="20"/>
              </w:rPr>
              <w:t>940</w:t>
            </w:r>
          </w:p>
        </w:tc>
      </w:tr>
      <w:tr w:rsidR="00060E34" w:rsidRPr="00060E34" w14:paraId="0D2F3D23" w14:textId="77777777" w:rsidTr="00060E34">
        <w:trPr>
          <w:jc w:val="center"/>
        </w:trPr>
        <w:tc>
          <w:tcPr>
            <w:cnfStyle w:val="001000000000" w:firstRow="0" w:lastRow="0" w:firstColumn="1" w:lastColumn="0" w:oddVBand="0" w:evenVBand="0" w:oddHBand="0" w:evenHBand="0" w:firstRowFirstColumn="0" w:firstRowLastColumn="0" w:lastRowFirstColumn="0" w:lastRowLastColumn="0"/>
            <w:tcW w:w="6948" w:type="dxa"/>
            <w:gridSpan w:val="2"/>
          </w:tcPr>
          <w:p w14:paraId="349D2F60" w14:textId="77777777" w:rsidR="00060E34" w:rsidRPr="00060E34" w:rsidRDefault="00060E34" w:rsidP="00FE2E76">
            <w:pPr>
              <w:autoSpaceDE w:val="0"/>
              <w:rPr>
                <w:rFonts w:eastAsia="Times New Roman"/>
                <w:bCs w:val="0"/>
                <w:i/>
                <w:sz w:val="20"/>
              </w:rPr>
            </w:pPr>
            <w:r w:rsidRPr="00060E34">
              <w:rPr>
                <w:rFonts w:eastAsia="Times New Roman"/>
                <w:bCs w:val="0"/>
                <w:i/>
                <w:sz w:val="20"/>
              </w:rPr>
              <w:t>Secondary sources:</w:t>
            </w:r>
          </w:p>
        </w:tc>
      </w:tr>
      <w:tr w:rsidR="00060E34" w:rsidRPr="00060E34" w14:paraId="24480FE4" w14:textId="77777777" w:rsidTr="00060E34">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68491139" w14:textId="77777777" w:rsidR="00060E34" w:rsidRPr="00060E34" w:rsidRDefault="00060E34" w:rsidP="00FE2E76">
            <w:pPr>
              <w:autoSpaceDE w:val="0"/>
              <w:ind w:left="708"/>
              <w:rPr>
                <w:rFonts w:eastAsia="Times New Roman"/>
                <w:b w:val="0"/>
                <w:bCs w:val="0"/>
                <w:sz w:val="20"/>
              </w:rPr>
            </w:pPr>
            <w:r w:rsidRPr="00060E34">
              <w:rPr>
                <w:rFonts w:eastAsia="Times New Roman"/>
                <w:b w:val="0"/>
                <w:bCs w:val="0"/>
                <w:sz w:val="20"/>
              </w:rPr>
              <w:t>Commercial inventories</w:t>
            </w:r>
          </w:p>
        </w:tc>
        <w:tc>
          <w:tcPr>
            <w:tcW w:w="1980" w:type="dxa"/>
          </w:tcPr>
          <w:p w14:paraId="5626A9AC" w14:textId="77777777" w:rsidR="00060E34" w:rsidRPr="00060E34" w:rsidRDefault="00060E34" w:rsidP="00FE2E76">
            <w:pPr>
              <w:autoSpaceDE w:val="0"/>
              <w:cnfStyle w:val="000000000000" w:firstRow="0" w:lastRow="0" w:firstColumn="0" w:lastColumn="0" w:oddVBand="0" w:evenVBand="0" w:oddHBand="0" w:evenHBand="0" w:firstRowFirstColumn="0" w:firstRowLastColumn="0" w:lastRowFirstColumn="0" w:lastRowLastColumn="0"/>
              <w:rPr>
                <w:rFonts w:eastAsia="Times New Roman"/>
                <w:bCs/>
                <w:sz w:val="20"/>
              </w:rPr>
            </w:pPr>
            <w:r w:rsidRPr="00060E34">
              <w:rPr>
                <w:rFonts w:eastAsia="Times New Roman"/>
                <w:bCs/>
                <w:sz w:val="20"/>
              </w:rPr>
              <w:t>220</w:t>
            </w:r>
          </w:p>
        </w:tc>
      </w:tr>
      <w:tr w:rsidR="00060E34" w:rsidRPr="00060E34" w14:paraId="682F5AF6" w14:textId="77777777" w:rsidTr="00060E34">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7B966096" w14:textId="77777777" w:rsidR="00060E34" w:rsidRPr="00060E34" w:rsidRDefault="00060E34" w:rsidP="00FE2E76">
            <w:pPr>
              <w:autoSpaceDE w:val="0"/>
              <w:ind w:left="708"/>
              <w:rPr>
                <w:rFonts w:eastAsia="Times New Roman"/>
                <w:b w:val="0"/>
                <w:bCs w:val="0"/>
                <w:sz w:val="20"/>
              </w:rPr>
            </w:pPr>
            <w:r w:rsidRPr="00060E34">
              <w:rPr>
                <w:rFonts w:eastAsia="Times New Roman"/>
                <w:b w:val="0"/>
                <w:bCs w:val="0"/>
                <w:sz w:val="20"/>
              </w:rPr>
              <w:t>Surplus defense inventories</w:t>
            </w:r>
          </w:p>
        </w:tc>
        <w:tc>
          <w:tcPr>
            <w:tcW w:w="1980" w:type="dxa"/>
          </w:tcPr>
          <w:p w14:paraId="530454A0" w14:textId="77777777" w:rsidR="00060E34" w:rsidRPr="00060E34" w:rsidRDefault="00060E34" w:rsidP="00FE2E76">
            <w:pPr>
              <w:autoSpaceDE w:val="0"/>
              <w:cnfStyle w:val="000000000000" w:firstRow="0" w:lastRow="0" w:firstColumn="0" w:lastColumn="0" w:oddVBand="0" w:evenVBand="0" w:oddHBand="0" w:evenHBand="0" w:firstRowFirstColumn="0" w:firstRowLastColumn="0" w:lastRowFirstColumn="0" w:lastRowLastColumn="0"/>
              <w:rPr>
                <w:rFonts w:eastAsia="Times New Roman"/>
                <w:bCs/>
                <w:sz w:val="20"/>
              </w:rPr>
            </w:pPr>
            <w:r w:rsidRPr="00060E34">
              <w:rPr>
                <w:rFonts w:eastAsia="Times New Roman"/>
                <w:bCs/>
                <w:sz w:val="20"/>
              </w:rPr>
              <w:t>250</w:t>
            </w:r>
          </w:p>
        </w:tc>
      </w:tr>
      <w:tr w:rsidR="00060E34" w:rsidRPr="00060E34" w14:paraId="7454739B" w14:textId="77777777" w:rsidTr="00060E34">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7BC16B3A" w14:textId="77777777" w:rsidR="00060E34" w:rsidRPr="00060E34" w:rsidRDefault="00060E34" w:rsidP="00FE2E76">
            <w:pPr>
              <w:autoSpaceDE w:val="0"/>
              <w:ind w:left="708"/>
              <w:rPr>
                <w:rFonts w:eastAsia="Times New Roman"/>
                <w:b w:val="0"/>
                <w:bCs w:val="0"/>
                <w:sz w:val="20"/>
              </w:rPr>
            </w:pPr>
            <w:r w:rsidRPr="00060E34">
              <w:rPr>
                <w:rFonts w:eastAsia="Times New Roman"/>
                <w:b w:val="0"/>
                <w:bCs w:val="0"/>
                <w:sz w:val="20"/>
              </w:rPr>
              <w:t>Re-enrichment</w:t>
            </w:r>
          </w:p>
        </w:tc>
        <w:tc>
          <w:tcPr>
            <w:tcW w:w="1980" w:type="dxa"/>
          </w:tcPr>
          <w:p w14:paraId="463B846F" w14:textId="77777777" w:rsidR="00060E34" w:rsidRPr="00060E34" w:rsidRDefault="00060E34" w:rsidP="00FE2E76">
            <w:pPr>
              <w:autoSpaceDE w:val="0"/>
              <w:cnfStyle w:val="000000000000" w:firstRow="0" w:lastRow="0" w:firstColumn="0" w:lastColumn="0" w:oddVBand="0" w:evenVBand="0" w:oddHBand="0" w:evenHBand="0" w:firstRowFirstColumn="0" w:firstRowLastColumn="0" w:lastRowFirstColumn="0" w:lastRowLastColumn="0"/>
              <w:rPr>
                <w:rFonts w:eastAsia="Times New Roman"/>
                <w:bCs/>
                <w:sz w:val="20"/>
              </w:rPr>
            </w:pPr>
            <w:r w:rsidRPr="00060E34">
              <w:rPr>
                <w:rFonts w:eastAsia="Times New Roman"/>
                <w:bCs/>
                <w:sz w:val="20"/>
              </w:rPr>
              <w:t>440</w:t>
            </w:r>
          </w:p>
        </w:tc>
      </w:tr>
      <w:tr w:rsidR="00060E34" w:rsidRPr="00060E34" w14:paraId="54ECA6D2" w14:textId="77777777" w:rsidTr="00060E34">
        <w:trPr>
          <w:jc w:val="center"/>
        </w:trPr>
        <w:tc>
          <w:tcPr>
            <w:cnfStyle w:val="001000000000" w:firstRow="0" w:lastRow="0" w:firstColumn="1" w:lastColumn="0" w:oddVBand="0" w:evenVBand="0" w:oddHBand="0" w:evenHBand="0" w:firstRowFirstColumn="0" w:firstRowLastColumn="0" w:lastRowFirstColumn="0" w:lastRowLastColumn="0"/>
            <w:tcW w:w="6948" w:type="dxa"/>
            <w:gridSpan w:val="2"/>
          </w:tcPr>
          <w:p w14:paraId="66E406FB" w14:textId="77777777" w:rsidR="00060E34" w:rsidRPr="00060E34" w:rsidRDefault="00060E34" w:rsidP="00FE2E76">
            <w:pPr>
              <w:autoSpaceDE w:val="0"/>
              <w:rPr>
                <w:rFonts w:eastAsia="Times New Roman"/>
                <w:bCs w:val="0"/>
                <w:i/>
                <w:sz w:val="20"/>
              </w:rPr>
            </w:pPr>
            <w:r w:rsidRPr="00060E34">
              <w:rPr>
                <w:rFonts w:eastAsia="Times New Roman"/>
                <w:bCs w:val="0"/>
                <w:i/>
                <w:sz w:val="20"/>
              </w:rPr>
              <w:t>Unconventional resources:</w:t>
            </w:r>
          </w:p>
        </w:tc>
      </w:tr>
      <w:tr w:rsidR="00060E34" w:rsidRPr="00060E34" w14:paraId="7AD2A995" w14:textId="77777777" w:rsidTr="00060E34">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15C8A5C0" w14:textId="77777777" w:rsidR="00060E34" w:rsidRPr="00060E34" w:rsidRDefault="00060E34" w:rsidP="00FE2E76">
            <w:pPr>
              <w:autoSpaceDE w:val="0"/>
              <w:ind w:left="708"/>
              <w:rPr>
                <w:rFonts w:eastAsia="Times New Roman"/>
                <w:b w:val="0"/>
                <w:bCs w:val="0"/>
                <w:sz w:val="20"/>
              </w:rPr>
            </w:pPr>
            <w:r w:rsidRPr="00060E34">
              <w:rPr>
                <w:rFonts w:eastAsia="Times New Roman"/>
                <w:b w:val="0"/>
                <w:bCs w:val="0"/>
                <w:sz w:val="20"/>
              </w:rPr>
              <w:t>In phosphates</w:t>
            </w:r>
          </w:p>
        </w:tc>
        <w:tc>
          <w:tcPr>
            <w:tcW w:w="1980" w:type="dxa"/>
          </w:tcPr>
          <w:p w14:paraId="4D8B79F6" w14:textId="1CD4C1E7" w:rsidR="00060E34" w:rsidRPr="00060E34" w:rsidRDefault="00060E34" w:rsidP="00FE2E76">
            <w:pPr>
              <w:autoSpaceDE w:val="0"/>
              <w:cnfStyle w:val="000000000000" w:firstRow="0" w:lastRow="0" w:firstColumn="0" w:lastColumn="0" w:oddVBand="0" w:evenVBand="0" w:oddHBand="0" w:evenHBand="0" w:firstRowFirstColumn="0" w:firstRowLastColumn="0" w:lastRowFirstColumn="0" w:lastRowLastColumn="0"/>
              <w:rPr>
                <w:rFonts w:eastAsia="Times New Roman"/>
                <w:bCs/>
                <w:sz w:val="20"/>
              </w:rPr>
            </w:pPr>
            <w:r w:rsidRPr="00060E34">
              <w:rPr>
                <w:rFonts w:eastAsia="Times New Roman"/>
                <w:bCs/>
                <w:sz w:val="20"/>
              </w:rPr>
              <w:t>22</w:t>
            </w:r>
            <w:r w:rsidR="0084391C">
              <w:rPr>
                <w:rFonts w:eastAsia="Times New Roman"/>
                <w:bCs/>
                <w:sz w:val="20"/>
              </w:rPr>
              <w:t>,</w:t>
            </w:r>
            <w:r w:rsidRPr="00060E34">
              <w:rPr>
                <w:rFonts w:eastAsia="Times New Roman"/>
                <w:bCs/>
                <w:sz w:val="20"/>
              </w:rPr>
              <w:t>000</w:t>
            </w:r>
          </w:p>
        </w:tc>
      </w:tr>
      <w:tr w:rsidR="00060E34" w:rsidRPr="00060E34" w14:paraId="4B16E97C" w14:textId="77777777" w:rsidTr="00060E34">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7EC0A373" w14:textId="77777777" w:rsidR="00060E34" w:rsidRPr="00060E34" w:rsidRDefault="00060E34" w:rsidP="00FE2E76">
            <w:pPr>
              <w:autoSpaceDE w:val="0"/>
              <w:ind w:left="708"/>
              <w:rPr>
                <w:rFonts w:eastAsia="Times New Roman"/>
                <w:b w:val="0"/>
                <w:bCs w:val="0"/>
                <w:sz w:val="20"/>
              </w:rPr>
            </w:pPr>
            <w:r w:rsidRPr="00060E34">
              <w:rPr>
                <w:rFonts w:eastAsia="Times New Roman"/>
                <w:b w:val="0"/>
                <w:bCs w:val="0"/>
                <w:sz w:val="20"/>
              </w:rPr>
              <w:t>In seawater</w:t>
            </w:r>
          </w:p>
        </w:tc>
        <w:tc>
          <w:tcPr>
            <w:tcW w:w="1980" w:type="dxa"/>
          </w:tcPr>
          <w:p w14:paraId="3F4B6964" w14:textId="0CE3A583" w:rsidR="00060E34" w:rsidRPr="00060E34" w:rsidRDefault="00060E34" w:rsidP="00FE2E76">
            <w:pPr>
              <w:autoSpaceDE w:val="0"/>
              <w:cnfStyle w:val="000000000000" w:firstRow="0" w:lastRow="0" w:firstColumn="0" w:lastColumn="0" w:oddVBand="0" w:evenVBand="0" w:oddHBand="0" w:evenHBand="0" w:firstRowFirstColumn="0" w:firstRowLastColumn="0" w:lastRowFirstColumn="0" w:lastRowLastColumn="0"/>
              <w:rPr>
                <w:rFonts w:eastAsia="Times New Roman"/>
                <w:bCs/>
                <w:sz w:val="20"/>
              </w:rPr>
            </w:pPr>
            <w:r w:rsidRPr="00060E34">
              <w:rPr>
                <w:rFonts w:eastAsia="Times New Roman"/>
                <w:bCs/>
                <w:sz w:val="20"/>
              </w:rPr>
              <w:t>4</w:t>
            </w:r>
            <w:r w:rsidR="0084391C">
              <w:rPr>
                <w:rFonts w:eastAsia="Times New Roman"/>
                <w:bCs/>
                <w:sz w:val="20"/>
              </w:rPr>
              <w:t>,</w:t>
            </w:r>
            <w:r w:rsidRPr="00060E34">
              <w:rPr>
                <w:rFonts w:eastAsia="Times New Roman"/>
                <w:bCs/>
                <w:sz w:val="20"/>
              </w:rPr>
              <w:t>000</w:t>
            </w:r>
            <w:r w:rsidR="0084391C">
              <w:rPr>
                <w:rFonts w:eastAsia="Times New Roman"/>
                <w:bCs/>
                <w:sz w:val="20"/>
              </w:rPr>
              <w:t>,</w:t>
            </w:r>
            <w:r w:rsidRPr="00060E34">
              <w:rPr>
                <w:rFonts w:eastAsia="Times New Roman"/>
                <w:bCs/>
                <w:sz w:val="20"/>
              </w:rPr>
              <w:t xml:space="preserve">000 </w:t>
            </w:r>
          </w:p>
        </w:tc>
      </w:tr>
      <w:tr w:rsidR="00060E34" w:rsidRPr="00060E34" w14:paraId="3FF0CB96" w14:textId="77777777" w:rsidTr="00060E34">
        <w:trPr>
          <w:jc w:val="center"/>
        </w:trPr>
        <w:tc>
          <w:tcPr>
            <w:cnfStyle w:val="001000000000" w:firstRow="0" w:lastRow="0" w:firstColumn="1" w:lastColumn="0" w:oddVBand="0" w:evenVBand="0" w:oddHBand="0" w:evenHBand="0" w:firstRowFirstColumn="0" w:firstRowLastColumn="0" w:lastRowFirstColumn="0" w:lastRowLastColumn="0"/>
            <w:tcW w:w="4968" w:type="dxa"/>
          </w:tcPr>
          <w:p w14:paraId="490810D0" w14:textId="77777777" w:rsidR="00060E34" w:rsidRPr="00060E34" w:rsidRDefault="00060E34" w:rsidP="00FE2E76">
            <w:pPr>
              <w:autoSpaceDE w:val="0"/>
              <w:ind w:left="708"/>
              <w:jc w:val="right"/>
              <w:rPr>
                <w:rFonts w:eastAsia="Times New Roman"/>
                <w:bCs w:val="0"/>
                <w:sz w:val="20"/>
              </w:rPr>
            </w:pPr>
            <w:r w:rsidRPr="00060E34">
              <w:rPr>
                <w:rFonts w:eastAsia="Times New Roman"/>
                <w:bCs w:val="0"/>
                <w:sz w:val="20"/>
              </w:rPr>
              <w:t>TOTAL</w:t>
            </w:r>
          </w:p>
        </w:tc>
        <w:tc>
          <w:tcPr>
            <w:tcW w:w="1980" w:type="dxa"/>
          </w:tcPr>
          <w:p w14:paraId="5579E270" w14:textId="2A157FED" w:rsidR="00060E34" w:rsidRPr="00060E34" w:rsidRDefault="00060E34" w:rsidP="00FE2E76">
            <w:pPr>
              <w:autoSpaceDE w:val="0"/>
              <w:cnfStyle w:val="000000000000" w:firstRow="0" w:lastRow="0" w:firstColumn="0" w:lastColumn="0" w:oddVBand="0" w:evenVBand="0" w:oddHBand="0" w:evenHBand="0" w:firstRowFirstColumn="0" w:firstRowLastColumn="0" w:lastRowFirstColumn="0" w:lastRowLastColumn="0"/>
              <w:rPr>
                <w:rFonts w:eastAsia="Times New Roman"/>
                <w:b/>
                <w:bCs/>
                <w:sz w:val="20"/>
              </w:rPr>
            </w:pPr>
            <w:r w:rsidRPr="00060E34">
              <w:rPr>
                <w:rFonts w:eastAsia="Times New Roman"/>
                <w:b/>
                <w:bCs/>
                <w:sz w:val="20"/>
              </w:rPr>
              <w:t>4</w:t>
            </w:r>
            <w:r w:rsidR="0084391C">
              <w:rPr>
                <w:rFonts w:eastAsia="Times New Roman"/>
                <w:b/>
                <w:bCs/>
                <w:sz w:val="20"/>
              </w:rPr>
              <w:t>,</w:t>
            </w:r>
            <w:r w:rsidRPr="00060E34">
              <w:rPr>
                <w:rFonts w:eastAsia="Times New Roman"/>
                <w:b/>
                <w:bCs/>
                <w:sz w:val="20"/>
              </w:rPr>
              <w:t>039</w:t>
            </w:r>
            <w:r w:rsidR="0084391C">
              <w:rPr>
                <w:rFonts w:eastAsia="Times New Roman"/>
                <w:b/>
                <w:bCs/>
                <w:sz w:val="20"/>
              </w:rPr>
              <w:t>,</w:t>
            </w:r>
            <w:r w:rsidRPr="00060E34">
              <w:rPr>
                <w:rFonts w:eastAsia="Times New Roman"/>
                <w:b/>
                <w:bCs/>
                <w:sz w:val="20"/>
              </w:rPr>
              <w:t>110</w:t>
            </w:r>
          </w:p>
        </w:tc>
      </w:tr>
    </w:tbl>
    <w:p w14:paraId="260A61E5" w14:textId="77777777" w:rsidR="00060E34" w:rsidRDefault="00060E34" w:rsidP="00060E34">
      <w:pPr>
        <w:autoSpaceDE w:val="0"/>
        <w:spacing w:after="0" w:line="240" w:lineRule="auto"/>
        <w:rPr>
          <w:rFonts w:eastAsia="Times New Roman"/>
          <w:bCs/>
        </w:rPr>
      </w:pPr>
    </w:p>
    <w:p w14:paraId="775A5AFD" w14:textId="77777777" w:rsidR="00060E34" w:rsidRDefault="00060E34" w:rsidP="00061361">
      <w:pPr>
        <w:autoSpaceDE w:val="0"/>
        <w:spacing w:after="0"/>
        <w:rPr>
          <w:rFonts w:eastAsia="Times New Roman"/>
          <w:bCs/>
        </w:rPr>
      </w:pPr>
      <w:r w:rsidRPr="00601612">
        <w:rPr>
          <w:rFonts w:eastAsia="Times New Roman"/>
          <w:bCs/>
        </w:rPr>
        <w:t xml:space="preserve">Carbon emissions are emitted during mining uranium, and to manufacture metal and concrete used to build a plant. However, lifecycle carbon emissions are likewise associated with other low-carbon energy sources such as photovoltaic panels and wind turbines. </w:t>
      </w:r>
    </w:p>
    <w:p w14:paraId="475009C8" w14:textId="77777777" w:rsidR="00061361" w:rsidRDefault="00061361" w:rsidP="00061361">
      <w:pPr>
        <w:autoSpaceDE w:val="0"/>
        <w:spacing w:after="0"/>
        <w:rPr>
          <w:rFonts w:eastAsia="Times New Roman"/>
          <w:bCs/>
        </w:rPr>
      </w:pPr>
    </w:p>
    <w:p w14:paraId="1CBA2A2F" w14:textId="37421375" w:rsidR="00060E34" w:rsidRPr="0052355A" w:rsidRDefault="00061361" w:rsidP="0052355A">
      <w:pPr>
        <w:pStyle w:val="Caption"/>
        <w:jc w:val="center"/>
      </w:pPr>
      <w:bookmarkStart w:id="20" w:name="_Toc341364712"/>
      <w:bookmarkStart w:id="21" w:name="_Toc19323118"/>
      <w:r>
        <w:t>Table 1.</w:t>
      </w:r>
      <w:r w:rsidR="0060195D">
        <w:fldChar w:fldCharType="begin"/>
      </w:r>
      <w:r w:rsidR="0060195D">
        <w:instrText xml:space="preserve"> SEQ Table \* ARABIC </w:instrText>
      </w:r>
      <w:r w:rsidR="0060195D">
        <w:fldChar w:fldCharType="separate"/>
      </w:r>
      <w:r>
        <w:rPr>
          <w:noProof/>
        </w:rPr>
        <w:t>4</w:t>
      </w:r>
      <w:r w:rsidR="0060195D">
        <w:rPr>
          <w:noProof/>
        </w:rPr>
        <w:fldChar w:fldCharType="end"/>
      </w:r>
      <w:r>
        <w:rPr>
          <w:noProof/>
        </w:rPr>
        <w:t xml:space="preserve"> </w:t>
      </w:r>
      <w:r>
        <w:t xml:space="preserve"> Summary of Advanta</w:t>
      </w:r>
      <w:r w:rsidR="0052355A">
        <w:t>g</w:t>
      </w:r>
      <w:r>
        <w:t>es and Disadvantages of Nuclear Power</w:t>
      </w:r>
      <w:bookmarkEnd w:id="20"/>
      <w:bookmarkEnd w:id="21"/>
    </w:p>
    <w:tbl>
      <w:tblPr>
        <w:tblStyle w:val="GridTable1Light-Accent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0"/>
        <w:gridCol w:w="3503"/>
      </w:tblGrid>
      <w:tr w:rsidR="00060E34" w:rsidRPr="00061361" w14:paraId="4862AAB1" w14:textId="77777777" w:rsidTr="00061361">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4790" w:type="dxa"/>
            <w:tcBorders>
              <w:bottom w:val="none" w:sz="0" w:space="0" w:color="auto"/>
            </w:tcBorders>
            <w:shd w:val="clear" w:color="auto" w:fill="4F81BD" w:themeFill="accent1"/>
          </w:tcPr>
          <w:p w14:paraId="2CF1007A" w14:textId="77777777" w:rsidR="00060E34" w:rsidRPr="00061361" w:rsidRDefault="00060E34" w:rsidP="00061361">
            <w:pPr>
              <w:autoSpaceDE w:val="0"/>
              <w:jc w:val="center"/>
              <w:rPr>
                <w:rFonts w:eastAsia="Times New Roman"/>
                <w:bCs w:val="0"/>
                <w:color w:val="FFFFFF" w:themeColor="background1"/>
                <w:sz w:val="20"/>
                <w:szCs w:val="20"/>
              </w:rPr>
            </w:pPr>
            <w:r w:rsidRPr="00061361">
              <w:rPr>
                <w:rFonts w:eastAsia="Times New Roman"/>
                <w:bCs w:val="0"/>
                <w:color w:val="FFFFFF" w:themeColor="background1"/>
                <w:sz w:val="20"/>
                <w:szCs w:val="20"/>
              </w:rPr>
              <w:t>Advantages</w:t>
            </w:r>
          </w:p>
        </w:tc>
        <w:tc>
          <w:tcPr>
            <w:tcW w:w="3503" w:type="dxa"/>
            <w:tcBorders>
              <w:bottom w:val="none" w:sz="0" w:space="0" w:color="auto"/>
            </w:tcBorders>
            <w:shd w:val="clear" w:color="auto" w:fill="4F81BD" w:themeFill="accent1"/>
          </w:tcPr>
          <w:p w14:paraId="34AC1306" w14:textId="77777777" w:rsidR="00060E34" w:rsidRPr="00061361" w:rsidRDefault="00060E34" w:rsidP="00061361">
            <w:pPr>
              <w:autoSpaceDE w:val="0"/>
              <w:ind w:left="-427" w:firstLine="450"/>
              <w:jc w:val="center"/>
              <w:cnfStyle w:val="100000000000" w:firstRow="1" w:lastRow="0" w:firstColumn="0" w:lastColumn="0" w:oddVBand="0" w:evenVBand="0" w:oddHBand="0" w:evenHBand="0" w:firstRowFirstColumn="0" w:firstRowLastColumn="0" w:lastRowFirstColumn="0" w:lastRowLastColumn="0"/>
              <w:rPr>
                <w:rFonts w:eastAsia="Times New Roman"/>
                <w:bCs w:val="0"/>
                <w:color w:val="FFFFFF" w:themeColor="background1"/>
                <w:sz w:val="20"/>
                <w:szCs w:val="20"/>
              </w:rPr>
            </w:pPr>
            <w:r w:rsidRPr="00061361">
              <w:rPr>
                <w:rFonts w:eastAsia="Times New Roman"/>
                <w:bCs w:val="0"/>
                <w:color w:val="FFFFFF" w:themeColor="background1"/>
                <w:sz w:val="20"/>
                <w:szCs w:val="20"/>
              </w:rPr>
              <w:t>Disadvantages</w:t>
            </w:r>
          </w:p>
        </w:tc>
      </w:tr>
      <w:tr w:rsidR="00060E34" w:rsidRPr="00061361" w14:paraId="5950C0A2" w14:textId="77777777" w:rsidTr="00061361">
        <w:trPr>
          <w:trHeight w:val="275"/>
          <w:jc w:val="center"/>
        </w:trPr>
        <w:tc>
          <w:tcPr>
            <w:cnfStyle w:val="001000000000" w:firstRow="0" w:lastRow="0" w:firstColumn="1" w:lastColumn="0" w:oddVBand="0" w:evenVBand="0" w:oddHBand="0" w:evenHBand="0" w:firstRowFirstColumn="0" w:firstRowLastColumn="0" w:lastRowFirstColumn="0" w:lastRowLastColumn="0"/>
            <w:tcW w:w="4790" w:type="dxa"/>
          </w:tcPr>
          <w:p w14:paraId="0C3B1628" w14:textId="77777777" w:rsidR="00060E34" w:rsidRPr="00061361" w:rsidRDefault="00060E34" w:rsidP="00060E34">
            <w:pPr>
              <w:pStyle w:val="ListParagraph"/>
              <w:numPr>
                <w:ilvl w:val="0"/>
                <w:numId w:val="47"/>
              </w:numPr>
              <w:autoSpaceDE w:val="0"/>
              <w:spacing w:after="0" w:line="240" w:lineRule="auto"/>
              <w:jc w:val="left"/>
              <w:rPr>
                <w:rFonts w:eastAsia="Times New Roman"/>
                <w:b w:val="0"/>
                <w:bCs w:val="0"/>
                <w:sz w:val="20"/>
                <w:szCs w:val="20"/>
              </w:rPr>
            </w:pPr>
            <w:r w:rsidRPr="00061361">
              <w:rPr>
                <w:rFonts w:eastAsia="Times New Roman"/>
                <w:b w:val="0"/>
                <w:bCs w:val="0"/>
                <w:sz w:val="20"/>
                <w:szCs w:val="20"/>
              </w:rPr>
              <w:t>Zero carbon</w:t>
            </w:r>
          </w:p>
        </w:tc>
        <w:tc>
          <w:tcPr>
            <w:tcW w:w="3503" w:type="dxa"/>
          </w:tcPr>
          <w:p w14:paraId="51CDA571" w14:textId="77777777" w:rsidR="00060E34" w:rsidRPr="00061361" w:rsidRDefault="00060E34" w:rsidP="00060E34">
            <w:pPr>
              <w:pStyle w:val="ListParagraph"/>
              <w:numPr>
                <w:ilvl w:val="0"/>
                <w:numId w:val="47"/>
              </w:numPr>
              <w:autoSpaceDE w:val="0"/>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bCs/>
                <w:sz w:val="20"/>
                <w:szCs w:val="20"/>
              </w:rPr>
            </w:pPr>
            <w:r w:rsidRPr="00061361">
              <w:rPr>
                <w:rFonts w:eastAsia="Times New Roman"/>
                <w:bCs/>
                <w:sz w:val="20"/>
                <w:szCs w:val="20"/>
              </w:rPr>
              <w:t>Legacy waste</w:t>
            </w:r>
          </w:p>
        </w:tc>
      </w:tr>
      <w:tr w:rsidR="00060E34" w:rsidRPr="00061361" w14:paraId="35BB2F4E" w14:textId="77777777" w:rsidTr="00061361">
        <w:trPr>
          <w:trHeight w:val="275"/>
          <w:jc w:val="center"/>
        </w:trPr>
        <w:tc>
          <w:tcPr>
            <w:cnfStyle w:val="001000000000" w:firstRow="0" w:lastRow="0" w:firstColumn="1" w:lastColumn="0" w:oddVBand="0" w:evenVBand="0" w:oddHBand="0" w:evenHBand="0" w:firstRowFirstColumn="0" w:firstRowLastColumn="0" w:lastRowFirstColumn="0" w:lastRowLastColumn="0"/>
            <w:tcW w:w="4790" w:type="dxa"/>
          </w:tcPr>
          <w:p w14:paraId="09FAE5DD" w14:textId="77777777" w:rsidR="00060E34" w:rsidRPr="00061361" w:rsidRDefault="00060E34" w:rsidP="00060E34">
            <w:pPr>
              <w:pStyle w:val="ListParagraph"/>
              <w:numPr>
                <w:ilvl w:val="0"/>
                <w:numId w:val="47"/>
              </w:numPr>
              <w:autoSpaceDE w:val="0"/>
              <w:spacing w:after="0" w:line="240" w:lineRule="auto"/>
              <w:jc w:val="left"/>
              <w:rPr>
                <w:rFonts w:eastAsia="Times New Roman"/>
                <w:b w:val="0"/>
                <w:bCs w:val="0"/>
                <w:sz w:val="20"/>
                <w:szCs w:val="20"/>
              </w:rPr>
            </w:pPr>
            <w:r w:rsidRPr="00061361">
              <w:rPr>
                <w:rFonts w:eastAsia="Times New Roman"/>
                <w:b w:val="0"/>
                <w:bCs w:val="0"/>
                <w:sz w:val="20"/>
                <w:szCs w:val="20"/>
              </w:rPr>
              <w:t>Non-intermittent source of low carbon energy (baseload capability)</w:t>
            </w:r>
          </w:p>
        </w:tc>
        <w:tc>
          <w:tcPr>
            <w:tcW w:w="3503" w:type="dxa"/>
          </w:tcPr>
          <w:p w14:paraId="79510F0C" w14:textId="77777777" w:rsidR="00060E34" w:rsidRPr="00061361" w:rsidRDefault="00060E34" w:rsidP="00060E34">
            <w:pPr>
              <w:pStyle w:val="ListParagraph"/>
              <w:numPr>
                <w:ilvl w:val="0"/>
                <w:numId w:val="47"/>
              </w:numPr>
              <w:autoSpaceDE w:val="0"/>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bCs/>
                <w:sz w:val="20"/>
                <w:szCs w:val="20"/>
              </w:rPr>
            </w:pPr>
            <w:r w:rsidRPr="00061361">
              <w:rPr>
                <w:rFonts w:eastAsia="Times New Roman"/>
                <w:bCs/>
                <w:sz w:val="20"/>
                <w:szCs w:val="20"/>
              </w:rPr>
              <w:t>Public perception of risk (leads to high cost of capital for new builds)</w:t>
            </w:r>
          </w:p>
        </w:tc>
      </w:tr>
      <w:tr w:rsidR="00060E34" w:rsidRPr="00061361" w14:paraId="610AD131" w14:textId="77777777" w:rsidTr="00061361">
        <w:trPr>
          <w:trHeight w:val="313"/>
          <w:jc w:val="center"/>
        </w:trPr>
        <w:tc>
          <w:tcPr>
            <w:cnfStyle w:val="001000000000" w:firstRow="0" w:lastRow="0" w:firstColumn="1" w:lastColumn="0" w:oddVBand="0" w:evenVBand="0" w:oddHBand="0" w:evenHBand="0" w:firstRowFirstColumn="0" w:firstRowLastColumn="0" w:lastRowFirstColumn="0" w:lastRowLastColumn="0"/>
            <w:tcW w:w="4790" w:type="dxa"/>
          </w:tcPr>
          <w:p w14:paraId="69128532" w14:textId="77777777" w:rsidR="00060E34" w:rsidRPr="00061361" w:rsidRDefault="00060E34" w:rsidP="00060E34">
            <w:pPr>
              <w:pStyle w:val="ListParagraph"/>
              <w:numPr>
                <w:ilvl w:val="0"/>
                <w:numId w:val="47"/>
              </w:numPr>
              <w:autoSpaceDE w:val="0"/>
              <w:spacing w:after="0" w:line="240" w:lineRule="auto"/>
              <w:jc w:val="left"/>
              <w:rPr>
                <w:rFonts w:eastAsia="Times New Roman"/>
                <w:b w:val="0"/>
                <w:bCs w:val="0"/>
                <w:sz w:val="20"/>
                <w:szCs w:val="20"/>
              </w:rPr>
            </w:pPr>
            <w:r w:rsidRPr="00061361">
              <w:rPr>
                <w:rFonts w:eastAsia="Times New Roman"/>
                <w:b w:val="0"/>
                <w:bCs w:val="0"/>
                <w:sz w:val="20"/>
                <w:szCs w:val="20"/>
              </w:rPr>
              <w:t>High capacity factor (high reliability, efficiency)</w:t>
            </w:r>
          </w:p>
        </w:tc>
        <w:tc>
          <w:tcPr>
            <w:tcW w:w="3503" w:type="dxa"/>
          </w:tcPr>
          <w:p w14:paraId="068CC268" w14:textId="77777777" w:rsidR="00060E34" w:rsidRPr="00061361" w:rsidRDefault="00060E34" w:rsidP="00FE2E76">
            <w:pPr>
              <w:autoSpaceDE w:val="0"/>
              <w:cnfStyle w:val="000000000000" w:firstRow="0" w:lastRow="0" w:firstColumn="0" w:lastColumn="0" w:oddVBand="0" w:evenVBand="0" w:oddHBand="0" w:evenHBand="0" w:firstRowFirstColumn="0" w:firstRowLastColumn="0" w:lastRowFirstColumn="0" w:lastRowLastColumn="0"/>
              <w:rPr>
                <w:rFonts w:eastAsia="Times New Roman"/>
                <w:bCs/>
                <w:sz w:val="20"/>
                <w:szCs w:val="20"/>
              </w:rPr>
            </w:pPr>
          </w:p>
        </w:tc>
      </w:tr>
      <w:tr w:rsidR="00060E34" w:rsidRPr="00061361" w14:paraId="10C6E1AF" w14:textId="77777777" w:rsidTr="00061361">
        <w:trPr>
          <w:trHeight w:val="553"/>
          <w:jc w:val="center"/>
        </w:trPr>
        <w:tc>
          <w:tcPr>
            <w:cnfStyle w:val="001000000000" w:firstRow="0" w:lastRow="0" w:firstColumn="1" w:lastColumn="0" w:oddVBand="0" w:evenVBand="0" w:oddHBand="0" w:evenHBand="0" w:firstRowFirstColumn="0" w:firstRowLastColumn="0" w:lastRowFirstColumn="0" w:lastRowLastColumn="0"/>
            <w:tcW w:w="4790" w:type="dxa"/>
          </w:tcPr>
          <w:p w14:paraId="77083497" w14:textId="77777777" w:rsidR="00060E34" w:rsidRPr="00061361" w:rsidRDefault="00060E34" w:rsidP="00060E34">
            <w:pPr>
              <w:pStyle w:val="ListParagraph"/>
              <w:numPr>
                <w:ilvl w:val="0"/>
                <w:numId w:val="47"/>
              </w:numPr>
              <w:autoSpaceDE w:val="0"/>
              <w:spacing w:after="0" w:line="240" w:lineRule="auto"/>
              <w:jc w:val="left"/>
              <w:rPr>
                <w:rFonts w:eastAsia="Times New Roman"/>
                <w:b w:val="0"/>
                <w:bCs w:val="0"/>
                <w:sz w:val="20"/>
                <w:szCs w:val="20"/>
              </w:rPr>
            </w:pPr>
            <w:r w:rsidRPr="00061361">
              <w:rPr>
                <w:rFonts w:eastAsia="Times New Roman"/>
                <w:b w:val="0"/>
                <w:bCs w:val="0"/>
                <w:sz w:val="20"/>
                <w:szCs w:val="20"/>
              </w:rPr>
              <w:t>Waste heat can power other important functions such as district heating and desalination</w:t>
            </w:r>
          </w:p>
        </w:tc>
        <w:tc>
          <w:tcPr>
            <w:tcW w:w="3503" w:type="dxa"/>
          </w:tcPr>
          <w:p w14:paraId="10D6855C" w14:textId="77777777" w:rsidR="00060E34" w:rsidRPr="00061361" w:rsidRDefault="00060E34" w:rsidP="00FE2E76">
            <w:pPr>
              <w:autoSpaceDE w:val="0"/>
              <w:cnfStyle w:val="000000000000" w:firstRow="0" w:lastRow="0" w:firstColumn="0" w:lastColumn="0" w:oddVBand="0" w:evenVBand="0" w:oddHBand="0" w:evenHBand="0" w:firstRowFirstColumn="0" w:firstRowLastColumn="0" w:lastRowFirstColumn="0" w:lastRowLastColumn="0"/>
              <w:rPr>
                <w:rFonts w:eastAsia="Times New Roman"/>
                <w:bCs/>
                <w:sz w:val="20"/>
                <w:szCs w:val="20"/>
              </w:rPr>
            </w:pPr>
          </w:p>
        </w:tc>
      </w:tr>
      <w:tr w:rsidR="00060E34" w:rsidRPr="00061361" w14:paraId="1D263799" w14:textId="77777777" w:rsidTr="00061361">
        <w:trPr>
          <w:trHeight w:val="255"/>
          <w:jc w:val="center"/>
        </w:trPr>
        <w:tc>
          <w:tcPr>
            <w:cnfStyle w:val="001000000000" w:firstRow="0" w:lastRow="0" w:firstColumn="1" w:lastColumn="0" w:oddVBand="0" w:evenVBand="0" w:oddHBand="0" w:evenHBand="0" w:firstRowFirstColumn="0" w:firstRowLastColumn="0" w:lastRowFirstColumn="0" w:lastRowLastColumn="0"/>
            <w:tcW w:w="8293" w:type="dxa"/>
            <w:gridSpan w:val="2"/>
            <w:shd w:val="clear" w:color="auto" w:fill="4F81BD" w:themeFill="accent1"/>
          </w:tcPr>
          <w:p w14:paraId="38CCA016" w14:textId="77777777" w:rsidR="00060E34" w:rsidRPr="00061361" w:rsidRDefault="00060E34" w:rsidP="00FE2E76">
            <w:pPr>
              <w:autoSpaceDE w:val="0"/>
              <w:rPr>
                <w:rFonts w:eastAsia="Times New Roman"/>
                <w:bCs w:val="0"/>
                <w:sz w:val="20"/>
                <w:szCs w:val="20"/>
              </w:rPr>
            </w:pPr>
            <w:r w:rsidRPr="00061361">
              <w:rPr>
                <w:rFonts w:eastAsia="Times New Roman"/>
                <w:bCs w:val="0"/>
                <w:color w:val="FFFFFF" w:themeColor="background1"/>
                <w:sz w:val="20"/>
                <w:szCs w:val="20"/>
              </w:rPr>
              <w:t>Points of Contention:</w:t>
            </w:r>
          </w:p>
        </w:tc>
      </w:tr>
      <w:tr w:rsidR="00060E34" w:rsidRPr="00061361" w14:paraId="65180AE2" w14:textId="77777777" w:rsidTr="00061361">
        <w:trPr>
          <w:trHeight w:val="499"/>
          <w:jc w:val="center"/>
        </w:trPr>
        <w:tc>
          <w:tcPr>
            <w:cnfStyle w:val="001000000000" w:firstRow="0" w:lastRow="0" w:firstColumn="1" w:lastColumn="0" w:oddVBand="0" w:evenVBand="0" w:oddHBand="0" w:evenHBand="0" w:firstRowFirstColumn="0" w:firstRowLastColumn="0" w:lastRowFirstColumn="0" w:lastRowLastColumn="0"/>
            <w:tcW w:w="8293" w:type="dxa"/>
            <w:gridSpan w:val="2"/>
          </w:tcPr>
          <w:p w14:paraId="5E2FA69F" w14:textId="77777777" w:rsidR="00060E34" w:rsidRPr="00061361" w:rsidRDefault="00060E34" w:rsidP="00060E34">
            <w:pPr>
              <w:pStyle w:val="ListParagraph"/>
              <w:numPr>
                <w:ilvl w:val="0"/>
                <w:numId w:val="48"/>
              </w:numPr>
              <w:autoSpaceDE w:val="0"/>
              <w:spacing w:after="0" w:line="240" w:lineRule="auto"/>
              <w:jc w:val="left"/>
              <w:rPr>
                <w:rFonts w:eastAsia="Times New Roman"/>
                <w:b w:val="0"/>
                <w:bCs w:val="0"/>
                <w:sz w:val="20"/>
                <w:szCs w:val="20"/>
              </w:rPr>
            </w:pPr>
            <w:r w:rsidRPr="00061361">
              <w:rPr>
                <w:rFonts w:eastAsia="Times New Roman"/>
                <w:b w:val="0"/>
                <w:bCs w:val="0"/>
                <w:sz w:val="20"/>
                <w:szCs w:val="20"/>
              </w:rPr>
              <w:t>Availability of nuclear fuel as a renewable fuel (uranium deposits, ability to commercialize thorium reactors, etc.)</w:t>
            </w:r>
          </w:p>
        </w:tc>
      </w:tr>
      <w:tr w:rsidR="00060E34" w:rsidRPr="00061361" w14:paraId="046C2C7D" w14:textId="77777777" w:rsidTr="00061361">
        <w:trPr>
          <w:trHeight w:val="255"/>
          <w:jc w:val="center"/>
        </w:trPr>
        <w:tc>
          <w:tcPr>
            <w:cnfStyle w:val="001000000000" w:firstRow="0" w:lastRow="0" w:firstColumn="1" w:lastColumn="0" w:oddVBand="0" w:evenVBand="0" w:oddHBand="0" w:evenHBand="0" w:firstRowFirstColumn="0" w:firstRowLastColumn="0" w:lastRowFirstColumn="0" w:lastRowLastColumn="0"/>
            <w:tcW w:w="8293" w:type="dxa"/>
            <w:gridSpan w:val="2"/>
          </w:tcPr>
          <w:p w14:paraId="66667A3C" w14:textId="77777777" w:rsidR="00060E34" w:rsidRPr="00061361" w:rsidRDefault="00060E34" w:rsidP="00060E34">
            <w:pPr>
              <w:pStyle w:val="ListParagraph"/>
              <w:numPr>
                <w:ilvl w:val="0"/>
                <w:numId w:val="48"/>
              </w:numPr>
              <w:autoSpaceDE w:val="0"/>
              <w:spacing w:after="0" w:line="240" w:lineRule="auto"/>
              <w:jc w:val="left"/>
              <w:rPr>
                <w:rFonts w:eastAsia="Times New Roman"/>
                <w:b w:val="0"/>
                <w:bCs w:val="0"/>
                <w:sz w:val="20"/>
                <w:szCs w:val="20"/>
              </w:rPr>
            </w:pPr>
            <w:r w:rsidRPr="00061361">
              <w:rPr>
                <w:rFonts w:eastAsia="Times New Roman"/>
                <w:b w:val="0"/>
                <w:bCs w:val="0"/>
                <w:sz w:val="20"/>
                <w:szCs w:val="20"/>
              </w:rPr>
              <w:t>Life cycle emissions from mining and refining uranium to building plants</w:t>
            </w:r>
          </w:p>
        </w:tc>
      </w:tr>
    </w:tbl>
    <w:p w14:paraId="1CF1C77D" w14:textId="02453710" w:rsidR="00F52595" w:rsidRPr="00503C47" w:rsidRDefault="00503C47" w:rsidP="00503C47">
      <w:pPr>
        <w:tabs>
          <w:tab w:val="left" w:pos="1530"/>
        </w:tabs>
        <w:rPr>
          <w:rFonts w:asciiTheme="majorHAnsi" w:eastAsiaTheme="majorEastAsia" w:hAnsiTheme="majorHAnsi" w:cstheme="majorBidi"/>
          <w:sz w:val="36"/>
          <w:szCs w:val="36"/>
        </w:rPr>
        <w:sectPr w:rsidR="00F52595" w:rsidRPr="00503C47">
          <w:pgSz w:w="12240" w:h="15840"/>
          <w:pgMar w:top="1440" w:right="1440" w:bottom="1440" w:left="1440" w:header="720" w:footer="720" w:gutter="0"/>
          <w:cols w:space="720"/>
        </w:sectPr>
      </w:pPr>
      <w:r>
        <w:rPr>
          <w:rFonts w:asciiTheme="majorHAnsi" w:eastAsiaTheme="majorEastAsia" w:hAnsiTheme="majorHAnsi" w:cstheme="majorBidi"/>
          <w:sz w:val="36"/>
          <w:szCs w:val="36"/>
        </w:rPr>
        <w:tab/>
      </w:r>
    </w:p>
    <w:p w14:paraId="756DEC01" w14:textId="2A9B7491" w:rsidR="00966563" w:rsidRPr="00E069AC" w:rsidRDefault="551A77D0" w:rsidP="00912CC8">
      <w:pPr>
        <w:pStyle w:val="Heading1"/>
      </w:pPr>
      <w:bookmarkStart w:id="22" w:name="_Toc19323145"/>
      <w:r w:rsidRPr="00E069AC">
        <w:t>Methodology</w:t>
      </w:r>
      <w:bookmarkEnd w:id="22"/>
    </w:p>
    <w:p w14:paraId="567926D6" w14:textId="435F926B" w:rsidR="00BD136D" w:rsidRPr="00E069AC" w:rsidRDefault="551A77D0" w:rsidP="00AE749D">
      <w:pPr>
        <w:pStyle w:val="Heading2"/>
        <w:numPr>
          <w:ilvl w:val="1"/>
          <w:numId w:val="28"/>
        </w:numPr>
      </w:pPr>
      <w:bookmarkStart w:id="23" w:name="_Toc19323146"/>
      <w:r w:rsidRPr="00E069AC">
        <w:t>I</w:t>
      </w:r>
      <w:r w:rsidR="00E069AC">
        <w:t>ntroduction</w:t>
      </w:r>
      <w:bookmarkEnd w:id="23"/>
    </w:p>
    <w:p w14:paraId="7837546F" w14:textId="0FF6F675" w:rsidR="00202788" w:rsidRPr="00E069AC" w:rsidRDefault="00202788" w:rsidP="00EB247F">
      <w:pPr>
        <w:rPr>
          <w:rFonts w:cs="Times New Roman"/>
        </w:rPr>
      </w:pPr>
      <w:r w:rsidRPr="00E069AC">
        <w:rPr>
          <w:rFonts w:cs="Times New Roman"/>
        </w:rPr>
        <w:t>Project Drawdown’s models are developed in Microsoft Excel using standard templates that allow easier integration since integration is critical to the bottom-up approach used. The template used for this solution was the Reduction and Replacement Solutions (RRS) which accounts for re</w:t>
      </w:r>
      <w:r w:rsidR="000C3F49" w:rsidRPr="00E069AC">
        <w:rPr>
          <w:rFonts w:cs="Times New Roman"/>
        </w:rPr>
        <w:t>placement of conventional</w:t>
      </w:r>
      <w:r w:rsidRPr="00E069AC">
        <w:rPr>
          <w:rFonts w:cs="Times New Roman"/>
        </w:rPr>
        <w:t xml:space="preserve"> </w:t>
      </w:r>
      <w:r w:rsidR="000C3F49" w:rsidRPr="00E069AC">
        <w:rPr>
          <w:rFonts w:cs="Times New Roman"/>
        </w:rPr>
        <w:t>electricity generation technologies (i.e. coal, oil, natural gas)</w:t>
      </w:r>
      <w:r w:rsidRPr="00E069AC">
        <w:rPr>
          <w:rFonts w:cs="Times New Roman"/>
        </w:rPr>
        <w:t xml:space="preserve"> </w:t>
      </w:r>
      <w:r w:rsidR="000C3F49" w:rsidRPr="00E069AC">
        <w:rPr>
          <w:rFonts w:cs="Times New Roman"/>
        </w:rPr>
        <w:t>and related emissions</w:t>
      </w:r>
      <w:r w:rsidRPr="00E069AC">
        <w:rPr>
          <w:rFonts w:cs="Times New Roman"/>
        </w:rPr>
        <w:t xml:space="preserve"> for a</w:t>
      </w:r>
      <w:r w:rsidR="000C3F49" w:rsidRPr="00E069AC">
        <w:rPr>
          <w:rFonts w:cs="Times New Roman"/>
        </w:rPr>
        <w:t>n</w:t>
      </w:r>
      <w:r w:rsidRPr="00E069AC">
        <w:rPr>
          <w:rFonts w:cs="Times New Roman"/>
        </w:rPr>
        <w:t xml:space="preserve"> </w:t>
      </w:r>
      <w:r w:rsidR="000C3F49" w:rsidRPr="00E069AC">
        <w:rPr>
          <w:rFonts w:cs="Times New Roman"/>
        </w:rPr>
        <w:t xml:space="preserve">alternative </w:t>
      </w:r>
      <w:r w:rsidRPr="00E069AC">
        <w:rPr>
          <w:rFonts w:cs="Times New Roman"/>
        </w:rPr>
        <w:t>solution</w:t>
      </w:r>
      <w:r w:rsidR="005B7A11" w:rsidRPr="00E069AC">
        <w:rPr>
          <w:rFonts w:cs="Times New Roman"/>
        </w:rPr>
        <w:t xml:space="preserve"> (</w:t>
      </w:r>
      <w:r w:rsidR="00AE749D" w:rsidRPr="00E069AC">
        <w:rPr>
          <w:rFonts w:cs="Times New Roman"/>
        </w:rPr>
        <w:t>see the</w:t>
      </w:r>
      <w:r w:rsidR="00395868" w:rsidRPr="00E069AC">
        <w:rPr>
          <w:rFonts w:cs="Times New Roman"/>
        </w:rPr>
        <w:t xml:space="preserve"> </w:t>
      </w:r>
      <w:r w:rsidR="00AE749D" w:rsidRPr="00E069AC">
        <w:rPr>
          <w:rFonts w:cs="Times New Roman"/>
        </w:rPr>
        <w:t>Drawdown RRS Model Framework and Guide for more details</w:t>
      </w:r>
      <w:r w:rsidR="005B7A11" w:rsidRPr="00E069AC">
        <w:rPr>
          <w:rFonts w:cs="Times New Roman"/>
        </w:rPr>
        <w:t>)</w:t>
      </w:r>
      <w:r w:rsidR="000C3F49" w:rsidRPr="00E069AC">
        <w:rPr>
          <w:rFonts w:cs="Times New Roman"/>
        </w:rPr>
        <w:t>.</w:t>
      </w:r>
      <w:r w:rsidRPr="00E069AC">
        <w:rPr>
          <w:rFonts w:cs="Times New Roman"/>
        </w:rPr>
        <w:t xml:space="preserve"> These technologies are assumed to compete in markets to supply the final functional demand which is exogenous to the model but may be shared across several solution models. The adoption and markets are therefore defined in terms of functional units</w:t>
      </w:r>
      <w:r w:rsidR="000C3F49" w:rsidRPr="00E069AC">
        <w:rPr>
          <w:rFonts w:cs="Times New Roman"/>
        </w:rPr>
        <w:t xml:space="preserve"> (TWh)</w:t>
      </w:r>
      <w:r w:rsidRPr="00E069AC">
        <w:rPr>
          <w:rFonts w:cs="Times New Roman"/>
        </w:rPr>
        <w:t>, and for investment costing, adoptions are also converted to implementation units</w:t>
      </w:r>
      <w:r w:rsidR="000C3F49" w:rsidRPr="00E069AC">
        <w:rPr>
          <w:rFonts w:cs="Times New Roman"/>
        </w:rPr>
        <w:t xml:space="preserve"> (TW)</w:t>
      </w:r>
      <w:r w:rsidRPr="00E069AC">
        <w:rPr>
          <w:rFonts w:cs="Times New Roman"/>
        </w:rPr>
        <w:t>. The adoptions of both conventional and solution were projected for each of several scenarios from 2015 to 2050 and the comparison of these scenarios (for the 2020-2050 segment</w:t>
      </w:r>
      <w:r w:rsidR="000C3F49" w:rsidRPr="00E069AC">
        <w:rPr>
          <w:rFonts w:cs="Times New Roman"/>
        </w:rPr>
        <w:t>) is what constitutes</w:t>
      </w:r>
      <w:r w:rsidRPr="00E069AC">
        <w:rPr>
          <w:rFonts w:cs="Times New Roman"/>
        </w:rPr>
        <w:t xml:space="preserve"> the results.</w:t>
      </w:r>
    </w:p>
    <w:p w14:paraId="3F01DEC2" w14:textId="44391D2A" w:rsidR="002D4B9E" w:rsidRPr="00E069AC" w:rsidRDefault="005C2BC8" w:rsidP="00EB247F">
      <w:pPr>
        <w:rPr>
          <w:rFonts w:cs="Times New Roman"/>
        </w:rPr>
      </w:pPr>
      <w:r>
        <w:rPr>
          <w:rFonts w:cs="Times New Roman"/>
        </w:rPr>
        <w:t>For th</w:t>
      </w:r>
      <w:r w:rsidR="00C86763">
        <w:rPr>
          <w:rFonts w:cs="Times New Roman"/>
        </w:rPr>
        <w:t>is</w:t>
      </w:r>
      <w:r w:rsidR="00202788" w:rsidRPr="00E069AC">
        <w:rPr>
          <w:rFonts w:cs="Times New Roman"/>
        </w:rPr>
        <w:t xml:space="preserve"> solution, </w:t>
      </w:r>
      <w:r w:rsidR="00202788" w:rsidRPr="00E069AC">
        <w:rPr>
          <w:rFonts w:cs="Times New Roman"/>
          <w:bCs/>
        </w:rPr>
        <w:t xml:space="preserve">the approach was to analyze </w:t>
      </w:r>
      <w:r w:rsidR="000C3F49" w:rsidRPr="00E069AC">
        <w:rPr>
          <w:rFonts w:cs="Times New Roman"/>
          <w:bCs/>
        </w:rPr>
        <w:t xml:space="preserve">the impacts of increased </w:t>
      </w:r>
      <w:r w:rsidR="00202788" w:rsidRPr="00E069AC">
        <w:rPr>
          <w:rFonts w:cs="Times New Roman"/>
          <w:bCs/>
        </w:rPr>
        <w:t xml:space="preserve">adoption of </w:t>
      </w:r>
      <w:r w:rsidR="00C1591A">
        <w:rPr>
          <w:rFonts w:cs="Times New Roman"/>
        </w:rPr>
        <w:t>nuclear powerplants</w:t>
      </w:r>
      <w:r w:rsidR="000C3F49" w:rsidRPr="00E069AC">
        <w:rPr>
          <w:rFonts w:cs="Times New Roman"/>
        </w:rPr>
        <w:t xml:space="preserve">. </w:t>
      </w:r>
      <w:r w:rsidR="00683100" w:rsidRPr="00E069AC">
        <w:rPr>
          <w:rFonts w:cs="Times New Roman"/>
        </w:rPr>
        <w:t>The</w:t>
      </w:r>
      <w:r w:rsidR="002D4B9E" w:rsidRPr="00E069AC">
        <w:rPr>
          <w:rFonts w:cs="Times New Roman"/>
        </w:rPr>
        <w:t xml:space="preserve"> model</w:t>
      </w:r>
      <w:r>
        <w:rPr>
          <w:rFonts w:cs="Times New Roman"/>
        </w:rPr>
        <w:t>s</w:t>
      </w:r>
      <w:r w:rsidR="002D4B9E" w:rsidRPr="00E069AC">
        <w:rPr>
          <w:rFonts w:cs="Times New Roman"/>
        </w:rPr>
        <w:t xml:space="preserve"> u</w:t>
      </w:r>
      <w:r>
        <w:rPr>
          <w:rFonts w:cs="Times New Roman"/>
        </w:rPr>
        <w:t>sed for this analysis construct</w:t>
      </w:r>
      <w:r w:rsidR="002D4B9E" w:rsidRPr="00E069AC">
        <w:rPr>
          <w:rFonts w:cs="Times New Roman"/>
        </w:rPr>
        <w:t xml:space="preserve"> both </w:t>
      </w:r>
      <w:r w:rsidR="00683100" w:rsidRPr="00E069AC">
        <w:rPr>
          <w:rFonts w:cs="Times New Roman"/>
        </w:rPr>
        <w:t xml:space="preserve">alternative ambitious </w:t>
      </w:r>
      <w:r w:rsidR="002D4B9E" w:rsidRPr="00E069AC">
        <w:rPr>
          <w:rFonts w:cs="Times New Roman"/>
        </w:rPr>
        <w:t>adoption</w:t>
      </w:r>
      <w:r w:rsidR="00683100" w:rsidRPr="00E069AC">
        <w:rPr>
          <w:rFonts w:cs="Times New Roman"/>
        </w:rPr>
        <w:t xml:space="preserve"> pathways </w:t>
      </w:r>
      <w:r w:rsidR="00AE749D" w:rsidRPr="00E069AC">
        <w:rPr>
          <w:rFonts w:cs="Times New Roman"/>
        </w:rPr>
        <w:t>(PD</w:t>
      </w:r>
      <w:r w:rsidR="00A2204D" w:rsidRPr="00E069AC">
        <w:rPr>
          <w:rFonts w:cs="Times New Roman"/>
        </w:rPr>
        <w:t xml:space="preserve"> scenarios)</w:t>
      </w:r>
      <w:r w:rsidR="002D4B9E" w:rsidRPr="00E069AC">
        <w:rPr>
          <w:rFonts w:cs="Times New Roman"/>
        </w:rPr>
        <w:t xml:space="preserve"> and a Reference scenario (REF) for </w:t>
      </w:r>
      <w:r w:rsidR="004835E5">
        <w:rPr>
          <w:rFonts w:cs="Times New Roman"/>
        </w:rPr>
        <w:t>nuclear energy</w:t>
      </w:r>
      <w:r w:rsidR="002D4B9E" w:rsidRPr="00E069AC">
        <w:rPr>
          <w:rFonts w:cs="Times New Roman"/>
        </w:rPr>
        <w:t xml:space="preserve">. </w:t>
      </w:r>
      <w:r w:rsidR="00683100" w:rsidRPr="00E069AC">
        <w:rPr>
          <w:rFonts w:cs="Times New Roman"/>
        </w:rPr>
        <w:t xml:space="preserve">Following project Drawdown methodological </w:t>
      </w:r>
      <w:r w:rsidR="00683100" w:rsidRPr="00620654">
        <w:rPr>
          <w:rFonts w:cs="Times New Roman"/>
        </w:rPr>
        <w:t>assumption</w:t>
      </w:r>
      <w:r w:rsidR="00395868" w:rsidRPr="00620654">
        <w:rPr>
          <w:rFonts w:cs="Times New Roman"/>
        </w:rPr>
        <w:t xml:space="preserve"> (</w:t>
      </w:r>
      <w:r w:rsidR="00AE749D" w:rsidRPr="00620654">
        <w:rPr>
          <w:rFonts w:cs="Times New Roman"/>
        </w:rPr>
        <w:t xml:space="preserve">further description available on the Drawdown RRS Model Framework and Guide), </w:t>
      </w:r>
      <w:r w:rsidR="00683100" w:rsidRPr="00620654">
        <w:rPr>
          <w:rFonts w:cs="Times New Roman"/>
        </w:rPr>
        <w:t xml:space="preserve">in order to grasp the total impact of an increased adoption of the solution during the assessed time frame; the REF scenario assumes future adoption of </w:t>
      </w:r>
      <w:r w:rsidR="004835E5">
        <w:rPr>
          <w:rFonts w:cs="Times New Roman"/>
        </w:rPr>
        <w:t>nuclear units</w:t>
      </w:r>
      <w:r w:rsidR="00683100" w:rsidRPr="00620654">
        <w:rPr>
          <w:rFonts w:cs="Times New Roman"/>
        </w:rPr>
        <w:t xml:space="preserve"> remains fixed at the current year (i.e. 201</w:t>
      </w:r>
      <w:r w:rsidR="0052355A">
        <w:rPr>
          <w:rFonts w:cs="Times New Roman"/>
        </w:rPr>
        <w:t>8</w:t>
      </w:r>
      <w:r w:rsidR="00683100" w:rsidRPr="00620654">
        <w:rPr>
          <w:rFonts w:cs="Times New Roman"/>
        </w:rPr>
        <w:t>) percentage of T</w:t>
      </w:r>
      <w:r w:rsidR="00A2204D" w:rsidRPr="00620654">
        <w:rPr>
          <w:rFonts w:cs="Times New Roman"/>
        </w:rPr>
        <w:t>otal Addressable Market (T</w:t>
      </w:r>
      <w:r w:rsidR="00683100" w:rsidRPr="00620654">
        <w:rPr>
          <w:rFonts w:cs="Times New Roman"/>
        </w:rPr>
        <w:t>AM</w:t>
      </w:r>
      <w:r w:rsidR="00A2204D" w:rsidRPr="00620654">
        <w:rPr>
          <w:rFonts w:cs="Times New Roman"/>
        </w:rPr>
        <w:t>)</w:t>
      </w:r>
      <w:r w:rsidR="00683100" w:rsidRPr="00620654">
        <w:rPr>
          <w:rFonts w:cs="Times New Roman"/>
        </w:rPr>
        <w:t xml:space="preserve">, estimated at </w:t>
      </w:r>
      <w:r w:rsidR="0052355A">
        <w:rPr>
          <w:rFonts w:cs="Times New Roman"/>
        </w:rPr>
        <w:t>12.2</w:t>
      </w:r>
      <w:r w:rsidR="00683100" w:rsidRPr="00620654">
        <w:rPr>
          <w:rFonts w:cs="Times New Roman"/>
        </w:rPr>
        <w:t xml:space="preserve"> percent (</w:t>
      </w:r>
      <w:r w:rsidR="0052355A">
        <w:rPr>
          <w:rFonts w:cs="Times New Roman"/>
        </w:rPr>
        <w:t>2,7</w:t>
      </w:r>
      <w:r w:rsidR="0084391C">
        <w:rPr>
          <w:rFonts w:cs="Times New Roman"/>
        </w:rPr>
        <w:t>52</w:t>
      </w:r>
      <w:r w:rsidR="00683100" w:rsidRPr="00620654">
        <w:rPr>
          <w:rFonts w:cs="Times New Roman"/>
        </w:rPr>
        <w:t xml:space="preserve"> terawatt-hours) of </w:t>
      </w:r>
      <w:r w:rsidR="000875B5" w:rsidRPr="00620654">
        <w:rPr>
          <w:rFonts w:cs="Times New Roman"/>
        </w:rPr>
        <w:t xml:space="preserve">electricity </w:t>
      </w:r>
      <w:r w:rsidR="00683100" w:rsidRPr="00620654">
        <w:rPr>
          <w:rFonts w:cs="Times New Roman"/>
        </w:rPr>
        <w:t xml:space="preserve">generation. </w:t>
      </w:r>
      <w:r w:rsidR="00992B8D" w:rsidRPr="00620654">
        <w:rPr>
          <w:rFonts w:cs="Times New Roman"/>
        </w:rPr>
        <w:t xml:space="preserve">The TAM for </w:t>
      </w:r>
      <w:r w:rsidRPr="00620654">
        <w:rPr>
          <w:rFonts w:cs="Times New Roman"/>
          <w:iCs/>
        </w:rPr>
        <w:t>t</w:t>
      </w:r>
      <w:r w:rsidR="0048529F" w:rsidRPr="00620654">
        <w:rPr>
          <w:rFonts w:cs="Times New Roman"/>
          <w:iCs/>
        </w:rPr>
        <w:t>his</w:t>
      </w:r>
      <w:r w:rsidRPr="00620654">
        <w:rPr>
          <w:rFonts w:cs="Times New Roman"/>
          <w:iCs/>
        </w:rPr>
        <w:t xml:space="preserve"> solution</w:t>
      </w:r>
      <w:r w:rsidR="00992B8D" w:rsidRPr="00620654">
        <w:rPr>
          <w:rFonts w:cs="Times New Roman"/>
          <w:iCs/>
        </w:rPr>
        <w:t xml:space="preserve"> </w:t>
      </w:r>
      <w:r w:rsidR="00992B8D" w:rsidRPr="00620654">
        <w:rPr>
          <w:rFonts w:cs="Times New Roman"/>
        </w:rPr>
        <w:t>is based on the common project Drawdown projected global</w:t>
      </w:r>
      <w:r w:rsidR="00992B8D" w:rsidRPr="00E069AC">
        <w:rPr>
          <w:rFonts w:cs="Times New Roman"/>
        </w:rPr>
        <w:t xml:space="preserve"> electricity generation in terawatt-hours till 2050</w:t>
      </w:r>
      <w:r w:rsidR="00AE749D" w:rsidRPr="00E069AC">
        <w:rPr>
          <w:rFonts w:cs="Times New Roman"/>
        </w:rPr>
        <w:t xml:space="preserve"> (Section </w:t>
      </w:r>
      <w:r w:rsidR="008E6F9D">
        <w:rPr>
          <w:rFonts w:cs="Times New Roman"/>
        </w:rPr>
        <w:fldChar w:fldCharType="begin"/>
      </w:r>
      <w:r w:rsidR="008E6F9D">
        <w:rPr>
          <w:rFonts w:cs="Times New Roman"/>
        </w:rPr>
        <w:instrText xml:space="preserve"> REF _Ref530226053 \r \h </w:instrText>
      </w:r>
      <w:r w:rsidR="008E6F9D">
        <w:rPr>
          <w:rFonts w:cs="Times New Roman"/>
        </w:rPr>
      </w:r>
      <w:r w:rsidR="008E6F9D">
        <w:rPr>
          <w:rFonts w:cs="Times New Roman"/>
        </w:rPr>
        <w:fldChar w:fldCharType="separate"/>
      </w:r>
      <w:r w:rsidR="008E6F9D">
        <w:rPr>
          <w:rFonts w:cs="Times New Roman"/>
        </w:rPr>
        <w:t>2.3</w:t>
      </w:r>
      <w:r w:rsidR="008E6F9D">
        <w:rPr>
          <w:rFonts w:cs="Times New Roman"/>
        </w:rPr>
        <w:fldChar w:fldCharType="end"/>
      </w:r>
      <w:r w:rsidR="00992B8D" w:rsidRPr="00E069AC">
        <w:rPr>
          <w:rFonts w:cs="Times New Roman"/>
        </w:rPr>
        <w:t>).</w:t>
      </w:r>
    </w:p>
    <w:p w14:paraId="44E67117" w14:textId="2E46E03E" w:rsidR="00395868" w:rsidRPr="00E069AC" w:rsidRDefault="00395868" w:rsidP="00EB247F">
      <w:pPr>
        <w:rPr>
          <w:rFonts w:cs="Times New Roman"/>
        </w:rPr>
      </w:pPr>
      <w:r w:rsidRPr="00E069AC">
        <w:rPr>
          <w:rFonts w:cs="Times New Roman"/>
        </w:rPr>
        <w:t xml:space="preserve">The developed alternative PDS scenarios, draw on existing adoption scenarios for </w:t>
      </w:r>
      <w:r w:rsidR="004835E5">
        <w:rPr>
          <w:rFonts w:cs="Times New Roman"/>
        </w:rPr>
        <w:t xml:space="preserve">nuclear. </w:t>
      </w:r>
      <w:r w:rsidRPr="00E069AC">
        <w:rPr>
          <w:rFonts w:cs="Times New Roman"/>
        </w:rPr>
        <w:t>The RRS model contains both financial and climate analyses in order to model the global and regional impacts of adoption in the PDS scenarios compared to the REF scenario. What the model thus prognosticates is the total financial costs and benefits of adoption case</w:t>
      </w:r>
      <w:r w:rsidR="00D2050B" w:rsidRPr="00E069AC">
        <w:rPr>
          <w:rFonts w:cs="Times New Roman"/>
        </w:rPr>
        <w:t>s</w:t>
      </w:r>
      <w:r w:rsidRPr="00E069AC">
        <w:rPr>
          <w:rFonts w:cs="Times New Roman"/>
        </w:rPr>
        <w:t xml:space="preserve"> for </w:t>
      </w:r>
      <w:r w:rsidR="004835E5">
        <w:rPr>
          <w:rFonts w:cs="Times New Roman"/>
        </w:rPr>
        <w:t>nuclear energy</w:t>
      </w:r>
      <w:r w:rsidRPr="00E069AC">
        <w:rPr>
          <w:rFonts w:cs="Times New Roman"/>
        </w:rPr>
        <w:t>, as well as the contribution</w:t>
      </w:r>
      <w:r w:rsidR="005C2BC8">
        <w:rPr>
          <w:rFonts w:cs="Times New Roman"/>
        </w:rPr>
        <w:t xml:space="preserve"> of</w:t>
      </w:r>
      <w:r w:rsidRPr="00E069AC">
        <w:rPr>
          <w:rFonts w:cs="Times New Roman"/>
        </w:rPr>
        <w:t xml:space="preserve"> th</w:t>
      </w:r>
      <w:r w:rsidR="005C2BC8">
        <w:rPr>
          <w:rFonts w:cs="Times New Roman"/>
        </w:rPr>
        <w:t>ese</w:t>
      </w:r>
      <w:r w:rsidRPr="00E069AC">
        <w:rPr>
          <w:rFonts w:cs="Times New Roman"/>
        </w:rPr>
        <w:t xml:space="preserve"> adoption</w:t>
      </w:r>
      <w:r w:rsidR="005C2BC8">
        <w:rPr>
          <w:rFonts w:cs="Times New Roman"/>
        </w:rPr>
        <w:t>s</w:t>
      </w:r>
      <w:r w:rsidR="001B48E7">
        <w:rPr>
          <w:rFonts w:cs="Times New Roman"/>
        </w:rPr>
        <w:t>,</w:t>
      </w:r>
      <w:r w:rsidRPr="00E069AC">
        <w:rPr>
          <w:rFonts w:cs="Times New Roman"/>
        </w:rPr>
        <w:t xml:space="preserve"> can make to annual and cumulative emissions reduction.</w:t>
      </w:r>
    </w:p>
    <w:p w14:paraId="298F46AB" w14:textId="21172A05" w:rsidR="00F52595" w:rsidRPr="00E069AC" w:rsidRDefault="00E069AC" w:rsidP="00483FFA">
      <w:pPr>
        <w:pStyle w:val="Heading2"/>
        <w:numPr>
          <w:ilvl w:val="1"/>
          <w:numId w:val="26"/>
        </w:numPr>
      </w:pPr>
      <w:bookmarkStart w:id="24" w:name="_Toc19323147"/>
      <w:r>
        <w:t>Data Sources</w:t>
      </w:r>
      <w:bookmarkEnd w:id="24"/>
    </w:p>
    <w:p w14:paraId="7E1F86C7" w14:textId="62F50B30" w:rsidR="00933FD7" w:rsidRPr="001D14D9" w:rsidRDefault="00F66D25" w:rsidP="00EB247F">
      <w:pPr>
        <w:rPr>
          <w:rFonts w:cs="Times New Roman"/>
          <w:highlight w:val="red"/>
        </w:rPr>
      </w:pPr>
      <w:r w:rsidRPr="00E069AC">
        <w:rPr>
          <w:rFonts w:cs="Times New Roman"/>
        </w:rPr>
        <w:t>This section presents key data sources utilized in the mode</w:t>
      </w:r>
      <w:r w:rsidR="004835E5">
        <w:rPr>
          <w:rFonts w:cs="Times New Roman"/>
        </w:rPr>
        <w:t>l</w:t>
      </w:r>
      <w:r w:rsidR="00D2050B" w:rsidRPr="00E069AC">
        <w:rPr>
          <w:rFonts w:cs="Times New Roman"/>
        </w:rPr>
        <w:t xml:space="preserve"> to evaluate the adoption of </w:t>
      </w:r>
      <w:r w:rsidR="004835E5">
        <w:rPr>
          <w:rFonts w:cs="Times New Roman"/>
        </w:rPr>
        <w:t>nuclear energy</w:t>
      </w:r>
      <w:r w:rsidR="005C2BC8">
        <w:rPr>
          <w:rFonts w:cs="Times New Roman"/>
        </w:rPr>
        <w:t xml:space="preserve"> </w:t>
      </w:r>
      <w:r w:rsidR="005C2BC8" w:rsidRPr="0084391C">
        <w:rPr>
          <w:rFonts w:cs="Times New Roman"/>
        </w:rPr>
        <w:t>technologies</w:t>
      </w:r>
      <w:r w:rsidRPr="0084391C">
        <w:rPr>
          <w:rFonts w:cs="Times New Roman"/>
        </w:rPr>
        <w:t>.</w:t>
      </w:r>
      <w:r w:rsidR="002D5C14" w:rsidRPr="0084391C">
        <w:rPr>
          <w:rFonts w:cs="Times New Roman"/>
        </w:rPr>
        <w:t xml:space="preserve"> </w:t>
      </w:r>
      <w:r w:rsidR="00933FD7" w:rsidRPr="0084391C">
        <w:rPr>
          <w:rFonts w:cs="Times New Roman"/>
        </w:rPr>
        <w:t>Data inputs for the model come from a variety of sources, primarily from peer-reviewed publications and from in</w:t>
      </w:r>
      <w:r w:rsidR="00DA44EB" w:rsidRPr="0084391C">
        <w:rPr>
          <w:rFonts w:cs="Times New Roman"/>
        </w:rPr>
        <w:t>stitutional reports. For all variable inputs, it was</w:t>
      </w:r>
      <w:r w:rsidR="00933FD7" w:rsidRPr="0084391C">
        <w:rPr>
          <w:rFonts w:cs="Times New Roman"/>
        </w:rPr>
        <w:t xml:space="preserve"> </w:t>
      </w:r>
      <w:r w:rsidR="00DA44EB" w:rsidRPr="0084391C">
        <w:rPr>
          <w:rFonts w:cs="Times New Roman"/>
        </w:rPr>
        <w:t xml:space="preserve">done </w:t>
      </w:r>
      <w:r w:rsidR="00933FD7" w:rsidRPr="0084391C">
        <w:rPr>
          <w:rFonts w:cs="Times New Roman"/>
        </w:rPr>
        <w:t xml:space="preserve">a variable meta-analysis of existing literature to create low, high, and mean estimates. For each </w:t>
      </w:r>
      <w:r w:rsidRPr="0084391C">
        <w:rPr>
          <w:rFonts w:cs="Times New Roman"/>
        </w:rPr>
        <w:t>solution variable, it is</w:t>
      </w:r>
      <w:r w:rsidR="00933FD7" w:rsidRPr="0084391C">
        <w:rPr>
          <w:rFonts w:cs="Times New Roman"/>
        </w:rPr>
        <w:t xml:space="preserve"> conduct</w:t>
      </w:r>
      <w:r w:rsidRPr="0084391C">
        <w:rPr>
          <w:rFonts w:cs="Times New Roman"/>
        </w:rPr>
        <w:t>ed</w:t>
      </w:r>
      <w:r w:rsidR="00933FD7" w:rsidRPr="0084391C">
        <w:rPr>
          <w:rFonts w:cs="Times New Roman"/>
        </w:rPr>
        <w:t xml:space="preserve"> a sensitivity analysis of, on average, </w:t>
      </w:r>
      <w:r w:rsidR="00662EF5" w:rsidRPr="0084391C">
        <w:rPr>
          <w:rFonts w:cs="Times New Roman"/>
        </w:rPr>
        <w:t>1</w:t>
      </w:r>
      <w:r w:rsidR="0084391C" w:rsidRPr="0084391C">
        <w:rPr>
          <w:rFonts w:cs="Times New Roman"/>
        </w:rPr>
        <w:t>3</w:t>
      </w:r>
      <w:r w:rsidR="00933FD7" w:rsidRPr="0084391C">
        <w:rPr>
          <w:rFonts w:cs="Times New Roman"/>
        </w:rPr>
        <w:t xml:space="preserve"> data points reported in the literature</w:t>
      </w:r>
      <w:r w:rsidRPr="0084391C">
        <w:rPr>
          <w:rFonts w:cs="Times New Roman"/>
        </w:rPr>
        <w:t xml:space="preserve"> and in some cases as many as </w:t>
      </w:r>
      <w:r w:rsidR="0084391C" w:rsidRPr="0084391C">
        <w:rPr>
          <w:rFonts w:cs="Times New Roman"/>
        </w:rPr>
        <w:t>50</w:t>
      </w:r>
      <w:r w:rsidR="00933FD7" w:rsidRPr="0084391C">
        <w:rPr>
          <w:rFonts w:cs="Times New Roman"/>
        </w:rPr>
        <w:t xml:space="preserve">. </w:t>
      </w:r>
      <w:r w:rsidR="00DA44EB" w:rsidRPr="0084391C">
        <w:rPr>
          <w:rFonts w:cs="Times New Roman"/>
        </w:rPr>
        <w:t xml:space="preserve">This allows </w:t>
      </w:r>
      <w:r w:rsidR="001B48E7" w:rsidRPr="0084391C">
        <w:rPr>
          <w:rFonts w:cs="Times New Roman"/>
        </w:rPr>
        <w:t xml:space="preserve">calculating </w:t>
      </w:r>
      <w:r w:rsidR="00933FD7" w:rsidRPr="0084391C">
        <w:rPr>
          <w:rFonts w:cs="Times New Roman"/>
        </w:rPr>
        <w:t>rob</w:t>
      </w:r>
      <w:r w:rsidR="00DA44EB" w:rsidRPr="0084391C">
        <w:rPr>
          <w:rFonts w:cs="Times New Roman"/>
        </w:rPr>
        <w:t xml:space="preserve">ust and reliable inputs for the </w:t>
      </w:r>
      <w:r w:rsidR="00933FD7" w:rsidRPr="0084391C">
        <w:rPr>
          <w:rFonts w:cs="Times New Roman"/>
        </w:rPr>
        <w:t>financial</w:t>
      </w:r>
      <w:r w:rsidRPr="0084391C">
        <w:rPr>
          <w:rFonts w:cs="Times New Roman"/>
        </w:rPr>
        <w:t>, technological</w:t>
      </w:r>
      <w:r w:rsidR="00933FD7" w:rsidRPr="0084391C">
        <w:rPr>
          <w:rFonts w:cs="Times New Roman"/>
        </w:rPr>
        <w:t xml:space="preserve"> and climate analyses that represent both optimistic and conservative estimates for the future costs and benefits of adopting this solution.</w:t>
      </w:r>
    </w:p>
    <w:p w14:paraId="6AA56EA8" w14:textId="78168F2C" w:rsidR="00504D47" w:rsidRPr="00394EFB" w:rsidRDefault="006330C6" w:rsidP="006330C6">
      <w:r w:rsidRPr="00394EFB">
        <w:t xml:space="preserve">For </w:t>
      </w:r>
      <w:r w:rsidR="00614911" w:rsidRPr="00394EFB">
        <w:t>the</w:t>
      </w:r>
      <w:r w:rsidRPr="00394EFB">
        <w:t xml:space="preserve"> global adoption scenarios, </w:t>
      </w:r>
      <w:r w:rsidR="00614911" w:rsidRPr="00394EFB">
        <w:t>it were</w:t>
      </w:r>
      <w:r w:rsidRPr="00394EFB">
        <w:t xml:space="preserve"> selected </w:t>
      </w:r>
      <w:r w:rsidR="00736F66" w:rsidRPr="00394EFB">
        <w:t xml:space="preserve">eight </w:t>
      </w:r>
      <w:r w:rsidRPr="00394EFB">
        <w:t>sources</w:t>
      </w:r>
      <w:r w:rsidR="00736F66" w:rsidRPr="00394EFB">
        <w:t xml:space="preserve"> with </w:t>
      </w:r>
      <w:r w:rsidR="00394EFB" w:rsidRPr="00394EFB">
        <w:t>fifteen</w:t>
      </w:r>
      <w:r w:rsidR="00736F66" w:rsidRPr="00394EFB">
        <w:t xml:space="preserve"> (1</w:t>
      </w:r>
      <w:r w:rsidR="00394EFB" w:rsidRPr="00394EFB">
        <w:t>5</w:t>
      </w:r>
      <w:r w:rsidR="00736F66" w:rsidRPr="00394EFB">
        <w:t>) scenarios</w:t>
      </w:r>
      <w:r w:rsidR="006F2714" w:rsidRPr="00394EFB">
        <w:t xml:space="preserve"> including 2018 IEA World Energy Outlook (Current Policy, New Polic</w:t>
      </w:r>
      <w:r w:rsidR="00736F66" w:rsidRPr="00394EFB">
        <w:t>y, and Sustainable Development s</w:t>
      </w:r>
      <w:r w:rsidR="006F2714" w:rsidRPr="00394EFB">
        <w:t>cenarios); 2017 IEA Energy Technology Perspectives (Reference Technology, 2</w:t>
      </w:r>
      <w:r w:rsidR="00736F66" w:rsidRPr="00394EFB">
        <w:t xml:space="preserve"> Degrees, and Beyond 2 Degrees s</w:t>
      </w:r>
      <w:r w:rsidR="006F2714" w:rsidRPr="00394EFB">
        <w:t xml:space="preserve">cenarios); </w:t>
      </w:r>
      <w:r w:rsidR="00876E08" w:rsidRPr="00394EFB">
        <w:t xml:space="preserve">2018 Equinor’s Energy Perspectives (Rivalry, </w:t>
      </w:r>
      <w:r w:rsidR="00736F66" w:rsidRPr="00394EFB">
        <w:t>Reform, and Renewal s</w:t>
      </w:r>
      <w:r w:rsidR="00876E08" w:rsidRPr="00394EFB">
        <w:t>cenarios); 2017 Grantham/Carbon Tracker Report (</w:t>
      </w:r>
      <w:r w:rsidR="00504D47" w:rsidRPr="00394EFB">
        <w:t xml:space="preserve">moderate fossil fuel intensive or </w:t>
      </w:r>
      <w:r w:rsidR="00876E08" w:rsidRPr="00394EFB">
        <w:t xml:space="preserve">NDC_PE_EV_Medium, and </w:t>
      </w:r>
      <w:r w:rsidR="00504D47" w:rsidRPr="00394EFB">
        <w:t xml:space="preserve">least fossil fuel intensive or </w:t>
      </w:r>
      <w:r w:rsidR="00876E08" w:rsidRPr="00394EFB">
        <w:t>Strong_PV_EV_Medium)</w:t>
      </w:r>
      <w:r w:rsidR="00504D47" w:rsidRPr="00394EFB">
        <w:t>; 2019 IEEJ Outlook</w:t>
      </w:r>
      <w:r w:rsidR="00736F66" w:rsidRPr="00394EFB">
        <w:t xml:space="preserve"> (Reference and Advanced Technology scenarios); </w:t>
      </w:r>
      <w:r w:rsidR="00394EFB" w:rsidRPr="00394EFB">
        <w:t>RAM et al (2018)</w:t>
      </w:r>
      <w:r w:rsidR="00736F66" w:rsidRPr="00394EFB">
        <w:t xml:space="preserve"> 100% Renewable Energy scenario; and Ecofys</w:t>
      </w:r>
      <w:r w:rsidR="00394EFB" w:rsidRPr="00394EFB">
        <w:t xml:space="preserve"> (2018)</w:t>
      </w:r>
      <w:r w:rsidR="00736F66" w:rsidRPr="00394EFB">
        <w:t xml:space="preserve"> </w:t>
      </w:r>
      <w:r w:rsidR="00394EFB" w:rsidRPr="00394EFB">
        <w:t>1.5ºC</w:t>
      </w:r>
      <w:r w:rsidR="00736F66" w:rsidRPr="00394EFB">
        <w:t xml:space="preserve"> scenario</w:t>
      </w:r>
      <w:r w:rsidR="00504D47" w:rsidRPr="00394EFB">
        <w:t>.</w:t>
      </w:r>
    </w:p>
    <w:p w14:paraId="06360E7D" w14:textId="147F7FA7" w:rsidR="007C2326" w:rsidRPr="00275D75" w:rsidRDefault="007C2326" w:rsidP="007C2326">
      <w:pPr>
        <w:keepNext/>
        <w:rPr>
          <w:rFonts w:eastAsia="Times New Roman"/>
        </w:rPr>
      </w:pPr>
      <w:r w:rsidRPr="00275D75">
        <w:rPr>
          <w:rFonts w:eastAsia="Times New Roman"/>
        </w:rPr>
        <w:t xml:space="preserve">Several lifecycle assessments (LCAs) have been conducted for </w:t>
      </w:r>
      <w:r w:rsidR="004835E5" w:rsidRPr="00275D75">
        <w:rPr>
          <w:rFonts w:eastAsia="Times New Roman"/>
        </w:rPr>
        <w:t>nuclear</w:t>
      </w:r>
      <w:r w:rsidRPr="00275D75">
        <w:rPr>
          <w:rFonts w:eastAsia="Times New Roman"/>
        </w:rPr>
        <w:t xml:space="preserve"> power technologies across the globe over the last 30 years (</w:t>
      </w:r>
      <w:r w:rsidRPr="00275D75">
        <w:rPr>
          <w:rFonts w:eastAsia="Times New Roman"/>
          <w:i/>
        </w:rPr>
        <w:t>e.g.</w:t>
      </w:r>
      <w:r w:rsidRPr="00275D75">
        <w:rPr>
          <w:rFonts w:eastAsia="Times New Roman"/>
        </w:rPr>
        <w:t xml:space="preserve"> </w:t>
      </w:r>
      <w:r w:rsidR="00275D75" w:rsidRPr="00275D75">
        <w:rPr>
          <w:rFonts w:eastAsia="Times New Roman"/>
        </w:rPr>
        <w:t>NREL, 2012; Kadiyala, et. al., 2016; Mac Kinnon et al. 2018; IAEA, 2018</w:t>
      </w:r>
      <w:r w:rsidRPr="00275D75">
        <w:rPr>
          <w:rFonts w:eastAsia="Times New Roman"/>
        </w:rPr>
        <w:t>). LCAs determine the environmental impacts of products and technologies throughout their full lifetime, from raw material extraction and processing; to manufacturing and distribution; to use and maintenance; to disposal or recycling. LCAs include estimates of total greenhouse gas (GHG) emissions and other environmental impacts and resources used (</w:t>
      </w:r>
      <w:r w:rsidRPr="00275D75">
        <w:rPr>
          <w:rFonts w:eastAsia="Times New Roman"/>
          <w:i/>
        </w:rPr>
        <w:t>e.g.</w:t>
      </w:r>
      <w:r w:rsidRPr="00275D75">
        <w:rPr>
          <w:rFonts w:eastAsia="Times New Roman"/>
        </w:rPr>
        <w:t xml:space="preserve"> water and land use, air pollutants emissions). </w:t>
      </w:r>
      <w:r w:rsidR="00066150">
        <w:rPr>
          <w:rFonts w:eastAsia="Times New Roman"/>
        </w:rPr>
        <w:t xml:space="preserve">Data. Inputs were considered or several types iof nuclear reactors as: </w:t>
      </w:r>
      <w:r w:rsidR="00066150" w:rsidRPr="00066150">
        <w:rPr>
          <w:rFonts w:eastAsia="Times New Roman"/>
        </w:rPr>
        <w:t>Boiling water reactor (BWR); Pressurized water reactor (PWR); Heavy-water-moderated reactor (HWR); Gas-cooled reactors (GCR); Light-water-cooled graphite moderated reactor (LWGR)/pressure tube graphite reactor (PTGR); Fast breeder reactor (FBR); high temperature gas-cooled reactor (HTGR); modular HTGR (usually called GT-MHR)</w:t>
      </w:r>
      <w:r w:rsidR="00066150">
        <w:rPr>
          <w:rFonts w:eastAsia="Times New Roman"/>
        </w:rPr>
        <w:t>.</w:t>
      </w:r>
    </w:p>
    <w:p w14:paraId="401339E7" w14:textId="379DB437" w:rsidR="00CC61E9" w:rsidRDefault="00CC61E9" w:rsidP="00CC61E9">
      <w:pPr>
        <w:spacing w:after="240"/>
      </w:pPr>
      <w:r w:rsidRPr="00275D75">
        <w:t>For the nuclear energy solution, the values for indirect CO</w:t>
      </w:r>
      <w:r w:rsidRPr="00275D75">
        <w:rPr>
          <w:vertAlign w:val="subscript"/>
        </w:rPr>
        <w:t>2</w:t>
      </w:r>
      <w:r w:rsidRPr="00275D75">
        <w:t xml:space="preserve"> emissions range from </w:t>
      </w:r>
      <w:r w:rsidR="00275D75" w:rsidRPr="00275D75">
        <w:t>0.8</w:t>
      </w:r>
      <w:r w:rsidRPr="00275D75">
        <w:t xml:space="preserve"> g-CO</w:t>
      </w:r>
      <w:r w:rsidRPr="00275D75">
        <w:rPr>
          <w:vertAlign w:val="subscript"/>
        </w:rPr>
        <w:t>2</w:t>
      </w:r>
      <w:r w:rsidRPr="00275D75">
        <w:t xml:space="preserve">eq/kWh to </w:t>
      </w:r>
      <w:r w:rsidR="00275D75" w:rsidRPr="00275D75">
        <w:t>220</w:t>
      </w:r>
      <w:r w:rsidRPr="00275D75">
        <w:t xml:space="preserve"> g-CO</w:t>
      </w:r>
      <w:r w:rsidRPr="00275D75">
        <w:rPr>
          <w:vertAlign w:val="subscript"/>
        </w:rPr>
        <w:t>2</w:t>
      </w:r>
      <w:r w:rsidRPr="00275D75">
        <w:t>eq/kWh. This large differential is due mostly to differences in enrichment, production, and operation, with a large carbon footprint difference in diffusion enrichment compared to centrifuge enrichment. The energy requirement for gaseous centrifuge enrichment ranges from 40-100 kWh/SWU, whereas gaseous diffusion requires 2400-3000 kWh/SWU (Fthenakisa, 2007).</w:t>
      </w:r>
    </w:p>
    <w:p w14:paraId="1D4FA909" w14:textId="77777777" w:rsidR="00394EFB" w:rsidRPr="00CC61E9" w:rsidRDefault="00394EFB" w:rsidP="00394EFB">
      <w:r w:rsidRPr="00CC61E9">
        <w:t xml:space="preserve">There are three types of capital costs for a nuclear power plant: nuclear island (NI), the conventional island (CI), sometimes known as the turbine island, and the balance-of-plant (BOP). The key components of the NI are the reactor, the reactor coolant pumps, the pressurizer, and the steam generators. The key components of the CI are the steam turbine, generator, condenser, condensate-feedwater system, moisture separator reheater, cooling system, and instrumentation and control system. The BOP are the remaining systems. </w:t>
      </w:r>
    </w:p>
    <w:p w14:paraId="14148B99" w14:textId="77777777" w:rsidR="00394EFB" w:rsidRDefault="00394EFB" w:rsidP="00394EFB">
      <w:r>
        <w:t xml:space="preserve">Recent capital cost estimates from several data sources, presenting data for all of the regions contained in this analysis, were analyzed to determine the average capital cost of NPP installations </w:t>
      </w:r>
      <w:r>
        <w:fldChar w:fldCharType="begin"/>
      </w:r>
      <w:r>
        <w:instrText xml:space="preserve"> ADDIN ZOTERO_ITEM CSL_CITATION {"citationID":"m2RREmfn","properties":{"formattedCitation":"(IEA, 2014; IRENA, 2015; REN21, 2015)","plainCitation":"(IEA, 2014; IRENA, 2015; REN21, 2015)"},"citationItems":[{"id":3993,"uris":["http://zotero.org/groups/277937/items/TG7KD8S5"],"uri":["http://zotero.org/groups/277937/items/TG7KD8S5"],"itemData":{"id":3993,"type":"report","title":"Renewable Power Generation Costs in 2014","author":[{"family":"IRENA","given":""}],"issued":{"date-parts":[["2015",1]]}}},{"id":3992,"uris":["http://zotero.org/groups/277937/items/TMDDCUC9"],"uri":["http://zotero.org/groups/277937/items/TMDDCUC9"],"itemData":{"id":3992,"type":"report","title":"Renewables 2015: Global Status Report","URL":"http://www.ren21.net/status-of-renewables/global-status-report/","author":[{"family":"REN21","given":""}],"issued":{"date-parts":[["2015"]]}}},{"id":3986,"uris":["http://zotero.org/groups/277937/items/KSGIGHEK"],"uri":["http://zotero.org/groups/277937/items/KSGIGHEK"],"itemData":{"id":3986,"type":"report","title":"Technology Roadmap: Solar Photovoltaic Energy","source":"Google Scholar","URL":"http://www.iea.org/publications/freepublications/publication/TechnologyRoadmapSolarPhotovoltaicEnergy_2014edition.pdf","author":[{"family":"IEA","given":""}],"issued":{"date-parts":[["2014"]]},"accessed":{"date-parts":[["2015",7,14]]}}}],"schema":"https://github.com/citation-style-language/schema/raw/master/csl-citation.json"} </w:instrText>
      </w:r>
      <w:r>
        <w:fldChar w:fldCharType="separate"/>
      </w:r>
      <w:r w:rsidRPr="00CC61E9">
        <w:t>(e.g. IEA, 2014; IPCC, 2014; IAEA, 2013)</w:t>
      </w:r>
      <w:r>
        <w:fldChar w:fldCharType="end"/>
      </w:r>
      <w:r>
        <w:t xml:space="preserve">. It is acknowledged that capital costs can vary significantly by region, but exhaustive regional data were not available to calculate an average cost weighted by installation size. Available estimates were concentrated in OECD countries and China, reflecting the preponderance of present-day nuclear power installations. </w:t>
      </w:r>
    </w:p>
    <w:p w14:paraId="733C3170" w14:textId="77777777" w:rsidR="00394EFB" w:rsidRDefault="00394EFB" w:rsidP="00394EFB">
      <w:r>
        <w:t xml:space="preserve">Cost estimates for fixed operation and maintenance (O&amp;M) of NPPs were </w:t>
      </w:r>
      <w:r w:rsidRPr="00FE076C">
        <w:t>collected from a variety of sources (IPCC, 2014)</w:t>
      </w:r>
      <w:r>
        <w:t xml:space="preserve">; </w:t>
      </w:r>
      <w:r w:rsidRPr="00FE076C">
        <w:t>(EIA, 2013), and these estimates were used to calculate total operating costs of NPP adoption, which, combined with capital costs for installation, represent the total</w:t>
      </w:r>
      <w:r>
        <w:t xml:space="preserve"> financial costs of adopting nuclear energy in the PD scenarios. Fixed operation and maintenance costs include expenses such as day-to-day preventative and corrective maintenance, labor costs, asset and site management, and maintaining health and safety.  </w:t>
      </w:r>
    </w:p>
    <w:p w14:paraId="6741931E" w14:textId="77777777" w:rsidR="00394EFB" w:rsidRDefault="00394EFB" w:rsidP="00394EFB">
      <w:r>
        <w:t xml:space="preserve">In order to calculate the total financial costs and </w:t>
      </w:r>
      <w:r w:rsidRPr="0017521B">
        <w:t xml:space="preserve">benefits of </w:t>
      </w:r>
      <w:r>
        <w:t>PD scenarios</w:t>
      </w:r>
      <w:r w:rsidRPr="0017521B">
        <w:t xml:space="preserve"> adoption</w:t>
      </w:r>
      <w:r>
        <w:t>s</w:t>
      </w:r>
      <w:r w:rsidRPr="0017521B">
        <w:t xml:space="preserve">, </w:t>
      </w:r>
      <w:r>
        <w:t>it was</w:t>
      </w:r>
      <w:r w:rsidRPr="0017521B">
        <w:t xml:space="preserve"> analyzed data for several additional variables, including average annual use, average fuel price, and average plant efficiency. All three of these are key to determining the variable O</w:t>
      </w:r>
      <w:r>
        <w:t>&amp;</w:t>
      </w:r>
      <w:r w:rsidRPr="0017521B">
        <w:t>M costs and the total fuel costs for conventional generation sources, as these costs are determined by the average number of hours the power plant is generating electricity, as well as the average price of fuel inputs an</w:t>
      </w:r>
      <w:r>
        <w:t xml:space="preserve">d the average efficiency rate. </w:t>
      </w:r>
    </w:p>
    <w:p w14:paraId="59B5C26F" w14:textId="77777777" w:rsidR="00394EFB" w:rsidRPr="0006439A" w:rsidRDefault="00394EFB" w:rsidP="00394EFB">
      <w:r w:rsidRPr="00943699">
        <w:t>Fuel prices for conventional technologies are derived from IEA (2019) data, averaging 2007-2018 historical registries for oil</w:t>
      </w:r>
      <w:r w:rsidRPr="0006439A">
        <w:t>, coal and natural gas used for electricity generation and calculated through a weighted average by fuel from the current electricity generation mix.</w:t>
      </w:r>
    </w:p>
    <w:p w14:paraId="2CF102AE" w14:textId="77777777" w:rsidR="00394EFB" w:rsidRDefault="00394EFB" w:rsidP="00394EFB">
      <w:r w:rsidRPr="0006439A">
        <w:t>Data was collected from a range of different sources (EIA, 2015; IEA, 2016; IAEA, 2003) that represent most of the regions contained in the analysis. Some of the PD</w:t>
      </w:r>
      <w:r>
        <w:t xml:space="preserve"> regions are absent, however, because data for these specific regions were not readily available.</w:t>
      </w:r>
    </w:p>
    <w:p w14:paraId="360B1179" w14:textId="1F6ADA74" w:rsidR="00275D75" w:rsidRPr="00275D75" w:rsidRDefault="00275D75" w:rsidP="00275D75">
      <w:r>
        <w:t xml:space="preserve">Rubin et al. </w:t>
      </w:r>
      <w:r w:rsidR="00EB20CE">
        <w:t>summarize</w:t>
      </w:r>
      <w:r>
        <w:t xml:space="preserve"> learning rates </w:t>
      </w:r>
      <w:r w:rsidR="00EB20CE">
        <w:t xml:space="preserve">(i.e. fractional reduction in cost per doubling of cumulative capacity or production) </w:t>
      </w:r>
      <w:r>
        <w:t xml:space="preserve">for </w:t>
      </w:r>
      <w:r w:rsidR="00EB20CE">
        <w:t xml:space="preserve">wide variety of </w:t>
      </w:r>
      <w:r>
        <w:t xml:space="preserve">electricity generation technologies. However, </w:t>
      </w:r>
      <w:r w:rsidR="00EB20CE">
        <w:t>the paper</w:t>
      </w:r>
      <w:r>
        <w:t xml:space="preserve"> has limited information on nuclear power learning rates, and none before 1972 or after 1996. Lang (2017) states that if </w:t>
      </w:r>
      <w:r w:rsidR="00EB20CE">
        <w:t>“</w:t>
      </w:r>
      <w:r w:rsidRPr="00EB20CE">
        <w:rPr>
          <w:i/>
        </w:rPr>
        <w:t>the rate of commercial nuclear deployment in the late-1960s to 1970s been maintained to the present day, nuclear power could now be around 10 percent of its current cost and according to him could have substituted for 69,000 to 186,000 TWh of coal and gas generation—thereby avoiding up to 9.5 million deaths and 174 Gt CO</w:t>
      </w:r>
      <w:r w:rsidRPr="00EB20CE">
        <w:rPr>
          <w:i/>
          <w:vertAlign w:val="subscript"/>
        </w:rPr>
        <w:t>2</w:t>
      </w:r>
      <w:r w:rsidRPr="00EB20CE">
        <w:rPr>
          <w:i/>
        </w:rPr>
        <w:t xml:space="preserve"> emissions. Learning rates and deployment rates changed in the late-1960s and 1970s from rapidly falling costs and accelerating deployment to rapidly rising costs and stalled deployment (Lang, 2017). If pre reversal learning rates were to be considered, they could range from 7% in India to 3</w:t>
      </w:r>
      <w:r w:rsidR="00066150" w:rsidRPr="00EB20CE">
        <w:rPr>
          <w:i/>
        </w:rPr>
        <w:t>5</w:t>
      </w:r>
      <w:r w:rsidRPr="00EB20CE">
        <w:rPr>
          <w:i/>
        </w:rPr>
        <w:t xml:space="preserve">% in </w:t>
      </w:r>
      <w:r w:rsidR="00066150" w:rsidRPr="00EB20CE">
        <w:rPr>
          <w:i/>
        </w:rPr>
        <w:t>Japan</w:t>
      </w:r>
      <w:r w:rsidRPr="00EB20CE">
        <w:rPr>
          <w:i/>
        </w:rPr>
        <w:t>. Pre reversal indicates the period before stalled deployment</w:t>
      </w:r>
      <w:r w:rsidR="00EB20CE">
        <w:t>”</w:t>
      </w:r>
      <w:r>
        <w:t>.</w:t>
      </w:r>
    </w:p>
    <w:p w14:paraId="3F6B79A0" w14:textId="53075FA8" w:rsidR="00DF4904" w:rsidRDefault="00E069AC" w:rsidP="00483FFA">
      <w:pPr>
        <w:pStyle w:val="Heading2"/>
        <w:numPr>
          <w:ilvl w:val="1"/>
          <w:numId w:val="26"/>
        </w:numPr>
      </w:pPr>
      <w:bookmarkStart w:id="25" w:name="_Ref530226053"/>
      <w:bookmarkStart w:id="26" w:name="_Toc19323148"/>
      <w:r>
        <w:t>Total Addressable Market</w:t>
      </w:r>
      <w:bookmarkEnd w:id="25"/>
      <w:bookmarkEnd w:id="26"/>
    </w:p>
    <w:p w14:paraId="79B37D5A" w14:textId="77777777" w:rsidR="001D14D9" w:rsidRPr="006205EB" w:rsidRDefault="001D14D9" w:rsidP="001D14D9">
      <w:pPr>
        <w:rPr>
          <w:rFonts w:cs="Times New Roman"/>
        </w:rPr>
      </w:pPr>
      <w:r>
        <w:rPr>
          <w:rFonts w:cs="Times New Roman"/>
        </w:rPr>
        <w:t xml:space="preserve">Solutions assessed in the </w:t>
      </w:r>
      <w:r w:rsidRPr="00E069AC">
        <w:rPr>
          <w:rFonts w:cs="Times New Roman"/>
        </w:rPr>
        <w:t xml:space="preserve">Electricity Generation Sector share a common market </w:t>
      </w:r>
      <w:r w:rsidRPr="00A66C20">
        <w:rPr>
          <w:rFonts w:cs="Times New Roman"/>
        </w:rPr>
        <w:t>for future adoption</w:t>
      </w:r>
      <w:r>
        <w:rPr>
          <w:rFonts w:cs="Times New Roman"/>
        </w:rPr>
        <w:t xml:space="preserve"> defined by the total terawatt-hours (TWh) of generation demanded from 2015-2060. This shared total addressable market (TAM) is used to bound this sector technologies rollout over time</w:t>
      </w:r>
      <w:r w:rsidRPr="00A66C20">
        <w:rPr>
          <w:rFonts w:cs="Times New Roman"/>
        </w:rPr>
        <w:t xml:space="preserve">. The </w:t>
      </w:r>
      <w:r>
        <w:rPr>
          <w:rFonts w:cs="Times New Roman"/>
        </w:rPr>
        <w:t xml:space="preserve">TAM is determined based on the assessment of </w:t>
      </w:r>
      <w:r w:rsidRPr="00A66C20">
        <w:rPr>
          <w:rFonts w:cs="Times New Roman"/>
        </w:rPr>
        <w:t xml:space="preserve"> </w:t>
      </w:r>
      <w:r>
        <w:rPr>
          <w:rFonts w:cs="Times New Roman"/>
        </w:rPr>
        <w:t>estimations</w:t>
      </w:r>
      <w:r w:rsidRPr="00A66C20">
        <w:rPr>
          <w:rFonts w:cs="Times New Roman"/>
        </w:rPr>
        <w:t xml:space="preserve"> </w:t>
      </w:r>
      <w:r>
        <w:rPr>
          <w:rFonts w:cs="Times New Roman"/>
        </w:rPr>
        <w:t xml:space="preserve">of current and future </w:t>
      </w:r>
      <w:r w:rsidRPr="00A66C20">
        <w:rPr>
          <w:rFonts w:cs="Times New Roman"/>
        </w:rPr>
        <w:t xml:space="preserve">electricity generation </w:t>
      </w:r>
      <w:r w:rsidRPr="006205EB">
        <w:rPr>
          <w:rFonts w:cs="Times New Roman"/>
        </w:rPr>
        <w:t>from a combination of models and scenarios from different sources</w:t>
      </w:r>
      <w:r>
        <w:rPr>
          <w:rFonts w:cs="Times New Roman"/>
        </w:rPr>
        <w:t>,</w:t>
      </w:r>
      <w:r w:rsidRPr="006205EB">
        <w:rPr>
          <w:rFonts w:cs="Times New Roman"/>
        </w:rPr>
        <w:t xml:space="preserve"> </w:t>
      </w:r>
      <w:r>
        <w:rPr>
          <w:rFonts w:cs="Times New Roman"/>
        </w:rPr>
        <w:t xml:space="preserve">including </w:t>
      </w:r>
      <w:r w:rsidRPr="006205EB">
        <w:rPr>
          <w:rFonts w:cs="Times New Roman"/>
        </w:rPr>
        <w:t xml:space="preserve">Greenpeace (2015); International Energy Agency (IEA) - Energy Technology Perspectives (IEA, 2017); IEA World Energy Outlook (WEO) (IEA, 2018); Equinor (2018); Ecofys (2018); The Institute of Energy Economics Japan (IEEJ) Outlook 2019 (2018) and Ram et al. (2019). See Project Drawdown report - Assessing the Total Addressable Market and Major Assumptions for more details on </w:t>
      </w:r>
      <w:r>
        <w:rPr>
          <w:rFonts w:cs="Times New Roman"/>
        </w:rPr>
        <w:t>the methodology used to develop the electricity TAM</w:t>
      </w:r>
      <w:r w:rsidRPr="006205EB">
        <w:rPr>
          <w:rFonts w:cs="Times New Roman"/>
        </w:rPr>
        <w:t xml:space="preserve">. The updated 2019 </w:t>
      </w:r>
      <w:r>
        <w:rPr>
          <w:rFonts w:cs="Times New Roman"/>
        </w:rPr>
        <w:t>study</w:t>
      </w:r>
      <w:r w:rsidRPr="006205EB">
        <w:rPr>
          <w:rFonts w:cs="Times New Roman"/>
        </w:rPr>
        <w:t xml:space="preserve"> follows the same methodological approach </w:t>
      </w:r>
      <w:r>
        <w:rPr>
          <w:rFonts w:cs="Times New Roman"/>
        </w:rPr>
        <w:t>with the inclusion of</w:t>
      </w:r>
      <w:r w:rsidRPr="006205EB">
        <w:rPr>
          <w:rFonts w:cs="Times New Roman"/>
        </w:rPr>
        <w:t xml:space="preserve"> new</w:t>
      </w:r>
      <w:r>
        <w:rPr>
          <w:rFonts w:cs="Times New Roman"/>
        </w:rPr>
        <w:t>er</w:t>
      </w:r>
      <w:r w:rsidRPr="006205EB">
        <w:rPr>
          <w:rFonts w:cs="Times New Roman"/>
        </w:rPr>
        <w:t xml:space="preserve"> sources.</w:t>
      </w:r>
    </w:p>
    <w:p w14:paraId="75DCEE70" w14:textId="77777777" w:rsidR="001D14D9" w:rsidRDefault="001D14D9" w:rsidP="001D14D9">
      <w:pPr>
        <w:rPr>
          <w:rFonts w:cs="Times New Roman"/>
        </w:rPr>
      </w:pPr>
      <w:r>
        <w:rPr>
          <w:rFonts w:cs="Times New Roman"/>
        </w:rPr>
        <w:t>Four</w:t>
      </w:r>
      <w:r w:rsidRPr="006205EB">
        <w:rPr>
          <w:rFonts w:cs="Times New Roman"/>
        </w:rPr>
        <w:t xml:space="preserve"> prognostications of the </w:t>
      </w:r>
      <w:r>
        <w:rPr>
          <w:rFonts w:cs="Times New Roman"/>
        </w:rPr>
        <w:t>TAM</w:t>
      </w:r>
      <w:r w:rsidRPr="006205EB">
        <w:rPr>
          <w:rFonts w:cs="Times New Roman"/>
        </w:rPr>
        <w:t xml:space="preserve"> </w:t>
      </w:r>
      <w:r>
        <w:rPr>
          <w:rFonts w:cs="Times New Roman"/>
        </w:rPr>
        <w:t xml:space="preserve">for this assessment were derived </w:t>
      </w:r>
      <w:r w:rsidRPr="00A66C20">
        <w:rPr>
          <w:rFonts w:cs="Times New Roman"/>
        </w:rPr>
        <w:t>by</w:t>
      </w:r>
      <w:r>
        <w:rPr>
          <w:rFonts w:cs="Times New Roman"/>
        </w:rPr>
        <w:t xml:space="preserve"> using </w:t>
      </w:r>
      <w:r w:rsidRPr="00A66C20">
        <w:rPr>
          <w:rFonts w:cs="Times New Roman"/>
        </w:rPr>
        <w:t xml:space="preserve">comparable scenarios from each </w:t>
      </w:r>
      <w:r>
        <w:rPr>
          <w:rFonts w:cs="Times New Roman"/>
        </w:rPr>
        <w:t xml:space="preserve">of the </w:t>
      </w:r>
      <w:r w:rsidRPr="00A66C20">
        <w:rPr>
          <w:rFonts w:cs="Times New Roman"/>
        </w:rPr>
        <w:t>a</w:t>
      </w:r>
      <w:r>
        <w:rPr>
          <w:rFonts w:cs="Times New Roman"/>
        </w:rPr>
        <w:t xml:space="preserve">bove-mentioned </w:t>
      </w:r>
      <w:r w:rsidRPr="00A66C20">
        <w:rPr>
          <w:rFonts w:cs="Times New Roman"/>
        </w:rPr>
        <w:t>source</w:t>
      </w:r>
      <w:r>
        <w:rPr>
          <w:rFonts w:cs="Times New Roman"/>
        </w:rPr>
        <w:t>s which were categorized</w:t>
      </w:r>
      <w:r w:rsidRPr="00A66C20">
        <w:rPr>
          <w:rFonts w:cs="Times New Roman"/>
        </w:rPr>
        <w:t xml:space="preserve"> </w:t>
      </w:r>
      <w:r>
        <w:rPr>
          <w:rFonts w:cs="Times New Roman"/>
        </w:rPr>
        <w:t>by</w:t>
      </w:r>
      <w:r w:rsidRPr="00A66C20">
        <w:rPr>
          <w:rFonts w:cs="Times New Roman"/>
        </w:rPr>
        <w:t xml:space="preserve"> expect</w:t>
      </w:r>
      <w:r>
        <w:rPr>
          <w:rFonts w:cs="Times New Roman"/>
        </w:rPr>
        <w:t xml:space="preserve">ed </w:t>
      </w:r>
      <w:r w:rsidRPr="00A66C20">
        <w:rPr>
          <w:rFonts w:cs="Times New Roman"/>
        </w:rPr>
        <w:t>climate mitigation</w:t>
      </w:r>
      <w:r>
        <w:rPr>
          <w:rFonts w:cs="Times New Roman"/>
        </w:rPr>
        <w:t xml:space="preserve"> scenarios</w:t>
      </w:r>
      <w:r w:rsidRPr="00A66C20">
        <w:rPr>
          <w:rFonts w:cs="Times New Roman"/>
        </w:rPr>
        <w:t xml:space="preserve"> (</w:t>
      </w:r>
      <w:r>
        <w:rPr>
          <w:rFonts w:cs="Times New Roman"/>
        </w:rPr>
        <w:t xml:space="preserve">i.e. </w:t>
      </w:r>
      <w:r w:rsidRPr="00DA0DA4">
        <w:rPr>
          <w:rFonts w:cs="Times New Roman"/>
        </w:rPr>
        <w:t xml:space="preserve">Ambitious, Conservative, and Baseline) and </w:t>
      </w:r>
      <w:r>
        <w:rPr>
          <w:rFonts w:cs="Times New Roman"/>
        </w:rPr>
        <w:t xml:space="preserve">the scale of </w:t>
      </w:r>
      <w:r w:rsidRPr="00DA0DA4">
        <w:rPr>
          <w:rFonts w:cs="Times New Roman"/>
        </w:rPr>
        <w:t xml:space="preserve">deployment of renewable energy sources (RES) (i.e. 100% RES </w:t>
      </w:r>
      <w:r>
        <w:rPr>
          <w:rFonts w:cs="Times New Roman"/>
        </w:rPr>
        <w:t>scenarios</w:t>
      </w:r>
      <w:r w:rsidRPr="00DA0DA4">
        <w:rPr>
          <w:rFonts w:cs="Times New Roman"/>
        </w:rPr>
        <w:t xml:space="preserve">). The sources used mostly provide results at a decadal level, which were interpolated to provide annual values for Project Drawdown calculations. </w:t>
      </w:r>
    </w:p>
    <w:p w14:paraId="37B42B8F" w14:textId="77777777" w:rsidR="001D14D9" w:rsidRPr="00DA0DA4" w:rsidRDefault="001D14D9" w:rsidP="001D14D9">
      <w:pPr>
        <w:rPr>
          <w:rFonts w:cs="Times New Roman"/>
        </w:rPr>
      </w:pPr>
      <w:r w:rsidRPr="00DA0DA4">
        <w:rPr>
          <w:rFonts w:cs="Times New Roman"/>
        </w:rPr>
        <w:t xml:space="preserve">The </w:t>
      </w:r>
      <w:r w:rsidRPr="00DA0DA4">
        <w:rPr>
          <w:rFonts w:cs="Times New Roman"/>
          <w:u w:val="single"/>
        </w:rPr>
        <w:t>Ambitious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Scenario</w:t>
      </w:r>
      <w:r w:rsidRPr="00DA0DA4">
        <w:rPr>
          <w:rFonts w:cs="Times New Roman"/>
        </w:rPr>
        <w:t xml:space="preserve"> is </w:t>
      </w:r>
      <w:r>
        <w:rPr>
          <w:rFonts w:cs="Times New Roman"/>
        </w:rPr>
        <w:t>constructed</w:t>
      </w:r>
      <w:r w:rsidRPr="00DA0DA4">
        <w:rPr>
          <w:rFonts w:cs="Times New Roman"/>
        </w:rPr>
        <w:t xml:space="preserve"> from the average of yearly values of </w:t>
      </w:r>
      <w:r>
        <w:rPr>
          <w:rFonts w:cs="Times New Roman"/>
        </w:rPr>
        <w:t>four</w:t>
      </w:r>
      <w:r w:rsidRPr="00DA0DA4">
        <w:rPr>
          <w:rFonts w:cs="Times New Roman"/>
        </w:rPr>
        <w:t xml:space="preserve"> scenarios: </w:t>
      </w:r>
      <w:r>
        <w:rPr>
          <w:rFonts w:cs="Times New Roman"/>
        </w:rPr>
        <w:t xml:space="preserve">the </w:t>
      </w:r>
      <w:r w:rsidRPr="00DA0DA4">
        <w:rPr>
          <w:rFonts w:cs="Times New Roman"/>
        </w:rPr>
        <w:t xml:space="preserve">IEA </w:t>
      </w:r>
      <w:r>
        <w:rPr>
          <w:rFonts w:cs="Times New Roman"/>
        </w:rPr>
        <w:t xml:space="preserve">(2017) </w:t>
      </w:r>
      <w:r w:rsidRPr="00DA0DA4">
        <w:rPr>
          <w:rFonts w:cs="Times New Roman"/>
        </w:rPr>
        <w:t>2D Scenario</w:t>
      </w:r>
      <w:r>
        <w:rPr>
          <w:rFonts w:cs="Times New Roman"/>
        </w:rPr>
        <w:t xml:space="preserve">, </w:t>
      </w:r>
      <w:r w:rsidRPr="00DA0DA4">
        <w:rPr>
          <w:rFonts w:cs="Times New Roman"/>
        </w:rPr>
        <w:t>the IEA</w:t>
      </w:r>
      <w:r>
        <w:rPr>
          <w:rFonts w:cs="Times New Roman"/>
        </w:rPr>
        <w:t xml:space="preserve"> (2017) </w:t>
      </w:r>
      <w:r w:rsidRPr="00DA0DA4">
        <w:rPr>
          <w:rFonts w:cs="Times New Roman"/>
        </w:rPr>
        <w:t>B2D scenario, Renewal Scenario from Equinor (2018)</w:t>
      </w:r>
      <w:r>
        <w:rPr>
          <w:rFonts w:cs="Times New Roman"/>
        </w:rPr>
        <w:t>,</w:t>
      </w:r>
      <w:r w:rsidRPr="00DA0DA4">
        <w:rPr>
          <w:rFonts w:cs="Times New Roman"/>
        </w:rPr>
        <w:t xml:space="preserve"> and IEA (2018) WEO SD scenario. The </w:t>
      </w:r>
      <w:r w:rsidRPr="00DA0DA4">
        <w:rPr>
          <w:rFonts w:cs="Times New Roman"/>
          <w:u w:val="single"/>
        </w:rPr>
        <w:t>Conservative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w:t>
      </w:r>
      <w:r>
        <w:rPr>
          <w:rFonts w:cs="Times New Roman"/>
          <w:u w:val="single"/>
        </w:rPr>
        <w:t>Sc</w:t>
      </w:r>
      <w:r w:rsidRPr="00DA0DA4">
        <w:rPr>
          <w:rFonts w:cs="Times New Roman"/>
          <w:u w:val="single"/>
        </w:rPr>
        <w:t>enario</w:t>
      </w:r>
      <w:r w:rsidRPr="00DA0DA4">
        <w:rPr>
          <w:rFonts w:cs="Times New Roman"/>
        </w:rPr>
        <w:t xml:space="preserve"> follows the average yearly values of the IEA (2018) WEO New Policy scenario (NPS); Reform Scenario from Equinor. (2018), IEEJ Outlook </w:t>
      </w:r>
      <w:r>
        <w:rPr>
          <w:rFonts w:cs="Times New Roman"/>
        </w:rPr>
        <w:t>(2018</w:t>
      </w:r>
      <w:r w:rsidRPr="00DA0DA4">
        <w:rPr>
          <w:rFonts w:cs="Times New Roman"/>
        </w:rPr>
        <w:t>) Advanced Tech scenario</w:t>
      </w:r>
      <w:r>
        <w:rPr>
          <w:rFonts w:cs="Times New Roman"/>
        </w:rPr>
        <w:t>,</w:t>
      </w:r>
      <w:r w:rsidRPr="00DA0DA4">
        <w:rPr>
          <w:rFonts w:cs="Times New Roman"/>
        </w:rPr>
        <w:t xml:space="preserve"> and IRENA (201</w:t>
      </w:r>
      <w:r>
        <w:rPr>
          <w:rFonts w:cs="Times New Roman"/>
        </w:rPr>
        <w:t>9b</w:t>
      </w:r>
      <w:r w:rsidRPr="00DA0DA4">
        <w:rPr>
          <w:rFonts w:cs="Times New Roman"/>
        </w:rPr>
        <w:t>) Roadmap 2050 REmap case.</w:t>
      </w:r>
      <w:r>
        <w:rPr>
          <w:rFonts w:cs="Times New Roman"/>
        </w:rPr>
        <w:t xml:space="preserve"> </w:t>
      </w:r>
      <w:r w:rsidRPr="00DA0DA4">
        <w:rPr>
          <w:rFonts w:cs="Times New Roman"/>
        </w:rPr>
        <w:t xml:space="preserve">The </w:t>
      </w:r>
      <w:r w:rsidRPr="00DA0DA4">
        <w:rPr>
          <w:rFonts w:cs="Times New Roman"/>
          <w:u w:val="single"/>
        </w:rPr>
        <w:t>Baseline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Scenario </w:t>
      </w:r>
      <w:r w:rsidRPr="00DA0DA4">
        <w:rPr>
          <w:rFonts w:cs="Times New Roman"/>
        </w:rPr>
        <w:t>is built by the average of the Equinor (2018) Rivalry Scenario, IEEJ</w:t>
      </w:r>
      <w:r>
        <w:rPr>
          <w:rFonts w:cs="Times New Roman"/>
        </w:rPr>
        <w:t xml:space="preserve"> Outlook (2018</w:t>
      </w:r>
      <w:r w:rsidRPr="00DA0DA4">
        <w:rPr>
          <w:rFonts w:cs="Times New Roman"/>
        </w:rPr>
        <w:t xml:space="preserve">) Reference Scenario, IEA (2017) Reference Case and IEA (2018) WEO Current polices Scenario (CPS). </w:t>
      </w:r>
      <w:r>
        <w:rPr>
          <w:rFonts w:cs="Times New Roman"/>
        </w:rPr>
        <w:t xml:space="preserve">These three </w:t>
      </w:r>
      <w:r w:rsidRPr="00DA0DA4">
        <w:rPr>
          <w:rFonts w:cs="Times New Roman"/>
          <w:u w:val="single"/>
        </w:rPr>
        <w:t>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w:t>
      </w:r>
      <w:r>
        <w:rPr>
          <w:rFonts w:cs="Times New Roman"/>
        </w:rPr>
        <w:t>TAM scenarios show an estimated range of electricity generation from 45,286TWh to 49,706TWh by 2050. Baseline TAM is used for PD Plausible scenario assessment.</w:t>
      </w:r>
    </w:p>
    <w:p w14:paraId="15305181" w14:textId="6DBB2C11" w:rsidR="001D14D9" w:rsidRPr="0084391C" w:rsidRDefault="001D14D9" w:rsidP="001D14D9">
      <w:pPr>
        <w:rPr>
          <w:rFonts w:cs="Times New Roman"/>
        </w:rPr>
      </w:pPr>
      <w:r>
        <w:rPr>
          <w:rFonts w:cs="Times New Roman"/>
        </w:rPr>
        <w:t>An</w:t>
      </w:r>
      <w:r w:rsidRPr="00DA0DA4">
        <w:rPr>
          <w:rFonts w:cs="Times New Roman"/>
        </w:rPr>
        <w:t xml:space="preserve"> ambitious TAM scenario </w:t>
      </w:r>
      <w:r>
        <w:rPr>
          <w:rFonts w:cs="Times New Roman"/>
        </w:rPr>
        <w:t>for a</w:t>
      </w:r>
      <w:r w:rsidRPr="00DA0DA4">
        <w:rPr>
          <w:rFonts w:cs="Times New Roman"/>
        </w:rPr>
        <w:t xml:space="preserve"> 100% RES by 2050</w:t>
      </w:r>
      <w:r>
        <w:rPr>
          <w:rFonts w:cs="Times New Roman"/>
        </w:rPr>
        <w:t>, which is</w:t>
      </w:r>
      <w:r w:rsidRPr="00DA0DA4">
        <w:rPr>
          <w:rFonts w:cs="Times New Roman"/>
        </w:rPr>
        <w:t xml:space="preserve"> aligned to project Drawdown Optimum and Drawdown scenarios</w:t>
      </w:r>
      <w:r>
        <w:rPr>
          <w:rFonts w:cs="Times New Roman"/>
        </w:rPr>
        <w:t>, utilizes</w:t>
      </w:r>
      <w:r w:rsidRPr="00DA0DA4">
        <w:rPr>
          <w:rFonts w:cs="Times New Roman"/>
        </w:rPr>
        <w:t xml:space="preserve"> the Greenpeace (2015) Advanced [R]evolution Scenario, Ram et al (2019) analysis and Ecofys (2018) 1.5ºC degree scenario were considered. </w:t>
      </w:r>
      <w:r>
        <w:rPr>
          <w:rFonts w:cs="Times New Roman"/>
        </w:rPr>
        <w:t>The estimated electricity generation for this TAM reaches 70,942 TWh</w:t>
      </w:r>
      <w:r w:rsidRPr="002831BC">
        <w:rPr>
          <w:rFonts w:cs="Times New Roman"/>
        </w:rPr>
        <w:t xml:space="preserve"> </w:t>
      </w:r>
      <w:r>
        <w:rPr>
          <w:rFonts w:cs="Times New Roman"/>
        </w:rPr>
        <w:t>by 2050.</w:t>
      </w:r>
    </w:p>
    <w:p w14:paraId="4303D5C0" w14:textId="680F6F79" w:rsidR="00B144E5" w:rsidRPr="00E069AC" w:rsidRDefault="00E069AC" w:rsidP="00483FFA">
      <w:pPr>
        <w:pStyle w:val="Heading2"/>
        <w:numPr>
          <w:ilvl w:val="1"/>
          <w:numId w:val="26"/>
        </w:numPr>
      </w:pPr>
      <w:bookmarkStart w:id="27" w:name="_Toc19323149"/>
      <w:r>
        <w:t>Adoption Scenarios</w:t>
      </w:r>
      <w:bookmarkEnd w:id="27"/>
    </w:p>
    <w:p w14:paraId="04C20E8D" w14:textId="4E6F679B" w:rsidR="000875B5" w:rsidRPr="00E069AC" w:rsidRDefault="00D2050B" w:rsidP="004B4939">
      <w:pPr>
        <w:autoSpaceDE w:val="0"/>
        <w:autoSpaceDN w:val="0"/>
        <w:adjustRightInd w:val="0"/>
        <w:spacing w:after="0"/>
        <w:rPr>
          <w:rFonts w:cs="Times New Roman"/>
        </w:rPr>
      </w:pPr>
      <w:bookmarkStart w:id="28" w:name="_Hlk525033174"/>
      <w:r w:rsidRPr="00E069AC">
        <w:rPr>
          <w:rFonts w:cs="Times New Roman"/>
        </w:rPr>
        <w:t>Two different types of adoption scenarios were developed: a Reference (REF) Case which was considered the baseline, where not much changes in the world, and a set of Project Drawdown Scenarios (PDS) with varying levels of ambitious adoption of the solution. Published results show the comparison of one PDS to the REF and therefore focus on the change to the world relative to a baseline.</w:t>
      </w:r>
      <w:bookmarkEnd w:id="28"/>
    </w:p>
    <w:p w14:paraId="5BB095A5" w14:textId="77777777" w:rsidR="000875B5" w:rsidRPr="0084391C" w:rsidRDefault="000875B5" w:rsidP="005D49A8">
      <w:pPr>
        <w:pStyle w:val="Heading3"/>
      </w:pPr>
      <w:bookmarkStart w:id="29" w:name="_Toc19323150"/>
      <w:r w:rsidRPr="0084391C">
        <w:t>Reference Case / Current Adoption</w:t>
      </w:r>
      <w:bookmarkEnd w:id="29"/>
    </w:p>
    <w:p w14:paraId="2069C724" w14:textId="3994BDB0" w:rsidR="000875B5" w:rsidRPr="007C2326" w:rsidRDefault="008E6B1D" w:rsidP="00EB247F">
      <w:r w:rsidRPr="0084391C">
        <w:rPr>
          <w:rFonts w:cs="Times New Roman"/>
        </w:rPr>
        <w:t xml:space="preserve">For the </w:t>
      </w:r>
      <w:r w:rsidRPr="0084391C">
        <w:rPr>
          <w:rFonts w:cs="Times New Roman"/>
          <w:bCs/>
        </w:rPr>
        <w:t xml:space="preserve">Reference, </w:t>
      </w:r>
      <w:r w:rsidRPr="0084391C">
        <w:rPr>
          <w:rFonts w:cs="Times New Roman"/>
        </w:rPr>
        <w:t>adoption is fixed at the current adoption</w:t>
      </w:r>
      <w:r w:rsidRPr="0084391C">
        <w:rPr>
          <w:rStyle w:val="FootnoteReference"/>
          <w:rFonts w:cs="Times New Roman"/>
        </w:rPr>
        <w:footnoteReference w:id="1"/>
      </w:r>
      <w:r w:rsidRPr="0084391C">
        <w:rPr>
          <w:rFonts w:cs="Times New Roman"/>
        </w:rPr>
        <w:t xml:space="preserve"> (in percent) of the market. </w:t>
      </w:r>
      <w:r w:rsidR="007C2326" w:rsidRPr="0084391C">
        <w:t xml:space="preserve">Historical data of </w:t>
      </w:r>
      <w:r w:rsidR="0052355A" w:rsidRPr="0084391C">
        <w:t>nuclear energy electricity</w:t>
      </w:r>
      <w:r w:rsidR="007C2326" w:rsidRPr="0084391C">
        <w:t xml:space="preserve"> generation </w:t>
      </w:r>
      <w:r w:rsidR="0052355A" w:rsidRPr="0084391C">
        <w:t>until 2017</w:t>
      </w:r>
      <w:r w:rsidR="007C2326" w:rsidRPr="0084391C">
        <w:t xml:space="preserve"> was retrieved from </w:t>
      </w:r>
      <w:r w:rsidR="0084391C" w:rsidRPr="0084391C">
        <w:t>Wor</w:t>
      </w:r>
      <w:r w:rsidR="0084391C">
        <w:t>l</w:t>
      </w:r>
      <w:r w:rsidR="0084391C" w:rsidRPr="0084391C">
        <w:t>d Bank</w:t>
      </w:r>
      <w:r w:rsidR="0052355A" w:rsidRPr="0084391C">
        <w:t xml:space="preserve">, 2018 </w:t>
      </w:r>
      <w:r w:rsidR="00605504" w:rsidRPr="0084391C">
        <w:t>value</w:t>
      </w:r>
      <w:r w:rsidR="0052355A" w:rsidRPr="0084391C">
        <w:t xml:space="preserve"> was estimated</w:t>
      </w:r>
      <w:r w:rsidR="00605504" w:rsidRPr="0084391C">
        <w:t xml:space="preserve"> f</w:t>
      </w:r>
      <w:r w:rsidR="0052355A" w:rsidRPr="0084391C">
        <w:t xml:space="preserve">rom historical values trendline. </w:t>
      </w:r>
      <w:r w:rsidR="00605504" w:rsidRPr="0084391C">
        <w:rPr>
          <w:rFonts w:cs="Times New Roman"/>
        </w:rPr>
        <w:t>The assumption</w:t>
      </w:r>
      <w:r w:rsidR="00605504">
        <w:rPr>
          <w:rFonts w:cs="Times New Roman"/>
        </w:rPr>
        <w:t xml:space="preserve"> on this scenario is that</w:t>
      </w:r>
      <w:r w:rsidRPr="00A275A4">
        <w:rPr>
          <w:rFonts w:cs="Times New Roman"/>
        </w:rPr>
        <w:t xml:space="preserve"> current percent</w:t>
      </w:r>
      <w:r w:rsidR="001B48E7">
        <w:rPr>
          <w:rFonts w:cs="Times New Roman"/>
        </w:rPr>
        <w:t>age</w:t>
      </w:r>
      <w:r w:rsidRPr="00A275A4">
        <w:rPr>
          <w:rFonts w:cs="Times New Roman"/>
        </w:rPr>
        <w:t xml:space="preserve"> of total electricity generation (TWh)</w:t>
      </w:r>
      <w:r w:rsidRPr="00E069AC">
        <w:rPr>
          <w:rFonts w:cs="Times New Roman"/>
        </w:rPr>
        <w:t xml:space="preserve"> provided by </w:t>
      </w:r>
      <w:r w:rsidR="004835E5">
        <w:rPr>
          <w:rFonts w:cs="Times New Roman"/>
        </w:rPr>
        <w:t>nuclear power</w:t>
      </w:r>
      <w:r w:rsidRPr="00E069AC">
        <w:rPr>
          <w:rFonts w:cs="Times New Roman"/>
        </w:rPr>
        <w:t xml:space="preserve"> </w:t>
      </w:r>
      <w:r w:rsidR="007C2326">
        <w:rPr>
          <w:rFonts w:cs="Times New Roman"/>
        </w:rPr>
        <w:t xml:space="preserve">is </w:t>
      </w:r>
      <w:r w:rsidRPr="00E069AC">
        <w:rPr>
          <w:rFonts w:cs="Times New Roman"/>
        </w:rPr>
        <w:t xml:space="preserve">constant throughout the study period to 2050. As the market grows, the total number </w:t>
      </w:r>
      <w:r w:rsidR="004835E5" w:rsidRPr="00E069AC">
        <w:rPr>
          <w:rFonts w:cs="Times New Roman"/>
        </w:rPr>
        <w:t xml:space="preserve">of </w:t>
      </w:r>
      <w:r w:rsidR="004835E5">
        <w:rPr>
          <w:rFonts w:cs="Times New Roman"/>
        </w:rPr>
        <w:t>nuclear powerplants</w:t>
      </w:r>
      <w:r w:rsidRPr="00E069AC">
        <w:rPr>
          <w:rFonts w:cs="Times New Roman"/>
        </w:rPr>
        <w:t xml:space="preserve"> adopted grows equally to maintain the percent </w:t>
      </w:r>
      <w:r w:rsidRPr="00574825">
        <w:rPr>
          <w:rFonts w:cs="Times New Roman"/>
        </w:rPr>
        <w:t>adoption at its starting value in 201</w:t>
      </w:r>
      <w:r w:rsidR="00574825" w:rsidRPr="00574825">
        <w:rPr>
          <w:rFonts w:cs="Times New Roman"/>
        </w:rPr>
        <w:t>8</w:t>
      </w:r>
      <w:r w:rsidRPr="00574825">
        <w:rPr>
          <w:rFonts w:cs="Times New Roman"/>
        </w:rPr>
        <w:t>. It is acknowledged</w:t>
      </w:r>
      <w:r w:rsidRPr="00E069AC">
        <w:rPr>
          <w:rFonts w:cs="Times New Roman"/>
        </w:rPr>
        <w:t xml:space="preserve"> that this, in reality, may not be a “business as usual” considering changes taking place worldwide, but it allows measurement of the impact of recent and even more aggressive policies on greenhouse gas emissions.</w:t>
      </w:r>
    </w:p>
    <w:p w14:paraId="2FE0BC9D" w14:textId="10096525" w:rsidR="000875B5" w:rsidRPr="00E069AC" w:rsidRDefault="00D2050B" w:rsidP="005D49A8">
      <w:pPr>
        <w:pStyle w:val="Heading3"/>
      </w:pPr>
      <w:bookmarkStart w:id="30" w:name="_Toc19323151"/>
      <w:r w:rsidRPr="00E069AC">
        <w:t>Project Drawdown</w:t>
      </w:r>
      <w:r w:rsidR="000875B5" w:rsidRPr="00E069AC">
        <w:t xml:space="preserve"> Scenarios</w:t>
      </w:r>
      <w:bookmarkEnd w:id="30"/>
    </w:p>
    <w:p w14:paraId="006DA369" w14:textId="432A3A82" w:rsidR="005A6986" w:rsidRPr="00E069AC" w:rsidRDefault="000875B5" w:rsidP="004B4939">
      <w:pPr>
        <w:rPr>
          <w:rFonts w:cs="Times New Roman"/>
        </w:rPr>
      </w:pPr>
      <w:r w:rsidRPr="00E069AC">
        <w:rPr>
          <w:rFonts w:cs="Times New Roman"/>
        </w:rPr>
        <w:t>Three Project Dr</w:t>
      </w:r>
      <w:r w:rsidR="005A6986" w:rsidRPr="00E069AC">
        <w:rPr>
          <w:rFonts w:cs="Times New Roman"/>
        </w:rPr>
        <w:t xml:space="preserve">awdown </w:t>
      </w:r>
      <w:r w:rsidR="007546C9" w:rsidRPr="00E069AC">
        <w:rPr>
          <w:rFonts w:cs="Times New Roman"/>
        </w:rPr>
        <w:t xml:space="preserve">scenarios (PDS) </w:t>
      </w:r>
      <w:r w:rsidR="005A6986" w:rsidRPr="00E069AC">
        <w:rPr>
          <w:rFonts w:cs="Times New Roman"/>
        </w:rPr>
        <w:t>were developed for each solution</w:t>
      </w:r>
      <w:r w:rsidR="00A275A4">
        <w:rPr>
          <w:rFonts w:cs="Times New Roman"/>
        </w:rPr>
        <w:t xml:space="preserve"> (i.e. </w:t>
      </w:r>
      <w:r w:rsidR="004835E5">
        <w:rPr>
          <w:rFonts w:cs="Times New Roman"/>
        </w:rPr>
        <w:t>nuclear</w:t>
      </w:r>
      <w:r w:rsidR="00A275A4">
        <w:rPr>
          <w:rFonts w:cs="Times New Roman"/>
        </w:rPr>
        <w:t>)</w:t>
      </w:r>
      <w:r w:rsidR="005A6986" w:rsidRPr="00E069AC">
        <w:rPr>
          <w:rFonts w:cs="Times New Roman"/>
        </w:rPr>
        <w:t>, to compare the impact of an increase</w:t>
      </w:r>
      <w:r w:rsidR="00AC493E" w:rsidRPr="00E069AC">
        <w:rPr>
          <w:rFonts w:cs="Times New Roman"/>
        </w:rPr>
        <w:t>d</w:t>
      </w:r>
      <w:r w:rsidR="00A275A4">
        <w:rPr>
          <w:rFonts w:cs="Times New Roman"/>
        </w:rPr>
        <w:t xml:space="preserve"> adoption of the solutions </w:t>
      </w:r>
      <w:r w:rsidR="005A6986" w:rsidRPr="00E069AC">
        <w:rPr>
          <w:rFonts w:cs="Times New Roman"/>
        </w:rPr>
        <w:t>to a reference case scenario</w:t>
      </w:r>
      <w:r w:rsidR="008E6B1D" w:rsidRPr="00E069AC">
        <w:rPr>
          <w:rFonts w:cs="Times New Roman"/>
        </w:rPr>
        <w:t>, being:</w:t>
      </w:r>
    </w:p>
    <w:p w14:paraId="7481C662" w14:textId="77777777" w:rsidR="00AC493E" w:rsidRPr="00E069AC" w:rsidRDefault="00AC493E" w:rsidP="004B4939">
      <w:pPr>
        <w:pStyle w:val="Heading4"/>
      </w:pPr>
      <w:bookmarkStart w:id="31" w:name="_Toc507486009"/>
      <w:r w:rsidRPr="00E069AC">
        <w:t>Plausible Scenario</w:t>
      </w:r>
      <w:bookmarkEnd w:id="31"/>
    </w:p>
    <w:p w14:paraId="3F730FE3" w14:textId="4CFAE03E" w:rsidR="00FE2E76" w:rsidRDefault="00FE2E76" w:rsidP="00FE2E76">
      <w:bookmarkStart w:id="32" w:name="_Toc507486010"/>
      <w:r w:rsidRPr="00014DE8">
        <w:t xml:space="preserve">This scenario </w:t>
      </w:r>
      <w:r w:rsidRPr="00AD641D">
        <w:t>represents an incremental and plausible growth of re</w:t>
      </w:r>
      <w:r>
        <w:t>newable energy solutions as well and transition solutions as nuclear, using medium to</w:t>
      </w:r>
      <w:r w:rsidRPr="00AD641D">
        <w:t xml:space="preserve"> high growth</w:t>
      </w:r>
      <w:r>
        <w:t xml:space="preserve"> trajectories</w:t>
      </w:r>
      <w:r w:rsidRPr="00AD641D">
        <w:t xml:space="preserve"> to 2050</w:t>
      </w:r>
      <w:r>
        <w:t xml:space="preserve"> depending on the current maturity levels of the technology</w:t>
      </w:r>
      <w:r w:rsidRPr="00AD641D">
        <w:t xml:space="preserve">, </w:t>
      </w:r>
      <w:r>
        <w:t xml:space="preserve">and </w:t>
      </w:r>
      <w:r w:rsidRPr="00AD641D">
        <w:t xml:space="preserve">bounded by existing ambitious projections </w:t>
      </w:r>
      <w:r w:rsidRPr="00A142FC">
        <w:t xml:space="preserve">from other global energy systems models. For </w:t>
      </w:r>
      <w:r>
        <w:t>nuclear power</w:t>
      </w:r>
      <w:r w:rsidRPr="00A142FC">
        <w:t xml:space="preserve">, this scenario is based on the evaluation of yearly averages of </w:t>
      </w:r>
      <w:r>
        <w:t>six</w:t>
      </w:r>
      <w:r w:rsidRPr="00A142FC">
        <w:t xml:space="preserve"> </w:t>
      </w:r>
      <w:r>
        <w:t xml:space="preserve">climate </w:t>
      </w:r>
      <w:r w:rsidRPr="00A142FC">
        <w:t xml:space="preserve">optimistic </w:t>
      </w:r>
      <w:r>
        <w:t xml:space="preserve">and adoption </w:t>
      </w:r>
      <w:r w:rsidRPr="00A142FC">
        <w:t xml:space="preserve">scenarios: IEA (2017) Energy Technology Perspectives 2DS and B2DS scenarios; IEA (2018) World Energy Outlook SDS; Equinor (2018) Renewal Scenario; </w:t>
      </w:r>
      <w:r>
        <w:t>Grantham Institute and Carbon Tracker (2017) with the strong mitigation policy scenario, with Original technology costs and Medium energy demand; and IEEJ (2018) Advanced Tech Scenario;</w:t>
      </w:r>
      <w:r w:rsidRPr="00A142FC">
        <w:t xml:space="preserve"> using a </w:t>
      </w:r>
      <w:r>
        <w:t>medium</w:t>
      </w:r>
      <w:r w:rsidRPr="00A142FC">
        <w:t xml:space="preserve"> growth trajectory.</w:t>
      </w:r>
    </w:p>
    <w:p w14:paraId="0A63923E" w14:textId="77777777" w:rsidR="00AC493E" w:rsidRPr="00E069AC" w:rsidRDefault="00AC493E" w:rsidP="004B4939">
      <w:pPr>
        <w:pStyle w:val="Heading4"/>
      </w:pPr>
      <w:r w:rsidRPr="00E069AC">
        <w:t>Drawdown Scenario</w:t>
      </w:r>
      <w:bookmarkEnd w:id="32"/>
    </w:p>
    <w:p w14:paraId="6E84CA79" w14:textId="3B7CF838" w:rsidR="00FE2E76" w:rsidRPr="00304335" w:rsidRDefault="00FE2E76" w:rsidP="00FE2E76">
      <w:pPr>
        <w:rPr>
          <w:rFonts w:cs="Times New Roman"/>
          <w:highlight w:val="lightGray"/>
        </w:rPr>
      </w:pPr>
      <w:bookmarkStart w:id="33" w:name="_Toc507486011"/>
      <w:r w:rsidRPr="00014DE8">
        <w:rPr>
          <w:rFonts w:cs="Times New Roman"/>
        </w:rPr>
        <w:t xml:space="preserve">This scenario is optimized to reach drawdown by 2050 using more ambitious projections from existing </w:t>
      </w:r>
      <w:r w:rsidRPr="00304335">
        <w:rPr>
          <w:rFonts w:cs="Times New Roman"/>
        </w:rPr>
        <w:t xml:space="preserve">sources. The scenario projects a 100% adoption of </w:t>
      </w:r>
      <w:r>
        <w:rPr>
          <w:rFonts w:cs="Times New Roman"/>
        </w:rPr>
        <w:t xml:space="preserve">non-fossil fuel-based technologies in 2050; mainly RES but also </w:t>
      </w:r>
      <w:r w:rsidRPr="00304335">
        <w:rPr>
          <w:rFonts w:cs="Times New Roman"/>
        </w:rPr>
        <w:t xml:space="preserve">includes several technologies that are considered transitional solutions </w:t>
      </w:r>
      <w:r>
        <w:rPr>
          <w:rFonts w:cs="Times New Roman"/>
        </w:rPr>
        <w:t xml:space="preserve">(as nuclear energy) </w:t>
      </w:r>
      <w:r w:rsidRPr="00304335">
        <w:rPr>
          <w:rFonts w:cs="Times New Roman"/>
        </w:rPr>
        <w:t xml:space="preserve">(See section 6). </w:t>
      </w:r>
      <w:r>
        <w:rPr>
          <w:rFonts w:cs="Times New Roman"/>
        </w:rPr>
        <w:t xml:space="preserve">Nuclear power in </w:t>
      </w:r>
      <w:r w:rsidRPr="00304335">
        <w:rPr>
          <w:rFonts w:cs="Times New Roman"/>
        </w:rPr>
        <w:t>this scenario</w:t>
      </w:r>
      <w:r>
        <w:rPr>
          <w:rFonts w:cs="Times New Roman"/>
        </w:rPr>
        <w:t xml:space="preserve">, follows the same </w:t>
      </w:r>
      <w:r w:rsidR="0084391C">
        <w:rPr>
          <w:rFonts w:cs="Times New Roman"/>
        </w:rPr>
        <w:t xml:space="preserve">data sources and </w:t>
      </w:r>
      <w:r>
        <w:rPr>
          <w:rFonts w:cs="Times New Roman"/>
        </w:rPr>
        <w:t>adoption trajectory as the Plausible Scenario</w:t>
      </w:r>
      <w:r w:rsidR="0084391C">
        <w:rPr>
          <w:rFonts w:cs="Times New Roman"/>
        </w:rPr>
        <w:t xml:space="preserve">. </w:t>
      </w:r>
      <w:r w:rsidRPr="00304335">
        <w:rPr>
          <w:rFonts w:cs="Times New Roman"/>
        </w:rPr>
        <w:t>These scenarios represent very ambitious pathway towards a fully decarbonized energy system in 2050</w:t>
      </w:r>
      <w:r>
        <w:rPr>
          <w:rFonts w:cs="Times New Roman"/>
        </w:rPr>
        <w:t>.</w:t>
      </w:r>
      <w:r w:rsidRPr="00304335">
        <w:rPr>
          <w:rFonts w:cs="Times New Roman"/>
        </w:rPr>
        <w:t xml:space="preserve"> </w:t>
      </w:r>
    </w:p>
    <w:p w14:paraId="7A77F5DD" w14:textId="77777777" w:rsidR="00AC493E" w:rsidRPr="00E069AC" w:rsidRDefault="00AC493E" w:rsidP="004B4939">
      <w:pPr>
        <w:pStyle w:val="Heading4"/>
      </w:pPr>
      <w:r w:rsidRPr="00E069AC">
        <w:t>Optimum Scenario</w:t>
      </w:r>
      <w:bookmarkEnd w:id="33"/>
    </w:p>
    <w:p w14:paraId="1E7E6285" w14:textId="1B1EEB66" w:rsidR="00FE2E76" w:rsidRDefault="00FE2E76" w:rsidP="00FE2E76">
      <w:r w:rsidRPr="00280BF9">
        <w:t xml:space="preserve">This scenario represents the most optimistic case, in which clean, renewable energy solutions such as wind, solar, and other renewable energy sources capture 100% of electricity generation by 2050, with both fossil fuels and transitional solutions fully phasing out by 2050. </w:t>
      </w:r>
      <w:r>
        <w:t>Herein, nuclear power</w:t>
      </w:r>
      <w:r w:rsidRPr="00280BF9">
        <w:t xml:space="preserve"> </w:t>
      </w:r>
      <w:r>
        <w:t xml:space="preserve">adoption </w:t>
      </w:r>
      <w:r w:rsidRPr="00280BF9">
        <w:t xml:space="preserve">is based on </w:t>
      </w:r>
      <w:r w:rsidRPr="00280BF9">
        <w:rPr>
          <w:rFonts w:cs="Times New Roman"/>
        </w:rPr>
        <w:t>the yearly average values of three 100% RES scenarios of electricity generation by 2050, being Greenpeace (2015) Advanced Energy [R]evolution Scenario; Ram et al. (2019) scenario and Ecofys (2018) 1.5ºC scenario</w:t>
      </w:r>
      <w:r>
        <w:rPr>
          <w:rFonts w:cs="Times New Roman"/>
        </w:rPr>
        <w:t>, which electricity generation delivered by this technology being zero in 2050.</w:t>
      </w:r>
    </w:p>
    <w:p w14:paraId="4C24E6F4" w14:textId="502E624F" w:rsidR="00FB3AB3" w:rsidRPr="00E069AC" w:rsidRDefault="00E069AC" w:rsidP="00483FFA">
      <w:pPr>
        <w:pStyle w:val="Heading2"/>
        <w:numPr>
          <w:ilvl w:val="1"/>
          <w:numId w:val="26"/>
        </w:numPr>
      </w:pPr>
      <w:bookmarkStart w:id="34" w:name="_Toc19323152"/>
      <w:r>
        <w:t>Inputs</w:t>
      </w:r>
      <w:bookmarkEnd w:id="34"/>
    </w:p>
    <w:p w14:paraId="3EBCEF57" w14:textId="78F71A19" w:rsidR="00FB3AB3" w:rsidRPr="00E069AC" w:rsidRDefault="00E069AC" w:rsidP="005D49A8">
      <w:pPr>
        <w:pStyle w:val="Heading3"/>
      </w:pPr>
      <w:bookmarkStart w:id="35" w:name="_Toc19323153"/>
      <w:r>
        <w:t>Climate Inputs</w:t>
      </w:r>
      <w:bookmarkEnd w:id="35"/>
    </w:p>
    <w:p w14:paraId="722886CD" w14:textId="710FA3BA" w:rsidR="00FB3AB3" w:rsidRPr="003D1D09" w:rsidRDefault="00FB3AB3" w:rsidP="00EB247F">
      <w:pPr>
        <w:rPr>
          <w:rFonts w:cs="Times New Roman"/>
        </w:rPr>
      </w:pPr>
      <w:r w:rsidRPr="003E2FAF">
        <w:rPr>
          <w:rFonts w:cs="Times New Roman"/>
        </w:rPr>
        <w:t>In order to calc</w:t>
      </w:r>
      <w:r w:rsidR="00AC493E" w:rsidRPr="003E2FAF">
        <w:rPr>
          <w:rFonts w:cs="Times New Roman"/>
        </w:rPr>
        <w:t>ulate the climate impacts of the project Drawdown</w:t>
      </w:r>
      <w:r w:rsidRPr="003E2FAF">
        <w:rPr>
          <w:rFonts w:cs="Times New Roman"/>
        </w:rPr>
        <w:t xml:space="preserve"> scenario</w:t>
      </w:r>
      <w:r w:rsidR="008E6B1D" w:rsidRPr="003E2FAF">
        <w:rPr>
          <w:rFonts w:cs="Times New Roman"/>
        </w:rPr>
        <w:t>s</w:t>
      </w:r>
      <w:r w:rsidRPr="003E2FAF">
        <w:rPr>
          <w:rFonts w:cs="Times New Roman"/>
        </w:rPr>
        <w:t>, in terms of maximum annual emissions reduction, total emissions re</w:t>
      </w:r>
      <w:r w:rsidR="00AC493E" w:rsidRPr="003E2FAF">
        <w:rPr>
          <w:rFonts w:cs="Times New Roman"/>
        </w:rPr>
        <w:t xml:space="preserve">duction, and PPM equivalent, it was </w:t>
      </w:r>
      <w:r w:rsidRPr="003E2FAF">
        <w:rPr>
          <w:rFonts w:cs="Times New Roman"/>
        </w:rPr>
        <w:t>estimate</w:t>
      </w:r>
      <w:r w:rsidR="00AC493E" w:rsidRPr="003E2FAF">
        <w:rPr>
          <w:rFonts w:cs="Times New Roman"/>
        </w:rPr>
        <w:t>d</w:t>
      </w:r>
      <w:r w:rsidRPr="003E2FAF">
        <w:rPr>
          <w:rFonts w:cs="Times New Roman"/>
        </w:rPr>
        <w:t xml:space="preserve"> </w:t>
      </w:r>
      <w:r w:rsidR="004835E5">
        <w:rPr>
          <w:rFonts w:cs="Times New Roman"/>
        </w:rPr>
        <w:t xml:space="preserve">nuclear </w:t>
      </w:r>
      <w:r w:rsidR="003E2FAF">
        <w:rPr>
          <w:rFonts w:cs="Times New Roman"/>
        </w:rPr>
        <w:t xml:space="preserve">electricity </w:t>
      </w:r>
      <w:r w:rsidRPr="003E2FAF">
        <w:rPr>
          <w:rFonts w:cs="Times New Roman"/>
        </w:rPr>
        <w:t>generation globally and regionally from 2020-2050 and then calculate</w:t>
      </w:r>
      <w:r w:rsidR="00AC493E" w:rsidRPr="003E2FAF">
        <w:rPr>
          <w:rFonts w:cs="Times New Roman"/>
        </w:rPr>
        <w:t>d</w:t>
      </w:r>
      <w:r w:rsidRPr="003E2FAF">
        <w:rPr>
          <w:rFonts w:cs="Times New Roman"/>
        </w:rPr>
        <w:t xml:space="preserve"> the emissions reductions due to the replacement of conventional electricity generation sources with </w:t>
      </w:r>
      <w:r w:rsidR="008E6B1D" w:rsidRPr="003E2FAF">
        <w:rPr>
          <w:rFonts w:cs="Times New Roman"/>
        </w:rPr>
        <w:t xml:space="preserve">the solution. The detailed methodology of these </w:t>
      </w:r>
      <w:r w:rsidR="008E6B1D" w:rsidRPr="003D1D09">
        <w:rPr>
          <w:rFonts w:cs="Times New Roman"/>
        </w:rPr>
        <w:t>calculations is available at</w:t>
      </w:r>
      <w:r w:rsidR="00AC493E" w:rsidRPr="003D1D09">
        <w:rPr>
          <w:rFonts w:cs="Times New Roman"/>
        </w:rPr>
        <w:t xml:space="preserve"> the </w:t>
      </w:r>
      <w:r w:rsidR="004B4939" w:rsidRPr="003D1D09">
        <w:rPr>
          <w:rFonts w:cs="Times New Roman"/>
        </w:rPr>
        <w:t xml:space="preserve">Project Drawdown </w:t>
      </w:r>
      <w:r w:rsidR="00AC493E" w:rsidRPr="003D1D09">
        <w:rPr>
          <w:rFonts w:cs="Times New Roman"/>
        </w:rPr>
        <w:t xml:space="preserve">Integration </w:t>
      </w:r>
      <w:r w:rsidR="004B4939" w:rsidRPr="003D1D09">
        <w:rPr>
          <w:rFonts w:cs="Times New Roman"/>
        </w:rPr>
        <w:t xml:space="preserve">Methodology </w:t>
      </w:r>
      <w:r w:rsidR="00AC493E" w:rsidRPr="003D1D09">
        <w:rPr>
          <w:rFonts w:cs="Times New Roman"/>
        </w:rPr>
        <w:t>report.</w:t>
      </w:r>
      <w:r w:rsidR="008E6B1D" w:rsidRPr="003D1D09">
        <w:rPr>
          <w:rFonts w:cs="Times New Roman"/>
        </w:rPr>
        <w:t xml:space="preserve"> </w:t>
      </w:r>
    </w:p>
    <w:p w14:paraId="0428D169" w14:textId="5A91AF3C" w:rsidR="0079350D" w:rsidRPr="003E2FAF" w:rsidRDefault="003D1D09" w:rsidP="0079350D">
      <w:pPr>
        <w:rPr>
          <w:rFonts w:cs="Times New Roman"/>
        </w:rPr>
      </w:pPr>
      <w:r w:rsidRPr="003D1D09">
        <w:rPr>
          <w:rFonts w:cs="Times New Roman"/>
          <w:bCs/>
        </w:rPr>
        <w:t>Nuclear power</w:t>
      </w:r>
      <w:r w:rsidR="00951B63" w:rsidRPr="003D1D09">
        <w:rPr>
          <w:rFonts w:cs="Times New Roman"/>
          <w:bCs/>
        </w:rPr>
        <w:t xml:space="preserve"> do not have </w:t>
      </w:r>
      <w:r w:rsidR="00FB3AB3" w:rsidRPr="003D1D09">
        <w:rPr>
          <w:rFonts w:cs="Times New Roman"/>
          <w:bCs/>
        </w:rPr>
        <w:t>direct emissions</w:t>
      </w:r>
      <w:r w:rsidR="00951B63" w:rsidRPr="003D1D09">
        <w:rPr>
          <w:rFonts w:cs="Times New Roman"/>
          <w:bCs/>
        </w:rPr>
        <w:t xml:space="preserve"> related to combustion of fuels</w:t>
      </w:r>
      <w:r w:rsidRPr="003D1D09">
        <w:rPr>
          <w:rFonts w:cs="Times New Roman"/>
          <w:bCs/>
        </w:rPr>
        <w:t xml:space="preserve"> to be accounted on the GHG emissions impa</w:t>
      </w:r>
      <w:r>
        <w:rPr>
          <w:rFonts w:cs="Times New Roman"/>
          <w:bCs/>
        </w:rPr>
        <w:t>c</w:t>
      </w:r>
      <w:r w:rsidRPr="003D1D09">
        <w:rPr>
          <w:rFonts w:cs="Times New Roman"/>
          <w:bCs/>
        </w:rPr>
        <w:t>t calculations</w:t>
      </w:r>
      <w:r w:rsidR="00FB3AB3" w:rsidRPr="003D1D09">
        <w:rPr>
          <w:rFonts w:cs="Times New Roman"/>
          <w:bCs/>
        </w:rPr>
        <w:t>.</w:t>
      </w:r>
      <w:r w:rsidR="00216B08" w:rsidRPr="003D1D09">
        <w:rPr>
          <w:rFonts w:cs="Times New Roman"/>
          <w:bCs/>
        </w:rPr>
        <w:t xml:space="preserve"> </w:t>
      </w:r>
      <w:r w:rsidR="00951B63" w:rsidRPr="003D1D09">
        <w:rPr>
          <w:rFonts w:cs="Times New Roman"/>
          <w:bCs/>
        </w:rPr>
        <w:t>Project Drawdown</w:t>
      </w:r>
      <w:r w:rsidR="00951B63" w:rsidRPr="003E2FAF">
        <w:rPr>
          <w:rFonts w:cs="Times New Roman"/>
          <w:bCs/>
        </w:rPr>
        <w:t xml:space="preserve"> modeling considers the analysis of indirect emissions</w:t>
      </w:r>
      <w:r w:rsidR="00216B08" w:rsidRPr="003E2FAF">
        <w:rPr>
          <w:rFonts w:cs="Times New Roman"/>
          <w:bCs/>
        </w:rPr>
        <w:t xml:space="preserve"> related to the</w:t>
      </w:r>
      <w:r w:rsidR="00951B63" w:rsidRPr="003E2FAF">
        <w:rPr>
          <w:rFonts w:cs="Times New Roman"/>
          <w:bCs/>
        </w:rPr>
        <w:t xml:space="preserve"> </w:t>
      </w:r>
      <w:r w:rsidR="00FB3AB3" w:rsidRPr="003E2FAF">
        <w:rPr>
          <w:rFonts w:cs="Times New Roman"/>
          <w:bCs/>
        </w:rPr>
        <w:t>different factors that contribute to a</w:t>
      </w:r>
      <w:r w:rsidR="001B48E7">
        <w:rPr>
          <w:rFonts w:cs="Times New Roman"/>
          <w:bCs/>
        </w:rPr>
        <w:t>n</w:t>
      </w:r>
      <w:r w:rsidR="00FB3AB3" w:rsidRPr="003E2FAF">
        <w:rPr>
          <w:rFonts w:cs="Times New Roman"/>
          <w:bCs/>
        </w:rPr>
        <w:t xml:space="preserve"> LCA for </w:t>
      </w:r>
      <w:r w:rsidR="004835E5">
        <w:rPr>
          <w:rFonts w:cs="Times New Roman"/>
          <w:bCs/>
        </w:rPr>
        <w:t>nuclear</w:t>
      </w:r>
      <w:r w:rsidR="00FB3AB3" w:rsidRPr="003E2FAF">
        <w:rPr>
          <w:rFonts w:cs="Times New Roman"/>
          <w:bCs/>
        </w:rPr>
        <w:t xml:space="preserve">. In modeling the lifecycle emissions of </w:t>
      </w:r>
      <w:r w:rsidR="004835E5">
        <w:rPr>
          <w:rFonts w:cs="Times New Roman"/>
          <w:bCs/>
        </w:rPr>
        <w:t>nuclear power</w:t>
      </w:r>
      <w:r w:rsidR="00FB3AB3" w:rsidRPr="003E2FAF">
        <w:rPr>
          <w:rFonts w:cs="Times New Roman"/>
          <w:bCs/>
        </w:rPr>
        <w:t xml:space="preserve"> adoption in </w:t>
      </w:r>
      <w:r w:rsidR="00216B08" w:rsidRPr="003E2FAF">
        <w:rPr>
          <w:rFonts w:cs="Times New Roman"/>
          <w:bCs/>
        </w:rPr>
        <w:t>the</w:t>
      </w:r>
      <w:r w:rsidR="00FB3AB3" w:rsidRPr="003E2FAF">
        <w:rPr>
          <w:rFonts w:cs="Times New Roman"/>
          <w:bCs/>
        </w:rPr>
        <w:t xml:space="preserve"> scenario</w:t>
      </w:r>
      <w:r w:rsidR="00216B08" w:rsidRPr="003E2FAF">
        <w:rPr>
          <w:rFonts w:cs="Times New Roman"/>
          <w:bCs/>
        </w:rPr>
        <w:t>s, it is used</w:t>
      </w:r>
      <w:r w:rsidR="00FB3AB3" w:rsidRPr="003E2FAF">
        <w:rPr>
          <w:rFonts w:cs="Times New Roman"/>
          <w:bCs/>
        </w:rPr>
        <w:t xml:space="preserve"> a fixed value (</w:t>
      </w:r>
      <w:r w:rsidR="00FB3AB3" w:rsidRPr="003E2FAF">
        <w:rPr>
          <w:rFonts w:cs="Times New Roman"/>
        </w:rPr>
        <w:t>t CO</w:t>
      </w:r>
      <w:r w:rsidR="00FB3AB3" w:rsidRPr="003E2FAF">
        <w:rPr>
          <w:rFonts w:cs="Times New Roman"/>
          <w:vertAlign w:val="subscript"/>
        </w:rPr>
        <w:t>2</w:t>
      </w:r>
      <w:r w:rsidR="00FB3AB3" w:rsidRPr="003E2FAF">
        <w:rPr>
          <w:rFonts w:cs="Times New Roman"/>
        </w:rPr>
        <w:t xml:space="preserve">-eq per TWh) </w:t>
      </w:r>
      <w:r w:rsidR="002054FC" w:rsidRPr="003E2FAF">
        <w:rPr>
          <w:rFonts w:cs="Times New Roman"/>
        </w:rPr>
        <w:t>considering</w:t>
      </w:r>
      <w:r w:rsidR="0045676A" w:rsidRPr="003E2FAF">
        <w:rPr>
          <w:rFonts w:cs="Times New Roman"/>
        </w:rPr>
        <w:t xml:space="preserve"> information from several </w:t>
      </w:r>
      <w:r w:rsidR="003E2FAF">
        <w:rPr>
          <w:rFonts w:cs="Times New Roman"/>
        </w:rPr>
        <w:t xml:space="preserve">studies, </w:t>
      </w:r>
      <w:r w:rsidR="00FB3AB3" w:rsidRPr="003E2FAF">
        <w:rPr>
          <w:rFonts w:cs="Times New Roman"/>
        </w:rPr>
        <w:t xml:space="preserve">rather than a decreasing one due to the difficulty of projecting future grid-tied emissions on a regional basis. </w:t>
      </w:r>
      <w:r w:rsidR="004835E5">
        <w:rPr>
          <w:rFonts w:cs="Times New Roman"/>
        </w:rPr>
        <w:t>The</w:t>
      </w:r>
      <w:r w:rsidR="00FB3AB3" w:rsidRPr="003E2FAF">
        <w:rPr>
          <w:rFonts w:cs="Times New Roman"/>
        </w:rPr>
        <w:t xml:space="preserve"> climate results </w:t>
      </w:r>
      <w:r w:rsidR="004835E5">
        <w:rPr>
          <w:rFonts w:cs="Times New Roman"/>
        </w:rPr>
        <w:t xml:space="preserve">presented herein </w:t>
      </w:r>
      <w:r w:rsidR="00FB3AB3" w:rsidRPr="003E2FAF">
        <w:rPr>
          <w:rFonts w:cs="Times New Roman"/>
        </w:rPr>
        <w:t xml:space="preserve">will thus be more conservative than would be the case if </w:t>
      </w:r>
      <w:r w:rsidR="00795D47">
        <w:rPr>
          <w:rFonts w:cs="Times New Roman"/>
        </w:rPr>
        <w:t>it was</w:t>
      </w:r>
      <w:r w:rsidR="00FB3AB3" w:rsidRPr="003E2FAF">
        <w:rPr>
          <w:rFonts w:cs="Times New Roman"/>
        </w:rPr>
        <w:t xml:space="preserve"> assumed a decreasing average lifecycle emissions value for </w:t>
      </w:r>
      <w:r w:rsidR="004835E5">
        <w:rPr>
          <w:rFonts w:cs="Times New Roman"/>
        </w:rPr>
        <w:t>nuclear.</w:t>
      </w:r>
    </w:p>
    <w:p w14:paraId="63B2599E" w14:textId="7CE89A64" w:rsidR="00FB3AB3" w:rsidRPr="00E069AC" w:rsidRDefault="0079350D" w:rsidP="009C0F77">
      <w:pPr>
        <w:rPr>
          <w:rFonts w:cs="Times New Roman"/>
        </w:rPr>
      </w:pPr>
      <w:r w:rsidRPr="004D2944">
        <w:rPr>
          <w:rFonts w:cs="Times New Roman"/>
        </w:rPr>
        <w:t>The values collected in the RRS model show lifecycle GHG emissions for a range of different</w:t>
      </w:r>
      <w:r w:rsidR="004D2944" w:rsidRPr="004D2944">
        <w:rPr>
          <w:rFonts w:cs="Times New Roman"/>
        </w:rPr>
        <w:t xml:space="preserve"> </w:t>
      </w:r>
      <w:r w:rsidR="004835E5">
        <w:rPr>
          <w:rFonts w:cs="Times New Roman"/>
        </w:rPr>
        <w:t>nuclear</w:t>
      </w:r>
      <w:r w:rsidR="004D2944" w:rsidRPr="004D2944">
        <w:rPr>
          <w:rFonts w:cs="Times New Roman"/>
        </w:rPr>
        <w:t xml:space="preserve"> systems </w:t>
      </w:r>
      <w:r w:rsidRPr="004D2944">
        <w:rPr>
          <w:rFonts w:cs="Times New Roman"/>
        </w:rPr>
        <w:t>across different regions and system sizes.</w:t>
      </w:r>
      <w:r w:rsidR="009C0F77" w:rsidRPr="004D2944">
        <w:rPr>
          <w:rFonts w:cs="Times New Roman"/>
        </w:rPr>
        <w:t xml:space="preserve"> </w:t>
      </w:r>
      <w:r w:rsidR="002054FC" w:rsidRPr="004D2944">
        <w:rPr>
          <w:rFonts w:cs="Times New Roman"/>
        </w:rPr>
        <w:t xml:space="preserve">Table 2.1 presents the data </w:t>
      </w:r>
      <w:r w:rsidR="009C0F77" w:rsidRPr="004D2944">
        <w:rPr>
          <w:rFonts w:cs="Times New Roman"/>
        </w:rPr>
        <w:t>boundaries</w:t>
      </w:r>
      <w:r w:rsidR="002054FC" w:rsidRPr="004D2944">
        <w:rPr>
          <w:rFonts w:cs="Times New Roman"/>
        </w:rPr>
        <w:t xml:space="preserve"> on the </w:t>
      </w:r>
      <w:r w:rsidR="004D2944">
        <w:rPr>
          <w:rFonts w:cs="Times New Roman"/>
        </w:rPr>
        <w:t xml:space="preserve">RRS </w:t>
      </w:r>
      <w:r w:rsidR="002054FC" w:rsidRPr="004D2944">
        <w:rPr>
          <w:rFonts w:cs="Times New Roman"/>
        </w:rPr>
        <w:t xml:space="preserve">model </w:t>
      </w:r>
      <w:r w:rsidR="009C0F77" w:rsidRPr="004D2944">
        <w:rPr>
          <w:rFonts w:cs="Times New Roman"/>
        </w:rPr>
        <w:t xml:space="preserve">and </w:t>
      </w:r>
      <w:r w:rsidR="002054FC" w:rsidRPr="004D2944">
        <w:rPr>
          <w:rFonts w:cs="Times New Roman"/>
        </w:rPr>
        <w:t>the selected model input</w:t>
      </w:r>
      <w:r w:rsidR="004D2944">
        <w:rPr>
          <w:rFonts w:cs="Times New Roman"/>
        </w:rPr>
        <w:t xml:space="preserve"> for scenario analysis</w:t>
      </w:r>
      <w:r w:rsidR="002054FC" w:rsidRPr="004D2944">
        <w:rPr>
          <w:rFonts w:cs="Times New Roman"/>
        </w:rPr>
        <w:t>.</w:t>
      </w:r>
    </w:p>
    <w:p w14:paraId="67ED68E5" w14:textId="3DA92EFD" w:rsidR="0021082B" w:rsidRPr="00E069AC" w:rsidRDefault="004F5425" w:rsidP="00EB247F">
      <w:pPr>
        <w:pStyle w:val="Caption"/>
        <w:jc w:val="center"/>
        <w:rPr>
          <w:b/>
          <w:bCs/>
          <w:color w:val="000000" w:themeColor="text1"/>
          <w:sz w:val="20"/>
          <w:szCs w:val="20"/>
          <w:lang w:eastAsia="zh-CN"/>
        </w:rPr>
      </w:pPr>
      <w:bookmarkStart w:id="36" w:name="_Toc19323119"/>
      <w:r w:rsidRPr="00E069AC">
        <w:t xml:space="preserve">Table </w:t>
      </w:r>
      <w:r w:rsidR="0060195D">
        <w:fldChar w:fldCharType="begin"/>
      </w:r>
      <w:r w:rsidR="0060195D">
        <w:instrText xml:space="preserve"> STYLEREF 1 \s </w:instrText>
      </w:r>
      <w:r w:rsidR="0060195D">
        <w:fldChar w:fldCharType="separate"/>
      </w:r>
      <w:r w:rsidR="00492F5E" w:rsidRPr="00E069AC">
        <w:t>2</w:t>
      </w:r>
      <w:r w:rsidR="0060195D">
        <w:fldChar w:fldCharType="end"/>
      </w:r>
      <w:r w:rsidR="00492F5E" w:rsidRPr="00E069AC">
        <w:t>.</w:t>
      </w:r>
      <w:r w:rsidR="0060195D">
        <w:fldChar w:fldCharType="begin"/>
      </w:r>
      <w:r w:rsidR="0060195D">
        <w:instrText xml:space="preserve"> SEQ Table \* ARABIC \s 1 </w:instrText>
      </w:r>
      <w:r w:rsidR="0060195D">
        <w:fldChar w:fldCharType="separate"/>
      </w:r>
      <w:r w:rsidR="00492F5E" w:rsidRPr="00E069AC">
        <w:t>1</w:t>
      </w:r>
      <w:r w:rsidR="0060195D">
        <w:fldChar w:fldCharType="end"/>
      </w:r>
      <w:r w:rsidRPr="00E069AC">
        <w:t xml:space="preserve"> Climate Inputs</w:t>
      </w:r>
      <w:bookmarkEnd w:id="36"/>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E069AC" w14:paraId="077EA588" w14:textId="77777777" w:rsidTr="00D25FC7">
        <w:trPr>
          <w:trHeight w:val="393"/>
        </w:trPr>
        <w:tc>
          <w:tcPr>
            <w:tcW w:w="2076" w:type="dxa"/>
            <w:shd w:val="clear" w:color="auto" w:fill="4F81BD" w:themeFill="accent1"/>
            <w:vAlign w:val="center"/>
          </w:tcPr>
          <w:p w14:paraId="19DDFB6D" w14:textId="77777777" w:rsidR="003922A1" w:rsidRPr="00E069AC" w:rsidRDefault="003922A1" w:rsidP="003922A1">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Data Points (#)</w:t>
            </w:r>
          </w:p>
        </w:tc>
        <w:tc>
          <w:tcPr>
            <w:tcW w:w="1528" w:type="dxa"/>
            <w:shd w:val="clear" w:color="auto" w:fill="4F81BD" w:themeFill="accent1"/>
            <w:vAlign w:val="center"/>
          </w:tcPr>
          <w:p w14:paraId="20C382D3" w14:textId="577A2C8A"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Sources (#)</w:t>
            </w:r>
          </w:p>
        </w:tc>
      </w:tr>
      <w:tr w:rsidR="003922A1" w:rsidRPr="00E069AC" w14:paraId="2A24A00A" w14:textId="77777777" w:rsidTr="003922A1">
        <w:trPr>
          <w:trHeight w:val="508"/>
        </w:trPr>
        <w:tc>
          <w:tcPr>
            <w:tcW w:w="2076" w:type="dxa"/>
            <w:vAlign w:val="center"/>
          </w:tcPr>
          <w:p w14:paraId="4F2A39BC" w14:textId="646F0E62" w:rsidR="003922A1" w:rsidRPr="00E069AC" w:rsidRDefault="003922A1" w:rsidP="003922A1">
            <w:pPr>
              <w:spacing w:after="180"/>
              <w:jc w:val="center"/>
              <w:rPr>
                <w:rFonts w:eastAsia="Helvetica,Times New Roman" w:cstheme="minorHAnsi"/>
                <w:color w:val="000000" w:themeColor="text1"/>
                <w:sz w:val="20"/>
                <w:szCs w:val="20"/>
              </w:rPr>
            </w:pPr>
            <w:r w:rsidRPr="00E069AC">
              <w:rPr>
                <w:color w:val="000000" w:themeColor="text1"/>
                <w:sz w:val="20"/>
                <w:szCs w:val="20"/>
              </w:rPr>
              <w:t>Indirect CO</w:t>
            </w:r>
            <w:r w:rsidRPr="00E069AC">
              <w:rPr>
                <w:color w:val="000000" w:themeColor="text1"/>
                <w:sz w:val="20"/>
                <w:szCs w:val="20"/>
                <w:vertAlign w:val="subscript"/>
              </w:rPr>
              <w:t xml:space="preserve">2 </w:t>
            </w:r>
            <w:r w:rsidRPr="00E069AC">
              <w:rPr>
                <w:color w:val="000000" w:themeColor="text1"/>
                <w:sz w:val="20"/>
                <w:szCs w:val="20"/>
              </w:rPr>
              <w:t>Emissions (Solution)</w:t>
            </w:r>
          </w:p>
        </w:tc>
        <w:tc>
          <w:tcPr>
            <w:tcW w:w="1427" w:type="dxa"/>
            <w:shd w:val="clear" w:color="auto" w:fill="auto"/>
            <w:vAlign w:val="center"/>
          </w:tcPr>
          <w:p w14:paraId="48D37B75" w14:textId="531532EB" w:rsidR="003922A1" w:rsidRPr="00E069AC" w:rsidRDefault="003922A1" w:rsidP="003922A1">
            <w:pPr>
              <w:spacing w:after="180"/>
              <w:jc w:val="center"/>
              <w:rPr>
                <w:rFonts w:eastAsia="Helvetica,Times New Roman" w:cstheme="minorHAnsi"/>
                <w:i/>
                <w:sz w:val="20"/>
                <w:szCs w:val="20"/>
              </w:rPr>
            </w:pPr>
            <w:r w:rsidRPr="00E069AC">
              <w:rPr>
                <w:i/>
                <w:sz w:val="20"/>
                <w:szCs w:val="20"/>
              </w:rPr>
              <w:t>t CO</w:t>
            </w:r>
            <w:r w:rsidRPr="00E069AC">
              <w:rPr>
                <w:i/>
                <w:sz w:val="20"/>
                <w:szCs w:val="20"/>
                <w:vertAlign w:val="subscript"/>
              </w:rPr>
              <w:t>2</w:t>
            </w:r>
            <w:r w:rsidRPr="00E069AC">
              <w:rPr>
                <w:i/>
                <w:sz w:val="20"/>
                <w:szCs w:val="20"/>
              </w:rPr>
              <w:t>-eq/TWh</w:t>
            </w:r>
          </w:p>
        </w:tc>
        <w:tc>
          <w:tcPr>
            <w:tcW w:w="1486" w:type="dxa"/>
            <w:vAlign w:val="center"/>
          </w:tcPr>
          <w:p w14:paraId="21F5B106" w14:textId="0BAF8B68" w:rsidR="003922A1" w:rsidRPr="00275D75" w:rsidRDefault="007D6B13" w:rsidP="003922A1">
            <w:pPr>
              <w:spacing w:after="180"/>
              <w:jc w:val="center"/>
              <w:rPr>
                <w:rFonts w:eastAsia="Helvetica,Times New Roman" w:cstheme="minorHAnsi"/>
                <w:color w:val="000000" w:themeColor="text1"/>
                <w:sz w:val="20"/>
                <w:szCs w:val="20"/>
              </w:rPr>
            </w:pPr>
            <w:r w:rsidRPr="00275D75">
              <w:rPr>
                <w:rFonts w:eastAsia="Helvetica,Times New Roman" w:cstheme="minorHAnsi"/>
                <w:color w:val="000000" w:themeColor="text1"/>
                <w:sz w:val="20"/>
                <w:szCs w:val="20"/>
              </w:rPr>
              <w:t xml:space="preserve"> </w:t>
            </w:r>
            <w:r w:rsidR="003D1D09" w:rsidRPr="00275D75">
              <w:rPr>
                <w:rFonts w:eastAsia="Helvetica,Times New Roman" w:cstheme="minorHAnsi"/>
                <w:color w:val="000000" w:themeColor="text1"/>
                <w:sz w:val="20"/>
                <w:szCs w:val="20"/>
              </w:rPr>
              <w:t>800 – 45,196</w:t>
            </w:r>
            <w:r w:rsidRPr="00275D75">
              <w:rPr>
                <w:rFonts w:eastAsia="Helvetica,Times New Roman" w:cstheme="minorHAnsi"/>
                <w:color w:val="000000" w:themeColor="text1"/>
                <w:sz w:val="20"/>
                <w:szCs w:val="20"/>
              </w:rPr>
              <w:t xml:space="preserve"> </w:t>
            </w:r>
          </w:p>
        </w:tc>
        <w:tc>
          <w:tcPr>
            <w:tcW w:w="1467" w:type="dxa"/>
            <w:vAlign w:val="center"/>
          </w:tcPr>
          <w:p w14:paraId="11E87B1E" w14:textId="69A3001C" w:rsidR="003922A1" w:rsidRPr="00275D75" w:rsidRDefault="003D1D09" w:rsidP="003922A1">
            <w:pPr>
              <w:spacing w:after="180"/>
              <w:jc w:val="center"/>
              <w:rPr>
                <w:rFonts w:eastAsia="Helvetica,Times New Roman" w:cstheme="minorHAnsi"/>
                <w:color w:val="000000" w:themeColor="text1"/>
                <w:sz w:val="20"/>
                <w:szCs w:val="20"/>
              </w:rPr>
            </w:pPr>
            <w:r w:rsidRPr="00275D75">
              <w:rPr>
                <w:rFonts w:eastAsia="Helvetica,Times New Roman" w:cstheme="minorHAnsi"/>
                <w:color w:val="000000" w:themeColor="text1"/>
                <w:sz w:val="20"/>
                <w:szCs w:val="20"/>
              </w:rPr>
              <w:t>18,459</w:t>
            </w:r>
          </w:p>
        </w:tc>
        <w:tc>
          <w:tcPr>
            <w:tcW w:w="1366" w:type="dxa"/>
            <w:vAlign w:val="center"/>
          </w:tcPr>
          <w:p w14:paraId="1EC7EFEA" w14:textId="30345112" w:rsidR="003922A1" w:rsidRPr="00275D75" w:rsidRDefault="003D1D09" w:rsidP="003922A1">
            <w:pPr>
              <w:spacing w:after="180"/>
              <w:jc w:val="center"/>
              <w:rPr>
                <w:rFonts w:eastAsia="Helvetica,Times New Roman" w:cstheme="minorHAnsi"/>
                <w:color w:val="000000" w:themeColor="text1"/>
                <w:sz w:val="20"/>
                <w:szCs w:val="20"/>
              </w:rPr>
            </w:pPr>
            <w:r w:rsidRPr="00275D75">
              <w:rPr>
                <w:rFonts w:eastAsia="Helvetica,Times New Roman" w:cstheme="minorHAnsi"/>
                <w:color w:val="000000" w:themeColor="text1"/>
                <w:sz w:val="20"/>
                <w:szCs w:val="20"/>
              </w:rPr>
              <w:t>52</w:t>
            </w:r>
          </w:p>
        </w:tc>
        <w:tc>
          <w:tcPr>
            <w:tcW w:w="1528" w:type="dxa"/>
            <w:vAlign w:val="center"/>
          </w:tcPr>
          <w:p w14:paraId="774B9874" w14:textId="540D8BF9" w:rsidR="003922A1" w:rsidRPr="00275D75" w:rsidRDefault="003D1D09" w:rsidP="003922A1">
            <w:pPr>
              <w:spacing w:after="180"/>
              <w:jc w:val="center"/>
              <w:rPr>
                <w:rFonts w:eastAsia="Helvetica,Times New Roman" w:cstheme="minorHAnsi"/>
                <w:color w:val="000000" w:themeColor="text1"/>
                <w:sz w:val="20"/>
                <w:szCs w:val="20"/>
              </w:rPr>
            </w:pPr>
            <w:r w:rsidRPr="00275D75">
              <w:rPr>
                <w:rFonts w:eastAsia="Helvetica,Times New Roman" w:cstheme="minorHAnsi"/>
                <w:color w:val="000000" w:themeColor="text1"/>
                <w:sz w:val="20"/>
                <w:szCs w:val="20"/>
              </w:rPr>
              <w:t>15</w:t>
            </w:r>
          </w:p>
        </w:tc>
      </w:tr>
    </w:tbl>
    <w:p w14:paraId="035BBD8F" w14:textId="77777777" w:rsidR="00A04734" w:rsidRPr="00E069AC" w:rsidRDefault="00A04734" w:rsidP="00A04734">
      <w:pPr>
        <w:rPr>
          <w:sz w:val="21"/>
        </w:rPr>
      </w:pPr>
      <w:r w:rsidRPr="00E069AC">
        <w:rPr>
          <w:sz w:val="21"/>
        </w:rPr>
        <w:t>Note: Project Drawdown data set range is defined by the low and high boundaries which are respectively 1 standard deviation below and above the mean of the collected data points</w:t>
      </w:r>
      <w:r w:rsidRPr="00E069AC">
        <w:rPr>
          <w:rStyle w:val="FootnoteReference"/>
          <w:sz w:val="21"/>
        </w:rPr>
        <w:footnoteReference w:id="2"/>
      </w:r>
      <w:r w:rsidRPr="00E069AC">
        <w:rPr>
          <w:sz w:val="21"/>
        </w:rPr>
        <w:t>.</w:t>
      </w:r>
    </w:p>
    <w:p w14:paraId="24C491B8" w14:textId="3A77925F" w:rsidR="00F52595" w:rsidRPr="00E069AC" w:rsidRDefault="00E069AC" w:rsidP="005D49A8">
      <w:pPr>
        <w:pStyle w:val="Heading3"/>
      </w:pPr>
      <w:bookmarkStart w:id="37" w:name="_Toc19323154"/>
      <w:r>
        <w:t>Financial Inputs</w:t>
      </w:r>
      <w:bookmarkEnd w:id="37"/>
    </w:p>
    <w:p w14:paraId="127B738F" w14:textId="4D6E5015" w:rsidR="00DA06FE" w:rsidRPr="00014DE8" w:rsidRDefault="00DA06FE" w:rsidP="00EB247F">
      <w:r w:rsidRPr="00014DE8">
        <w:t>RRS</w:t>
      </w:r>
      <w:r w:rsidR="00E2663F" w:rsidRPr="00014DE8">
        <w:t xml:space="preserve"> model constructs</w:t>
      </w:r>
      <w:r w:rsidR="00E439FB" w:rsidRPr="00014DE8">
        <w:t xml:space="preserve"> PDS adoption scenario</w:t>
      </w:r>
      <w:r w:rsidR="00E2663F" w:rsidRPr="00014DE8">
        <w:t>s</w:t>
      </w:r>
      <w:r w:rsidR="00E439FB" w:rsidRPr="00014DE8">
        <w:t xml:space="preserve"> for </w:t>
      </w:r>
      <w:r w:rsidR="004835E5">
        <w:t>nuclear</w:t>
      </w:r>
      <w:r w:rsidR="00E439FB" w:rsidRPr="00014DE8">
        <w:t xml:space="preserve"> generation globally and regionally for each year until 2050. </w:t>
      </w:r>
      <w:r w:rsidR="00E2663F" w:rsidRPr="00014DE8">
        <w:t xml:space="preserve">It is </w:t>
      </w:r>
      <w:r w:rsidR="00E439FB" w:rsidRPr="00014DE8">
        <w:t>model</w:t>
      </w:r>
      <w:r w:rsidR="00E2663F" w:rsidRPr="00014DE8">
        <w:t>ed</w:t>
      </w:r>
      <w:r w:rsidR="00E439FB" w:rsidRPr="00014DE8">
        <w:t xml:space="preserve"> both the capital costs and the fixed and variable OM costs associated with </w:t>
      </w:r>
      <w:r w:rsidRPr="00014DE8">
        <w:t xml:space="preserve">the </w:t>
      </w:r>
      <w:r w:rsidR="00E2663F" w:rsidRPr="00014DE8">
        <w:t xml:space="preserve">alternative </w:t>
      </w:r>
      <w:r w:rsidR="00E439FB" w:rsidRPr="00014DE8">
        <w:t xml:space="preserve">scenarios compared to those of the REF scenario. </w:t>
      </w:r>
      <w:r w:rsidR="001B48E7">
        <w:t>A d</w:t>
      </w:r>
      <w:r w:rsidRPr="00014DE8">
        <w:t>etailed description of the methodology used is available in</w:t>
      </w:r>
      <w:r w:rsidR="00E2663F" w:rsidRPr="00014DE8">
        <w:t xml:space="preserve"> the </w:t>
      </w:r>
      <w:r w:rsidR="00D25FC7" w:rsidRPr="00014DE8">
        <w:t>Drawdown RRS Model Framework and Guide.</w:t>
      </w:r>
    </w:p>
    <w:p w14:paraId="3F783250" w14:textId="644172F9" w:rsidR="00014DE8" w:rsidRPr="00014DE8" w:rsidRDefault="00DA06FE" w:rsidP="00EB247F">
      <w:pPr>
        <w:rPr>
          <w:rFonts w:cs="Times New Roman"/>
          <w:bCs/>
          <w:highlight w:val="red"/>
        </w:rPr>
      </w:pPr>
      <w:r w:rsidRPr="00014DE8">
        <w:rPr>
          <w:bCs/>
        </w:rPr>
        <w:t>The financial calculations exa</w:t>
      </w:r>
      <w:r w:rsidR="002054FC" w:rsidRPr="00014DE8">
        <w:rPr>
          <w:bCs/>
        </w:rPr>
        <w:t>mine the first cost in US$ per k</w:t>
      </w:r>
      <w:r w:rsidRPr="00014DE8">
        <w:rPr>
          <w:bCs/>
        </w:rPr>
        <w:t xml:space="preserve">W and the operating cost in US$ </w:t>
      </w:r>
      <w:r w:rsidR="002054FC" w:rsidRPr="00014DE8">
        <w:rPr>
          <w:bCs/>
        </w:rPr>
        <w:t>per kW (fixed costs) and US$ per kWh (variable costs)</w:t>
      </w:r>
      <w:r w:rsidRPr="00014DE8">
        <w:rPr>
          <w:bCs/>
        </w:rPr>
        <w:t>. For this, many inputs estimating annual</w:t>
      </w:r>
      <w:r w:rsidR="002054FC" w:rsidRPr="00014DE8">
        <w:rPr>
          <w:bCs/>
        </w:rPr>
        <w:t xml:space="preserve"> output and lifetime output per </w:t>
      </w:r>
      <w:r w:rsidR="004835E5">
        <w:rPr>
          <w:bCs/>
        </w:rPr>
        <w:t xml:space="preserve">nuclear </w:t>
      </w:r>
      <w:r w:rsidR="004835E5" w:rsidRPr="00014DE8">
        <w:rPr>
          <w:bCs/>
        </w:rPr>
        <w:t>electricity</w:t>
      </w:r>
      <w:r w:rsidR="002054FC" w:rsidRPr="00014DE8">
        <w:rPr>
          <w:bCs/>
        </w:rPr>
        <w:t xml:space="preserve"> generation</w:t>
      </w:r>
      <w:r w:rsidRPr="00014DE8">
        <w:rPr>
          <w:bCs/>
        </w:rPr>
        <w:t>, along with first costs (</w:t>
      </w:r>
      <w:r w:rsidR="002054FC" w:rsidRPr="00014DE8">
        <w:rPr>
          <w:bCs/>
        </w:rPr>
        <w:t>per</w:t>
      </w:r>
      <w:r w:rsidRPr="00014DE8">
        <w:rPr>
          <w:bCs/>
        </w:rPr>
        <w:t xml:space="preserve"> functional unit), were calculated</w:t>
      </w:r>
      <w:r w:rsidR="002054FC" w:rsidRPr="00014DE8">
        <w:rPr>
          <w:bCs/>
        </w:rPr>
        <w:t xml:space="preserve">. </w:t>
      </w:r>
    </w:p>
    <w:p w14:paraId="0AF36A74" w14:textId="77777777" w:rsidR="004835E5" w:rsidRDefault="00290D71" w:rsidP="00014DE8">
      <w:pPr>
        <w:rPr>
          <w:rFonts w:cs="Times New Roman"/>
          <w:bCs/>
        </w:rPr>
      </w:pPr>
      <w:r w:rsidRPr="00014DE8">
        <w:rPr>
          <w:rFonts w:cs="Times New Roman"/>
          <w:bCs/>
        </w:rPr>
        <w:t>For the solution (</w:t>
      </w:r>
      <w:r w:rsidR="004835E5">
        <w:rPr>
          <w:rFonts w:cs="Times New Roman"/>
          <w:bCs/>
        </w:rPr>
        <w:t>nuclear</w:t>
      </w:r>
      <w:r w:rsidRPr="00014DE8">
        <w:rPr>
          <w:rFonts w:cs="Times New Roman"/>
          <w:bCs/>
        </w:rPr>
        <w:t>), the conventional current mix of fossil fuel electricity generation technologies (coal, gas</w:t>
      </w:r>
      <w:r w:rsidR="001B48E7">
        <w:rPr>
          <w:rFonts w:cs="Times New Roman"/>
          <w:bCs/>
        </w:rPr>
        <w:t>,</w:t>
      </w:r>
      <w:r w:rsidRPr="00014DE8">
        <w:rPr>
          <w:rFonts w:cs="Times New Roman"/>
          <w:bCs/>
        </w:rPr>
        <w:t xml:space="preserve"> and oil) replaced were identified. Costs and operation for both generation </w:t>
      </w:r>
      <w:r w:rsidRPr="007D3A5C">
        <w:rPr>
          <w:rFonts w:cs="Times New Roman"/>
          <w:bCs/>
        </w:rPr>
        <w:t>technologies (solution and conventional) were considered to obtain the differential result</w:t>
      </w:r>
      <w:r w:rsidR="00E978D4" w:rsidRPr="007D3A5C">
        <w:rPr>
          <w:rFonts w:cs="Times New Roman"/>
          <w:bCs/>
        </w:rPr>
        <w:t>.</w:t>
      </w:r>
    </w:p>
    <w:p w14:paraId="53B2791F" w14:textId="586B524E" w:rsidR="00014DE8" w:rsidRPr="00275D75" w:rsidRDefault="00014DE8" w:rsidP="00014DE8">
      <w:r w:rsidRPr="00275D75">
        <w:t>The financial inputs used in the model consider an average installation cost of US$</w:t>
      </w:r>
      <w:r w:rsidR="0006439A" w:rsidRPr="00275D75">
        <w:t>8,331</w:t>
      </w:r>
      <w:r w:rsidRPr="00275D75">
        <w:t xml:space="preserve"> per kilowatt with a learning rate of </w:t>
      </w:r>
      <w:r w:rsidR="0006439A" w:rsidRPr="00275D75">
        <w:t xml:space="preserve">2% similar to the input used for conventional technologies. </w:t>
      </w:r>
      <w:r w:rsidR="00066150">
        <w:t>A</w:t>
      </w:r>
      <w:r w:rsidR="0006439A" w:rsidRPr="00275D75">
        <w:t xml:space="preserve">nnual use of nuclear power is the highest compared to all </w:t>
      </w:r>
      <w:r w:rsidR="00066150">
        <w:t xml:space="preserve">electricity </w:t>
      </w:r>
      <w:r w:rsidR="0006439A" w:rsidRPr="00275D75">
        <w:t xml:space="preserve">generating technologies. </w:t>
      </w:r>
      <w:r w:rsidRPr="00275D75">
        <w:t xml:space="preserve">An average capacity factor of </w:t>
      </w:r>
      <w:r w:rsidR="0006439A" w:rsidRPr="00275D75">
        <w:t>82 percent</w:t>
      </w:r>
      <w:r w:rsidRPr="00275D75">
        <w:t xml:space="preserve"> is used for </w:t>
      </w:r>
      <w:r w:rsidR="0006439A" w:rsidRPr="00275D75">
        <w:t>nuclear</w:t>
      </w:r>
      <w:r w:rsidRPr="00275D75">
        <w:t>, compared to 5</w:t>
      </w:r>
      <w:r w:rsidR="0006439A" w:rsidRPr="00275D75">
        <w:t>7</w:t>
      </w:r>
      <w:r w:rsidRPr="00275D75">
        <w:t xml:space="preserve"> percent for conventional technologies (</w:t>
      </w:r>
      <w:r w:rsidRPr="00275D75">
        <w:rPr>
          <w:i/>
        </w:rPr>
        <w:t>i.e.</w:t>
      </w:r>
      <w:r w:rsidRPr="00275D75">
        <w:t xml:space="preserve"> coal, natural gas, and oil power plants). Variable operation and maintenance costs of US$0.0</w:t>
      </w:r>
      <w:r w:rsidR="0006439A" w:rsidRPr="00275D75">
        <w:t>16</w:t>
      </w:r>
      <w:r w:rsidRPr="00275D75">
        <w:t xml:space="preserve"> per kilowatt-hour</w:t>
      </w:r>
      <w:r w:rsidR="004D2944" w:rsidRPr="00275D75">
        <w:t xml:space="preserve">, </w:t>
      </w:r>
      <w:r w:rsidRPr="00275D75">
        <w:t>and of US$</w:t>
      </w:r>
      <w:r w:rsidR="0006439A" w:rsidRPr="00275D75">
        <w:t>108.8</w:t>
      </w:r>
      <w:r w:rsidRPr="00275D75">
        <w:t xml:space="preserve"> per kilowatt for fixed costs are considered for </w:t>
      </w:r>
      <w:r w:rsidR="0006439A" w:rsidRPr="00275D75">
        <w:t>nuclear</w:t>
      </w:r>
      <w:r w:rsidRPr="00275D75">
        <w:t>, compared to US$0.00</w:t>
      </w:r>
      <w:r w:rsidR="0006439A" w:rsidRPr="00275D75">
        <w:t>5</w:t>
      </w:r>
      <w:r w:rsidRPr="00275D75">
        <w:t xml:space="preserve"> per kilowatt-hour and US$</w:t>
      </w:r>
      <w:r w:rsidR="0006439A" w:rsidRPr="00275D75">
        <w:t>34.7</w:t>
      </w:r>
      <w:r w:rsidRPr="00275D75">
        <w:t xml:space="preserve"> per kilowatt for the conventional technologies</w:t>
      </w:r>
      <w:r w:rsidR="007D3A5C" w:rsidRPr="00275D75">
        <w:t xml:space="preserve"> (Tables 2.2. and 2.3).</w:t>
      </w:r>
      <w:r w:rsidRPr="00275D75">
        <w:t xml:space="preserve"> </w:t>
      </w:r>
    </w:p>
    <w:p w14:paraId="5FA99861" w14:textId="3F8B30FC" w:rsidR="00910DE0" w:rsidRPr="00E069AC" w:rsidRDefault="00B96AE0" w:rsidP="00EB247F">
      <w:r w:rsidRPr="00275D75">
        <w:t>Additionally</w:t>
      </w:r>
      <w:r w:rsidR="004D2944" w:rsidRPr="00275D75">
        <w:t>,</w:t>
      </w:r>
      <w:r w:rsidRPr="00275D75">
        <w:t xml:space="preserve"> a</w:t>
      </w:r>
      <w:r w:rsidRPr="00275D75">
        <w:rPr>
          <w:bCs/>
        </w:rPr>
        <w:t xml:space="preserve"> discount rate is fixed at 9.</w:t>
      </w:r>
      <w:r w:rsidR="00605504" w:rsidRPr="00275D75">
        <w:rPr>
          <w:bCs/>
        </w:rPr>
        <w:t>68</w:t>
      </w:r>
      <w:r w:rsidR="0006439A" w:rsidRPr="00275D75">
        <w:rPr>
          <w:bCs/>
        </w:rPr>
        <w:t xml:space="preserve"> </w:t>
      </w:r>
      <w:r w:rsidRPr="00275D75">
        <w:rPr>
          <w:bCs/>
        </w:rPr>
        <w:t>percent appropriate for utility-scale projects</w:t>
      </w:r>
      <w:r w:rsidRPr="00605504">
        <w:rPr>
          <w:bCs/>
        </w:rPr>
        <w:t xml:space="preserve"> </w:t>
      </w:r>
      <w:r w:rsidR="00633ACC" w:rsidRPr="00605504">
        <w:rPr>
          <w:bCs/>
        </w:rPr>
        <w:t xml:space="preserve">follow a literature review data meta-analysis, </w:t>
      </w:r>
      <w:r w:rsidRPr="00605504">
        <w:rPr>
          <w:bCs/>
        </w:rPr>
        <w:t>and use</w:t>
      </w:r>
      <w:r w:rsidR="00633ACC" w:rsidRPr="00605504">
        <w:rPr>
          <w:bCs/>
        </w:rPr>
        <w:t>d</w:t>
      </w:r>
      <w:r w:rsidRPr="00605504">
        <w:rPr>
          <w:bCs/>
        </w:rPr>
        <w:t xml:space="preserve"> across all Drawdown electricity generation solutions with this level of agency</w:t>
      </w:r>
      <w:r w:rsidR="00910DE0" w:rsidRPr="00605504">
        <w:t>.</w:t>
      </w:r>
      <w:r w:rsidR="00633ACC" w:rsidRPr="00605504">
        <w:t xml:space="preserve"> The discount rate used</w:t>
      </w:r>
      <w:r w:rsidR="002A09DB" w:rsidRPr="00605504">
        <w:t xml:space="preserve"> herein was benchmarked to the p</w:t>
      </w:r>
      <w:r w:rsidR="00633ACC" w:rsidRPr="00605504">
        <w:t>ower generation technologies of the PRIMES model used in the impact assessment of</w:t>
      </w:r>
      <w:r w:rsidR="00633ACC" w:rsidRPr="00D37ECE">
        <w:t xml:space="preserve"> the EU 2030 targets, that considers</w:t>
      </w:r>
      <w:r w:rsidR="00633ACC" w:rsidRPr="00633ACC">
        <w:t xml:space="preserve"> 9% (EC, 2014).</w:t>
      </w:r>
    </w:p>
    <w:p w14:paraId="1521B01D" w14:textId="578375C8" w:rsidR="00D25FC7" w:rsidRPr="00593535" w:rsidRDefault="00D25FC7" w:rsidP="00D25FC7">
      <w:pPr>
        <w:pStyle w:val="Caption"/>
        <w:jc w:val="center"/>
        <w:rPr>
          <w:rFonts w:asciiTheme="majorHAnsi" w:eastAsiaTheme="majorEastAsia" w:hAnsiTheme="majorHAnsi" w:cstheme="majorBidi"/>
          <w:b/>
          <w:bCs/>
          <w:color w:val="000000" w:themeColor="text1"/>
          <w:sz w:val="23"/>
          <w:szCs w:val="23"/>
          <w:lang w:eastAsia="zh-CN"/>
        </w:rPr>
      </w:pPr>
      <w:bookmarkStart w:id="38" w:name="_Toc19323120"/>
      <w:r w:rsidRPr="00593535">
        <w:t xml:space="preserve">Table </w:t>
      </w:r>
      <w:r w:rsidR="0060195D">
        <w:fldChar w:fldCharType="begin"/>
      </w:r>
      <w:r w:rsidR="0060195D">
        <w:instrText xml:space="preserve"> STYLEREF 1 \s </w:instrText>
      </w:r>
      <w:r w:rsidR="0060195D">
        <w:fldChar w:fldCharType="separate"/>
      </w:r>
      <w:r w:rsidRPr="00593535">
        <w:t>2</w:t>
      </w:r>
      <w:r w:rsidR="0060195D">
        <w:fldChar w:fldCharType="end"/>
      </w:r>
      <w:r w:rsidRPr="00593535">
        <w:t>.</w:t>
      </w:r>
      <w:r w:rsidR="0060195D">
        <w:fldChar w:fldCharType="begin"/>
      </w:r>
      <w:r w:rsidR="0060195D">
        <w:instrText xml:space="preserve"> SEQ Table \* ARABIC \s 1 </w:instrText>
      </w:r>
      <w:r w:rsidR="0060195D">
        <w:fldChar w:fldCharType="separate"/>
      </w:r>
      <w:r w:rsidRPr="00593535">
        <w:t>2</w:t>
      </w:r>
      <w:r w:rsidR="0060195D">
        <w:fldChar w:fldCharType="end"/>
      </w:r>
      <w:r w:rsidRPr="00593535">
        <w:t xml:space="preserve"> Financial Inputs </w:t>
      </w:r>
      <w:r w:rsidR="009C0F77" w:rsidRPr="00593535">
        <w:t xml:space="preserve">for </w:t>
      </w:r>
      <w:r w:rsidRPr="00593535">
        <w:t>Conventional Technologies</w:t>
      </w:r>
      <w:bookmarkEnd w:id="38"/>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593535" w14:paraId="5EBC0DC9" w14:textId="77777777" w:rsidTr="00831310">
        <w:trPr>
          <w:trHeight w:val="1154"/>
          <w:jc w:val="center"/>
        </w:trPr>
        <w:tc>
          <w:tcPr>
            <w:tcW w:w="1221" w:type="pct"/>
            <w:shd w:val="clear" w:color="auto" w:fill="4F81BD" w:themeFill="accent1"/>
            <w:vAlign w:val="center"/>
          </w:tcPr>
          <w:p w14:paraId="74E672A4" w14:textId="77777777" w:rsidR="00910DE0" w:rsidRPr="00593535" w:rsidRDefault="00910DE0" w:rsidP="00831310">
            <w:pPr>
              <w:spacing w:after="180" w:line="240" w:lineRule="auto"/>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593535" w:rsidRDefault="00910DE0" w:rsidP="00831310">
            <w:pPr>
              <w:spacing w:after="180" w:line="240" w:lineRule="auto"/>
              <w:jc w:val="center"/>
              <w:rPr>
                <w:b/>
                <w:bCs/>
                <w:sz w:val="20"/>
                <w:szCs w:val="20"/>
              </w:rPr>
            </w:pPr>
            <w:r w:rsidRPr="00593535">
              <w:rPr>
                <w:b/>
                <w:bCs/>
                <w:color w:val="FFFFFF" w:themeColor="background1"/>
                <w:sz w:val="20"/>
                <w:szCs w:val="20"/>
              </w:rPr>
              <w:t>Units</w:t>
            </w:r>
          </w:p>
        </w:tc>
        <w:tc>
          <w:tcPr>
            <w:tcW w:w="861" w:type="pct"/>
            <w:shd w:val="clear" w:color="auto" w:fill="4F81BD" w:themeFill="accent1"/>
            <w:vAlign w:val="center"/>
          </w:tcPr>
          <w:p w14:paraId="0418DADA" w14:textId="42CB0C28" w:rsidR="00910DE0" w:rsidRPr="00593535" w:rsidRDefault="00910DE0" w:rsidP="00831310">
            <w:pPr>
              <w:spacing w:after="180" w:line="240" w:lineRule="auto"/>
              <w:jc w:val="center"/>
              <w:rPr>
                <w:b/>
                <w:bCs/>
                <w:color w:val="FFFFFF" w:themeColor="background1"/>
                <w:sz w:val="20"/>
                <w:szCs w:val="20"/>
              </w:rPr>
            </w:pPr>
            <w:r w:rsidRPr="00593535">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593535" w:rsidRDefault="00910DE0" w:rsidP="00831310">
            <w:pPr>
              <w:spacing w:after="180" w:line="240" w:lineRule="auto"/>
              <w:jc w:val="center"/>
              <w:rPr>
                <w:b/>
                <w:bCs/>
                <w:color w:val="FFFFFF" w:themeColor="background1"/>
                <w:sz w:val="20"/>
                <w:szCs w:val="20"/>
              </w:rPr>
            </w:pPr>
            <w:r w:rsidRPr="00593535">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593535" w:rsidRDefault="00910DE0" w:rsidP="00831310">
            <w:pPr>
              <w:spacing w:after="180" w:line="240" w:lineRule="auto"/>
              <w:jc w:val="center"/>
              <w:rPr>
                <w:b/>
                <w:bCs/>
                <w:color w:val="FFFFFF" w:themeColor="background1"/>
                <w:sz w:val="20"/>
                <w:szCs w:val="20"/>
              </w:rPr>
            </w:pPr>
            <w:r w:rsidRPr="00593535">
              <w:rPr>
                <w:b/>
                <w:bCs/>
                <w:color w:val="FFFFFF" w:themeColor="background1"/>
                <w:sz w:val="20"/>
                <w:szCs w:val="20"/>
              </w:rPr>
              <w:t>Data Points (#)</w:t>
            </w:r>
          </w:p>
        </w:tc>
        <w:tc>
          <w:tcPr>
            <w:tcW w:w="579" w:type="pct"/>
            <w:shd w:val="clear" w:color="auto" w:fill="4F81BD" w:themeFill="accent1"/>
            <w:vAlign w:val="center"/>
          </w:tcPr>
          <w:p w14:paraId="213A903C" w14:textId="77777777" w:rsidR="00910DE0" w:rsidRPr="00593535" w:rsidRDefault="00910DE0" w:rsidP="00831310">
            <w:pPr>
              <w:spacing w:after="180" w:line="240" w:lineRule="auto"/>
              <w:jc w:val="center"/>
              <w:rPr>
                <w:b/>
                <w:bCs/>
                <w:color w:val="FFFFFF" w:themeColor="background1"/>
                <w:sz w:val="20"/>
                <w:szCs w:val="20"/>
              </w:rPr>
            </w:pPr>
            <w:r w:rsidRPr="00593535">
              <w:rPr>
                <w:b/>
                <w:bCs/>
                <w:color w:val="FFFFFF" w:themeColor="background1"/>
                <w:sz w:val="20"/>
                <w:szCs w:val="20"/>
              </w:rPr>
              <w:t>Sources (#)</w:t>
            </w:r>
          </w:p>
        </w:tc>
      </w:tr>
      <w:tr w:rsidR="00E40CEA" w:rsidRPr="00593535" w14:paraId="224D399B" w14:textId="77777777" w:rsidTr="00831310">
        <w:trPr>
          <w:trHeight w:val="149"/>
          <w:jc w:val="center"/>
        </w:trPr>
        <w:tc>
          <w:tcPr>
            <w:tcW w:w="1221" w:type="pct"/>
            <w:vAlign w:val="center"/>
          </w:tcPr>
          <w:p w14:paraId="400D3B56" w14:textId="143B18F8" w:rsidR="00E40CEA" w:rsidRPr="00593535" w:rsidRDefault="00E40CEA" w:rsidP="00E40CEA">
            <w:pPr>
              <w:spacing w:after="180" w:line="240" w:lineRule="auto"/>
              <w:jc w:val="center"/>
              <w:rPr>
                <w:color w:val="000000" w:themeColor="text1"/>
                <w:sz w:val="20"/>
                <w:szCs w:val="20"/>
              </w:rPr>
            </w:pPr>
            <w:r w:rsidRPr="00593535">
              <w:rPr>
                <w:color w:val="000000" w:themeColor="text1"/>
                <w:sz w:val="20"/>
                <w:szCs w:val="20"/>
              </w:rPr>
              <w:t>First costs (Conventional)</w:t>
            </w:r>
          </w:p>
        </w:tc>
        <w:tc>
          <w:tcPr>
            <w:tcW w:w="861" w:type="pct"/>
            <w:vAlign w:val="center"/>
          </w:tcPr>
          <w:p w14:paraId="56AA3572" w14:textId="5AF1B778" w:rsidR="00E40CEA" w:rsidRPr="00593535" w:rsidRDefault="00E40CEA" w:rsidP="00E40CEA">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5AD14322" w14:textId="7233918E"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r>
              <w:rPr>
                <w:rFonts w:eastAsia="Helvetica,Times New Roman" w:cstheme="minorHAnsi"/>
                <w:color w:val="000000" w:themeColor="text1"/>
                <w:sz w:val="20"/>
                <w:szCs w:val="20"/>
              </w:rPr>
              <w:t>470.5</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3,101</w:t>
            </w:r>
          </w:p>
        </w:tc>
        <w:tc>
          <w:tcPr>
            <w:tcW w:w="861" w:type="pct"/>
            <w:vAlign w:val="center"/>
          </w:tcPr>
          <w:p w14:paraId="6782A95B" w14:textId="793CB4EB"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r>
              <w:rPr>
                <w:rFonts w:eastAsia="Helvetica,Times New Roman" w:cstheme="minorHAnsi"/>
                <w:color w:val="000000" w:themeColor="text1"/>
                <w:sz w:val="20"/>
                <w:szCs w:val="20"/>
              </w:rPr>
              <w:t>1,786</w:t>
            </w:r>
          </w:p>
        </w:tc>
        <w:tc>
          <w:tcPr>
            <w:tcW w:w="617" w:type="pct"/>
            <w:vAlign w:val="center"/>
          </w:tcPr>
          <w:p w14:paraId="1AA7E7F8" w14:textId="71724751"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4</w:t>
            </w:r>
          </w:p>
        </w:tc>
        <w:tc>
          <w:tcPr>
            <w:tcW w:w="579" w:type="pct"/>
            <w:vAlign w:val="center"/>
          </w:tcPr>
          <w:p w14:paraId="367ADBC1" w14:textId="165022D3"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r>
              <w:rPr>
                <w:rFonts w:eastAsia="Helvetica,Times New Roman" w:cstheme="minorHAnsi"/>
                <w:color w:val="000000" w:themeColor="text1"/>
                <w:sz w:val="20"/>
                <w:szCs w:val="20"/>
              </w:rPr>
              <w:t>8</w:t>
            </w:r>
          </w:p>
        </w:tc>
      </w:tr>
      <w:tr w:rsidR="00E40CEA" w:rsidRPr="00593535" w14:paraId="29BBD18C" w14:textId="77777777" w:rsidTr="00831310">
        <w:trPr>
          <w:trHeight w:val="583"/>
          <w:jc w:val="center"/>
        </w:trPr>
        <w:tc>
          <w:tcPr>
            <w:tcW w:w="1221" w:type="pct"/>
            <w:vAlign w:val="center"/>
          </w:tcPr>
          <w:p w14:paraId="696E0629" w14:textId="1C8146F6" w:rsidR="00E40CEA" w:rsidRPr="00593535" w:rsidRDefault="00E40CEA" w:rsidP="00E40CEA">
            <w:pPr>
              <w:spacing w:after="180" w:line="240" w:lineRule="auto"/>
              <w:jc w:val="center"/>
              <w:rPr>
                <w:color w:val="000000" w:themeColor="text1"/>
                <w:sz w:val="20"/>
                <w:szCs w:val="20"/>
              </w:rPr>
            </w:pPr>
            <w:r w:rsidRPr="00593535">
              <w:rPr>
                <w:color w:val="000000" w:themeColor="text1"/>
                <w:sz w:val="20"/>
                <w:szCs w:val="20"/>
              </w:rPr>
              <w:t>Fixed Operation and Maintenance Costs (Conventional)</w:t>
            </w:r>
          </w:p>
        </w:tc>
        <w:tc>
          <w:tcPr>
            <w:tcW w:w="861" w:type="pct"/>
            <w:vAlign w:val="center"/>
          </w:tcPr>
          <w:p w14:paraId="3CEF4190" w14:textId="667136F9" w:rsidR="00E40CEA" w:rsidRPr="00593535" w:rsidRDefault="00E40CEA" w:rsidP="00E40CEA">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41B31604" w14:textId="3CE176B0"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r>
              <w:rPr>
                <w:rFonts w:eastAsia="Helvetica,Times New Roman" w:cstheme="minorHAnsi"/>
                <w:color w:val="000000" w:themeColor="text1"/>
                <w:sz w:val="20"/>
                <w:szCs w:val="20"/>
              </w:rPr>
              <w:t>3</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44</w:t>
            </w:r>
            <w:r w:rsidRPr="00593535">
              <w:rPr>
                <w:rFonts w:eastAsia="Helvetica,Times New Roman" w:cstheme="minorHAnsi"/>
                <w:color w:val="000000" w:themeColor="text1"/>
                <w:sz w:val="20"/>
                <w:szCs w:val="20"/>
              </w:rPr>
              <w:t xml:space="preserve"> – 6</w:t>
            </w:r>
            <w:r>
              <w:rPr>
                <w:rFonts w:eastAsia="Helvetica,Times New Roman" w:cstheme="minorHAnsi"/>
                <w:color w:val="000000" w:themeColor="text1"/>
                <w:sz w:val="20"/>
                <w:szCs w:val="20"/>
              </w:rPr>
              <w:t>5</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86</w:t>
            </w:r>
          </w:p>
        </w:tc>
        <w:tc>
          <w:tcPr>
            <w:tcW w:w="861" w:type="pct"/>
            <w:vAlign w:val="center"/>
          </w:tcPr>
          <w:p w14:paraId="259F13A5" w14:textId="083C9789" w:rsidR="00E40CEA" w:rsidRPr="00CC61E9" w:rsidRDefault="0006439A" w:rsidP="00E40CEA">
            <w:pPr>
              <w:spacing w:after="180" w:line="240" w:lineRule="auto"/>
              <w:jc w:val="center"/>
              <w:rPr>
                <w:rFonts w:eastAsia="Helvetica,Times New Roman" w:cstheme="minorHAnsi"/>
                <w:color w:val="000000" w:themeColor="text1"/>
                <w:sz w:val="20"/>
                <w:szCs w:val="20"/>
                <w:highlight w:val="yellow"/>
              </w:rPr>
            </w:pPr>
            <w:r>
              <w:rPr>
                <w:rFonts w:eastAsia="Helvetica,Times New Roman" w:cstheme="minorHAnsi"/>
                <w:color w:val="000000" w:themeColor="text1"/>
                <w:sz w:val="20"/>
                <w:szCs w:val="20"/>
              </w:rPr>
              <w:t>34.65</w:t>
            </w:r>
          </w:p>
        </w:tc>
        <w:tc>
          <w:tcPr>
            <w:tcW w:w="617" w:type="pct"/>
            <w:vAlign w:val="center"/>
          </w:tcPr>
          <w:p w14:paraId="62C158C3" w14:textId="64D28797"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r w:rsidRPr="00593535">
              <w:rPr>
                <w:rFonts w:eastAsia="Helvetica,Times New Roman" w:cstheme="minorHAnsi"/>
                <w:color w:val="000000" w:themeColor="text1"/>
                <w:sz w:val="20"/>
                <w:szCs w:val="20"/>
              </w:rPr>
              <w:t>1</w:t>
            </w:r>
            <w:r>
              <w:rPr>
                <w:rFonts w:eastAsia="Helvetica,Times New Roman" w:cstheme="minorHAnsi"/>
                <w:color w:val="000000" w:themeColor="text1"/>
                <w:sz w:val="20"/>
                <w:szCs w:val="20"/>
              </w:rPr>
              <w:t>8</w:t>
            </w:r>
          </w:p>
        </w:tc>
        <w:tc>
          <w:tcPr>
            <w:tcW w:w="579" w:type="pct"/>
            <w:vAlign w:val="center"/>
          </w:tcPr>
          <w:p w14:paraId="2E77170B" w14:textId="0EFD82B9"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r w:rsidRPr="00593535">
              <w:rPr>
                <w:rFonts w:eastAsia="Helvetica,Times New Roman" w:cstheme="minorHAnsi"/>
                <w:color w:val="000000" w:themeColor="text1"/>
                <w:sz w:val="20"/>
                <w:szCs w:val="20"/>
              </w:rPr>
              <w:t>4</w:t>
            </w:r>
          </w:p>
        </w:tc>
      </w:tr>
      <w:tr w:rsidR="00E40CEA" w:rsidRPr="00593535" w14:paraId="789E9F95" w14:textId="77777777" w:rsidTr="00831310">
        <w:trPr>
          <w:trHeight w:val="149"/>
          <w:jc w:val="center"/>
        </w:trPr>
        <w:tc>
          <w:tcPr>
            <w:tcW w:w="1221" w:type="pct"/>
            <w:vAlign w:val="center"/>
          </w:tcPr>
          <w:p w14:paraId="564B7DFA" w14:textId="647BDDE6" w:rsidR="00E40CEA" w:rsidRPr="00593535" w:rsidRDefault="00E40CEA" w:rsidP="00E40CEA">
            <w:pPr>
              <w:spacing w:after="180" w:line="240" w:lineRule="auto"/>
              <w:jc w:val="center"/>
              <w:rPr>
                <w:color w:val="000000" w:themeColor="text1"/>
                <w:sz w:val="20"/>
                <w:szCs w:val="20"/>
              </w:rPr>
            </w:pPr>
            <w:r w:rsidRPr="00593535">
              <w:rPr>
                <w:color w:val="000000" w:themeColor="text1"/>
                <w:sz w:val="20"/>
                <w:szCs w:val="20"/>
              </w:rPr>
              <w:t>Variable Operation and Maintenance Costs (Conventional)</w:t>
            </w:r>
          </w:p>
        </w:tc>
        <w:tc>
          <w:tcPr>
            <w:tcW w:w="861" w:type="pct"/>
            <w:vAlign w:val="center"/>
          </w:tcPr>
          <w:p w14:paraId="292CCBF2" w14:textId="40A6EDB8" w:rsidR="00E40CEA" w:rsidRPr="00593535" w:rsidRDefault="00E40CEA" w:rsidP="00E40CEA">
            <w:pPr>
              <w:spacing w:after="180" w:line="240" w:lineRule="auto"/>
              <w:jc w:val="center"/>
              <w:rPr>
                <w:rFonts w:eastAsia="Helvetica,Times New Roman" w:cstheme="minorHAnsi"/>
                <w:sz w:val="20"/>
                <w:szCs w:val="20"/>
              </w:rPr>
            </w:pPr>
            <w:r w:rsidRPr="00593535">
              <w:rPr>
                <w:bCs/>
                <w:i/>
                <w:sz w:val="20"/>
                <w:szCs w:val="20"/>
              </w:rPr>
              <w:t>US$2014/kWh</w:t>
            </w:r>
          </w:p>
        </w:tc>
        <w:tc>
          <w:tcPr>
            <w:tcW w:w="861" w:type="pct"/>
            <w:vAlign w:val="center"/>
          </w:tcPr>
          <w:p w14:paraId="3698BA83" w14:textId="4B8B6062"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r w:rsidRPr="00593535">
              <w:rPr>
                <w:rFonts w:eastAsia="Helvetica,Times New Roman" w:cstheme="minorHAnsi"/>
                <w:color w:val="000000" w:themeColor="text1"/>
                <w:sz w:val="20"/>
                <w:szCs w:val="20"/>
              </w:rPr>
              <w:t>0.0014 – 0.0079</w:t>
            </w:r>
          </w:p>
        </w:tc>
        <w:tc>
          <w:tcPr>
            <w:tcW w:w="861" w:type="pct"/>
            <w:vAlign w:val="center"/>
          </w:tcPr>
          <w:p w14:paraId="2C205561" w14:textId="63358987"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r w:rsidRPr="00593535">
              <w:rPr>
                <w:rFonts w:eastAsia="Helvetica,Times New Roman" w:cstheme="minorHAnsi"/>
                <w:color w:val="000000" w:themeColor="text1"/>
                <w:sz w:val="20"/>
                <w:szCs w:val="20"/>
              </w:rPr>
              <w:t>0.00</w:t>
            </w:r>
            <w:r>
              <w:rPr>
                <w:rFonts w:eastAsia="Helvetica,Times New Roman" w:cstheme="minorHAnsi"/>
                <w:color w:val="000000" w:themeColor="text1"/>
                <w:sz w:val="20"/>
                <w:szCs w:val="20"/>
              </w:rPr>
              <w:t>4</w:t>
            </w:r>
            <w:r w:rsidRPr="00593535">
              <w:rPr>
                <w:rFonts w:eastAsia="Helvetica,Times New Roman" w:cstheme="minorHAnsi"/>
                <w:color w:val="000000" w:themeColor="text1"/>
                <w:sz w:val="20"/>
                <w:szCs w:val="20"/>
              </w:rPr>
              <w:t>8</w:t>
            </w:r>
          </w:p>
        </w:tc>
        <w:tc>
          <w:tcPr>
            <w:tcW w:w="617" w:type="pct"/>
            <w:vAlign w:val="center"/>
          </w:tcPr>
          <w:p w14:paraId="6F7826B4" w14:textId="049FDF04"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2</w:t>
            </w:r>
          </w:p>
        </w:tc>
        <w:tc>
          <w:tcPr>
            <w:tcW w:w="579" w:type="pct"/>
            <w:vAlign w:val="center"/>
          </w:tcPr>
          <w:p w14:paraId="6F71B7A1" w14:textId="70488838"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r>
              <w:rPr>
                <w:rFonts w:eastAsia="Helvetica,Times New Roman" w:cstheme="minorHAnsi"/>
                <w:color w:val="000000" w:themeColor="text1"/>
                <w:sz w:val="20"/>
                <w:szCs w:val="20"/>
              </w:rPr>
              <w:t>7</w:t>
            </w:r>
          </w:p>
        </w:tc>
      </w:tr>
      <w:tr w:rsidR="00E40CEA" w:rsidRPr="00593535" w14:paraId="4CC8EC27" w14:textId="77777777" w:rsidTr="00831310">
        <w:trPr>
          <w:trHeight w:val="149"/>
          <w:jc w:val="center"/>
        </w:trPr>
        <w:tc>
          <w:tcPr>
            <w:tcW w:w="1221" w:type="pct"/>
            <w:vAlign w:val="center"/>
          </w:tcPr>
          <w:p w14:paraId="45834DD9" w14:textId="4B1CF3FD" w:rsidR="00E40CEA" w:rsidRPr="00593535" w:rsidRDefault="00E40CEA" w:rsidP="00E40CEA">
            <w:pPr>
              <w:spacing w:after="180" w:line="240" w:lineRule="auto"/>
              <w:jc w:val="center"/>
              <w:rPr>
                <w:color w:val="000000" w:themeColor="text1"/>
                <w:sz w:val="20"/>
                <w:szCs w:val="20"/>
              </w:rPr>
            </w:pPr>
            <w:r w:rsidRPr="00593535">
              <w:rPr>
                <w:color w:val="000000" w:themeColor="text1"/>
                <w:sz w:val="20"/>
                <w:szCs w:val="20"/>
              </w:rPr>
              <w:t>Fuel Price (Conventional)</w:t>
            </w:r>
          </w:p>
        </w:tc>
        <w:tc>
          <w:tcPr>
            <w:tcW w:w="861" w:type="pct"/>
            <w:vAlign w:val="center"/>
          </w:tcPr>
          <w:p w14:paraId="594E5CB1" w14:textId="29837262" w:rsidR="00E40CEA" w:rsidRPr="00593535" w:rsidRDefault="00E40CEA" w:rsidP="00E40CEA">
            <w:pPr>
              <w:spacing w:after="180" w:line="240" w:lineRule="auto"/>
              <w:jc w:val="center"/>
              <w:rPr>
                <w:rFonts w:eastAsia="Helvetica,Times New Roman" w:cstheme="minorHAnsi"/>
                <w:b/>
                <w:sz w:val="20"/>
                <w:szCs w:val="20"/>
              </w:rPr>
            </w:pPr>
            <w:r w:rsidRPr="00593535">
              <w:rPr>
                <w:bCs/>
                <w:i/>
                <w:sz w:val="20"/>
                <w:szCs w:val="20"/>
              </w:rPr>
              <w:t>US$2014/kWh</w:t>
            </w:r>
          </w:p>
        </w:tc>
        <w:tc>
          <w:tcPr>
            <w:tcW w:w="861" w:type="pct"/>
            <w:shd w:val="clear" w:color="auto" w:fill="F2F2F2" w:themeFill="background1" w:themeFillShade="F2"/>
            <w:vAlign w:val="center"/>
          </w:tcPr>
          <w:p w14:paraId="2E46CA7E" w14:textId="77777777" w:rsidR="00E40CEA" w:rsidRPr="00CC61E9" w:rsidRDefault="00E40CEA" w:rsidP="00E40CEA">
            <w:pPr>
              <w:spacing w:after="180" w:line="240" w:lineRule="auto"/>
              <w:jc w:val="center"/>
              <w:rPr>
                <w:rFonts w:eastAsia="Helvetica,Times New Roman" w:cstheme="minorHAnsi"/>
                <w:b/>
                <w:color w:val="000000" w:themeColor="text1"/>
                <w:sz w:val="20"/>
                <w:szCs w:val="20"/>
                <w:highlight w:val="yellow"/>
              </w:rPr>
            </w:pPr>
          </w:p>
        </w:tc>
        <w:tc>
          <w:tcPr>
            <w:tcW w:w="861" w:type="pct"/>
            <w:vAlign w:val="center"/>
          </w:tcPr>
          <w:p w14:paraId="78F04F8B" w14:textId="3A37FA38" w:rsidR="00E40CEA" w:rsidRPr="00CC61E9" w:rsidRDefault="00E40CEA" w:rsidP="00E40CEA">
            <w:pPr>
              <w:spacing w:after="180" w:line="240" w:lineRule="auto"/>
              <w:jc w:val="center"/>
              <w:rPr>
                <w:rFonts w:eastAsia="Helvetica,Times New Roman" w:cstheme="minorHAnsi"/>
                <w:b/>
                <w:color w:val="000000" w:themeColor="text1"/>
                <w:sz w:val="20"/>
                <w:szCs w:val="20"/>
                <w:highlight w:val="yellow"/>
              </w:rPr>
            </w:pPr>
            <w:r w:rsidRPr="00593535">
              <w:rPr>
                <w:rFonts w:eastAsia="Helvetica,Times New Roman" w:cstheme="minorHAnsi"/>
                <w:color w:val="000000" w:themeColor="text1"/>
                <w:sz w:val="20"/>
                <w:szCs w:val="20"/>
              </w:rPr>
              <w:t>0.0</w:t>
            </w:r>
            <w:r>
              <w:rPr>
                <w:rFonts w:eastAsia="Helvetica,Times New Roman" w:cstheme="minorHAnsi"/>
                <w:color w:val="000000" w:themeColor="text1"/>
                <w:sz w:val="20"/>
                <w:szCs w:val="20"/>
              </w:rPr>
              <w:t>492</w:t>
            </w:r>
          </w:p>
        </w:tc>
        <w:tc>
          <w:tcPr>
            <w:tcW w:w="617" w:type="pct"/>
            <w:shd w:val="clear" w:color="auto" w:fill="auto"/>
            <w:vAlign w:val="center"/>
          </w:tcPr>
          <w:p w14:paraId="362873EB" w14:textId="1086F73C"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p>
        </w:tc>
        <w:tc>
          <w:tcPr>
            <w:tcW w:w="579" w:type="pct"/>
            <w:shd w:val="clear" w:color="auto" w:fill="auto"/>
            <w:vAlign w:val="center"/>
          </w:tcPr>
          <w:p w14:paraId="48F3D1EA" w14:textId="134C3730"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r w:rsidRPr="00593535">
              <w:rPr>
                <w:rFonts w:eastAsia="Helvetica,Times New Roman" w:cstheme="minorHAnsi"/>
                <w:color w:val="000000" w:themeColor="text1"/>
                <w:sz w:val="20"/>
                <w:szCs w:val="20"/>
              </w:rPr>
              <w:t>1</w:t>
            </w:r>
          </w:p>
        </w:tc>
      </w:tr>
      <w:tr w:rsidR="00E40CEA" w:rsidRPr="006330C6" w14:paraId="3AAC1C5A" w14:textId="77777777" w:rsidTr="00831310">
        <w:trPr>
          <w:trHeight w:val="149"/>
          <w:jc w:val="center"/>
        </w:trPr>
        <w:tc>
          <w:tcPr>
            <w:tcW w:w="1221" w:type="pct"/>
            <w:vAlign w:val="center"/>
          </w:tcPr>
          <w:p w14:paraId="3A181F58" w14:textId="5C434831" w:rsidR="00E40CEA" w:rsidRPr="00593535" w:rsidRDefault="00E40CEA" w:rsidP="00E40CEA">
            <w:pPr>
              <w:spacing w:after="180" w:line="240" w:lineRule="auto"/>
              <w:jc w:val="center"/>
              <w:rPr>
                <w:color w:val="000000" w:themeColor="text1"/>
                <w:sz w:val="20"/>
                <w:szCs w:val="20"/>
              </w:rPr>
            </w:pPr>
            <w:r w:rsidRPr="00593535">
              <w:rPr>
                <w:color w:val="000000" w:themeColor="text1"/>
                <w:sz w:val="20"/>
                <w:szCs w:val="20"/>
              </w:rPr>
              <w:t>Learning Rate Factor (Conventional)</w:t>
            </w:r>
          </w:p>
        </w:tc>
        <w:tc>
          <w:tcPr>
            <w:tcW w:w="861" w:type="pct"/>
            <w:vAlign w:val="center"/>
          </w:tcPr>
          <w:p w14:paraId="4A773F2C" w14:textId="489C9924" w:rsidR="00E40CEA" w:rsidRPr="00593535" w:rsidRDefault="00E40CEA" w:rsidP="00E40CEA">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w:t>
            </w:r>
          </w:p>
        </w:tc>
        <w:tc>
          <w:tcPr>
            <w:tcW w:w="861" w:type="pct"/>
            <w:shd w:val="clear" w:color="auto" w:fill="F2F2F2" w:themeFill="background1" w:themeFillShade="F2"/>
            <w:vAlign w:val="center"/>
          </w:tcPr>
          <w:p w14:paraId="5BBF4A68" w14:textId="77777777"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p>
        </w:tc>
        <w:tc>
          <w:tcPr>
            <w:tcW w:w="861" w:type="pct"/>
            <w:vAlign w:val="center"/>
          </w:tcPr>
          <w:p w14:paraId="28DF6EBE" w14:textId="6FBC4FB5"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r w:rsidRPr="00593535">
              <w:rPr>
                <w:rFonts w:eastAsia="Helvetica,Times New Roman" w:cstheme="minorHAnsi"/>
                <w:color w:val="000000" w:themeColor="text1"/>
                <w:sz w:val="20"/>
                <w:szCs w:val="20"/>
              </w:rPr>
              <w:t>2.00%</w:t>
            </w:r>
          </w:p>
        </w:tc>
        <w:tc>
          <w:tcPr>
            <w:tcW w:w="617" w:type="pct"/>
            <w:shd w:val="clear" w:color="auto" w:fill="F2F2F2" w:themeFill="background1" w:themeFillShade="F2"/>
            <w:vAlign w:val="center"/>
          </w:tcPr>
          <w:p w14:paraId="1EA82F8A" w14:textId="355F2F74"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p>
        </w:tc>
        <w:tc>
          <w:tcPr>
            <w:tcW w:w="579" w:type="pct"/>
            <w:shd w:val="clear" w:color="auto" w:fill="F2F2F2" w:themeFill="background1" w:themeFillShade="F2"/>
            <w:vAlign w:val="center"/>
          </w:tcPr>
          <w:p w14:paraId="353483AC" w14:textId="1FAC57D3" w:rsidR="00E40CEA" w:rsidRPr="00CC61E9" w:rsidRDefault="00E40CEA" w:rsidP="00E40CEA">
            <w:pPr>
              <w:spacing w:after="180" w:line="240" w:lineRule="auto"/>
              <w:jc w:val="center"/>
              <w:rPr>
                <w:rFonts w:eastAsia="Helvetica,Times New Roman" w:cstheme="minorHAnsi"/>
                <w:color w:val="000000" w:themeColor="text1"/>
                <w:sz w:val="20"/>
                <w:szCs w:val="20"/>
                <w:highlight w:val="yellow"/>
              </w:rPr>
            </w:pPr>
          </w:p>
        </w:tc>
      </w:tr>
    </w:tbl>
    <w:p w14:paraId="04806B88" w14:textId="77777777" w:rsidR="00605504" w:rsidRDefault="00605504" w:rsidP="00605504">
      <w:pPr>
        <w:pStyle w:val="Caption"/>
        <w:jc w:val="center"/>
        <w:rPr>
          <w:i w:val="0"/>
          <w:iCs w:val="0"/>
          <w:highlight w:val="red"/>
        </w:rPr>
      </w:pPr>
    </w:p>
    <w:p w14:paraId="1741A113" w14:textId="77777777" w:rsidR="00605504" w:rsidRPr="007D3A5C" w:rsidRDefault="00605504" w:rsidP="00605504">
      <w:pPr>
        <w:pStyle w:val="Caption"/>
        <w:jc w:val="center"/>
        <w:rPr>
          <w:rFonts w:asciiTheme="majorHAnsi" w:eastAsiaTheme="majorEastAsia" w:hAnsiTheme="majorHAnsi" w:cstheme="majorBidi"/>
          <w:b/>
          <w:bCs/>
          <w:color w:val="000000" w:themeColor="text1"/>
          <w:sz w:val="23"/>
          <w:szCs w:val="23"/>
          <w:lang w:eastAsia="zh-CN"/>
        </w:rPr>
      </w:pPr>
      <w:bookmarkStart w:id="39" w:name="_Toc19323121"/>
      <w:r w:rsidRPr="007D3A5C">
        <w:t xml:space="preserve">Table </w:t>
      </w:r>
      <w:r w:rsidR="0060195D">
        <w:fldChar w:fldCharType="begin"/>
      </w:r>
      <w:r w:rsidR="0060195D">
        <w:instrText xml:space="preserve"> STYLEREF 1 \s </w:instrText>
      </w:r>
      <w:r w:rsidR="0060195D">
        <w:fldChar w:fldCharType="separate"/>
      </w:r>
      <w:r w:rsidRPr="007D3A5C">
        <w:t>2</w:t>
      </w:r>
      <w:r w:rsidR="0060195D">
        <w:fldChar w:fldCharType="end"/>
      </w:r>
      <w:r w:rsidRPr="007D3A5C">
        <w:t>.</w:t>
      </w:r>
      <w:r w:rsidRPr="007D3A5C">
        <w:rPr>
          <w:noProof/>
        </w:rPr>
        <w:fldChar w:fldCharType="begin"/>
      </w:r>
      <w:r w:rsidRPr="007D3A5C">
        <w:rPr>
          <w:noProof/>
        </w:rPr>
        <w:instrText xml:space="preserve"> SEQ Table \* ARABIC \s 1 </w:instrText>
      </w:r>
      <w:r w:rsidRPr="007D3A5C">
        <w:rPr>
          <w:noProof/>
        </w:rPr>
        <w:fldChar w:fldCharType="separate"/>
      </w:r>
      <w:r w:rsidRPr="007D3A5C">
        <w:rPr>
          <w:noProof/>
        </w:rPr>
        <w:t>3</w:t>
      </w:r>
      <w:r w:rsidRPr="007D3A5C">
        <w:rPr>
          <w:noProof/>
        </w:rPr>
        <w:fldChar w:fldCharType="end"/>
      </w:r>
      <w:r w:rsidRPr="007D3A5C">
        <w:t xml:space="preserve"> Financial Inputs for Solution</w:t>
      </w:r>
      <w:bookmarkEnd w:id="39"/>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605504" w:rsidRPr="006330C6" w14:paraId="4D507338" w14:textId="77777777" w:rsidTr="00855C2A">
        <w:trPr>
          <w:trHeight w:val="1163"/>
          <w:jc w:val="center"/>
        </w:trPr>
        <w:tc>
          <w:tcPr>
            <w:tcW w:w="1220" w:type="pct"/>
            <w:shd w:val="clear" w:color="auto" w:fill="4F81BD" w:themeFill="accent1"/>
            <w:vAlign w:val="center"/>
          </w:tcPr>
          <w:p w14:paraId="4BCD20E8" w14:textId="77777777" w:rsidR="00605504" w:rsidRPr="007D3A5C" w:rsidRDefault="00605504" w:rsidP="00855C2A">
            <w:pPr>
              <w:spacing w:after="180"/>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1774374E" w14:textId="77777777" w:rsidR="00605504" w:rsidRPr="007D3A5C" w:rsidRDefault="00605504" w:rsidP="00855C2A">
            <w:pPr>
              <w:spacing w:after="180"/>
              <w:jc w:val="center"/>
              <w:rPr>
                <w:b/>
                <w:bCs/>
                <w:sz w:val="20"/>
                <w:szCs w:val="20"/>
              </w:rPr>
            </w:pPr>
            <w:r w:rsidRPr="007D3A5C">
              <w:rPr>
                <w:b/>
                <w:bCs/>
                <w:color w:val="FFFFFF" w:themeColor="background1"/>
                <w:sz w:val="20"/>
                <w:szCs w:val="20"/>
              </w:rPr>
              <w:t>Units</w:t>
            </w:r>
          </w:p>
        </w:tc>
        <w:tc>
          <w:tcPr>
            <w:tcW w:w="985" w:type="pct"/>
            <w:shd w:val="clear" w:color="auto" w:fill="4F81BD" w:themeFill="accent1"/>
            <w:vAlign w:val="center"/>
          </w:tcPr>
          <w:p w14:paraId="607A68B3" w14:textId="77777777" w:rsidR="00605504" w:rsidRPr="007D3A5C" w:rsidRDefault="00605504" w:rsidP="00855C2A">
            <w:pPr>
              <w:spacing w:after="180"/>
              <w:jc w:val="center"/>
              <w:rPr>
                <w:b/>
                <w:bCs/>
                <w:color w:val="FFFFFF" w:themeColor="background1"/>
                <w:sz w:val="20"/>
                <w:szCs w:val="20"/>
              </w:rPr>
            </w:pPr>
            <w:r w:rsidRPr="007D3A5C">
              <w:rPr>
                <w:b/>
                <w:bCs/>
                <w:color w:val="FFFFFF" w:themeColor="background1"/>
                <w:sz w:val="20"/>
                <w:szCs w:val="20"/>
              </w:rPr>
              <w:t>Project Drawdown Data Set Range</w:t>
            </w:r>
          </w:p>
        </w:tc>
        <w:tc>
          <w:tcPr>
            <w:tcW w:w="738" w:type="pct"/>
            <w:shd w:val="clear" w:color="auto" w:fill="4F81BD" w:themeFill="accent1"/>
            <w:vAlign w:val="center"/>
          </w:tcPr>
          <w:p w14:paraId="530F922A" w14:textId="77777777" w:rsidR="00605504" w:rsidRPr="007D3A5C" w:rsidRDefault="00605504" w:rsidP="00855C2A">
            <w:pPr>
              <w:spacing w:after="180"/>
              <w:jc w:val="center"/>
              <w:rPr>
                <w:b/>
                <w:bCs/>
                <w:color w:val="FFFFFF" w:themeColor="background1"/>
                <w:sz w:val="20"/>
                <w:szCs w:val="20"/>
              </w:rPr>
            </w:pPr>
            <w:r w:rsidRPr="007D3A5C">
              <w:rPr>
                <w:b/>
                <w:bCs/>
                <w:color w:val="FFFFFF" w:themeColor="background1"/>
                <w:sz w:val="20"/>
                <w:szCs w:val="20"/>
              </w:rPr>
              <w:t>Model Input</w:t>
            </w:r>
          </w:p>
        </w:tc>
        <w:tc>
          <w:tcPr>
            <w:tcW w:w="617" w:type="pct"/>
            <w:shd w:val="clear" w:color="auto" w:fill="4F81BD" w:themeFill="accent1"/>
            <w:vAlign w:val="center"/>
          </w:tcPr>
          <w:p w14:paraId="176727C2" w14:textId="77777777" w:rsidR="00605504" w:rsidRPr="007D3A5C" w:rsidRDefault="00605504" w:rsidP="00855C2A">
            <w:pPr>
              <w:spacing w:after="180"/>
              <w:jc w:val="center"/>
              <w:rPr>
                <w:b/>
                <w:bCs/>
                <w:color w:val="FFFFFF" w:themeColor="background1"/>
                <w:sz w:val="20"/>
                <w:szCs w:val="20"/>
              </w:rPr>
            </w:pPr>
            <w:r w:rsidRPr="007D3A5C">
              <w:rPr>
                <w:b/>
                <w:bCs/>
                <w:color w:val="FFFFFF" w:themeColor="background1"/>
                <w:sz w:val="20"/>
                <w:szCs w:val="20"/>
              </w:rPr>
              <w:t>Data Points (#)</w:t>
            </w:r>
          </w:p>
        </w:tc>
        <w:tc>
          <w:tcPr>
            <w:tcW w:w="578" w:type="pct"/>
            <w:shd w:val="clear" w:color="auto" w:fill="4F81BD" w:themeFill="accent1"/>
            <w:vAlign w:val="center"/>
          </w:tcPr>
          <w:p w14:paraId="6B6CF06D" w14:textId="77777777" w:rsidR="00605504" w:rsidRPr="007D3A5C" w:rsidRDefault="00605504" w:rsidP="00855C2A">
            <w:pPr>
              <w:spacing w:after="180"/>
              <w:jc w:val="center"/>
              <w:rPr>
                <w:b/>
                <w:bCs/>
                <w:color w:val="FFFFFF" w:themeColor="background1"/>
                <w:sz w:val="20"/>
                <w:szCs w:val="20"/>
              </w:rPr>
            </w:pPr>
            <w:r w:rsidRPr="007D3A5C">
              <w:rPr>
                <w:b/>
                <w:bCs/>
                <w:color w:val="FFFFFF" w:themeColor="background1"/>
                <w:sz w:val="20"/>
                <w:szCs w:val="20"/>
              </w:rPr>
              <w:t>Sources (#)</w:t>
            </w:r>
          </w:p>
        </w:tc>
      </w:tr>
      <w:tr w:rsidR="00605504" w:rsidRPr="00655907" w14:paraId="0D86F5BA" w14:textId="77777777" w:rsidTr="00855C2A">
        <w:trPr>
          <w:trHeight w:val="634"/>
          <w:jc w:val="center"/>
        </w:trPr>
        <w:tc>
          <w:tcPr>
            <w:tcW w:w="1220" w:type="pct"/>
            <w:vAlign w:val="center"/>
          </w:tcPr>
          <w:p w14:paraId="2260FB4B" w14:textId="77777777" w:rsidR="00605504" w:rsidRPr="00371F45" w:rsidRDefault="00605504" w:rsidP="00855C2A">
            <w:pPr>
              <w:spacing w:after="180"/>
              <w:jc w:val="center"/>
              <w:rPr>
                <w:color w:val="000000" w:themeColor="text1"/>
                <w:sz w:val="20"/>
                <w:szCs w:val="20"/>
              </w:rPr>
            </w:pPr>
            <w:r w:rsidRPr="00371F45">
              <w:rPr>
                <w:color w:val="000000" w:themeColor="text1"/>
                <w:sz w:val="20"/>
                <w:szCs w:val="20"/>
              </w:rPr>
              <w:t>First costs (Solution)</w:t>
            </w:r>
          </w:p>
        </w:tc>
        <w:tc>
          <w:tcPr>
            <w:tcW w:w="862" w:type="pct"/>
            <w:vAlign w:val="center"/>
          </w:tcPr>
          <w:p w14:paraId="7D953ED0" w14:textId="77777777" w:rsidR="00605504" w:rsidRPr="00371F45" w:rsidRDefault="00605504" w:rsidP="00855C2A">
            <w:pPr>
              <w:spacing w:after="180"/>
              <w:jc w:val="center"/>
              <w:rPr>
                <w:rStyle w:val="CommentReference"/>
                <w:sz w:val="20"/>
                <w:szCs w:val="20"/>
              </w:rPr>
            </w:pPr>
            <w:r w:rsidRPr="00371F45">
              <w:rPr>
                <w:bCs/>
                <w:i/>
                <w:sz w:val="20"/>
                <w:szCs w:val="20"/>
              </w:rPr>
              <w:t>US$2014/kW</w:t>
            </w:r>
          </w:p>
        </w:tc>
        <w:tc>
          <w:tcPr>
            <w:tcW w:w="985" w:type="pct"/>
            <w:vAlign w:val="center"/>
          </w:tcPr>
          <w:p w14:paraId="6197B835" w14:textId="2A140627" w:rsidR="00605504" w:rsidRPr="0006439A" w:rsidRDefault="0006439A" w:rsidP="00855C2A">
            <w:pPr>
              <w:spacing w:after="180"/>
              <w:jc w:val="center"/>
              <w:rPr>
                <w:rFonts w:eastAsia="Helvetica,Times New Roman" w:cstheme="minorHAnsi"/>
                <w:color w:val="000000" w:themeColor="text1"/>
                <w:sz w:val="20"/>
                <w:szCs w:val="20"/>
              </w:rPr>
            </w:pPr>
            <w:r w:rsidRPr="0006439A">
              <w:rPr>
                <w:rFonts w:eastAsia="Helvetica,Times New Roman" w:cstheme="minorHAnsi"/>
                <w:color w:val="000000" w:themeColor="text1"/>
                <w:sz w:val="20"/>
                <w:szCs w:val="20"/>
              </w:rPr>
              <w:t>5,843</w:t>
            </w:r>
            <w:r w:rsidR="00605504" w:rsidRPr="0006439A">
              <w:rPr>
                <w:rFonts w:eastAsia="Helvetica,Times New Roman" w:cstheme="minorHAnsi"/>
                <w:color w:val="000000" w:themeColor="text1"/>
                <w:sz w:val="20"/>
                <w:szCs w:val="20"/>
              </w:rPr>
              <w:t xml:space="preserve"> </w:t>
            </w:r>
            <w:r w:rsidRPr="0006439A">
              <w:rPr>
                <w:rFonts w:eastAsia="Helvetica,Times New Roman" w:cstheme="minorHAnsi"/>
                <w:color w:val="000000" w:themeColor="text1"/>
                <w:sz w:val="20"/>
                <w:szCs w:val="20"/>
              </w:rPr>
              <w:t>–</w:t>
            </w:r>
            <w:r w:rsidR="00605504" w:rsidRPr="0006439A">
              <w:rPr>
                <w:rFonts w:eastAsia="Helvetica,Times New Roman" w:cstheme="minorHAnsi"/>
                <w:color w:val="000000" w:themeColor="text1"/>
                <w:sz w:val="20"/>
                <w:szCs w:val="20"/>
              </w:rPr>
              <w:t xml:space="preserve"> </w:t>
            </w:r>
            <w:r w:rsidRPr="0006439A">
              <w:rPr>
                <w:rFonts w:eastAsia="Helvetica,Times New Roman" w:cstheme="minorHAnsi"/>
                <w:color w:val="000000" w:themeColor="text1"/>
                <w:sz w:val="20"/>
                <w:szCs w:val="20"/>
              </w:rPr>
              <w:t>10,818</w:t>
            </w:r>
          </w:p>
        </w:tc>
        <w:tc>
          <w:tcPr>
            <w:tcW w:w="738" w:type="pct"/>
            <w:vAlign w:val="center"/>
          </w:tcPr>
          <w:p w14:paraId="1482B2D5" w14:textId="7DA3E156" w:rsidR="00605504" w:rsidRPr="0006439A" w:rsidRDefault="0006439A" w:rsidP="00855C2A">
            <w:pPr>
              <w:jc w:val="center"/>
              <w:rPr>
                <w:bCs/>
                <w:sz w:val="20"/>
                <w:szCs w:val="20"/>
              </w:rPr>
            </w:pPr>
            <w:r w:rsidRPr="0006439A">
              <w:rPr>
                <w:rFonts w:eastAsia="Helvetica,Times New Roman" w:cstheme="minorHAnsi"/>
                <w:color w:val="000000" w:themeColor="text1"/>
                <w:sz w:val="20"/>
                <w:szCs w:val="20"/>
              </w:rPr>
              <w:t>8,331</w:t>
            </w:r>
          </w:p>
        </w:tc>
        <w:tc>
          <w:tcPr>
            <w:tcW w:w="617" w:type="pct"/>
            <w:vAlign w:val="center"/>
          </w:tcPr>
          <w:p w14:paraId="7513463B" w14:textId="7DD06B0E" w:rsidR="00605504" w:rsidRPr="0006439A" w:rsidRDefault="0006439A" w:rsidP="00855C2A">
            <w:pPr>
              <w:spacing w:after="180"/>
              <w:jc w:val="center"/>
              <w:rPr>
                <w:rFonts w:eastAsia="Helvetica,Times New Roman" w:cstheme="minorHAnsi"/>
                <w:color w:val="000000" w:themeColor="text1"/>
                <w:sz w:val="20"/>
                <w:szCs w:val="20"/>
              </w:rPr>
            </w:pPr>
            <w:r w:rsidRPr="0006439A">
              <w:rPr>
                <w:rFonts w:eastAsia="Helvetica,Times New Roman" w:cstheme="minorHAnsi"/>
                <w:color w:val="000000" w:themeColor="text1"/>
                <w:sz w:val="20"/>
                <w:szCs w:val="20"/>
              </w:rPr>
              <w:t>13</w:t>
            </w:r>
          </w:p>
        </w:tc>
        <w:tc>
          <w:tcPr>
            <w:tcW w:w="578" w:type="pct"/>
            <w:vAlign w:val="center"/>
          </w:tcPr>
          <w:p w14:paraId="7F7A2FC1" w14:textId="2968C695" w:rsidR="00605504" w:rsidRPr="0006439A" w:rsidRDefault="0006439A" w:rsidP="00855C2A">
            <w:pPr>
              <w:spacing w:after="180"/>
              <w:jc w:val="center"/>
              <w:rPr>
                <w:rFonts w:eastAsia="Helvetica,Times New Roman" w:cstheme="minorHAnsi"/>
                <w:color w:val="000000" w:themeColor="text1"/>
                <w:sz w:val="20"/>
                <w:szCs w:val="20"/>
              </w:rPr>
            </w:pPr>
            <w:r w:rsidRPr="0006439A">
              <w:rPr>
                <w:rFonts w:eastAsia="Helvetica,Times New Roman" w:cstheme="minorHAnsi"/>
                <w:color w:val="000000" w:themeColor="text1"/>
                <w:sz w:val="20"/>
                <w:szCs w:val="20"/>
              </w:rPr>
              <w:t>7</w:t>
            </w:r>
          </w:p>
        </w:tc>
      </w:tr>
      <w:tr w:rsidR="00605504" w:rsidRPr="00655907" w14:paraId="338B6833" w14:textId="77777777" w:rsidTr="00855C2A">
        <w:trPr>
          <w:trHeight w:val="634"/>
          <w:jc w:val="center"/>
        </w:trPr>
        <w:tc>
          <w:tcPr>
            <w:tcW w:w="1220" w:type="pct"/>
            <w:vAlign w:val="center"/>
          </w:tcPr>
          <w:p w14:paraId="0D8DA8BB" w14:textId="77777777" w:rsidR="00605504" w:rsidRPr="00371F45" w:rsidRDefault="00605504" w:rsidP="00855C2A">
            <w:pPr>
              <w:spacing w:after="180"/>
              <w:jc w:val="center"/>
              <w:rPr>
                <w:color w:val="000000" w:themeColor="text1"/>
                <w:sz w:val="20"/>
                <w:szCs w:val="20"/>
              </w:rPr>
            </w:pPr>
            <w:r w:rsidRPr="00371F45">
              <w:rPr>
                <w:color w:val="000000" w:themeColor="text1"/>
                <w:sz w:val="20"/>
                <w:szCs w:val="20"/>
              </w:rPr>
              <w:t>Fixed Operation and Maintenance Costs (Solution)</w:t>
            </w:r>
          </w:p>
        </w:tc>
        <w:tc>
          <w:tcPr>
            <w:tcW w:w="862" w:type="pct"/>
            <w:vAlign w:val="center"/>
          </w:tcPr>
          <w:p w14:paraId="0E8EBE57" w14:textId="77777777" w:rsidR="00605504" w:rsidRPr="00371F45" w:rsidRDefault="00605504" w:rsidP="00855C2A">
            <w:pPr>
              <w:spacing w:after="180"/>
              <w:jc w:val="center"/>
              <w:rPr>
                <w:rStyle w:val="CommentReference"/>
                <w:sz w:val="20"/>
                <w:szCs w:val="20"/>
              </w:rPr>
            </w:pPr>
            <w:r w:rsidRPr="00371F45">
              <w:rPr>
                <w:bCs/>
                <w:i/>
                <w:sz w:val="20"/>
                <w:szCs w:val="20"/>
              </w:rPr>
              <w:t>US$2014/kW</w:t>
            </w:r>
          </w:p>
        </w:tc>
        <w:tc>
          <w:tcPr>
            <w:tcW w:w="985" w:type="pct"/>
            <w:vAlign w:val="center"/>
          </w:tcPr>
          <w:p w14:paraId="1528D01F" w14:textId="1B4CDD97" w:rsidR="00605504" w:rsidRPr="00CC61E9" w:rsidRDefault="0006439A" w:rsidP="00855C2A">
            <w:pPr>
              <w:spacing w:after="180"/>
              <w:jc w:val="center"/>
              <w:rPr>
                <w:rFonts w:eastAsia="Helvetica,Times New Roman" w:cstheme="minorHAnsi"/>
                <w:color w:val="000000" w:themeColor="text1"/>
                <w:sz w:val="20"/>
                <w:szCs w:val="20"/>
                <w:highlight w:val="yellow"/>
              </w:rPr>
            </w:pPr>
            <w:r w:rsidRPr="0006439A">
              <w:rPr>
                <w:rFonts w:eastAsia="Helvetica,Times New Roman" w:cstheme="minorHAnsi"/>
                <w:color w:val="000000" w:themeColor="text1"/>
                <w:sz w:val="20"/>
                <w:szCs w:val="20"/>
              </w:rPr>
              <w:t>61.56</w:t>
            </w:r>
            <w:r w:rsidR="00605504" w:rsidRPr="0006439A">
              <w:rPr>
                <w:rFonts w:eastAsia="Helvetica,Times New Roman" w:cstheme="minorHAnsi"/>
                <w:color w:val="000000" w:themeColor="text1"/>
                <w:sz w:val="20"/>
                <w:szCs w:val="20"/>
              </w:rPr>
              <w:t xml:space="preserve"> – </w:t>
            </w:r>
            <w:r w:rsidRPr="0006439A">
              <w:rPr>
                <w:rFonts w:eastAsia="Helvetica,Times New Roman" w:cstheme="minorHAnsi"/>
                <w:color w:val="000000" w:themeColor="text1"/>
                <w:sz w:val="20"/>
                <w:szCs w:val="20"/>
              </w:rPr>
              <w:t>155.94</w:t>
            </w:r>
          </w:p>
        </w:tc>
        <w:tc>
          <w:tcPr>
            <w:tcW w:w="738" w:type="pct"/>
            <w:vAlign w:val="center"/>
          </w:tcPr>
          <w:p w14:paraId="59C4F7CC" w14:textId="4CF57D10" w:rsidR="00605504" w:rsidRPr="00CC61E9" w:rsidRDefault="0006439A" w:rsidP="00855C2A">
            <w:pPr>
              <w:jc w:val="center"/>
              <w:rPr>
                <w:bCs/>
                <w:sz w:val="20"/>
                <w:szCs w:val="20"/>
                <w:highlight w:val="yellow"/>
              </w:rPr>
            </w:pPr>
            <w:r w:rsidRPr="0006439A">
              <w:rPr>
                <w:rFonts w:eastAsia="Helvetica,Times New Roman" w:cstheme="minorHAnsi"/>
                <w:color w:val="000000" w:themeColor="text1"/>
                <w:sz w:val="20"/>
                <w:szCs w:val="20"/>
              </w:rPr>
              <w:t>108.75</w:t>
            </w:r>
          </w:p>
        </w:tc>
        <w:tc>
          <w:tcPr>
            <w:tcW w:w="617" w:type="pct"/>
            <w:vAlign w:val="center"/>
          </w:tcPr>
          <w:p w14:paraId="74633256" w14:textId="025C4A8F" w:rsidR="00605504" w:rsidRPr="0006439A" w:rsidRDefault="0006439A" w:rsidP="00855C2A">
            <w:pPr>
              <w:spacing w:after="180"/>
              <w:jc w:val="center"/>
              <w:rPr>
                <w:rFonts w:eastAsia="Helvetica,Times New Roman" w:cstheme="minorHAnsi"/>
                <w:color w:val="000000" w:themeColor="text1"/>
                <w:sz w:val="20"/>
                <w:szCs w:val="20"/>
              </w:rPr>
            </w:pPr>
            <w:r w:rsidRPr="0006439A">
              <w:rPr>
                <w:rFonts w:eastAsia="Helvetica,Times New Roman" w:cstheme="minorHAnsi"/>
                <w:color w:val="000000" w:themeColor="text1"/>
                <w:sz w:val="20"/>
                <w:szCs w:val="20"/>
              </w:rPr>
              <w:t>8</w:t>
            </w:r>
          </w:p>
        </w:tc>
        <w:tc>
          <w:tcPr>
            <w:tcW w:w="578" w:type="pct"/>
            <w:vAlign w:val="center"/>
          </w:tcPr>
          <w:p w14:paraId="1C8EF64B" w14:textId="147AB5F3" w:rsidR="00605504" w:rsidRPr="0006439A" w:rsidRDefault="0006439A" w:rsidP="00855C2A">
            <w:pPr>
              <w:spacing w:after="180"/>
              <w:jc w:val="center"/>
              <w:rPr>
                <w:rFonts w:eastAsia="Helvetica,Times New Roman" w:cstheme="minorHAnsi"/>
                <w:color w:val="000000" w:themeColor="text1"/>
                <w:sz w:val="20"/>
                <w:szCs w:val="20"/>
              </w:rPr>
            </w:pPr>
            <w:r w:rsidRPr="0006439A">
              <w:rPr>
                <w:rFonts w:eastAsia="Helvetica,Times New Roman" w:cstheme="minorHAnsi"/>
                <w:color w:val="000000" w:themeColor="text1"/>
                <w:sz w:val="20"/>
                <w:szCs w:val="20"/>
              </w:rPr>
              <w:t>5</w:t>
            </w:r>
          </w:p>
        </w:tc>
      </w:tr>
      <w:tr w:rsidR="00605504" w:rsidRPr="00655907" w14:paraId="3FFA6370" w14:textId="77777777" w:rsidTr="00855C2A">
        <w:trPr>
          <w:trHeight w:val="634"/>
          <w:jc w:val="center"/>
        </w:trPr>
        <w:tc>
          <w:tcPr>
            <w:tcW w:w="1220" w:type="pct"/>
            <w:vAlign w:val="center"/>
          </w:tcPr>
          <w:p w14:paraId="062934E9" w14:textId="38CD8DB5" w:rsidR="00605504" w:rsidRPr="00371F45" w:rsidRDefault="00605504" w:rsidP="00855C2A">
            <w:pPr>
              <w:spacing w:after="180"/>
              <w:jc w:val="center"/>
              <w:rPr>
                <w:color w:val="000000" w:themeColor="text1"/>
                <w:sz w:val="20"/>
                <w:szCs w:val="20"/>
              </w:rPr>
            </w:pPr>
            <w:r w:rsidRPr="00371F45">
              <w:rPr>
                <w:color w:val="000000" w:themeColor="text1"/>
                <w:sz w:val="20"/>
                <w:szCs w:val="20"/>
              </w:rPr>
              <w:t>Variable Operation and Maintenance Costs (</w:t>
            </w:r>
            <w:r w:rsidR="0006439A">
              <w:rPr>
                <w:color w:val="000000" w:themeColor="text1"/>
                <w:sz w:val="20"/>
                <w:szCs w:val="20"/>
              </w:rPr>
              <w:t>Solution</w:t>
            </w:r>
            <w:r w:rsidRPr="00371F45">
              <w:rPr>
                <w:color w:val="000000" w:themeColor="text1"/>
                <w:sz w:val="20"/>
                <w:szCs w:val="20"/>
              </w:rPr>
              <w:t>)</w:t>
            </w:r>
          </w:p>
        </w:tc>
        <w:tc>
          <w:tcPr>
            <w:tcW w:w="862" w:type="pct"/>
            <w:vAlign w:val="center"/>
          </w:tcPr>
          <w:p w14:paraId="75DF93F3" w14:textId="77777777" w:rsidR="00605504" w:rsidRPr="00371F45" w:rsidRDefault="00605504" w:rsidP="00855C2A">
            <w:pPr>
              <w:spacing w:after="180"/>
              <w:jc w:val="center"/>
              <w:rPr>
                <w:rStyle w:val="CommentReference"/>
                <w:sz w:val="20"/>
                <w:szCs w:val="20"/>
              </w:rPr>
            </w:pPr>
            <w:r w:rsidRPr="00371F45">
              <w:rPr>
                <w:bCs/>
                <w:i/>
                <w:sz w:val="20"/>
                <w:szCs w:val="20"/>
              </w:rPr>
              <w:t>US$2014/kWh</w:t>
            </w:r>
          </w:p>
        </w:tc>
        <w:tc>
          <w:tcPr>
            <w:tcW w:w="985" w:type="pct"/>
            <w:shd w:val="clear" w:color="auto" w:fill="auto"/>
            <w:vAlign w:val="center"/>
          </w:tcPr>
          <w:p w14:paraId="1D3BD228" w14:textId="55F03F2C" w:rsidR="00605504" w:rsidRPr="0006439A" w:rsidRDefault="00605504" w:rsidP="00855C2A">
            <w:pPr>
              <w:spacing w:after="180"/>
              <w:jc w:val="center"/>
              <w:rPr>
                <w:rFonts w:eastAsia="Helvetica,Times New Roman" w:cstheme="minorHAnsi"/>
                <w:color w:val="000000" w:themeColor="text1"/>
                <w:sz w:val="20"/>
                <w:szCs w:val="20"/>
              </w:rPr>
            </w:pPr>
            <w:r w:rsidRPr="0006439A">
              <w:rPr>
                <w:rFonts w:eastAsia="Helvetica,Times New Roman" w:cstheme="minorHAnsi"/>
                <w:color w:val="000000" w:themeColor="text1"/>
                <w:sz w:val="20"/>
                <w:szCs w:val="20"/>
              </w:rPr>
              <w:t>0.01 – 0.0</w:t>
            </w:r>
            <w:r w:rsidR="0006439A" w:rsidRPr="0006439A">
              <w:rPr>
                <w:rFonts w:eastAsia="Helvetica,Times New Roman" w:cstheme="minorHAnsi"/>
                <w:color w:val="000000" w:themeColor="text1"/>
                <w:sz w:val="20"/>
                <w:szCs w:val="20"/>
              </w:rPr>
              <w:t>32</w:t>
            </w:r>
          </w:p>
        </w:tc>
        <w:tc>
          <w:tcPr>
            <w:tcW w:w="738" w:type="pct"/>
            <w:vAlign w:val="center"/>
          </w:tcPr>
          <w:p w14:paraId="1AFA0C32" w14:textId="0047CC77" w:rsidR="00605504" w:rsidRPr="0006439A" w:rsidRDefault="00605504" w:rsidP="00855C2A">
            <w:pPr>
              <w:jc w:val="center"/>
              <w:rPr>
                <w:bCs/>
                <w:sz w:val="20"/>
                <w:szCs w:val="20"/>
              </w:rPr>
            </w:pPr>
            <w:r w:rsidRPr="0006439A">
              <w:rPr>
                <w:bCs/>
                <w:sz w:val="20"/>
                <w:szCs w:val="20"/>
              </w:rPr>
              <w:t>0.0</w:t>
            </w:r>
            <w:r w:rsidR="0006439A" w:rsidRPr="0006439A">
              <w:rPr>
                <w:bCs/>
                <w:sz w:val="20"/>
                <w:szCs w:val="20"/>
              </w:rPr>
              <w:t>16</w:t>
            </w:r>
          </w:p>
        </w:tc>
        <w:tc>
          <w:tcPr>
            <w:tcW w:w="617" w:type="pct"/>
            <w:vAlign w:val="center"/>
          </w:tcPr>
          <w:p w14:paraId="05B28E78" w14:textId="46AA5A65" w:rsidR="00605504" w:rsidRPr="0006439A" w:rsidRDefault="00605504" w:rsidP="00855C2A">
            <w:pPr>
              <w:spacing w:after="180"/>
              <w:jc w:val="center"/>
              <w:rPr>
                <w:rFonts w:eastAsia="Helvetica,Times New Roman" w:cstheme="minorHAnsi"/>
                <w:color w:val="000000" w:themeColor="text1"/>
                <w:sz w:val="20"/>
                <w:szCs w:val="20"/>
              </w:rPr>
            </w:pPr>
            <w:r w:rsidRPr="0006439A">
              <w:rPr>
                <w:rFonts w:eastAsia="Helvetica,Times New Roman" w:cstheme="minorHAnsi"/>
                <w:color w:val="000000" w:themeColor="text1"/>
                <w:sz w:val="20"/>
                <w:szCs w:val="20"/>
              </w:rPr>
              <w:t>1</w:t>
            </w:r>
            <w:r w:rsidR="0006439A" w:rsidRPr="0006439A">
              <w:rPr>
                <w:rFonts w:eastAsia="Helvetica,Times New Roman" w:cstheme="minorHAnsi"/>
                <w:color w:val="000000" w:themeColor="text1"/>
                <w:sz w:val="20"/>
                <w:szCs w:val="20"/>
              </w:rPr>
              <w:t>2</w:t>
            </w:r>
          </w:p>
        </w:tc>
        <w:tc>
          <w:tcPr>
            <w:tcW w:w="578" w:type="pct"/>
            <w:vAlign w:val="center"/>
          </w:tcPr>
          <w:p w14:paraId="2E103CD4" w14:textId="03EBD1CE" w:rsidR="00605504" w:rsidRPr="0006439A" w:rsidRDefault="0006439A" w:rsidP="00855C2A">
            <w:pPr>
              <w:spacing w:after="180"/>
              <w:jc w:val="center"/>
              <w:rPr>
                <w:rFonts w:eastAsia="Helvetica,Times New Roman" w:cstheme="minorHAnsi"/>
                <w:color w:val="000000" w:themeColor="text1"/>
                <w:sz w:val="20"/>
                <w:szCs w:val="20"/>
              </w:rPr>
            </w:pPr>
            <w:r w:rsidRPr="0006439A">
              <w:rPr>
                <w:rFonts w:eastAsia="Helvetica,Times New Roman" w:cstheme="minorHAnsi"/>
                <w:color w:val="000000" w:themeColor="text1"/>
                <w:sz w:val="20"/>
                <w:szCs w:val="20"/>
              </w:rPr>
              <w:t>8</w:t>
            </w:r>
          </w:p>
        </w:tc>
      </w:tr>
      <w:tr w:rsidR="00605504" w:rsidRPr="00655907" w14:paraId="59E4A6FB" w14:textId="77777777" w:rsidTr="00066150">
        <w:trPr>
          <w:trHeight w:val="634"/>
          <w:jc w:val="center"/>
        </w:trPr>
        <w:tc>
          <w:tcPr>
            <w:tcW w:w="1220" w:type="pct"/>
            <w:vAlign w:val="center"/>
          </w:tcPr>
          <w:p w14:paraId="03C5920A" w14:textId="77777777" w:rsidR="00605504" w:rsidRPr="00066150" w:rsidRDefault="00605504" w:rsidP="00855C2A">
            <w:pPr>
              <w:spacing w:after="180"/>
              <w:jc w:val="center"/>
              <w:rPr>
                <w:color w:val="000000" w:themeColor="text1"/>
                <w:sz w:val="20"/>
                <w:szCs w:val="20"/>
              </w:rPr>
            </w:pPr>
            <w:r w:rsidRPr="00066150">
              <w:rPr>
                <w:color w:val="000000" w:themeColor="text1"/>
                <w:sz w:val="20"/>
                <w:szCs w:val="20"/>
              </w:rPr>
              <w:t>Learning Rate Factor (Solution)</w:t>
            </w:r>
          </w:p>
        </w:tc>
        <w:tc>
          <w:tcPr>
            <w:tcW w:w="862" w:type="pct"/>
            <w:vAlign w:val="center"/>
          </w:tcPr>
          <w:p w14:paraId="4D802EA6" w14:textId="77777777" w:rsidR="00605504" w:rsidRPr="00066150" w:rsidRDefault="00605504" w:rsidP="00855C2A">
            <w:pPr>
              <w:spacing w:after="180"/>
              <w:jc w:val="center"/>
              <w:rPr>
                <w:rStyle w:val="CommentReference"/>
                <w:sz w:val="20"/>
                <w:szCs w:val="20"/>
              </w:rPr>
            </w:pPr>
            <w:r w:rsidRPr="00066150">
              <w:rPr>
                <w:rStyle w:val="CommentReference"/>
                <w:sz w:val="20"/>
                <w:szCs w:val="20"/>
              </w:rPr>
              <w:t>%</w:t>
            </w:r>
          </w:p>
        </w:tc>
        <w:tc>
          <w:tcPr>
            <w:tcW w:w="985" w:type="pct"/>
            <w:shd w:val="clear" w:color="auto" w:fill="FFFFFF" w:themeFill="background1"/>
            <w:vAlign w:val="center"/>
          </w:tcPr>
          <w:p w14:paraId="498A65CE" w14:textId="7B10EDB8" w:rsidR="00605504" w:rsidRPr="00066150" w:rsidRDefault="00066150" w:rsidP="00855C2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 - 35%</w:t>
            </w:r>
          </w:p>
        </w:tc>
        <w:tc>
          <w:tcPr>
            <w:tcW w:w="738" w:type="pct"/>
            <w:vAlign w:val="center"/>
          </w:tcPr>
          <w:p w14:paraId="5D705EF5" w14:textId="7273A2A1" w:rsidR="00605504" w:rsidRPr="00066150" w:rsidRDefault="00066150" w:rsidP="00855C2A">
            <w:pPr>
              <w:jc w:val="center"/>
              <w:rPr>
                <w:bCs/>
                <w:sz w:val="20"/>
                <w:szCs w:val="20"/>
              </w:rPr>
            </w:pPr>
            <w:r w:rsidRPr="00066150">
              <w:rPr>
                <w:bCs/>
                <w:sz w:val="20"/>
                <w:szCs w:val="20"/>
              </w:rPr>
              <w:t>2%</w:t>
            </w:r>
          </w:p>
        </w:tc>
        <w:tc>
          <w:tcPr>
            <w:tcW w:w="617" w:type="pct"/>
            <w:vAlign w:val="center"/>
          </w:tcPr>
          <w:p w14:paraId="3AF7D604" w14:textId="220B687A" w:rsidR="00605504" w:rsidRPr="00066150" w:rsidRDefault="00275D75" w:rsidP="00855C2A">
            <w:pPr>
              <w:spacing w:after="180"/>
              <w:jc w:val="center"/>
              <w:rPr>
                <w:rFonts w:eastAsia="Helvetica,Times New Roman" w:cstheme="minorHAnsi"/>
                <w:color w:val="000000" w:themeColor="text1"/>
                <w:sz w:val="20"/>
                <w:szCs w:val="20"/>
              </w:rPr>
            </w:pPr>
            <w:r w:rsidRPr="00066150">
              <w:rPr>
                <w:rFonts w:eastAsia="Helvetica,Times New Roman" w:cstheme="minorHAnsi"/>
                <w:color w:val="000000" w:themeColor="text1"/>
                <w:sz w:val="20"/>
                <w:szCs w:val="20"/>
              </w:rPr>
              <w:t>7</w:t>
            </w:r>
          </w:p>
        </w:tc>
        <w:tc>
          <w:tcPr>
            <w:tcW w:w="578" w:type="pct"/>
            <w:vAlign w:val="center"/>
          </w:tcPr>
          <w:p w14:paraId="50DA1857" w14:textId="50849716" w:rsidR="00605504" w:rsidRPr="00066150" w:rsidRDefault="00275D75" w:rsidP="00855C2A">
            <w:pPr>
              <w:spacing w:after="180"/>
              <w:jc w:val="center"/>
              <w:rPr>
                <w:rFonts w:eastAsia="Helvetica,Times New Roman" w:cstheme="minorHAnsi"/>
                <w:color w:val="000000" w:themeColor="text1"/>
                <w:sz w:val="20"/>
                <w:szCs w:val="20"/>
              </w:rPr>
            </w:pPr>
            <w:r w:rsidRPr="00066150">
              <w:rPr>
                <w:rFonts w:eastAsia="Helvetica,Times New Roman" w:cstheme="minorHAnsi"/>
                <w:color w:val="000000" w:themeColor="text1"/>
                <w:sz w:val="20"/>
                <w:szCs w:val="20"/>
              </w:rPr>
              <w:t>1</w:t>
            </w:r>
          </w:p>
        </w:tc>
      </w:tr>
      <w:tr w:rsidR="0006439A" w:rsidRPr="00655907" w14:paraId="0B7EE06F" w14:textId="77777777" w:rsidTr="00275D75">
        <w:trPr>
          <w:trHeight w:val="634"/>
          <w:jc w:val="center"/>
        </w:trPr>
        <w:tc>
          <w:tcPr>
            <w:tcW w:w="1220" w:type="pct"/>
            <w:vAlign w:val="center"/>
          </w:tcPr>
          <w:p w14:paraId="1604C44C" w14:textId="40C21812" w:rsidR="0006439A" w:rsidRPr="00371F45" w:rsidRDefault="0006439A" w:rsidP="00855C2A">
            <w:pPr>
              <w:spacing w:after="180"/>
              <w:jc w:val="center"/>
              <w:rPr>
                <w:color w:val="000000" w:themeColor="text1"/>
                <w:sz w:val="20"/>
                <w:szCs w:val="20"/>
              </w:rPr>
            </w:pPr>
            <w:r>
              <w:rPr>
                <w:color w:val="000000" w:themeColor="text1"/>
                <w:sz w:val="20"/>
                <w:szCs w:val="20"/>
              </w:rPr>
              <w:t>Uranium Prices</w:t>
            </w:r>
          </w:p>
        </w:tc>
        <w:tc>
          <w:tcPr>
            <w:tcW w:w="862" w:type="pct"/>
            <w:vAlign w:val="center"/>
          </w:tcPr>
          <w:p w14:paraId="4FEB4970" w14:textId="154010DE" w:rsidR="0006439A" w:rsidRPr="00371F45" w:rsidRDefault="0006439A" w:rsidP="00855C2A">
            <w:pPr>
              <w:spacing w:after="180"/>
              <w:jc w:val="center"/>
              <w:rPr>
                <w:rStyle w:val="CommentReference"/>
                <w:sz w:val="20"/>
                <w:szCs w:val="20"/>
              </w:rPr>
            </w:pPr>
            <w:r w:rsidRPr="00371F45">
              <w:rPr>
                <w:bCs/>
                <w:i/>
                <w:sz w:val="20"/>
                <w:szCs w:val="20"/>
              </w:rPr>
              <w:t>US$2014/kWh</w:t>
            </w:r>
          </w:p>
        </w:tc>
        <w:tc>
          <w:tcPr>
            <w:tcW w:w="985" w:type="pct"/>
            <w:shd w:val="clear" w:color="auto" w:fill="FFFFFF" w:themeFill="background1"/>
            <w:vAlign w:val="center"/>
          </w:tcPr>
          <w:p w14:paraId="106D1F83" w14:textId="1A818F85" w:rsidR="0006439A" w:rsidRPr="00CC61E9" w:rsidRDefault="00275D75" w:rsidP="00855C2A">
            <w:pPr>
              <w:spacing w:after="180"/>
              <w:jc w:val="center"/>
              <w:rPr>
                <w:rFonts w:eastAsia="Helvetica,Times New Roman" w:cstheme="minorHAnsi"/>
                <w:color w:val="000000" w:themeColor="text1"/>
                <w:sz w:val="20"/>
                <w:szCs w:val="20"/>
                <w:highlight w:val="yellow"/>
              </w:rPr>
            </w:pPr>
            <w:r w:rsidRPr="0006439A">
              <w:rPr>
                <w:rFonts w:eastAsia="Helvetica,Times New Roman" w:cstheme="minorHAnsi"/>
                <w:color w:val="000000" w:themeColor="text1"/>
                <w:sz w:val="20"/>
                <w:szCs w:val="20"/>
              </w:rPr>
              <w:t>0.</w:t>
            </w:r>
            <w:r>
              <w:rPr>
                <w:rFonts w:eastAsia="Helvetica,Times New Roman" w:cstheme="minorHAnsi"/>
                <w:color w:val="000000" w:themeColor="text1"/>
                <w:sz w:val="20"/>
                <w:szCs w:val="20"/>
              </w:rPr>
              <w:t>0</w:t>
            </w:r>
            <w:r w:rsidRPr="0006439A">
              <w:rPr>
                <w:rFonts w:eastAsia="Helvetica,Times New Roman" w:cstheme="minorHAnsi"/>
                <w:color w:val="000000" w:themeColor="text1"/>
                <w:sz w:val="20"/>
                <w:szCs w:val="20"/>
              </w:rPr>
              <w:t>0</w:t>
            </w:r>
            <w:r>
              <w:rPr>
                <w:rFonts w:eastAsia="Helvetica,Times New Roman" w:cstheme="minorHAnsi"/>
                <w:color w:val="000000" w:themeColor="text1"/>
                <w:sz w:val="20"/>
                <w:szCs w:val="20"/>
              </w:rPr>
              <w:t>3</w:t>
            </w:r>
            <w:r w:rsidRPr="0006439A">
              <w:rPr>
                <w:rFonts w:eastAsia="Helvetica,Times New Roman" w:cstheme="minorHAnsi"/>
                <w:color w:val="000000" w:themeColor="text1"/>
                <w:sz w:val="20"/>
                <w:szCs w:val="20"/>
              </w:rPr>
              <w:t xml:space="preserve"> – 0.0</w:t>
            </w:r>
            <w:r>
              <w:rPr>
                <w:rFonts w:eastAsia="Helvetica,Times New Roman" w:cstheme="minorHAnsi"/>
                <w:color w:val="000000" w:themeColor="text1"/>
                <w:sz w:val="20"/>
                <w:szCs w:val="20"/>
              </w:rPr>
              <w:t>06</w:t>
            </w:r>
          </w:p>
        </w:tc>
        <w:tc>
          <w:tcPr>
            <w:tcW w:w="738" w:type="pct"/>
            <w:vAlign w:val="center"/>
          </w:tcPr>
          <w:p w14:paraId="455EA58D" w14:textId="64840160" w:rsidR="0006439A" w:rsidRPr="00CC61E9" w:rsidRDefault="00275D75" w:rsidP="00855C2A">
            <w:pPr>
              <w:jc w:val="center"/>
              <w:rPr>
                <w:bCs/>
                <w:sz w:val="20"/>
                <w:szCs w:val="20"/>
                <w:highlight w:val="yellow"/>
              </w:rPr>
            </w:pPr>
            <w:r w:rsidRPr="00275D75">
              <w:rPr>
                <w:bCs/>
                <w:sz w:val="20"/>
                <w:szCs w:val="20"/>
              </w:rPr>
              <w:t>0.0045</w:t>
            </w:r>
          </w:p>
        </w:tc>
        <w:tc>
          <w:tcPr>
            <w:tcW w:w="617" w:type="pct"/>
            <w:vAlign w:val="center"/>
          </w:tcPr>
          <w:p w14:paraId="5B01FE91" w14:textId="0FD9BB97" w:rsidR="0006439A" w:rsidRPr="00275D75" w:rsidRDefault="00275D75" w:rsidP="00855C2A">
            <w:pPr>
              <w:spacing w:after="180"/>
              <w:jc w:val="center"/>
              <w:rPr>
                <w:rFonts w:eastAsia="Helvetica,Times New Roman" w:cstheme="minorHAnsi"/>
                <w:color w:val="000000" w:themeColor="text1"/>
                <w:sz w:val="20"/>
                <w:szCs w:val="20"/>
              </w:rPr>
            </w:pPr>
            <w:r w:rsidRPr="00275D75">
              <w:rPr>
                <w:rFonts w:eastAsia="Helvetica,Times New Roman" w:cstheme="minorHAnsi"/>
                <w:color w:val="000000" w:themeColor="text1"/>
                <w:sz w:val="20"/>
                <w:szCs w:val="20"/>
              </w:rPr>
              <w:t>7</w:t>
            </w:r>
          </w:p>
        </w:tc>
        <w:tc>
          <w:tcPr>
            <w:tcW w:w="578" w:type="pct"/>
            <w:vAlign w:val="center"/>
          </w:tcPr>
          <w:p w14:paraId="768FF38A" w14:textId="2EFE5B03" w:rsidR="0006439A" w:rsidRPr="00275D75" w:rsidRDefault="00275D75" w:rsidP="00855C2A">
            <w:pPr>
              <w:spacing w:after="180"/>
              <w:jc w:val="center"/>
              <w:rPr>
                <w:rFonts w:eastAsia="Helvetica,Times New Roman" w:cstheme="minorHAnsi"/>
                <w:color w:val="000000" w:themeColor="text1"/>
                <w:sz w:val="20"/>
                <w:szCs w:val="20"/>
              </w:rPr>
            </w:pPr>
            <w:r w:rsidRPr="00275D75">
              <w:rPr>
                <w:rFonts w:eastAsia="Helvetica,Times New Roman" w:cstheme="minorHAnsi"/>
                <w:color w:val="000000" w:themeColor="text1"/>
                <w:sz w:val="20"/>
                <w:szCs w:val="20"/>
              </w:rPr>
              <w:t>6</w:t>
            </w:r>
          </w:p>
        </w:tc>
      </w:tr>
    </w:tbl>
    <w:p w14:paraId="4ECBA8CB" w14:textId="5932E3C3" w:rsidR="00605504" w:rsidRDefault="00605504" w:rsidP="00605504"/>
    <w:p w14:paraId="105891A0" w14:textId="2BB2AD56" w:rsidR="00066150" w:rsidRPr="00633ACC" w:rsidRDefault="00066150" w:rsidP="00605504">
      <w:r>
        <w:t>Note: A conservative estimate  was considered for nuclear power learning rate since adoption have been fairly stable in the last decades and studies (e.g.  Lang et al., 2017) portray pre reversal rates.</w:t>
      </w:r>
    </w:p>
    <w:p w14:paraId="761746C3" w14:textId="77777777" w:rsidR="00605504" w:rsidRPr="00633ACC" w:rsidRDefault="00605504" w:rsidP="00605504">
      <w:pPr>
        <w:pStyle w:val="Heading3"/>
      </w:pPr>
      <w:bookmarkStart w:id="40" w:name="_Toc19323155"/>
      <w:r w:rsidRPr="00633ACC">
        <w:t>Technical Inputs</w:t>
      </w:r>
      <w:bookmarkEnd w:id="40"/>
    </w:p>
    <w:p w14:paraId="7602B0EE" w14:textId="77777777" w:rsidR="00605504" w:rsidRPr="00633ACC" w:rsidRDefault="00605504" w:rsidP="00605504">
      <w:pPr>
        <w:widowControl w:val="0"/>
        <w:autoSpaceDE w:val="0"/>
        <w:autoSpaceDN w:val="0"/>
        <w:adjustRightInd w:val="0"/>
      </w:pPr>
      <w:r w:rsidRPr="00633ACC">
        <w:t xml:space="preserve">In order </w:t>
      </w:r>
      <w:r>
        <w:t>to characterize</w:t>
      </w:r>
      <w:r w:rsidRPr="00633ACC">
        <w:t xml:space="preserve"> wind onshore technolog</w:t>
      </w:r>
      <w:r>
        <w:t>ies</w:t>
      </w:r>
      <w:r w:rsidRPr="00633ACC">
        <w:t xml:space="preserve">, several technical inputs are considered in the RRS as capacity factors and lifetime (Table 2.4). </w:t>
      </w:r>
    </w:p>
    <w:p w14:paraId="604A91AC" w14:textId="77777777" w:rsidR="00605504" w:rsidRPr="00593535" w:rsidRDefault="00605504" w:rsidP="00605504">
      <w:pPr>
        <w:pStyle w:val="Caption"/>
        <w:jc w:val="center"/>
        <w:rPr>
          <w:rFonts w:asciiTheme="majorHAnsi" w:eastAsiaTheme="majorEastAsia" w:hAnsiTheme="majorHAnsi" w:cstheme="majorBidi"/>
          <w:b/>
          <w:bCs/>
          <w:color w:val="000000" w:themeColor="text1"/>
          <w:sz w:val="23"/>
          <w:szCs w:val="23"/>
          <w:lang w:eastAsia="zh-CN"/>
        </w:rPr>
      </w:pPr>
      <w:bookmarkStart w:id="41" w:name="_Toc19323122"/>
      <w:r w:rsidRPr="00593535">
        <w:t xml:space="preserve">Table </w:t>
      </w:r>
      <w:r w:rsidR="0060195D">
        <w:fldChar w:fldCharType="begin"/>
      </w:r>
      <w:r w:rsidR="0060195D">
        <w:instrText xml:space="preserve"> STYLEREF 1 \s </w:instrText>
      </w:r>
      <w:r w:rsidR="0060195D">
        <w:fldChar w:fldCharType="separate"/>
      </w:r>
      <w:r w:rsidRPr="00593535">
        <w:t>2</w:t>
      </w:r>
      <w:r w:rsidR="0060195D">
        <w:fldChar w:fldCharType="end"/>
      </w:r>
      <w:r w:rsidRPr="00593535">
        <w:t>.</w:t>
      </w:r>
      <w:r w:rsidRPr="00593535">
        <w:rPr>
          <w:noProof/>
        </w:rPr>
        <w:fldChar w:fldCharType="begin"/>
      </w:r>
      <w:r w:rsidRPr="00593535">
        <w:rPr>
          <w:noProof/>
        </w:rPr>
        <w:instrText xml:space="preserve"> SEQ Table \* ARABIC \s 1 </w:instrText>
      </w:r>
      <w:r w:rsidRPr="00593535">
        <w:rPr>
          <w:noProof/>
        </w:rPr>
        <w:fldChar w:fldCharType="separate"/>
      </w:r>
      <w:r w:rsidRPr="00593535">
        <w:rPr>
          <w:noProof/>
        </w:rPr>
        <w:t>4</w:t>
      </w:r>
      <w:r w:rsidRPr="00593535">
        <w:rPr>
          <w:noProof/>
        </w:rPr>
        <w:fldChar w:fldCharType="end"/>
      </w:r>
      <w:r w:rsidRPr="00593535">
        <w:t xml:space="preserve"> Technical Inputs Conventional Technologies</w:t>
      </w:r>
      <w:bookmarkEnd w:id="41"/>
    </w:p>
    <w:tbl>
      <w:tblPr>
        <w:tblStyle w:val="TableGrid"/>
        <w:tblW w:w="9561" w:type="dxa"/>
        <w:jc w:val="center"/>
        <w:tblLook w:val="04A0" w:firstRow="1" w:lastRow="0" w:firstColumn="1" w:lastColumn="0" w:noHBand="0" w:noVBand="1"/>
      </w:tblPr>
      <w:tblGrid>
        <w:gridCol w:w="1992"/>
        <w:gridCol w:w="1311"/>
        <w:gridCol w:w="1795"/>
        <w:gridCol w:w="1590"/>
        <w:gridCol w:w="1493"/>
        <w:gridCol w:w="1380"/>
      </w:tblGrid>
      <w:tr w:rsidR="00605504" w:rsidRPr="00593535" w14:paraId="208504BC" w14:textId="77777777" w:rsidTr="00855C2A">
        <w:trPr>
          <w:trHeight w:val="868"/>
          <w:jc w:val="center"/>
        </w:trPr>
        <w:tc>
          <w:tcPr>
            <w:tcW w:w="1992" w:type="dxa"/>
            <w:shd w:val="clear" w:color="auto" w:fill="4F81BD" w:themeFill="accent1"/>
            <w:vAlign w:val="center"/>
          </w:tcPr>
          <w:p w14:paraId="27C34D07" w14:textId="77777777" w:rsidR="00605504" w:rsidRPr="00593535" w:rsidRDefault="00605504" w:rsidP="00855C2A">
            <w:pPr>
              <w:spacing w:after="180"/>
              <w:jc w:val="center"/>
              <w:rPr>
                <w:rFonts w:eastAsia="Helvetica,Times New Roman" w:cstheme="minorHAnsi"/>
                <w:b/>
                <w:color w:val="FFFFFF" w:themeColor="background1"/>
                <w:sz w:val="20"/>
                <w:szCs w:val="20"/>
              </w:rPr>
            </w:pPr>
          </w:p>
        </w:tc>
        <w:tc>
          <w:tcPr>
            <w:tcW w:w="1311" w:type="dxa"/>
            <w:shd w:val="clear" w:color="auto" w:fill="4F81BD" w:themeFill="accent1"/>
            <w:vAlign w:val="center"/>
          </w:tcPr>
          <w:p w14:paraId="0A6EBB58" w14:textId="77777777" w:rsidR="00605504" w:rsidRPr="00593535" w:rsidRDefault="00605504" w:rsidP="00855C2A">
            <w:pPr>
              <w:spacing w:after="180"/>
              <w:jc w:val="center"/>
              <w:rPr>
                <w:b/>
                <w:bCs/>
                <w:color w:val="FFFFFF" w:themeColor="background1"/>
                <w:sz w:val="20"/>
                <w:szCs w:val="20"/>
              </w:rPr>
            </w:pPr>
            <w:r w:rsidRPr="00593535">
              <w:rPr>
                <w:b/>
                <w:bCs/>
                <w:color w:val="FFFFFF" w:themeColor="background1"/>
                <w:sz w:val="20"/>
                <w:szCs w:val="20"/>
              </w:rPr>
              <w:t>Units</w:t>
            </w:r>
          </w:p>
        </w:tc>
        <w:tc>
          <w:tcPr>
            <w:tcW w:w="1795" w:type="dxa"/>
            <w:shd w:val="clear" w:color="auto" w:fill="4F81BD" w:themeFill="accent1"/>
            <w:vAlign w:val="center"/>
          </w:tcPr>
          <w:p w14:paraId="5515E27A" w14:textId="77777777" w:rsidR="00605504" w:rsidRPr="00593535" w:rsidRDefault="00605504" w:rsidP="00855C2A">
            <w:pPr>
              <w:spacing w:after="180"/>
              <w:jc w:val="center"/>
              <w:rPr>
                <w:b/>
                <w:bCs/>
                <w:color w:val="FFFFFF" w:themeColor="background1"/>
                <w:sz w:val="20"/>
                <w:szCs w:val="20"/>
              </w:rPr>
            </w:pPr>
            <w:r w:rsidRPr="00593535">
              <w:rPr>
                <w:b/>
                <w:bCs/>
                <w:color w:val="FFFFFF" w:themeColor="background1"/>
                <w:sz w:val="20"/>
                <w:szCs w:val="20"/>
              </w:rPr>
              <w:t>Project Drawdown Data Set Range</w:t>
            </w:r>
          </w:p>
        </w:tc>
        <w:tc>
          <w:tcPr>
            <w:tcW w:w="1590" w:type="dxa"/>
            <w:shd w:val="clear" w:color="auto" w:fill="4F81BD" w:themeFill="accent1"/>
            <w:vAlign w:val="center"/>
          </w:tcPr>
          <w:p w14:paraId="439E5569" w14:textId="77777777" w:rsidR="00605504" w:rsidRPr="00593535" w:rsidRDefault="00605504" w:rsidP="00855C2A">
            <w:pPr>
              <w:spacing w:after="180"/>
              <w:jc w:val="center"/>
              <w:rPr>
                <w:b/>
                <w:bCs/>
                <w:color w:val="FFFFFF" w:themeColor="background1"/>
                <w:sz w:val="20"/>
                <w:szCs w:val="20"/>
              </w:rPr>
            </w:pPr>
            <w:r w:rsidRPr="00593535">
              <w:rPr>
                <w:b/>
                <w:bCs/>
                <w:color w:val="FFFFFF" w:themeColor="background1"/>
                <w:sz w:val="20"/>
                <w:szCs w:val="20"/>
              </w:rPr>
              <w:t>Model Input</w:t>
            </w:r>
          </w:p>
        </w:tc>
        <w:tc>
          <w:tcPr>
            <w:tcW w:w="1493" w:type="dxa"/>
            <w:shd w:val="clear" w:color="auto" w:fill="4F81BD" w:themeFill="accent1"/>
            <w:vAlign w:val="center"/>
          </w:tcPr>
          <w:p w14:paraId="2C3F76FC" w14:textId="77777777" w:rsidR="00605504" w:rsidRPr="00593535" w:rsidRDefault="00605504" w:rsidP="00855C2A">
            <w:pPr>
              <w:spacing w:after="180"/>
              <w:jc w:val="center"/>
              <w:rPr>
                <w:b/>
                <w:bCs/>
                <w:color w:val="FFFFFF" w:themeColor="background1"/>
                <w:sz w:val="20"/>
                <w:szCs w:val="20"/>
              </w:rPr>
            </w:pPr>
            <w:r w:rsidRPr="00593535">
              <w:rPr>
                <w:b/>
                <w:bCs/>
                <w:color w:val="FFFFFF" w:themeColor="background1"/>
                <w:sz w:val="20"/>
                <w:szCs w:val="20"/>
              </w:rPr>
              <w:t>Data Points (#)</w:t>
            </w:r>
          </w:p>
        </w:tc>
        <w:tc>
          <w:tcPr>
            <w:tcW w:w="1380" w:type="dxa"/>
            <w:shd w:val="clear" w:color="auto" w:fill="4F81BD" w:themeFill="accent1"/>
            <w:vAlign w:val="center"/>
          </w:tcPr>
          <w:p w14:paraId="19C47339" w14:textId="77777777" w:rsidR="00605504" w:rsidRPr="00593535" w:rsidRDefault="00605504" w:rsidP="00855C2A">
            <w:pPr>
              <w:spacing w:after="180"/>
              <w:jc w:val="center"/>
              <w:rPr>
                <w:b/>
                <w:bCs/>
                <w:color w:val="FFFFFF" w:themeColor="background1"/>
                <w:sz w:val="20"/>
                <w:szCs w:val="20"/>
              </w:rPr>
            </w:pPr>
            <w:r w:rsidRPr="00593535">
              <w:rPr>
                <w:b/>
                <w:bCs/>
                <w:color w:val="FFFFFF" w:themeColor="background1"/>
                <w:sz w:val="20"/>
                <w:szCs w:val="20"/>
              </w:rPr>
              <w:t>Sources (#)</w:t>
            </w:r>
          </w:p>
        </w:tc>
      </w:tr>
      <w:tr w:rsidR="00605504" w:rsidRPr="00593535" w14:paraId="6D950DCC" w14:textId="77777777" w:rsidTr="00855C2A">
        <w:trPr>
          <w:trHeight w:val="642"/>
          <w:jc w:val="center"/>
        </w:trPr>
        <w:tc>
          <w:tcPr>
            <w:tcW w:w="1992" w:type="dxa"/>
            <w:vAlign w:val="center"/>
          </w:tcPr>
          <w:p w14:paraId="2A136E86" w14:textId="77777777" w:rsidR="00605504" w:rsidRPr="00593535" w:rsidRDefault="00605504" w:rsidP="00855C2A">
            <w:pPr>
              <w:jc w:val="center"/>
              <w:rPr>
                <w:color w:val="000000" w:themeColor="text1"/>
                <w:sz w:val="20"/>
                <w:szCs w:val="20"/>
              </w:rPr>
            </w:pPr>
            <w:r w:rsidRPr="00593535">
              <w:rPr>
                <w:bCs/>
                <w:sz w:val="20"/>
                <w:szCs w:val="20"/>
              </w:rPr>
              <w:t>Lifetime Capacity (Conventional)</w:t>
            </w:r>
          </w:p>
        </w:tc>
        <w:tc>
          <w:tcPr>
            <w:tcW w:w="1311" w:type="dxa"/>
            <w:vAlign w:val="center"/>
          </w:tcPr>
          <w:p w14:paraId="4683D66F" w14:textId="77777777" w:rsidR="00605504" w:rsidRPr="00593535" w:rsidRDefault="00605504" w:rsidP="00855C2A">
            <w:pPr>
              <w:spacing w:after="180"/>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4AC62C4D" w14:textId="77777777" w:rsidR="00605504" w:rsidRPr="00CC61E9" w:rsidRDefault="00605504" w:rsidP="00855C2A">
            <w:pPr>
              <w:spacing w:after="180"/>
              <w:jc w:val="center"/>
              <w:rPr>
                <w:rFonts w:eastAsia="Helvetica,Times New Roman" w:cstheme="minorHAnsi"/>
                <w:color w:val="000000" w:themeColor="text1"/>
                <w:sz w:val="20"/>
                <w:szCs w:val="20"/>
                <w:highlight w:val="yellow"/>
              </w:rPr>
            </w:pPr>
            <w:r>
              <w:rPr>
                <w:rFonts w:eastAsia="Helvetica,Times New Roman" w:cstheme="minorHAnsi"/>
                <w:color w:val="000000" w:themeColor="text1"/>
                <w:sz w:val="20"/>
                <w:szCs w:val="20"/>
              </w:rPr>
              <w:t>121,807</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222,351</w:t>
            </w:r>
          </w:p>
        </w:tc>
        <w:tc>
          <w:tcPr>
            <w:tcW w:w="1590" w:type="dxa"/>
            <w:vAlign w:val="center"/>
          </w:tcPr>
          <w:p w14:paraId="2F9E66DB" w14:textId="77777777" w:rsidR="00605504" w:rsidRPr="00CC61E9" w:rsidRDefault="00605504" w:rsidP="00855C2A">
            <w:pPr>
              <w:spacing w:after="180"/>
              <w:jc w:val="center"/>
              <w:rPr>
                <w:rFonts w:eastAsia="Helvetica,Times New Roman" w:cstheme="minorHAnsi"/>
                <w:color w:val="000000" w:themeColor="text1"/>
                <w:sz w:val="20"/>
                <w:szCs w:val="20"/>
                <w:highlight w:val="yellow"/>
              </w:rPr>
            </w:pPr>
            <w:r w:rsidRPr="00372A3C">
              <w:rPr>
                <w:rFonts w:eastAsia="Helvetica,Times New Roman" w:cstheme="minorHAnsi"/>
                <w:color w:val="000000" w:themeColor="text1"/>
                <w:sz w:val="20"/>
                <w:szCs w:val="20"/>
              </w:rPr>
              <w:t>172,079</w:t>
            </w:r>
          </w:p>
        </w:tc>
        <w:tc>
          <w:tcPr>
            <w:tcW w:w="1493" w:type="dxa"/>
            <w:vAlign w:val="center"/>
          </w:tcPr>
          <w:p w14:paraId="6ADCB413" w14:textId="77777777" w:rsidR="00605504" w:rsidRPr="00CC61E9" w:rsidRDefault="00605504" w:rsidP="00855C2A">
            <w:pPr>
              <w:spacing w:after="180"/>
              <w:jc w:val="center"/>
              <w:rPr>
                <w:rFonts w:eastAsia="Helvetica,Times New Roman" w:cstheme="minorHAnsi"/>
                <w:color w:val="000000" w:themeColor="text1"/>
                <w:sz w:val="20"/>
                <w:szCs w:val="20"/>
                <w:highlight w:val="yellow"/>
              </w:rPr>
            </w:pPr>
            <w:r w:rsidRPr="00372A3C">
              <w:rPr>
                <w:rFonts w:eastAsia="Helvetica,Times New Roman" w:cstheme="minorHAnsi"/>
                <w:color w:val="000000" w:themeColor="text1"/>
                <w:sz w:val="20"/>
                <w:szCs w:val="20"/>
              </w:rPr>
              <w:t>12</w:t>
            </w:r>
          </w:p>
        </w:tc>
        <w:tc>
          <w:tcPr>
            <w:tcW w:w="1380" w:type="dxa"/>
            <w:vAlign w:val="center"/>
          </w:tcPr>
          <w:p w14:paraId="2FF538E9" w14:textId="77777777" w:rsidR="00605504" w:rsidRPr="00CC61E9" w:rsidRDefault="00605504" w:rsidP="00855C2A">
            <w:pPr>
              <w:spacing w:after="180"/>
              <w:jc w:val="center"/>
              <w:rPr>
                <w:rFonts w:eastAsia="Helvetica,Times New Roman" w:cstheme="minorHAnsi"/>
                <w:color w:val="000000" w:themeColor="text1"/>
                <w:sz w:val="20"/>
                <w:szCs w:val="20"/>
                <w:highlight w:val="yellow"/>
              </w:rPr>
            </w:pPr>
            <w:r w:rsidRPr="00372A3C">
              <w:rPr>
                <w:rFonts w:eastAsia="Helvetica,Times New Roman" w:cstheme="minorHAnsi"/>
                <w:color w:val="000000" w:themeColor="text1"/>
                <w:sz w:val="20"/>
                <w:szCs w:val="20"/>
              </w:rPr>
              <w:t>6</w:t>
            </w:r>
          </w:p>
        </w:tc>
      </w:tr>
      <w:tr w:rsidR="00605504" w:rsidRPr="006330C6" w14:paraId="0DC1E877" w14:textId="77777777" w:rsidTr="00855C2A">
        <w:trPr>
          <w:trHeight w:val="642"/>
          <w:jc w:val="center"/>
        </w:trPr>
        <w:tc>
          <w:tcPr>
            <w:tcW w:w="1992" w:type="dxa"/>
            <w:vAlign w:val="center"/>
          </w:tcPr>
          <w:p w14:paraId="0A3F2C12" w14:textId="77777777" w:rsidR="00605504" w:rsidRPr="00593535" w:rsidRDefault="00605504" w:rsidP="00855C2A">
            <w:pPr>
              <w:jc w:val="center"/>
              <w:rPr>
                <w:color w:val="000000" w:themeColor="text1"/>
                <w:sz w:val="20"/>
                <w:szCs w:val="20"/>
              </w:rPr>
            </w:pPr>
            <w:r w:rsidRPr="00593535">
              <w:rPr>
                <w:bCs/>
                <w:sz w:val="20"/>
                <w:szCs w:val="20"/>
              </w:rPr>
              <w:t>Average Annual Use (Conventional)</w:t>
            </w:r>
          </w:p>
        </w:tc>
        <w:tc>
          <w:tcPr>
            <w:tcW w:w="1311" w:type="dxa"/>
            <w:vAlign w:val="center"/>
          </w:tcPr>
          <w:p w14:paraId="348A63D0" w14:textId="77777777" w:rsidR="00605504" w:rsidRPr="00593535" w:rsidRDefault="00605504" w:rsidP="00855C2A">
            <w:pPr>
              <w:spacing w:after="180"/>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3C240206" w14:textId="77777777" w:rsidR="00605504" w:rsidRPr="00CC61E9" w:rsidRDefault="00605504" w:rsidP="00855C2A">
            <w:pPr>
              <w:spacing w:after="180"/>
              <w:jc w:val="center"/>
              <w:rPr>
                <w:rFonts w:eastAsia="Helvetica,Times New Roman" w:cstheme="minorHAnsi"/>
                <w:color w:val="000000" w:themeColor="text1"/>
                <w:sz w:val="20"/>
                <w:szCs w:val="20"/>
                <w:highlight w:val="yellow"/>
              </w:rPr>
            </w:pPr>
            <w:r w:rsidRPr="00593535">
              <w:rPr>
                <w:rFonts w:eastAsia="Helvetica,Times New Roman" w:cstheme="minorHAnsi"/>
                <w:color w:val="000000" w:themeColor="text1"/>
                <w:sz w:val="20"/>
                <w:szCs w:val="20"/>
              </w:rPr>
              <w:t>3,33</w:t>
            </w:r>
            <w:r>
              <w:rPr>
                <w:rFonts w:eastAsia="Helvetica,Times New Roman" w:cstheme="minorHAnsi"/>
                <w:color w:val="000000" w:themeColor="text1"/>
                <w:sz w:val="20"/>
                <w:szCs w:val="20"/>
              </w:rPr>
              <w:t>7</w:t>
            </w:r>
            <w:r w:rsidRPr="00593535">
              <w:rPr>
                <w:rFonts w:eastAsia="Helvetica,Times New Roman" w:cstheme="minorHAnsi"/>
                <w:color w:val="000000" w:themeColor="text1"/>
                <w:sz w:val="20"/>
                <w:szCs w:val="20"/>
              </w:rPr>
              <w:t>– 6,</w:t>
            </w:r>
            <w:r>
              <w:rPr>
                <w:rFonts w:eastAsia="Helvetica,Times New Roman" w:cstheme="minorHAnsi"/>
                <w:color w:val="000000" w:themeColor="text1"/>
                <w:sz w:val="20"/>
                <w:szCs w:val="20"/>
              </w:rPr>
              <w:t>587</w:t>
            </w:r>
          </w:p>
        </w:tc>
        <w:tc>
          <w:tcPr>
            <w:tcW w:w="1590" w:type="dxa"/>
            <w:vAlign w:val="center"/>
          </w:tcPr>
          <w:p w14:paraId="4C6E6364" w14:textId="77777777" w:rsidR="00605504" w:rsidRPr="00CC61E9" w:rsidRDefault="00605504" w:rsidP="00855C2A">
            <w:pPr>
              <w:jc w:val="center"/>
              <w:rPr>
                <w:bCs/>
                <w:sz w:val="20"/>
                <w:szCs w:val="20"/>
                <w:highlight w:val="yellow"/>
              </w:rPr>
            </w:pPr>
            <w:r w:rsidRPr="00372A3C">
              <w:rPr>
                <w:bCs/>
                <w:sz w:val="20"/>
                <w:szCs w:val="20"/>
              </w:rPr>
              <w:t>4,962</w:t>
            </w:r>
          </w:p>
        </w:tc>
        <w:tc>
          <w:tcPr>
            <w:tcW w:w="1493" w:type="dxa"/>
            <w:vAlign w:val="center"/>
          </w:tcPr>
          <w:p w14:paraId="41E7CA8B" w14:textId="77777777" w:rsidR="00605504" w:rsidRPr="00CC61E9" w:rsidRDefault="00605504" w:rsidP="00855C2A">
            <w:pPr>
              <w:spacing w:after="180"/>
              <w:jc w:val="center"/>
              <w:rPr>
                <w:rFonts w:eastAsia="Helvetica,Times New Roman" w:cstheme="minorHAnsi"/>
                <w:color w:val="000000" w:themeColor="text1"/>
                <w:sz w:val="20"/>
                <w:szCs w:val="20"/>
                <w:highlight w:val="yellow"/>
              </w:rPr>
            </w:pPr>
            <w:r w:rsidRPr="00372A3C">
              <w:rPr>
                <w:rFonts w:eastAsia="Helvetica,Times New Roman" w:cstheme="minorHAnsi"/>
                <w:color w:val="000000" w:themeColor="text1"/>
                <w:sz w:val="20"/>
                <w:szCs w:val="20"/>
              </w:rPr>
              <w:t>23</w:t>
            </w:r>
          </w:p>
        </w:tc>
        <w:tc>
          <w:tcPr>
            <w:tcW w:w="1380" w:type="dxa"/>
            <w:vAlign w:val="center"/>
          </w:tcPr>
          <w:p w14:paraId="745220D1" w14:textId="77777777" w:rsidR="00605504" w:rsidRPr="00CC61E9" w:rsidRDefault="00605504" w:rsidP="00855C2A">
            <w:pPr>
              <w:spacing w:after="180"/>
              <w:jc w:val="center"/>
              <w:rPr>
                <w:rFonts w:eastAsia="Helvetica,Times New Roman" w:cstheme="minorHAnsi"/>
                <w:color w:val="000000" w:themeColor="text1"/>
                <w:sz w:val="20"/>
                <w:szCs w:val="20"/>
                <w:highlight w:val="yellow"/>
              </w:rPr>
            </w:pPr>
            <w:r w:rsidRPr="00372A3C">
              <w:rPr>
                <w:rFonts w:eastAsia="Helvetica,Times New Roman" w:cstheme="minorHAnsi"/>
                <w:color w:val="000000" w:themeColor="text1"/>
                <w:sz w:val="20"/>
                <w:szCs w:val="20"/>
              </w:rPr>
              <w:t>4</w:t>
            </w:r>
          </w:p>
        </w:tc>
      </w:tr>
    </w:tbl>
    <w:p w14:paraId="40D7871E" w14:textId="77777777" w:rsidR="00605504" w:rsidRDefault="00605504" w:rsidP="00605504">
      <w:pPr>
        <w:pStyle w:val="Caption"/>
        <w:jc w:val="center"/>
      </w:pPr>
    </w:p>
    <w:p w14:paraId="19F88987" w14:textId="05664E53" w:rsidR="00605504" w:rsidRPr="00633ACC" w:rsidRDefault="00605504" w:rsidP="00605504">
      <w:pPr>
        <w:pStyle w:val="Caption"/>
        <w:jc w:val="center"/>
        <w:rPr>
          <w:rFonts w:asciiTheme="majorHAnsi" w:eastAsiaTheme="majorEastAsia" w:hAnsiTheme="majorHAnsi" w:cstheme="majorBidi"/>
          <w:b/>
          <w:bCs/>
          <w:color w:val="000000" w:themeColor="text1"/>
          <w:sz w:val="23"/>
          <w:szCs w:val="23"/>
          <w:lang w:eastAsia="zh-CN"/>
        </w:rPr>
      </w:pPr>
      <w:bookmarkStart w:id="42" w:name="_Toc19323123"/>
      <w:r w:rsidRPr="00633ACC">
        <w:t xml:space="preserve">Table </w:t>
      </w:r>
      <w:r w:rsidR="0060195D">
        <w:fldChar w:fldCharType="begin"/>
      </w:r>
      <w:r w:rsidR="0060195D">
        <w:instrText xml:space="preserve"> STYLEREF 1 \s </w:instrText>
      </w:r>
      <w:r w:rsidR="0060195D">
        <w:fldChar w:fldCharType="separate"/>
      </w:r>
      <w:r w:rsidRPr="00633ACC">
        <w:t>2</w:t>
      </w:r>
      <w:r w:rsidR="0060195D">
        <w:fldChar w:fldCharType="end"/>
      </w:r>
      <w:r w:rsidRPr="00633ACC">
        <w:t>.</w:t>
      </w:r>
      <w:r w:rsidRPr="00633ACC">
        <w:rPr>
          <w:noProof/>
        </w:rPr>
        <w:fldChar w:fldCharType="begin"/>
      </w:r>
      <w:r w:rsidRPr="00633ACC">
        <w:rPr>
          <w:noProof/>
        </w:rPr>
        <w:instrText xml:space="preserve"> SEQ Table \* ARABIC \s 1 </w:instrText>
      </w:r>
      <w:r w:rsidRPr="00633ACC">
        <w:rPr>
          <w:noProof/>
        </w:rPr>
        <w:fldChar w:fldCharType="separate"/>
      </w:r>
      <w:r w:rsidRPr="00633ACC">
        <w:rPr>
          <w:noProof/>
        </w:rPr>
        <w:t>5</w:t>
      </w:r>
      <w:r w:rsidRPr="00633ACC">
        <w:rPr>
          <w:noProof/>
        </w:rPr>
        <w:fldChar w:fldCharType="end"/>
      </w:r>
      <w:r w:rsidRPr="00633ACC">
        <w:t xml:space="preserve"> Technical Inputs Solution</w:t>
      </w:r>
      <w:bookmarkEnd w:id="42"/>
    </w:p>
    <w:tbl>
      <w:tblPr>
        <w:tblStyle w:val="TableGrid"/>
        <w:tblW w:w="9600" w:type="dxa"/>
        <w:jc w:val="center"/>
        <w:tblLook w:val="04A0" w:firstRow="1" w:lastRow="0" w:firstColumn="1" w:lastColumn="0" w:noHBand="0" w:noVBand="1"/>
      </w:tblPr>
      <w:tblGrid>
        <w:gridCol w:w="2000"/>
        <w:gridCol w:w="1316"/>
        <w:gridCol w:w="1701"/>
        <w:gridCol w:w="1698"/>
        <w:gridCol w:w="1499"/>
        <w:gridCol w:w="1386"/>
      </w:tblGrid>
      <w:tr w:rsidR="00605504" w:rsidRPr="006330C6" w14:paraId="7538F7C3" w14:textId="77777777" w:rsidTr="00855C2A">
        <w:trPr>
          <w:trHeight w:val="591"/>
          <w:jc w:val="center"/>
        </w:trPr>
        <w:tc>
          <w:tcPr>
            <w:tcW w:w="2000" w:type="dxa"/>
            <w:shd w:val="clear" w:color="auto" w:fill="4F81BD" w:themeFill="accent1"/>
            <w:vAlign w:val="center"/>
          </w:tcPr>
          <w:p w14:paraId="6EC0BAB6" w14:textId="77777777" w:rsidR="00605504" w:rsidRPr="00633ACC" w:rsidRDefault="00605504" w:rsidP="00855C2A">
            <w:pPr>
              <w:spacing w:after="180"/>
              <w:jc w:val="center"/>
              <w:rPr>
                <w:rFonts w:eastAsia="Helvetica,Times New Roman" w:cstheme="minorHAnsi"/>
                <w:b/>
                <w:color w:val="FFFFFF" w:themeColor="background1"/>
                <w:sz w:val="20"/>
                <w:szCs w:val="20"/>
              </w:rPr>
            </w:pPr>
          </w:p>
        </w:tc>
        <w:tc>
          <w:tcPr>
            <w:tcW w:w="1316" w:type="dxa"/>
            <w:shd w:val="clear" w:color="auto" w:fill="4F81BD" w:themeFill="accent1"/>
            <w:vAlign w:val="center"/>
          </w:tcPr>
          <w:p w14:paraId="72C7BA92" w14:textId="77777777" w:rsidR="00605504" w:rsidRPr="00633ACC" w:rsidRDefault="00605504" w:rsidP="00855C2A">
            <w:pPr>
              <w:spacing w:after="180"/>
              <w:jc w:val="center"/>
              <w:rPr>
                <w:b/>
                <w:bCs/>
                <w:color w:val="FFFFFF" w:themeColor="background1"/>
                <w:sz w:val="20"/>
                <w:szCs w:val="20"/>
              </w:rPr>
            </w:pPr>
            <w:r w:rsidRPr="00633ACC">
              <w:rPr>
                <w:b/>
                <w:bCs/>
                <w:color w:val="FFFFFF" w:themeColor="background1"/>
                <w:sz w:val="20"/>
                <w:szCs w:val="20"/>
              </w:rPr>
              <w:t>Units</w:t>
            </w:r>
          </w:p>
        </w:tc>
        <w:tc>
          <w:tcPr>
            <w:tcW w:w="1701" w:type="dxa"/>
            <w:shd w:val="clear" w:color="auto" w:fill="4F81BD" w:themeFill="accent1"/>
            <w:vAlign w:val="center"/>
          </w:tcPr>
          <w:p w14:paraId="734D66F3" w14:textId="77777777" w:rsidR="00605504" w:rsidRPr="00633ACC" w:rsidRDefault="00605504" w:rsidP="00855C2A">
            <w:pPr>
              <w:spacing w:after="180"/>
              <w:jc w:val="center"/>
              <w:rPr>
                <w:b/>
                <w:bCs/>
                <w:color w:val="FFFFFF" w:themeColor="background1"/>
                <w:sz w:val="20"/>
                <w:szCs w:val="20"/>
              </w:rPr>
            </w:pPr>
            <w:r w:rsidRPr="00633ACC">
              <w:rPr>
                <w:b/>
                <w:bCs/>
                <w:color w:val="FFFFFF" w:themeColor="background1"/>
                <w:sz w:val="20"/>
                <w:szCs w:val="20"/>
              </w:rPr>
              <w:t>Project Drawdown Data Set Range</w:t>
            </w:r>
          </w:p>
        </w:tc>
        <w:tc>
          <w:tcPr>
            <w:tcW w:w="1698" w:type="dxa"/>
            <w:shd w:val="clear" w:color="auto" w:fill="4F81BD" w:themeFill="accent1"/>
            <w:vAlign w:val="center"/>
          </w:tcPr>
          <w:p w14:paraId="7B73787A" w14:textId="77777777" w:rsidR="00605504" w:rsidRPr="00633ACC" w:rsidRDefault="00605504" w:rsidP="00855C2A">
            <w:pPr>
              <w:spacing w:after="180"/>
              <w:jc w:val="center"/>
              <w:rPr>
                <w:b/>
                <w:bCs/>
                <w:color w:val="FFFFFF" w:themeColor="background1"/>
                <w:sz w:val="20"/>
                <w:szCs w:val="20"/>
              </w:rPr>
            </w:pPr>
            <w:r w:rsidRPr="00633ACC">
              <w:rPr>
                <w:b/>
                <w:bCs/>
                <w:color w:val="FFFFFF" w:themeColor="background1"/>
                <w:sz w:val="20"/>
                <w:szCs w:val="20"/>
              </w:rPr>
              <w:t>Model Input</w:t>
            </w:r>
          </w:p>
        </w:tc>
        <w:tc>
          <w:tcPr>
            <w:tcW w:w="1499" w:type="dxa"/>
            <w:shd w:val="clear" w:color="auto" w:fill="4F81BD" w:themeFill="accent1"/>
            <w:vAlign w:val="center"/>
          </w:tcPr>
          <w:p w14:paraId="17E1D86F" w14:textId="77777777" w:rsidR="00605504" w:rsidRPr="00633ACC" w:rsidRDefault="00605504" w:rsidP="00855C2A">
            <w:pPr>
              <w:spacing w:after="180"/>
              <w:jc w:val="center"/>
              <w:rPr>
                <w:b/>
                <w:bCs/>
                <w:color w:val="FFFFFF" w:themeColor="background1"/>
                <w:sz w:val="20"/>
                <w:szCs w:val="20"/>
              </w:rPr>
            </w:pPr>
            <w:r w:rsidRPr="00633ACC">
              <w:rPr>
                <w:b/>
                <w:bCs/>
                <w:color w:val="FFFFFF" w:themeColor="background1"/>
                <w:sz w:val="20"/>
                <w:szCs w:val="20"/>
              </w:rPr>
              <w:t>Data Points (#)</w:t>
            </w:r>
          </w:p>
        </w:tc>
        <w:tc>
          <w:tcPr>
            <w:tcW w:w="1386" w:type="dxa"/>
            <w:shd w:val="clear" w:color="auto" w:fill="4F81BD" w:themeFill="accent1"/>
            <w:vAlign w:val="center"/>
          </w:tcPr>
          <w:p w14:paraId="4E38D465" w14:textId="77777777" w:rsidR="00605504" w:rsidRPr="00633ACC" w:rsidRDefault="00605504" w:rsidP="00855C2A">
            <w:pPr>
              <w:spacing w:after="180"/>
              <w:jc w:val="center"/>
              <w:rPr>
                <w:b/>
                <w:bCs/>
                <w:color w:val="FFFFFF" w:themeColor="background1"/>
                <w:sz w:val="20"/>
                <w:szCs w:val="20"/>
              </w:rPr>
            </w:pPr>
            <w:r w:rsidRPr="00633ACC">
              <w:rPr>
                <w:b/>
                <w:bCs/>
                <w:color w:val="FFFFFF" w:themeColor="background1"/>
                <w:sz w:val="20"/>
                <w:szCs w:val="20"/>
              </w:rPr>
              <w:t>Sources (#)</w:t>
            </w:r>
          </w:p>
        </w:tc>
      </w:tr>
      <w:tr w:rsidR="00605504" w:rsidRPr="00E069AC" w14:paraId="0349D55C" w14:textId="77777777" w:rsidTr="00855C2A">
        <w:trPr>
          <w:trHeight w:val="307"/>
          <w:jc w:val="center"/>
        </w:trPr>
        <w:tc>
          <w:tcPr>
            <w:tcW w:w="2000" w:type="dxa"/>
            <w:vAlign w:val="center"/>
          </w:tcPr>
          <w:p w14:paraId="2585E236" w14:textId="77777777" w:rsidR="00605504" w:rsidRPr="00371F45" w:rsidRDefault="00605504" w:rsidP="00855C2A">
            <w:pPr>
              <w:jc w:val="center"/>
              <w:rPr>
                <w:bCs/>
                <w:sz w:val="20"/>
                <w:szCs w:val="20"/>
              </w:rPr>
            </w:pPr>
            <w:r w:rsidRPr="00371F45">
              <w:rPr>
                <w:bCs/>
                <w:sz w:val="20"/>
                <w:szCs w:val="20"/>
              </w:rPr>
              <w:t>Lifetime Capacity (Solution)</w:t>
            </w:r>
          </w:p>
        </w:tc>
        <w:tc>
          <w:tcPr>
            <w:tcW w:w="1316" w:type="dxa"/>
            <w:vAlign w:val="center"/>
          </w:tcPr>
          <w:p w14:paraId="1C43FA86" w14:textId="77777777" w:rsidR="00605504" w:rsidRPr="00371F45" w:rsidRDefault="00605504" w:rsidP="00855C2A">
            <w:pPr>
              <w:spacing w:after="180"/>
              <w:jc w:val="center"/>
              <w:rPr>
                <w:bCs/>
                <w:i/>
                <w:color w:val="000000" w:themeColor="text1"/>
                <w:sz w:val="20"/>
                <w:szCs w:val="20"/>
              </w:rPr>
            </w:pPr>
            <w:r w:rsidRPr="00371F45">
              <w:rPr>
                <w:bCs/>
                <w:i/>
                <w:color w:val="000000" w:themeColor="text1"/>
                <w:sz w:val="20"/>
                <w:szCs w:val="20"/>
              </w:rPr>
              <w:t>hours</w:t>
            </w:r>
          </w:p>
        </w:tc>
        <w:tc>
          <w:tcPr>
            <w:tcW w:w="1701" w:type="dxa"/>
            <w:vAlign w:val="center"/>
          </w:tcPr>
          <w:p w14:paraId="76EEB666" w14:textId="6179ACE0" w:rsidR="00605504" w:rsidRPr="00066150" w:rsidRDefault="00066150" w:rsidP="00855C2A">
            <w:pPr>
              <w:spacing w:after="180"/>
              <w:jc w:val="center"/>
              <w:rPr>
                <w:rFonts w:eastAsia="Helvetica,Times New Roman" w:cstheme="minorHAnsi"/>
                <w:color w:val="000000" w:themeColor="text1"/>
                <w:sz w:val="20"/>
                <w:szCs w:val="20"/>
              </w:rPr>
            </w:pPr>
            <w:r w:rsidRPr="00066150">
              <w:rPr>
                <w:rFonts w:eastAsia="Helvetica,Times New Roman" w:cstheme="minorHAnsi"/>
                <w:color w:val="000000" w:themeColor="text1"/>
                <w:sz w:val="20"/>
                <w:szCs w:val="20"/>
              </w:rPr>
              <w:t>301,900</w:t>
            </w:r>
            <w:r w:rsidR="00605504" w:rsidRPr="00066150">
              <w:rPr>
                <w:rFonts w:eastAsia="Helvetica,Times New Roman" w:cstheme="minorHAnsi"/>
                <w:color w:val="000000" w:themeColor="text1"/>
                <w:sz w:val="20"/>
                <w:szCs w:val="20"/>
              </w:rPr>
              <w:t xml:space="preserve"> – </w:t>
            </w:r>
            <w:r w:rsidRPr="00066150">
              <w:rPr>
                <w:rFonts w:eastAsia="Helvetica,Times New Roman" w:cstheme="minorHAnsi"/>
                <w:color w:val="000000" w:themeColor="text1"/>
                <w:sz w:val="20"/>
                <w:szCs w:val="20"/>
              </w:rPr>
              <w:t>435,235</w:t>
            </w:r>
          </w:p>
        </w:tc>
        <w:tc>
          <w:tcPr>
            <w:tcW w:w="1698" w:type="dxa"/>
            <w:vAlign w:val="center"/>
          </w:tcPr>
          <w:p w14:paraId="3ED87173" w14:textId="528B2328" w:rsidR="00605504" w:rsidRPr="00066150" w:rsidRDefault="00066150" w:rsidP="00855C2A">
            <w:pPr>
              <w:spacing w:after="180"/>
              <w:jc w:val="center"/>
              <w:rPr>
                <w:rFonts w:eastAsia="Helvetica,Times New Roman" w:cstheme="minorHAnsi"/>
                <w:color w:val="000000" w:themeColor="text1"/>
                <w:sz w:val="20"/>
                <w:szCs w:val="20"/>
              </w:rPr>
            </w:pPr>
            <w:r w:rsidRPr="00066150">
              <w:rPr>
                <w:rFonts w:eastAsia="Helvetica,Times New Roman" w:cstheme="minorHAnsi"/>
                <w:color w:val="000000" w:themeColor="text1"/>
                <w:sz w:val="20"/>
                <w:szCs w:val="20"/>
              </w:rPr>
              <w:t>368,568</w:t>
            </w:r>
          </w:p>
        </w:tc>
        <w:tc>
          <w:tcPr>
            <w:tcW w:w="1499" w:type="dxa"/>
            <w:vAlign w:val="center"/>
          </w:tcPr>
          <w:p w14:paraId="10850F23" w14:textId="07C8D710" w:rsidR="00605504" w:rsidRPr="00066150" w:rsidRDefault="00066150" w:rsidP="00855C2A">
            <w:pPr>
              <w:spacing w:after="180"/>
              <w:jc w:val="center"/>
              <w:rPr>
                <w:rFonts w:eastAsia="Helvetica,Times New Roman" w:cstheme="minorHAnsi"/>
                <w:color w:val="000000" w:themeColor="text1"/>
                <w:sz w:val="20"/>
                <w:szCs w:val="20"/>
              </w:rPr>
            </w:pPr>
            <w:r w:rsidRPr="00066150">
              <w:rPr>
                <w:rFonts w:eastAsia="Helvetica,Times New Roman" w:cstheme="minorHAnsi"/>
                <w:color w:val="000000" w:themeColor="text1"/>
                <w:sz w:val="20"/>
                <w:szCs w:val="20"/>
              </w:rPr>
              <w:t>8</w:t>
            </w:r>
          </w:p>
        </w:tc>
        <w:tc>
          <w:tcPr>
            <w:tcW w:w="1386" w:type="dxa"/>
            <w:vAlign w:val="center"/>
          </w:tcPr>
          <w:p w14:paraId="5BA27AB2" w14:textId="791D7368" w:rsidR="00605504" w:rsidRPr="00066150" w:rsidRDefault="00066150" w:rsidP="00855C2A">
            <w:pPr>
              <w:spacing w:after="180"/>
              <w:jc w:val="center"/>
              <w:rPr>
                <w:rFonts w:eastAsia="Helvetica,Times New Roman" w:cstheme="minorHAnsi"/>
                <w:color w:val="000000" w:themeColor="text1"/>
                <w:sz w:val="20"/>
                <w:szCs w:val="20"/>
              </w:rPr>
            </w:pPr>
            <w:r w:rsidRPr="00066150">
              <w:rPr>
                <w:rFonts w:eastAsia="Helvetica,Times New Roman" w:cstheme="minorHAnsi"/>
                <w:color w:val="000000" w:themeColor="text1"/>
                <w:sz w:val="20"/>
                <w:szCs w:val="20"/>
              </w:rPr>
              <w:t>7</w:t>
            </w:r>
          </w:p>
        </w:tc>
      </w:tr>
      <w:tr w:rsidR="00605504" w:rsidRPr="00066150" w14:paraId="749EA67F" w14:textId="77777777" w:rsidTr="00855C2A">
        <w:trPr>
          <w:trHeight w:val="307"/>
          <w:jc w:val="center"/>
        </w:trPr>
        <w:tc>
          <w:tcPr>
            <w:tcW w:w="2000" w:type="dxa"/>
            <w:vAlign w:val="center"/>
          </w:tcPr>
          <w:p w14:paraId="428AE3F8" w14:textId="77777777" w:rsidR="00605504" w:rsidRPr="00371F45" w:rsidRDefault="00605504" w:rsidP="00855C2A">
            <w:pPr>
              <w:jc w:val="center"/>
              <w:rPr>
                <w:bCs/>
                <w:sz w:val="20"/>
                <w:szCs w:val="20"/>
              </w:rPr>
            </w:pPr>
            <w:r w:rsidRPr="00371F45">
              <w:rPr>
                <w:bCs/>
                <w:sz w:val="20"/>
                <w:szCs w:val="20"/>
              </w:rPr>
              <w:t>Average Annual Use (Solution)</w:t>
            </w:r>
          </w:p>
        </w:tc>
        <w:tc>
          <w:tcPr>
            <w:tcW w:w="1316" w:type="dxa"/>
            <w:vAlign w:val="center"/>
          </w:tcPr>
          <w:p w14:paraId="655867C0" w14:textId="77777777" w:rsidR="00605504" w:rsidRPr="00371F45" w:rsidRDefault="00605504" w:rsidP="00855C2A">
            <w:pPr>
              <w:spacing w:after="180"/>
              <w:jc w:val="center"/>
              <w:rPr>
                <w:bCs/>
                <w:i/>
                <w:color w:val="000000" w:themeColor="text1"/>
                <w:sz w:val="20"/>
                <w:szCs w:val="20"/>
              </w:rPr>
            </w:pPr>
            <w:r w:rsidRPr="00371F45">
              <w:rPr>
                <w:bCs/>
                <w:i/>
                <w:color w:val="000000" w:themeColor="text1"/>
                <w:sz w:val="20"/>
                <w:szCs w:val="20"/>
              </w:rPr>
              <w:t>hours</w:t>
            </w:r>
          </w:p>
        </w:tc>
        <w:tc>
          <w:tcPr>
            <w:tcW w:w="1701" w:type="dxa"/>
            <w:vAlign w:val="center"/>
          </w:tcPr>
          <w:p w14:paraId="0B912C9C" w14:textId="05212049" w:rsidR="00605504" w:rsidRPr="00066150" w:rsidRDefault="00066150" w:rsidP="00855C2A">
            <w:pPr>
              <w:spacing w:after="180"/>
              <w:jc w:val="center"/>
              <w:rPr>
                <w:rFonts w:eastAsia="Helvetica,Times New Roman" w:cstheme="minorHAnsi"/>
                <w:color w:val="000000" w:themeColor="text1"/>
                <w:sz w:val="20"/>
                <w:szCs w:val="20"/>
              </w:rPr>
            </w:pPr>
            <w:r w:rsidRPr="00066150">
              <w:rPr>
                <w:rFonts w:eastAsia="Helvetica,Times New Roman" w:cstheme="minorHAnsi"/>
                <w:color w:val="000000" w:themeColor="text1"/>
                <w:sz w:val="20"/>
                <w:szCs w:val="20"/>
              </w:rPr>
              <w:t>6,550-7,833</w:t>
            </w:r>
          </w:p>
        </w:tc>
        <w:tc>
          <w:tcPr>
            <w:tcW w:w="1698" w:type="dxa"/>
            <w:vAlign w:val="center"/>
          </w:tcPr>
          <w:p w14:paraId="5B6919D0" w14:textId="6B64E45E" w:rsidR="00605504" w:rsidRPr="00066150" w:rsidRDefault="00066150" w:rsidP="00855C2A">
            <w:pPr>
              <w:spacing w:after="180"/>
              <w:jc w:val="center"/>
              <w:rPr>
                <w:rFonts w:eastAsia="Helvetica,Times New Roman" w:cstheme="minorHAnsi"/>
                <w:color w:val="000000" w:themeColor="text1"/>
                <w:sz w:val="20"/>
                <w:szCs w:val="20"/>
              </w:rPr>
            </w:pPr>
            <w:r w:rsidRPr="00066150">
              <w:rPr>
                <w:rFonts w:eastAsia="Helvetica,Times New Roman" w:cstheme="minorHAnsi"/>
                <w:color w:val="000000" w:themeColor="text1"/>
                <w:sz w:val="20"/>
                <w:szCs w:val="20"/>
              </w:rPr>
              <w:t>7,192</w:t>
            </w:r>
          </w:p>
        </w:tc>
        <w:tc>
          <w:tcPr>
            <w:tcW w:w="1499" w:type="dxa"/>
            <w:vAlign w:val="center"/>
          </w:tcPr>
          <w:p w14:paraId="6A1022CB" w14:textId="708FFC7E" w:rsidR="00605504" w:rsidRPr="00066150" w:rsidRDefault="00066150" w:rsidP="00855C2A">
            <w:pPr>
              <w:spacing w:after="180"/>
              <w:jc w:val="center"/>
              <w:rPr>
                <w:rFonts w:eastAsia="Helvetica,Times New Roman" w:cstheme="minorHAnsi"/>
                <w:color w:val="000000" w:themeColor="text1"/>
                <w:sz w:val="20"/>
                <w:szCs w:val="20"/>
              </w:rPr>
            </w:pPr>
            <w:r w:rsidRPr="00066150">
              <w:rPr>
                <w:rFonts w:eastAsia="Helvetica,Times New Roman" w:cstheme="minorHAnsi"/>
                <w:color w:val="000000" w:themeColor="text1"/>
                <w:sz w:val="20"/>
                <w:szCs w:val="20"/>
              </w:rPr>
              <w:t>23</w:t>
            </w:r>
          </w:p>
        </w:tc>
        <w:tc>
          <w:tcPr>
            <w:tcW w:w="1386" w:type="dxa"/>
            <w:vAlign w:val="center"/>
          </w:tcPr>
          <w:p w14:paraId="0813A49C" w14:textId="1473DFD0" w:rsidR="00605504" w:rsidRPr="00066150" w:rsidRDefault="00066150" w:rsidP="00855C2A">
            <w:pPr>
              <w:spacing w:after="180"/>
              <w:jc w:val="center"/>
              <w:rPr>
                <w:rFonts w:eastAsia="Helvetica,Times New Roman" w:cstheme="minorHAnsi"/>
                <w:color w:val="000000" w:themeColor="text1"/>
                <w:sz w:val="20"/>
                <w:szCs w:val="20"/>
              </w:rPr>
            </w:pPr>
            <w:r w:rsidRPr="00066150">
              <w:rPr>
                <w:rFonts w:eastAsia="Helvetica,Times New Roman" w:cstheme="minorHAnsi"/>
                <w:color w:val="000000" w:themeColor="text1"/>
                <w:sz w:val="20"/>
                <w:szCs w:val="20"/>
              </w:rPr>
              <w:t>8</w:t>
            </w:r>
          </w:p>
        </w:tc>
      </w:tr>
    </w:tbl>
    <w:p w14:paraId="4E32D218" w14:textId="33FABC9D" w:rsidR="00B144E5" w:rsidRPr="00E069AC" w:rsidRDefault="00D37CE4" w:rsidP="00D37CE4">
      <w:pPr>
        <w:pStyle w:val="Heading2"/>
      </w:pPr>
      <w:bookmarkStart w:id="43" w:name="_Toc19323156"/>
      <w:r>
        <w:rPr>
          <w:b w:val="0"/>
          <w:smallCaps w:val="0"/>
        </w:rPr>
        <w:t xml:space="preserve">2.6 </w:t>
      </w:r>
      <w:r w:rsidR="00E069AC">
        <w:t>Assumptions</w:t>
      </w:r>
      <w:bookmarkEnd w:id="43"/>
    </w:p>
    <w:p w14:paraId="3102A212" w14:textId="77777777" w:rsidR="004A74C9" w:rsidRPr="004A74C9" w:rsidRDefault="004A74C9" w:rsidP="004A74C9">
      <w:pPr>
        <w:spacing w:after="240"/>
        <w:rPr>
          <w:rFonts w:cs="Times New Roman"/>
        </w:rPr>
      </w:pPr>
      <w:r w:rsidRPr="00E069AC">
        <w:t xml:space="preserve">Six overarching assumptions have been made for Project Drawdown models to enable the development and integration of individual model solutions. These are that infrastructure required for solution is available and in-place, policies required are already in-place, no carbon price is modeled, all costs accrue at the level of </w:t>
      </w:r>
      <w:r w:rsidRPr="0066316E">
        <w:t xml:space="preserve">agency modeled, improvements in technology are not modeled, </w:t>
      </w:r>
      <w:r w:rsidRPr="004A74C9">
        <w:rPr>
          <w:color w:val="000000" w:themeColor="text1"/>
        </w:rPr>
        <w:t xml:space="preserve">and that first costs may change according to learning. Full details of core assumptions and methodology are available on the Project Drawdown Reduction and Replacement Solutions (RRS) Model Framework and Guide report. Beyond these core assumptions, there are other important assumptions made for the modeling of this specific solution. These are detailed </w:t>
      </w:r>
      <w:r w:rsidRPr="004A74C9">
        <w:rPr>
          <w:rFonts w:cs="Times New Roman"/>
          <w:color w:val="000000" w:themeColor="text1"/>
        </w:rPr>
        <w:t>below.</w:t>
      </w:r>
    </w:p>
    <w:p w14:paraId="2257596E" w14:textId="77777777" w:rsidR="00C70BE1" w:rsidRDefault="00CB000A" w:rsidP="00C70BE1">
      <w:pPr>
        <w:pStyle w:val="ListParagraph"/>
        <w:numPr>
          <w:ilvl w:val="0"/>
          <w:numId w:val="10"/>
        </w:numPr>
        <w:ind w:left="567" w:hanging="567"/>
        <w:rPr>
          <w:bCs/>
          <w:color w:val="000000" w:themeColor="text1"/>
        </w:rPr>
      </w:pPr>
      <w:r w:rsidRPr="00066150">
        <w:rPr>
          <w:bCs/>
          <w:color w:val="000000" w:themeColor="text1"/>
        </w:rPr>
        <w:t>The results from the different sources are depicted at a 5 year or 10 years’ basis and it were needed yearly, therefore data interpolation was made using the best</w:t>
      </w:r>
      <w:r w:rsidR="003D74CE" w:rsidRPr="00066150">
        <w:rPr>
          <w:bCs/>
          <w:color w:val="000000" w:themeColor="text1"/>
        </w:rPr>
        <w:t>-</w:t>
      </w:r>
      <w:r w:rsidRPr="00066150">
        <w:rPr>
          <w:bCs/>
          <w:color w:val="000000" w:themeColor="text1"/>
        </w:rPr>
        <w:t>fit trends (</w:t>
      </w:r>
      <w:r w:rsidRPr="00066150">
        <w:rPr>
          <w:bCs/>
          <w:i/>
          <w:color w:val="000000" w:themeColor="text1"/>
        </w:rPr>
        <w:t>i.e.</w:t>
      </w:r>
      <w:r w:rsidRPr="00066150">
        <w:rPr>
          <w:bCs/>
          <w:color w:val="000000" w:themeColor="text1"/>
        </w:rPr>
        <w:t xml:space="preserve"> generally 3</w:t>
      </w:r>
      <w:r w:rsidRPr="00066150">
        <w:rPr>
          <w:bCs/>
          <w:color w:val="000000" w:themeColor="text1"/>
          <w:vertAlign w:val="superscript"/>
        </w:rPr>
        <w:t>rd</w:t>
      </w:r>
      <w:r w:rsidRPr="00066150">
        <w:rPr>
          <w:bCs/>
          <w:color w:val="000000" w:themeColor="text1"/>
        </w:rPr>
        <w:t xml:space="preserve"> polynomial but 2</w:t>
      </w:r>
      <w:r w:rsidRPr="00066150">
        <w:rPr>
          <w:bCs/>
          <w:color w:val="000000" w:themeColor="text1"/>
          <w:vertAlign w:val="superscript"/>
        </w:rPr>
        <w:t>nd</w:t>
      </w:r>
      <w:r w:rsidRPr="00066150">
        <w:rPr>
          <w:bCs/>
          <w:color w:val="000000" w:themeColor="text1"/>
        </w:rPr>
        <w:t xml:space="preserve"> polynomial or S curve were also used). </w:t>
      </w:r>
    </w:p>
    <w:p w14:paraId="26814DA9" w14:textId="77777777" w:rsidR="00C70BE1" w:rsidRDefault="00C70BE1" w:rsidP="00C70BE1">
      <w:pPr>
        <w:numPr>
          <w:ilvl w:val="0"/>
          <w:numId w:val="10"/>
        </w:numPr>
        <w:ind w:left="360"/>
        <w:rPr>
          <w:bCs/>
        </w:rPr>
      </w:pPr>
      <w:r>
        <w:rPr>
          <w:bCs/>
        </w:rPr>
        <w:t>Nuclear power plants in this report are restricted to fission-based reactors, mostly pressurized water reactors that use uranium as the fuel. Generation 4 nuclear reactors are excluded (pebble bed, thorium based reactors, small modular reactors, etc.).</w:t>
      </w:r>
    </w:p>
    <w:p w14:paraId="41E1D871" w14:textId="4BA9304A" w:rsidR="00C70BE1" w:rsidRPr="00C70BE1" w:rsidRDefault="00C70BE1" w:rsidP="00C70BE1">
      <w:pPr>
        <w:pStyle w:val="ListParagraph"/>
        <w:numPr>
          <w:ilvl w:val="0"/>
          <w:numId w:val="10"/>
        </w:numPr>
        <w:ind w:left="567" w:hanging="567"/>
        <w:rPr>
          <w:bCs/>
          <w:color w:val="000000" w:themeColor="text1"/>
        </w:rPr>
      </w:pPr>
      <w:r>
        <w:rPr>
          <w:bCs/>
        </w:rPr>
        <w:t>Global average figures are used as model input values for the analysis for both nuclear reactors and conventional sources across a number of different regions and installation sizes.</w:t>
      </w:r>
    </w:p>
    <w:p w14:paraId="5C882369" w14:textId="78984F47" w:rsidR="00C70BE1" w:rsidRDefault="00C70BE1" w:rsidP="00C70BE1">
      <w:pPr>
        <w:numPr>
          <w:ilvl w:val="0"/>
          <w:numId w:val="10"/>
        </w:numPr>
        <w:ind w:left="270"/>
        <w:rPr>
          <w:bCs/>
        </w:rPr>
      </w:pPr>
      <w:r>
        <w:rPr>
          <w:bCs/>
        </w:rPr>
        <w:t xml:space="preserve">Costs (or savings) for nuclear power plants are incurred by (or accrue to) the owner of the project, whether this is a developer or the utility itself. </w:t>
      </w:r>
    </w:p>
    <w:p w14:paraId="04522F83" w14:textId="77777777" w:rsidR="00C70BE1" w:rsidRPr="00EC3D5A" w:rsidRDefault="00C70BE1" w:rsidP="00C70BE1">
      <w:pPr>
        <w:numPr>
          <w:ilvl w:val="0"/>
          <w:numId w:val="10"/>
        </w:numPr>
        <w:ind w:left="270"/>
        <w:rPr>
          <w:bCs/>
        </w:rPr>
      </w:pPr>
      <w:r>
        <w:rPr>
          <w:bCs/>
        </w:rPr>
        <w:t>All capital and operating costs (or savings) are calculated on an annual basis and then aggregated into one total at the end of the 30-year modeling period.</w:t>
      </w:r>
    </w:p>
    <w:p w14:paraId="7DEDB7B2" w14:textId="498D0411" w:rsidR="00C70BE1" w:rsidRPr="00C70BE1" w:rsidRDefault="00C70BE1" w:rsidP="00C70BE1">
      <w:pPr>
        <w:numPr>
          <w:ilvl w:val="0"/>
          <w:numId w:val="10"/>
        </w:numPr>
        <w:ind w:left="270"/>
        <w:rPr>
          <w:bCs/>
        </w:rPr>
      </w:pPr>
      <w:r w:rsidRPr="00C70BE1">
        <w:rPr>
          <w:bCs/>
        </w:rPr>
        <w:t>While technology costs tend to decrease over time as technology matures, following the standard equation for learning rates, PWR type of NPP that is the main focus of this solution is considered very mature, with a learning rate close to 0%. 2% LR was adopted in the nuclear RRS model, aligned with the input used for conventional technologies which are also very mature.</w:t>
      </w:r>
    </w:p>
    <w:p w14:paraId="04FBF2E3" w14:textId="274258BB" w:rsidR="009D118F" w:rsidRPr="00E069AC" w:rsidRDefault="551A77D0" w:rsidP="00371F45">
      <w:pPr>
        <w:pStyle w:val="Heading2"/>
        <w:numPr>
          <w:ilvl w:val="1"/>
          <w:numId w:val="26"/>
        </w:numPr>
      </w:pPr>
      <w:bookmarkStart w:id="44" w:name="_Toc19323157"/>
      <w:r w:rsidRPr="00E069AC">
        <w:t>I</w:t>
      </w:r>
      <w:r w:rsidR="00E069AC">
        <w:t>ntegration</w:t>
      </w:r>
      <w:bookmarkEnd w:id="44"/>
    </w:p>
    <w:p w14:paraId="40B0D509" w14:textId="748705C6" w:rsidR="00F61DCA" w:rsidRPr="00A275A4" w:rsidRDefault="00F61DCA" w:rsidP="00EB247F">
      <w:r w:rsidRPr="00E069AC">
        <w:t xml:space="preserve">The </w:t>
      </w:r>
      <w:r w:rsidRPr="00A275A4">
        <w:t xml:space="preserve">complete Project Drawdown integration documentation </w:t>
      </w:r>
      <w:r w:rsidR="00B6183A" w:rsidRPr="00A275A4">
        <w:t xml:space="preserve">with </w:t>
      </w:r>
      <w:r w:rsidR="008006D0" w:rsidRPr="00A275A4">
        <w:t>details on</w:t>
      </w:r>
      <w:r w:rsidRPr="00A275A4">
        <w:t xml:space="preserve"> how all solution models in each sector are integrated, and how sectors are integrated to form a complete system</w:t>
      </w:r>
      <w:r w:rsidR="008006D0" w:rsidRPr="00A275A4">
        <w:t xml:space="preserve"> will be available at </w:t>
      </w:r>
      <w:hyperlink r:id="rId20" w:history="1">
        <w:r w:rsidR="008006D0" w:rsidRPr="00A275A4">
          <w:rPr>
            <w:rStyle w:val="Hyperlink"/>
            <w:color w:val="auto"/>
          </w:rPr>
          <w:t>www.drawdown.org</w:t>
        </w:r>
      </w:hyperlink>
      <w:r w:rsidRPr="00A275A4">
        <w:t>.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6E8EB265" w14:textId="15BE491C" w:rsidR="002A4E84" w:rsidRPr="00A275A4" w:rsidRDefault="00F61DCA" w:rsidP="00EB247F">
      <w:r w:rsidRPr="00A275A4">
        <w:t>Therefore, t</w:t>
      </w:r>
      <w:r w:rsidR="002A4E84" w:rsidRPr="00A275A4">
        <w:t>he data derived from individual solutions models was then inputted into sector-level integration models to generate final results for all solutions within a global system. The links between this sector and all the others is important, but major interactions occur with energy demand-side sectors like Transport and Buildings and Cities.</w:t>
      </w:r>
    </w:p>
    <w:p w14:paraId="10D2FF27" w14:textId="6F45B562" w:rsidR="002A4E84" w:rsidRPr="00E069AC" w:rsidRDefault="009D118F" w:rsidP="00EB247F">
      <w:r w:rsidRPr="00E069AC">
        <w:t xml:space="preserve">Through the process of integrating </w:t>
      </w:r>
      <w:r w:rsidR="00497A4D">
        <w:t>nuclear energy</w:t>
      </w:r>
      <w:r w:rsidRPr="00E069AC">
        <w:t xml:space="preserve"> with other solutions, the total addressable market for electricity generation technologies was adjusted to account for reduced demand resulting from the growth of more energy-efficient technologies (for example: LED lighting and heat pumps) as well as increased electrification from other solutions like electric vehicles and high-speed rail. Grid emissions factors were calculated based on the annual mix of different electricity generating technologies over time. Emissions factors for each technology were determined through a meta-analysis of multiple sources, accounting for direct and indirect emissions.</w:t>
      </w:r>
    </w:p>
    <w:p w14:paraId="44AD7CDF" w14:textId="5249C308" w:rsidR="00F52595" w:rsidRPr="00E069AC" w:rsidRDefault="00F52595" w:rsidP="00D23A97">
      <w:pPr>
        <w:sectPr w:rsidR="00F52595" w:rsidRPr="00E069AC">
          <w:pgSz w:w="12240" w:h="15840"/>
          <w:pgMar w:top="1440" w:right="1440" w:bottom="1440" w:left="1440" w:header="720" w:footer="720" w:gutter="0"/>
          <w:cols w:space="720"/>
        </w:sectPr>
      </w:pPr>
    </w:p>
    <w:p w14:paraId="7CAFC693" w14:textId="4A2F7BD1" w:rsidR="007C645A" w:rsidRPr="00E069AC" w:rsidRDefault="551A77D0" w:rsidP="00912CC8">
      <w:pPr>
        <w:pStyle w:val="Heading1"/>
      </w:pPr>
      <w:bookmarkStart w:id="45" w:name="_Toc19323158"/>
      <w:r w:rsidRPr="00E069AC">
        <w:t>Results</w:t>
      </w:r>
      <w:bookmarkEnd w:id="45"/>
    </w:p>
    <w:p w14:paraId="13B4CEC0" w14:textId="4248BD47" w:rsidR="00F61DCA" w:rsidRPr="00E069AC" w:rsidRDefault="00B24F59" w:rsidP="005C77F5">
      <w:pPr>
        <w:autoSpaceDE w:val="0"/>
        <w:autoSpaceDN w:val="0"/>
        <w:adjustRightInd w:val="0"/>
        <w:spacing w:after="0"/>
      </w:pPr>
      <w:r w:rsidRPr="00E069AC">
        <w:t>In th</w:t>
      </w:r>
      <w:r w:rsidR="008006D0" w:rsidRPr="00E069AC">
        <w:t xml:space="preserve">e following </w:t>
      </w:r>
      <w:r w:rsidRPr="00E069AC">
        <w:t xml:space="preserve">section are </w:t>
      </w:r>
      <w:r w:rsidR="003A7929" w:rsidRPr="00E069AC">
        <w:t>depicted</w:t>
      </w:r>
      <w:r w:rsidRPr="00E069AC">
        <w:t xml:space="preserve"> selected</w:t>
      </w:r>
      <w:r w:rsidR="00F61DCA" w:rsidRPr="00E069AC">
        <w:t xml:space="preserve"> results derived from the </w:t>
      </w:r>
      <w:r w:rsidR="008006D0" w:rsidRPr="00E069AC">
        <w:t xml:space="preserve">RRS </w:t>
      </w:r>
      <w:r w:rsidR="00F61DCA" w:rsidRPr="00E069AC">
        <w:t>model</w:t>
      </w:r>
      <w:r w:rsidRPr="00E069AC">
        <w:t xml:space="preserve"> </w:t>
      </w:r>
      <w:r w:rsidR="008006D0" w:rsidRPr="00E069AC">
        <w:t xml:space="preserve">evaluating the impact of increased adoption of </w:t>
      </w:r>
      <w:r w:rsidR="00605504">
        <w:t>nuclear power</w:t>
      </w:r>
      <w:r w:rsidR="006330C6">
        <w:t xml:space="preserve"> </w:t>
      </w:r>
      <w:r w:rsidR="00D23A97">
        <w:t xml:space="preserve">systems </w:t>
      </w:r>
      <w:r w:rsidR="008006D0" w:rsidRPr="00E069AC">
        <w:t>for electricity generation when compared to conventional technologies</w:t>
      </w:r>
      <w:r w:rsidR="00D23A97">
        <w:t xml:space="preserve"> of electricity generation</w:t>
      </w:r>
      <w:r w:rsidR="008006D0" w:rsidRPr="00E069AC">
        <w:t>.</w:t>
      </w:r>
    </w:p>
    <w:p w14:paraId="7E39F2AB" w14:textId="2623AFC6" w:rsidR="00B261E0" w:rsidRPr="00E069AC" w:rsidRDefault="007C645A" w:rsidP="00E069AC">
      <w:pPr>
        <w:pStyle w:val="Heading2"/>
        <w:numPr>
          <w:ilvl w:val="1"/>
          <w:numId w:val="30"/>
        </w:numPr>
      </w:pPr>
      <w:bookmarkStart w:id="46" w:name="_Toc19323159"/>
      <w:r w:rsidRPr="00E069AC">
        <w:t>Adoption</w:t>
      </w:r>
      <w:bookmarkEnd w:id="46"/>
    </w:p>
    <w:p w14:paraId="1CA60A5B" w14:textId="590415ED" w:rsidR="006D6758" w:rsidRPr="00C70BE1" w:rsidRDefault="007C645A" w:rsidP="00C70BE1">
      <w:pPr>
        <w:spacing w:after="240"/>
      </w:pPr>
      <w:r w:rsidRPr="00C70BE1">
        <w:t xml:space="preserve">Comparing the results from the three modeled scenarios </w:t>
      </w:r>
      <w:r w:rsidR="008006D0" w:rsidRPr="00C70BE1">
        <w:t>to the Reference Scenario allow</w:t>
      </w:r>
      <w:r w:rsidRPr="00C70BE1">
        <w:t xml:space="preserve"> estimat</w:t>
      </w:r>
      <w:r w:rsidR="003D74CE" w:rsidRPr="00C70BE1">
        <w:t>ing</w:t>
      </w:r>
      <w:r w:rsidRPr="00C70BE1">
        <w:t xml:space="preserve"> the climate and financial impacts of increased adoption of </w:t>
      </w:r>
      <w:r w:rsidR="00605504" w:rsidRPr="00C70BE1">
        <w:t>nuclear</w:t>
      </w:r>
      <w:r w:rsidRPr="00C70BE1">
        <w:t xml:space="preserve"> systems. The </w:t>
      </w:r>
      <w:r w:rsidRPr="00C70BE1">
        <w:rPr>
          <w:i/>
        </w:rPr>
        <w:t>Plausible Scenario</w:t>
      </w:r>
      <w:r w:rsidR="005C77F5" w:rsidRPr="00C70BE1">
        <w:rPr>
          <w:i/>
        </w:rPr>
        <w:t xml:space="preserve"> (PDS1)</w:t>
      </w:r>
      <w:r w:rsidRPr="00C70BE1">
        <w:t xml:space="preserve"> projects </w:t>
      </w:r>
      <w:r w:rsidR="00605504" w:rsidRPr="00C70BE1">
        <w:t>1</w:t>
      </w:r>
      <w:r w:rsidR="00856BB5">
        <w:t>3</w:t>
      </w:r>
      <w:r w:rsidR="00605504" w:rsidRPr="00C70BE1">
        <w:t>.</w:t>
      </w:r>
      <w:r w:rsidR="00856BB5">
        <w:t>4</w:t>
      </w:r>
      <w:r w:rsidRPr="00C70BE1">
        <w:t xml:space="preserve"> percent</w:t>
      </w:r>
      <w:r w:rsidR="00D23A97" w:rsidRPr="00C70BE1">
        <w:t xml:space="preserve"> </w:t>
      </w:r>
      <w:r w:rsidRPr="00C70BE1">
        <w:t xml:space="preserve">of total electricity generation worldwide coming from </w:t>
      </w:r>
      <w:r w:rsidR="00605504" w:rsidRPr="00C70BE1">
        <w:t>nuclear power</w:t>
      </w:r>
      <w:r w:rsidR="00D23A97" w:rsidRPr="00C70BE1">
        <w:t xml:space="preserve"> technologies</w:t>
      </w:r>
      <w:r w:rsidRPr="00C70BE1">
        <w:t xml:space="preserve"> by 2050. </w:t>
      </w:r>
      <w:r w:rsidR="00C70BE1" w:rsidRPr="00C70BE1">
        <w:t>The vast majority of additional nuclear power over the next 30 years will take place in China.</w:t>
      </w:r>
      <w:r w:rsidR="00C70BE1">
        <w:t xml:space="preserve"> </w:t>
      </w:r>
      <w:r w:rsidRPr="00C70BE1">
        <w:rPr>
          <w:iCs/>
        </w:rPr>
        <w:t xml:space="preserve">In the </w:t>
      </w:r>
      <w:r w:rsidRPr="00C70BE1">
        <w:rPr>
          <w:i/>
          <w:iCs/>
        </w:rPr>
        <w:t xml:space="preserve">Drawdown </w:t>
      </w:r>
      <w:r w:rsidR="005C77F5" w:rsidRPr="00C70BE1">
        <w:rPr>
          <w:i/>
          <w:iCs/>
        </w:rPr>
        <w:t>(PDS2)</w:t>
      </w:r>
      <w:r w:rsidR="005C77F5" w:rsidRPr="00C70BE1">
        <w:rPr>
          <w:iCs/>
        </w:rPr>
        <w:t xml:space="preserve"> </w:t>
      </w:r>
      <w:r w:rsidRPr="00C70BE1">
        <w:rPr>
          <w:iCs/>
        </w:rPr>
        <w:t xml:space="preserve">and </w:t>
      </w:r>
      <w:r w:rsidRPr="00C70BE1">
        <w:rPr>
          <w:i/>
          <w:iCs/>
        </w:rPr>
        <w:t>Optimum Scenarios</w:t>
      </w:r>
      <w:r w:rsidR="005C77F5" w:rsidRPr="00C70BE1">
        <w:rPr>
          <w:i/>
          <w:iCs/>
        </w:rPr>
        <w:t xml:space="preserve"> (PDS3)</w:t>
      </w:r>
      <w:r w:rsidRPr="00C70BE1">
        <w:rPr>
          <w:i/>
          <w:iCs/>
        </w:rPr>
        <w:t>,</w:t>
      </w:r>
      <w:r w:rsidRPr="00C70BE1">
        <w:rPr>
          <w:iCs/>
        </w:rPr>
        <w:t xml:space="preserve"> the market sha</w:t>
      </w:r>
      <w:r w:rsidR="00D201BF" w:rsidRPr="00C70BE1">
        <w:rPr>
          <w:iCs/>
        </w:rPr>
        <w:t xml:space="preserve">re reaches </w:t>
      </w:r>
      <w:r w:rsidR="00605504" w:rsidRPr="00C70BE1">
        <w:rPr>
          <w:iCs/>
        </w:rPr>
        <w:t>8.6</w:t>
      </w:r>
      <w:r w:rsidR="00D201BF" w:rsidRPr="00C70BE1">
        <w:rPr>
          <w:iCs/>
        </w:rPr>
        <w:t xml:space="preserve"> percent </w:t>
      </w:r>
      <w:r w:rsidR="00605504" w:rsidRPr="00C70BE1">
        <w:rPr>
          <w:iCs/>
        </w:rPr>
        <w:t xml:space="preserve">despite having the same adoption </w:t>
      </w:r>
      <w:r w:rsidR="00856BB5">
        <w:rPr>
          <w:iCs/>
        </w:rPr>
        <w:t xml:space="preserve">(higher TAM) </w:t>
      </w:r>
      <w:r w:rsidR="00D201BF" w:rsidRPr="00C70BE1">
        <w:rPr>
          <w:iCs/>
        </w:rPr>
        <w:t xml:space="preserve">and </w:t>
      </w:r>
      <w:r w:rsidR="00605504" w:rsidRPr="00C70BE1">
        <w:rPr>
          <w:iCs/>
        </w:rPr>
        <w:t>0</w:t>
      </w:r>
      <w:r w:rsidRPr="00C70BE1">
        <w:rPr>
          <w:iCs/>
        </w:rPr>
        <w:t xml:space="preserve"> percent</w:t>
      </w:r>
      <w:r w:rsidR="00605504" w:rsidRPr="00C70BE1">
        <w:rPr>
          <w:iCs/>
        </w:rPr>
        <w:t xml:space="preserve"> due to the scenario key assumption of 100% RES by 2050</w:t>
      </w:r>
      <w:r w:rsidRPr="00C70BE1">
        <w:rPr>
          <w:iCs/>
        </w:rPr>
        <w:t>, respectively.</w:t>
      </w:r>
      <w:r w:rsidR="00B24F59" w:rsidRPr="00C70BE1">
        <w:rPr>
          <w:iCs/>
        </w:rPr>
        <w:t xml:space="preserve"> Below </w:t>
      </w:r>
      <w:r w:rsidR="00807D37" w:rsidRPr="00C70BE1">
        <w:rPr>
          <w:iCs/>
        </w:rPr>
        <w:t>in Table 3.</w:t>
      </w:r>
      <w:r w:rsidR="005C77F5" w:rsidRPr="00C70BE1">
        <w:rPr>
          <w:iCs/>
        </w:rPr>
        <w:t>1</w:t>
      </w:r>
      <w:r w:rsidR="00807D37" w:rsidRPr="00C70BE1">
        <w:rPr>
          <w:iCs/>
        </w:rPr>
        <w:t xml:space="preserve"> </w:t>
      </w:r>
      <w:r w:rsidR="00B24F59" w:rsidRPr="00C70BE1">
        <w:rPr>
          <w:iCs/>
        </w:rPr>
        <w:t xml:space="preserve">are shown the adoptions of the solution in </w:t>
      </w:r>
      <w:r w:rsidR="00807D37" w:rsidRPr="00C70BE1">
        <w:rPr>
          <w:iCs/>
        </w:rPr>
        <w:t>2050</w:t>
      </w:r>
      <w:r w:rsidR="00B24F59" w:rsidRPr="00C70BE1">
        <w:rPr>
          <w:iCs/>
        </w:rPr>
        <w:t xml:space="preserve"> in functional units and percent. </w:t>
      </w:r>
      <w:r w:rsidR="007C2326" w:rsidRPr="00C70BE1">
        <w:rPr>
          <w:iCs/>
        </w:rPr>
        <w:t>Figure 3.</w:t>
      </w:r>
      <w:r w:rsidR="00912CC8" w:rsidRPr="00C70BE1">
        <w:rPr>
          <w:iCs/>
        </w:rPr>
        <w:t>1 depicts the long</w:t>
      </w:r>
      <w:r w:rsidR="003D74CE" w:rsidRPr="00C70BE1">
        <w:rPr>
          <w:iCs/>
        </w:rPr>
        <w:t>-</w:t>
      </w:r>
      <w:r w:rsidR="00912CC8" w:rsidRPr="00C70BE1">
        <w:rPr>
          <w:iCs/>
        </w:rPr>
        <w:t xml:space="preserve">term pathway trajectories for the different scenarios of </w:t>
      </w:r>
      <w:r w:rsidR="00605504" w:rsidRPr="00C70BE1">
        <w:rPr>
          <w:iCs/>
        </w:rPr>
        <w:t>nuclear energy</w:t>
      </w:r>
      <w:r w:rsidR="00D23A97" w:rsidRPr="00C70BE1">
        <w:rPr>
          <w:iCs/>
        </w:rPr>
        <w:t>.</w:t>
      </w:r>
    </w:p>
    <w:p w14:paraId="21183A78" w14:textId="3DE82561" w:rsidR="008D1491" w:rsidRPr="00E069AC" w:rsidRDefault="008D1491" w:rsidP="00EB247F">
      <w:pPr>
        <w:pStyle w:val="Caption"/>
        <w:jc w:val="center"/>
      </w:pPr>
      <w:bookmarkStart w:id="47" w:name="_Toc19323124"/>
      <w:r w:rsidRPr="00E069AC">
        <w:t xml:space="preserve">Table </w:t>
      </w:r>
      <w:r w:rsidR="0060195D">
        <w:fldChar w:fldCharType="begin"/>
      </w:r>
      <w:r w:rsidR="0060195D">
        <w:instrText xml:space="preserve"> STYLEREF 1 \s </w:instrText>
      </w:r>
      <w:r w:rsidR="0060195D">
        <w:fldChar w:fldCharType="separate"/>
      </w:r>
      <w:r w:rsidR="00492F5E" w:rsidRPr="00E069AC">
        <w:t>3</w:t>
      </w:r>
      <w:r w:rsidR="0060195D">
        <w:fldChar w:fldCharType="end"/>
      </w:r>
      <w:r w:rsidR="00492F5E" w:rsidRPr="00E069AC">
        <w:t>.</w:t>
      </w:r>
      <w:r w:rsidR="0060195D">
        <w:fldChar w:fldCharType="begin"/>
      </w:r>
      <w:r w:rsidR="0060195D">
        <w:instrText xml:space="preserve"> SEQ Table \* ARABIC \s 1 </w:instrText>
      </w:r>
      <w:r w:rsidR="0060195D">
        <w:fldChar w:fldCharType="separate"/>
      </w:r>
      <w:r w:rsidR="00492F5E" w:rsidRPr="00E069AC">
        <w:t>1</w:t>
      </w:r>
      <w:r w:rsidR="0060195D">
        <w:fldChar w:fldCharType="end"/>
      </w:r>
      <w:r w:rsidRPr="00E069AC">
        <w:t xml:space="preserve"> </w:t>
      </w:r>
      <w:r w:rsidR="005C77F5" w:rsidRPr="00E069AC">
        <w:t xml:space="preserve">World </w:t>
      </w:r>
      <w:r w:rsidRPr="00E069AC">
        <w:t>Adoption</w:t>
      </w:r>
      <w:r w:rsidR="005C77F5" w:rsidRPr="00E069AC">
        <w:t xml:space="preserve"> of the Solution</w:t>
      </w:r>
      <w:bookmarkEnd w:id="47"/>
    </w:p>
    <w:tbl>
      <w:tblPr>
        <w:tblStyle w:val="TableGrid"/>
        <w:tblW w:w="9217" w:type="dxa"/>
        <w:tblLook w:val="04A0" w:firstRow="1" w:lastRow="0" w:firstColumn="1" w:lastColumn="0" w:noHBand="0" w:noVBand="1"/>
      </w:tblPr>
      <w:tblGrid>
        <w:gridCol w:w="1951"/>
        <w:gridCol w:w="1163"/>
        <w:gridCol w:w="1417"/>
        <w:gridCol w:w="1385"/>
        <w:gridCol w:w="1652"/>
        <w:gridCol w:w="1649"/>
      </w:tblGrid>
      <w:tr w:rsidR="00971BA5" w:rsidRPr="00E069AC" w14:paraId="3FFD2090" w14:textId="77777777" w:rsidTr="005C77F5">
        <w:trPr>
          <w:trHeight w:val="48"/>
        </w:trPr>
        <w:tc>
          <w:tcPr>
            <w:tcW w:w="1951" w:type="dxa"/>
            <w:vMerge w:val="restart"/>
            <w:shd w:val="clear" w:color="auto" w:fill="4F81BD" w:themeFill="accent1"/>
            <w:vAlign w:val="center"/>
          </w:tcPr>
          <w:p w14:paraId="71879AD5" w14:textId="3CA30AF5" w:rsidR="00971BA5" w:rsidRPr="00E069AC" w:rsidRDefault="00971BA5" w:rsidP="001534F5">
            <w:pPr>
              <w:spacing w:line="240" w:lineRule="auto"/>
              <w:jc w:val="center"/>
              <w:rPr>
                <w:rFonts w:cstheme="minorHAnsi"/>
                <w:b/>
                <w:bCs/>
                <w:color w:val="FFFFFF" w:themeColor="background1"/>
                <w:sz w:val="20"/>
                <w:szCs w:val="20"/>
              </w:rPr>
            </w:pPr>
            <w:r w:rsidRPr="00E069AC">
              <w:rPr>
                <w:rFonts w:cstheme="minorHAnsi"/>
                <w:b/>
                <w:bCs/>
                <w:color w:val="FFFFFF" w:themeColor="background1"/>
                <w:sz w:val="20"/>
                <w:szCs w:val="20"/>
              </w:rPr>
              <w:t>Solution</w:t>
            </w:r>
          </w:p>
        </w:tc>
        <w:tc>
          <w:tcPr>
            <w:tcW w:w="1163" w:type="dxa"/>
            <w:vMerge w:val="restart"/>
            <w:shd w:val="clear" w:color="auto" w:fill="4F81BD" w:themeFill="accent1"/>
            <w:vAlign w:val="center"/>
          </w:tcPr>
          <w:p w14:paraId="736EA4CB" w14:textId="55E81B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Units</w:t>
            </w:r>
          </w:p>
        </w:tc>
        <w:tc>
          <w:tcPr>
            <w:tcW w:w="1417" w:type="dxa"/>
            <w:vMerge w:val="restart"/>
            <w:shd w:val="clear" w:color="auto" w:fill="4F81BD" w:themeFill="accent1"/>
            <w:vAlign w:val="center"/>
          </w:tcPr>
          <w:p w14:paraId="7A4BC7EC" w14:textId="56617266" w:rsidR="00971BA5" w:rsidRPr="00E069AC" w:rsidRDefault="00971BA5" w:rsidP="001534F5">
            <w:pPr>
              <w:spacing w:line="240" w:lineRule="auto"/>
              <w:jc w:val="center"/>
              <w:rPr>
                <w:b/>
                <w:bCs/>
                <w:color w:val="FFFFFF" w:themeColor="background1"/>
                <w:sz w:val="20"/>
                <w:szCs w:val="20"/>
              </w:rPr>
            </w:pPr>
            <w:r w:rsidRPr="00E069AC">
              <w:rPr>
                <w:b/>
                <w:bCs/>
                <w:iCs/>
                <w:color w:val="FFFFFF" w:themeColor="background1"/>
                <w:sz w:val="20"/>
                <w:szCs w:val="20"/>
              </w:rPr>
              <w:t xml:space="preserve">Base Year </w:t>
            </w:r>
            <w:r w:rsidRPr="00E069AC">
              <w:rPr>
                <w:b/>
                <w:bCs/>
                <w:color w:val="FFFFFF" w:themeColor="background1"/>
                <w:sz w:val="20"/>
                <w:szCs w:val="20"/>
              </w:rPr>
              <w:t xml:space="preserve"> (2014)</w:t>
            </w:r>
          </w:p>
        </w:tc>
        <w:tc>
          <w:tcPr>
            <w:tcW w:w="4686" w:type="dxa"/>
            <w:gridSpan w:val="3"/>
            <w:shd w:val="clear" w:color="auto" w:fill="4F81BD" w:themeFill="accent1"/>
            <w:vAlign w:val="center"/>
          </w:tcPr>
          <w:p w14:paraId="1BAFBD47" w14:textId="1AD40332"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World Adoption by 2050</w:t>
            </w:r>
          </w:p>
        </w:tc>
      </w:tr>
      <w:tr w:rsidR="00971BA5" w:rsidRPr="00E069AC" w14:paraId="4801E75B" w14:textId="77777777" w:rsidTr="005C77F5">
        <w:trPr>
          <w:trHeight w:val="184"/>
        </w:trPr>
        <w:tc>
          <w:tcPr>
            <w:tcW w:w="1951" w:type="dxa"/>
            <w:vMerge/>
            <w:shd w:val="clear" w:color="auto" w:fill="4F81BD" w:themeFill="accent1"/>
            <w:vAlign w:val="center"/>
          </w:tcPr>
          <w:p w14:paraId="6CD710FF" w14:textId="77777777" w:rsidR="00971BA5" w:rsidRPr="00E069AC" w:rsidRDefault="00971BA5" w:rsidP="001534F5">
            <w:pPr>
              <w:spacing w:line="240" w:lineRule="auto"/>
              <w:jc w:val="center"/>
              <w:rPr>
                <w:rFonts w:cstheme="minorHAnsi"/>
                <w:b/>
                <w:bCs/>
                <w:i/>
                <w:color w:val="FFFFFF" w:themeColor="background1"/>
                <w:sz w:val="20"/>
                <w:szCs w:val="20"/>
              </w:rPr>
            </w:pPr>
          </w:p>
        </w:tc>
        <w:tc>
          <w:tcPr>
            <w:tcW w:w="1163" w:type="dxa"/>
            <w:vMerge/>
            <w:shd w:val="clear" w:color="auto" w:fill="4F81BD" w:themeFill="accent1"/>
            <w:vAlign w:val="center"/>
          </w:tcPr>
          <w:p w14:paraId="173F30E0" w14:textId="77777777" w:rsidR="00971BA5" w:rsidRPr="00E069AC" w:rsidRDefault="00971BA5" w:rsidP="001534F5">
            <w:pPr>
              <w:spacing w:line="240" w:lineRule="auto"/>
              <w:jc w:val="center"/>
              <w:rPr>
                <w:bCs/>
                <w:i/>
                <w:color w:val="FFFFFF" w:themeColor="background1"/>
                <w:sz w:val="20"/>
                <w:szCs w:val="20"/>
              </w:rPr>
            </w:pPr>
          </w:p>
        </w:tc>
        <w:tc>
          <w:tcPr>
            <w:tcW w:w="1417" w:type="dxa"/>
            <w:vMerge/>
            <w:shd w:val="clear" w:color="auto" w:fill="4F81BD" w:themeFill="accent1"/>
            <w:vAlign w:val="center"/>
          </w:tcPr>
          <w:p w14:paraId="74E7E210" w14:textId="29C848AE" w:rsidR="00971BA5" w:rsidRPr="00E069AC" w:rsidRDefault="00971BA5" w:rsidP="001534F5">
            <w:pPr>
              <w:spacing w:line="240" w:lineRule="auto"/>
              <w:jc w:val="center"/>
              <w:rPr>
                <w:bCs/>
                <w:i/>
                <w:color w:val="FFFFFF" w:themeColor="background1"/>
                <w:sz w:val="20"/>
                <w:szCs w:val="20"/>
              </w:rPr>
            </w:pPr>
          </w:p>
        </w:tc>
        <w:tc>
          <w:tcPr>
            <w:tcW w:w="1385" w:type="dxa"/>
            <w:shd w:val="clear" w:color="auto" w:fill="4F81BD" w:themeFill="accent1"/>
            <w:vAlign w:val="center"/>
          </w:tcPr>
          <w:p w14:paraId="3BAD7FDF"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Plausible</w:t>
            </w:r>
          </w:p>
        </w:tc>
        <w:tc>
          <w:tcPr>
            <w:tcW w:w="1652" w:type="dxa"/>
            <w:shd w:val="clear" w:color="auto" w:fill="4F81BD" w:themeFill="accent1"/>
            <w:vAlign w:val="center"/>
          </w:tcPr>
          <w:p w14:paraId="0A0F5473"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Drawdown</w:t>
            </w:r>
          </w:p>
        </w:tc>
        <w:tc>
          <w:tcPr>
            <w:tcW w:w="1649" w:type="dxa"/>
            <w:shd w:val="clear" w:color="auto" w:fill="4F81BD" w:themeFill="accent1"/>
            <w:vAlign w:val="center"/>
          </w:tcPr>
          <w:p w14:paraId="0927695E"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Optimum</w:t>
            </w:r>
          </w:p>
        </w:tc>
      </w:tr>
      <w:tr w:rsidR="005C77F5" w:rsidRPr="00E069AC" w14:paraId="305C72A7" w14:textId="77777777" w:rsidTr="00396031">
        <w:trPr>
          <w:trHeight w:val="619"/>
        </w:trPr>
        <w:tc>
          <w:tcPr>
            <w:tcW w:w="1951" w:type="dxa"/>
            <w:vMerge w:val="restart"/>
            <w:vAlign w:val="center"/>
          </w:tcPr>
          <w:p w14:paraId="2B8FFE1B" w14:textId="4D83276D" w:rsidR="005C77F5" w:rsidRPr="009B7C08" w:rsidRDefault="00605504" w:rsidP="001534F5">
            <w:pPr>
              <w:spacing w:line="240" w:lineRule="auto"/>
              <w:jc w:val="center"/>
              <w:rPr>
                <w:sz w:val="20"/>
                <w:szCs w:val="20"/>
              </w:rPr>
            </w:pPr>
            <w:r>
              <w:rPr>
                <w:sz w:val="20"/>
                <w:szCs w:val="20"/>
              </w:rPr>
              <w:t>Nuclear Power</w:t>
            </w:r>
            <w:r w:rsidR="00D23A97" w:rsidRPr="009B7C08">
              <w:rPr>
                <w:sz w:val="20"/>
                <w:szCs w:val="20"/>
              </w:rPr>
              <w:t xml:space="preserve"> </w:t>
            </w:r>
          </w:p>
        </w:tc>
        <w:tc>
          <w:tcPr>
            <w:tcW w:w="1163" w:type="dxa"/>
            <w:vAlign w:val="center"/>
          </w:tcPr>
          <w:p w14:paraId="5BDA7373" w14:textId="4437EFB5" w:rsidR="005C77F5" w:rsidRPr="009B7C08" w:rsidRDefault="005C77F5" w:rsidP="001534F5">
            <w:pPr>
              <w:spacing w:line="240" w:lineRule="auto"/>
              <w:jc w:val="center"/>
              <w:rPr>
                <w:rFonts w:cstheme="minorHAnsi"/>
                <w:bCs/>
                <w:color w:val="000000" w:themeColor="text1"/>
                <w:sz w:val="20"/>
                <w:szCs w:val="20"/>
              </w:rPr>
            </w:pPr>
            <w:r w:rsidRPr="009B7C08">
              <w:rPr>
                <w:bCs/>
                <w:i/>
                <w:color w:val="000000" w:themeColor="text1"/>
                <w:sz w:val="20"/>
                <w:szCs w:val="20"/>
              </w:rPr>
              <w:t>Electricity Generation (TWh)</w:t>
            </w:r>
          </w:p>
        </w:tc>
        <w:tc>
          <w:tcPr>
            <w:tcW w:w="1417" w:type="dxa"/>
            <w:vAlign w:val="center"/>
          </w:tcPr>
          <w:p w14:paraId="72C0B03E" w14:textId="76A33CDF" w:rsidR="005C77F5" w:rsidRPr="009B7C08" w:rsidRDefault="009B7C08" w:rsidP="001534F5">
            <w:pPr>
              <w:spacing w:line="240" w:lineRule="auto"/>
              <w:jc w:val="center"/>
              <w:rPr>
                <w:rFonts w:cstheme="minorHAnsi"/>
                <w:bCs/>
                <w:sz w:val="20"/>
                <w:szCs w:val="20"/>
              </w:rPr>
            </w:pPr>
            <w:r w:rsidRPr="009B7C08">
              <w:rPr>
                <w:rFonts w:cstheme="minorHAnsi"/>
                <w:bCs/>
                <w:sz w:val="20"/>
                <w:szCs w:val="20"/>
              </w:rPr>
              <w:t>689</w:t>
            </w:r>
          </w:p>
        </w:tc>
        <w:tc>
          <w:tcPr>
            <w:tcW w:w="1385" w:type="dxa"/>
            <w:vAlign w:val="center"/>
          </w:tcPr>
          <w:p w14:paraId="2A8FE7A2" w14:textId="78BB2ADE" w:rsidR="005C77F5" w:rsidRPr="00605504" w:rsidRDefault="00605504" w:rsidP="001534F5">
            <w:pPr>
              <w:spacing w:line="240" w:lineRule="auto"/>
              <w:jc w:val="center"/>
              <w:rPr>
                <w:rFonts w:cstheme="minorHAnsi"/>
                <w:bCs/>
                <w:sz w:val="20"/>
                <w:szCs w:val="20"/>
              </w:rPr>
            </w:pPr>
            <w:r w:rsidRPr="00605504">
              <w:rPr>
                <w:rFonts w:cstheme="minorHAnsi"/>
                <w:bCs/>
                <w:sz w:val="20"/>
                <w:szCs w:val="20"/>
              </w:rPr>
              <w:t>6,093</w:t>
            </w:r>
          </w:p>
        </w:tc>
        <w:tc>
          <w:tcPr>
            <w:tcW w:w="1652" w:type="dxa"/>
            <w:vAlign w:val="center"/>
          </w:tcPr>
          <w:p w14:paraId="79EE8DDC" w14:textId="273CCFA8" w:rsidR="005C77F5" w:rsidRPr="00605504" w:rsidRDefault="00605504" w:rsidP="001534F5">
            <w:pPr>
              <w:spacing w:line="240" w:lineRule="auto"/>
              <w:jc w:val="center"/>
              <w:rPr>
                <w:rFonts w:cstheme="minorHAnsi"/>
                <w:bCs/>
                <w:sz w:val="20"/>
                <w:szCs w:val="20"/>
              </w:rPr>
            </w:pPr>
            <w:r w:rsidRPr="00605504">
              <w:rPr>
                <w:rFonts w:cstheme="minorHAnsi"/>
                <w:bCs/>
                <w:sz w:val="20"/>
                <w:szCs w:val="20"/>
              </w:rPr>
              <w:t>6,093</w:t>
            </w:r>
          </w:p>
        </w:tc>
        <w:tc>
          <w:tcPr>
            <w:tcW w:w="1649" w:type="dxa"/>
            <w:vAlign w:val="center"/>
          </w:tcPr>
          <w:p w14:paraId="5B002A1D" w14:textId="2A090A64" w:rsidR="005C77F5" w:rsidRPr="00605504" w:rsidRDefault="00605504" w:rsidP="001534F5">
            <w:pPr>
              <w:spacing w:line="240" w:lineRule="auto"/>
              <w:jc w:val="center"/>
              <w:rPr>
                <w:rFonts w:cstheme="minorHAnsi"/>
                <w:bCs/>
                <w:sz w:val="20"/>
                <w:szCs w:val="20"/>
              </w:rPr>
            </w:pPr>
            <w:r w:rsidRPr="00605504">
              <w:rPr>
                <w:rFonts w:cstheme="minorHAnsi"/>
                <w:bCs/>
                <w:sz w:val="20"/>
                <w:szCs w:val="20"/>
              </w:rPr>
              <w:t>0</w:t>
            </w:r>
          </w:p>
        </w:tc>
      </w:tr>
      <w:tr w:rsidR="005C77F5" w:rsidRPr="00E069AC" w14:paraId="59E1863D" w14:textId="77777777" w:rsidTr="005C77F5">
        <w:trPr>
          <w:trHeight w:val="32"/>
        </w:trPr>
        <w:tc>
          <w:tcPr>
            <w:tcW w:w="1951" w:type="dxa"/>
            <w:vMerge/>
            <w:vAlign w:val="center"/>
          </w:tcPr>
          <w:p w14:paraId="518ED63B" w14:textId="77777777" w:rsidR="005C77F5" w:rsidRPr="009B7C08" w:rsidRDefault="005C77F5" w:rsidP="001534F5">
            <w:pPr>
              <w:spacing w:line="240" w:lineRule="auto"/>
              <w:jc w:val="center"/>
              <w:rPr>
                <w:sz w:val="20"/>
                <w:szCs w:val="20"/>
              </w:rPr>
            </w:pPr>
          </w:p>
        </w:tc>
        <w:tc>
          <w:tcPr>
            <w:tcW w:w="1163" w:type="dxa"/>
            <w:vAlign w:val="center"/>
          </w:tcPr>
          <w:p w14:paraId="2352B4C1" w14:textId="0398F6A2" w:rsidR="005C77F5" w:rsidRPr="009B7C08" w:rsidRDefault="005C77F5" w:rsidP="001534F5">
            <w:pPr>
              <w:spacing w:line="240" w:lineRule="auto"/>
              <w:jc w:val="center"/>
              <w:rPr>
                <w:rFonts w:cstheme="minorHAnsi"/>
                <w:bCs/>
                <w:color w:val="000000" w:themeColor="text1"/>
                <w:sz w:val="20"/>
                <w:szCs w:val="20"/>
              </w:rPr>
            </w:pPr>
            <w:r w:rsidRPr="009B7C08">
              <w:rPr>
                <w:bCs/>
                <w:i/>
                <w:iCs/>
                <w:color w:val="000000" w:themeColor="text1"/>
                <w:sz w:val="20"/>
                <w:szCs w:val="20"/>
              </w:rPr>
              <w:t>(% market)</w:t>
            </w:r>
          </w:p>
        </w:tc>
        <w:tc>
          <w:tcPr>
            <w:tcW w:w="1417" w:type="dxa"/>
            <w:vAlign w:val="center"/>
          </w:tcPr>
          <w:p w14:paraId="4FD03435" w14:textId="3CC63FF1" w:rsidR="005C77F5" w:rsidRPr="009B7C08" w:rsidRDefault="009B7C08" w:rsidP="001534F5">
            <w:pPr>
              <w:spacing w:line="240" w:lineRule="auto"/>
              <w:jc w:val="center"/>
              <w:rPr>
                <w:rFonts w:cstheme="minorHAnsi"/>
                <w:bCs/>
                <w:sz w:val="20"/>
                <w:szCs w:val="20"/>
              </w:rPr>
            </w:pPr>
            <w:r w:rsidRPr="009B7C08">
              <w:rPr>
                <w:rFonts w:cstheme="minorHAnsi"/>
                <w:bCs/>
                <w:sz w:val="20"/>
                <w:szCs w:val="20"/>
              </w:rPr>
              <w:t>3</w:t>
            </w:r>
            <w:r w:rsidR="005C77F5" w:rsidRPr="009B7C08">
              <w:rPr>
                <w:rFonts w:cstheme="minorHAnsi"/>
                <w:bCs/>
                <w:sz w:val="20"/>
                <w:szCs w:val="20"/>
              </w:rPr>
              <w:t>.</w:t>
            </w:r>
            <w:r w:rsidRPr="009B7C08">
              <w:rPr>
                <w:rFonts w:cstheme="minorHAnsi"/>
                <w:bCs/>
                <w:sz w:val="20"/>
                <w:szCs w:val="20"/>
              </w:rPr>
              <w:t>06</w:t>
            </w:r>
            <w:r w:rsidR="005C77F5" w:rsidRPr="009B7C08">
              <w:rPr>
                <w:rFonts w:cstheme="minorHAnsi"/>
                <w:bCs/>
                <w:sz w:val="20"/>
                <w:szCs w:val="20"/>
              </w:rPr>
              <w:t>%</w:t>
            </w:r>
          </w:p>
        </w:tc>
        <w:tc>
          <w:tcPr>
            <w:tcW w:w="1385" w:type="dxa"/>
            <w:vAlign w:val="center"/>
          </w:tcPr>
          <w:p w14:paraId="34CAFB53" w14:textId="7FA6474E" w:rsidR="005C77F5" w:rsidRPr="00605504" w:rsidRDefault="00856BB5" w:rsidP="001534F5">
            <w:pPr>
              <w:spacing w:line="240" w:lineRule="auto"/>
              <w:jc w:val="center"/>
              <w:rPr>
                <w:rFonts w:cstheme="minorHAnsi"/>
                <w:bCs/>
                <w:sz w:val="20"/>
                <w:szCs w:val="20"/>
              </w:rPr>
            </w:pPr>
            <w:r>
              <w:rPr>
                <w:rFonts w:cstheme="minorHAnsi"/>
                <w:bCs/>
                <w:sz w:val="20"/>
                <w:szCs w:val="20"/>
              </w:rPr>
              <w:t>13.4</w:t>
            </w:r>
            <w:r w:rsidR="005C77F5" w:rsidRPr="00605504">
              <w:rPr>
                <w:rFonts w:cstheme="minorHAnsi"/>
                <w:bCs/>
                <w:sz w:val="20"/>
                <w:szCs w:val="20"/>
              </w:rPr>
              <w:t>%</w:t>
            </w:r>
          </w:p>
        </w:tc>
        <w:tc>
          <w:tcPr>
            <w:tcW w:w="1652" w:type="dxa"/>
            <w:vAlign w:val="center"/>
          </w:tcPr>
          <w:p w14:paraId="43B375D1" w14:textId="2CA0A697" w:rsidR="005C77F5" w:rsidRPr="00605504" w:rsidRDefault="00605504" w:rsidP="001534F5">
            <w:pPr>
              <w:spacing w:line="240" w:lineRule="auto"/>
              <w:jc w:val="center"/>
              <w:rPr>
                <w:rFonts w:cstheme="minorHAnsi"/>
                <w:bCs/>
                <w:sz w:val="20"/>
                <w:szCs w:val="20"/>
              </w:rPr>
            </w:pPr>
            <w:r w:rsidRPr="00605504">
              <w:rPr>
                <w:rFonts w:cstheme="minorHAnsi"/>
                <w:bCs/>
                <w:sz w:val="20"/>
                <w:szCs w:val="20"/>
              </w:rPr>
              <w:t>8.</w:t>
            </w:r>
            <w:r w:rsidR="00856BB5">
              <w:rPr>
                <w:rFonts w:cstheme="minorHAnsi"/>
                <w:bCs/>
                <w:sz w:val="20"/>
                <w:szCs w:val="20"/>
              </w:rPr>
              <w:t>6</w:t>
            </w:r>
            <w:r w:rsidR="005C77F5" w:rsidRPr="00605504">
              <w:rPr>
                <w:rFonts w:cstheme="minorHAnsi"/>
                <w:bCs/>
                <w:sz w:val="20"/>
                <w:szCs w:val="20"/>
              </w:rPr>
              <w:t>%</w:t>
            </w:r>
          </w:p>
        </w:tc>
        <w:tc>
          <w:tcPr>
            <w:tcW w:w="1649" w:type="dxa"/>
            <w:vAlign w:val="center"/>
          </w:tcPr>
          <w:p w14:paraId="7641EB01" w14:textId="15B506FD" w:rsidR="005C77F5" w:rsidRPr="00605504" w:rsidRDefault="00605504" w:rsidP="001534F5">
            <w:pPr>
              <w:spacing w:line="240" w:lineRule="auto"/>
              <w:jc w:val="center"/>
              <w:rPr>
                <w:rFonts w:cstheme="minorHAnsi"/>
                <w:bCs/>
                <w:sz w:val="20"/>
                <w:szCs w:val="20"/>
              </w:rPr>
            </w:pPr>
            <w:r w:rsidRPr="00605504">
              <w:rPr>
                <w:rFonts w:cstheme="minorHAnsi"/>
                <w:bCs/>
                <w:sz w:val="20"/>
                <w:szCs w:val="20"/>
              </w:rPr>
              <w:t>0</w:t>
            </w:r>
            <w:r w:rsidR="005C77F5" w:rsidRPr="00605504">
              <w:rPr>
                <w:rFonts w:cstheme="minorHAnsi"/>
                <w:bCs/>
                <w:sz w:val="20"/>
                <w:szCs w:val="20"/>
              </w:rPr>
              <w:t>%</w:t>
            </w:r>
          </w:p>
        </w:tc>
      </w:tr>
    </w:tbl>
    <w:p w14:paraId="2AB38D2C" w14:textId="77777777" w:rsidR="00762877" w:rsidRPr="00E069AC" w:rsidRDefault="00762877" w:rsidP="00EB247F">
      <w:pPr>
        <w:spacing w:after="0"/>
        <w:jc w:val="center"/>
        <w:rPr>
          <w:rFonts w:cstheme="minorHAnsi"/>
          <w:b/>
          <w:bCs/>
          <w:i/>
        </w:rPr>
      </w:pPr>
    </w:p>
    <w:p w14:paraId="49A61C9E" w14:textId="77777777" w:rsidR="001534F5" w:rsidRPr="00E069AC" w:rsidRDefault="001534F5" w:rsidP="00EB247F">
      <w:pPr>
        <w:pStyle w:val="Caption"/>
        <w:jc w:val="center"/>
      </w:pPr>
    </w:p>
    <w:p w14:paraId="7A2926D4" w14:textId="79BAD510" w:rsidR="003A7929" w:rsidRPr="00605504" w:rsidRDefault="00605504" w:rsidP="00EB247F">
      <w:pPr>
        <w:pStyle w:val="Caption"/>
        <w:jc w:val="center"/>
      </w:pPr>
      <w:r w:rsidRPr="00605504">
        <w:rPr>
          <w:noProof/>
        </w:rPr>
        <w:drawing>
          <wp:inline distT="0" distB="0" distL="0" distR="0" wp14:anchorId="0F8CC0A6" wp14:editId="303665ED">
            <wp:extent cx="5679831" cy="2936631"/>
            <wp:effectExtent l="0" t="0" r="10160" b="10160"/>
            <wp:docPr id="3" name="Chart 3">
              <a:extLst xmlns:a="http://schemas.openxmlformats.org/drawingml/2006/main">
                <a:ext uri="{FF2B5EF4-FFF2-40B4-BE49-F238E27FC236}">
                  <a16:creationId xmlns:a16="http://schemas.microsoft.com/office/drawing/2014/main" id="{FF90EB87-C6E7-48A9-81B8-448E3116FE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7E303A" w14:textId="207A0988" w:rsidR="00762877" w:rsidRDefault="00977F6D" w:rsidP="00912CC8">
      <w:pPr>
        <w:pStyle w:val="Caption"/>
        <w:jc w:val="center"/>
      </w:pPr>
      <w:bookmarkStart w:id="48" w:name="_Toc44543350"/>
      <w:r w:rsidRPr="00605504">
        <w:t xml:space="preserve">Figure </w:t>
      </w:r>
      <w:r w:rsidR="00D158BC" w:rsidRPr="00605504">
        <w:rPr>
          <w:noProof/>
        </w:rPr>
        <w:fldChar w:fldCharType="begin"/>
      </w:r>
      <w:r w:rsidR="00D158BC" w:rsidRPr="00605504">
        <w:rPr>
          <w:noProof/>
        </w:rPr>
        <w:instrText xml:space="preserve"> STYLEREF 1 \s </w:instrText>
      </w:r>
      <w:r w:rsidR="00D158BC" w:rsidRPr="00605504">
        <w:rPr>
          <w:noProof/>
        </w:rPr>
        <w:fldChar w:fldCharType="separate"/>
      </w:r>
      <w:r w:rsidR="00856BB5">
        <w:rPr>
          <w:noProof/>
        </w:rPr>
        <w:t>3</w:t>
      </w:r>
      <w:r w:rsidR="00D158BC" w:rsidRPr="00605504">
        <w:rPr>
          <w:noProof/>
        </w:rPr>
        <w:fldChar w:fldCharType="end"/>
      </w:r>
      <w:r w:rsidR="00912CC8" w:rsidRPr="00605504">
        <w:t>.</w:t>
      </w:r>
      <w:r w:rsidR="00D158BC" w:rsidRPr="00605504">
        <w:rPr>
          <w:noProof/>
        </w:rPr>
        <w:fldChar w:fldCharType="begin"/>
      </w:r>
      <w:r w:rsidR="00D158BC" w:rsidRPr="00605504">
        <w:rPr>
          <w:noProof/>
        </w:rPr>
        <w:instrText xml:space="preserve"> SEQ Figure \* ARABIC \s 1 </w:instrText>
      </w:r>
      <w:r w:rsidR="00D158BC" w:rsidRPr="00605504">
        <w:rPr>
          <w:noProof/>
        </w:rPr>
        <w:fldChar w:fldCharType="separate"/>
      </w:r>
      <w:r w:rsidR="00856BB5">
        <w:rPr>
          <w:noProof/>
        </w:rPr>
        <w:t>1</w:t>
      </w:r>
      <w:r w:rsidR="00D158BC" w:rsidRPr="00605504">
        <w:rPr>
          <w:noProof/>
        </w:rPr>
        <w:fldChar w:fldCharType="end"/>
      </w:r>
      <w:r w:rsidRPr="00605504">
        <w:t xml:space="preserve"> </w:t>
      </w:r>
      <w:r w:rsidR="00807D37" w:rsidRPr="00605504">
        <w:t xml:space="preserve">World Annual </w:t>
      </w:r>
      <w:r w:rsidRPr="00605504">
        <w:t>Adoption 20</w:t>
      </w:r>
      <w:r w:rsidR="00971BA5" w:rsidRPr="00605504">
        <w:t>15-206</w:t>
      </w:r>
      <w:r w:rsidRPr="00605504">
        <w:t>0</w:t>
      </w:r>
      <w:bookmarkEnd w:id="48"/>
    </w:p>
    <w:p w14:paraId="6B6F22E7" w14:textId="19002B27" w:rsidR="003A7929" w:rsidRPr="00E069AC" w:rsidRDefault="551A77D0" w:rsidP="00483FFA">
      <w:pPr>
        <w:pStyle w:val="Heading2"/>
        <w:numPr>
          <w:ilvl w:val="1"/>
          <w:numId w:val="26"/>
        </w:numPr>
      </w:pPr>
      <w:bookmarkStart w:id="49" w:name="_Toc19323160"/>
      <w:r w:rsidRPr="00E069AC">
        <w:t>Climate Impacts</w:t>
      </w:r>
      <w:bookmarkEnd w:id="49"/>
    </w:p>
    <w:p w14:paraId="36842FAA" w14:textId="438854F9" w:rsidR="003A7929" w:rsidRPr="00CF5C5E" w:rsidRDefault="003A7929" w:rsidP="00EB247F">
      <w:pPr>
        <w:pStyle w:val="Caption"/>
        <w:rPr>
          <w:i w:val="0"/>
          <w:iCs w:val="0"/>
          <w:color w:val="auto"/>
          <w:sz w:val="22"/>
          <w:szCs w:val="22"/>
        </w:rPr>
      </w:pPr>
      <w:r w:rsidRPr="00E069AC">
        <w:rPr>
          <w:i w:val="0"/>
          <w:iCs w:val="0"/>
          <w:color w:val="auto"/>
          <w:sz w:val="22"/>
          <w:szCs w:val="22"/>
        </w:rPr>
        <w:t xml:space="preserve">Below are the emissions results of the analysis for each scenario which include total emissions reduction and </w:t>
      </w:r>
      <w:r w:rsidRPr="00CF5C5E">
        <w:rPr>
          <w:i w:val="0"/>
          <w:iCs w:val="0"/>
          <w:color w:val="auto"/>
          <w:sz w:val="22"/>
          <w:szCs w:val="22"/>
        </w:rPr>
        <w:t>atmospheric concentration changes. For a detailed explanation of each result, please see the glossary (Section 6).</w:t>
      </w:r>
    </w:p>
    <w:p w14:paraId="3132CA94" w14:textId="1FC29008" w:rsidR="00A84B41" w:rsidRPr="00E069AC" w:rsidRDefault="007C645A" w:rsidP="001534F5">
      <w:r w:rsidRPr="00CF5C5E">
        <w:t xml:space="preserve">The </w:t>
      </w:r>
      <w:r w:rsidRPr="00CF5C5E">
        <w:rPr>
          <w:i/>
        </w:rPr>
        <w:t>Plausible Scenari</w:t>
      </w:r>
      <w:r w:rsidR="001B3003" w:rsidRPr="00CF5C5E">
        <w:rPr>
          <w:i/>
        </w:rPr>
        <w:t>o</w:t>
      </w:r>
      <w:r w:rsidR="001B3003" w:rsidRPr="00CF5C5E">
        <w:t xml:space="preserve"> results in the avoidance of </w:t>
      </w:r>
      <w:r w:rsidR="00605504" w:rsidRPr="00CF5C5E">
        <w:t>3.25</w:t>
      </w:r>
      <w:r w:rsidRPr="00CF5C5E">
        <w:t xml:space="preserve"> gigatons of carbon dioxide-equivalent greenhouse gas emissio</w:t>
      </w:r>
      <w:r w:rsidR="00BB79D6" w:rsidRPr="00CF5C5E">
        <w:t>ns between 2020-2050</w:t>
      </w:r>
      <w:r w:rsidR="005C77F5" w:rsidRPr="00CF5C5E">
        <w:t xml:space="preserve">. </w:t>
      </w:r>
      <w:r w:rsidRPr="00CF5C5E">
        <w:rPr>
          <w:i/>
        </w:rPr>
        <w:t xml:space="preserve">Drawdown </w:t>
      </w:r>
      <w:r w:rsidR="00CF5C5E" w:rsidRPr="00CF5C5E">
        <w:rPr>
          <w:i/>
        </w:rPr>
        <w:t>scenario</w:t>
      </w:r>
      <w:r w:rsidR="00CF5C5E" w:rsidRPr="00CF5C5E">
        <w:t xml:space="preserve"> h</w:t>
      </w:r>
      <w:r w:rsidR="00605504" w:rsidRPr="00CF5C5E">
        <w:t xml:space="preserve">as the same impact as the </w:t>
      </w:r>
      <w:r w:rsidR="00605504" w:rsidRPr="00CF5C5E">
        <w:rPr>
          <w:i/>
        </w:rPr>
        <w:t>Plausible</w:t>
      </w:r>
      <w:r w:rsidR="00CF5C5E" w:rsidRPr="00CF5C5E">
        <w:rPr>
          <w:i/>
        </w:rPr>
        <w:t xml:space="preserve"> scenario</w:t>
      </w:r>
      <w:r w:rsidR="00605504" w:rsidRPr="00CF5C5E">
        <w:rPr>
          <w:i/>
        </w:rPr>
        <w:t>.</w:t>
      </w:r>
      <w:r w:rsidR="00605504" w:rsidRPr="00CF5C5E">
        <w:t xml:space="preserve"> </w:t>
      </w:r>
      <w:r w:rsidRPr="00CF5C5E">
        <w:rPr>
          <w:i/>
        </w:rPr>
        <w:t>Optimum Scenario</w:t>
      </w:r>
      <w:r w:rsidRPr="00CF5C5E">
        <w:t xml:space="preserve"> </w:t>
      </w:r>
      <w:r w:rsidR="00CF5C5E" w:rsidRPr="00CF5C5E">
        <w:t xml:space="preserve">projects a declining trend of nuclear power use </w:t>
      </w:r>
      <w:r w:rsidRPr="00CF5C5E">
        <w:t xml:space="preserve">with </w:t>
      </w:r>
      <w:r w:rsidR="00CF5C5E" w:rsidRPr="00CF5C5E">
        <w:t xml:space="preserve">negative </w:t>
      </w:r>
      <w:r w:rsidRPr="00CF5C5E">
        <w:t xml:space="preserve">impacts on greenhouse gas emissions reductions over 2020-2050 of </w:t>
      </w:r>
      <w:r w:rsidR="00CF5C5E" w:rsidRPr="00CF5C5E">
        <w:t>-55.4</w:t>
      </w:r>
      <w:r w:rsidR="00BB79D6" w:rsidRPr="00CF5C5E">
        <w:t xml:space="preserve"> </w:t>
      </w:r>
      <w:r w:rsidRPr="00CF5C5E">
        <w:t>gigatons of carbon dioxide-equivalent</w:t>
      </w:r>
      <w:r w:rsidR="00CF5C5E" w:rsidRPr="00CF5C5E">
        <w:t>, but with several other important environmental, economic and social benefits</w:t>
      </w:r>
      <w:r w:rsidR="00BB79D6" w:rsidRPr="00CF5C5E">
        <w:t>.</w:t>
      </w:r>
      <w:r w:rsidR="00057050" w:rsidRPr="00CF5C5E">
        <w:t xml:space="preserve"> Tables 3.2 and 3.3. provide additional information on the climate impacts of the solution adoption.</w:t>
      </w:r>
      <w:r w:rsidR="00EC2E5F" w:rsidRPr="00EC2E5F">
        <w:t xml:space="preserve"> </w:t>
      </w:r>
    </w:p>
    <w:p w14:paraId="4DA2B4CB" w14:textId="67CACCA2" w:rsidR="00762877" w:rsidRPr="00E069AC" w:rsidRDefault="0066753A" w:rsidP="009B7789">
      <w:pPr>
        <w:pStyle w:val="Caption"/>
        <w:jc w:val="center"/>
        <w:rPr>
          <w:rFonts w:eastAsia="Times New Roman" w:cs="Times New Roman"/>
          <w:sz w:val="24"/>
          <w:szCs w:val="24"/>
          <w:lang w:eastAsia="zh-CN"/>
        </w:rPr>
      </w:pPr>
      <w:bookmarkStart w:id="50" w:name="_Toc19323125"/>
      <w:r w:rsidRPr="00E069AC">
        <w:t xml:space="preserve">Table </w:t>
      </w:r>
      <w:r w:rsidR="0060195D">
        <w:fldChar w:fldCharType="begin"/>
      </w:r>
      <w:r w:rsidR="0060195D">
        <w:instrText xml:space="preserve"> STYLEREF 1 \s </w:instrText>
      </w:r>
      <w:r w:rsidR="0060195D">
        <w:fldChar w:fldCharType="separate"/>
      </w:r>
      <w:r w:rsidR="00492F5E" w:rsidRPr="00E069AC">
        <w:t>3</w:t>
      </w:r>
      <w:r w:rsidR="0060195D">
        <w:fldChar w:fldCharType="end"/>
      </w:r>
      <w:r w:rsidR="00492F5E" w:rsidRPr="00E069AC">
        <w:t>.</w:t>
      </w:r>
      <w:r w:rsidR="0060195D">
        <w:fldChar w:fldCharType="begin"/>
      </w:r>
      <w:r w:rsidR="0060195D">
        <w:instrText xml:space="preserve"> SEQ Table \* ARABIC \s 1 </w:instrText>
      </w:r>
      <w:r w:rsidR="0060195D">
        <w:fldChar w:fldCharType="separate"/>
      </w:r>
      <w:r w:rsidR="00492F5E" w:rsidRPr="00E069AC">
        <w:t>2</w:t>
      </w:r>
      <w:r w:rsidR="0060195D">
        <w:fldChar w:fldCharType="end"/>
      </w:r>
      <w:r w:rsidRPr="00E069AC">
        <w:t xml:space="preserve"> Climate Impacts</w:t>
      </w:r>
      <w:bookmarkEnd w:id="50"/>
    </w:p>
    <w:tbl>
      <w:tblPr>
        <w:tblW w:w="9376" w:type="dxa"/>
        <w:jc w:val="center"/>
        <w:tblLayout w:type="fixed"/>
        <w:tblCellMar>
          <w:top w:w="15" w:type="dxa"/>
          <w:left w:w="15" w:type="dxa"/>
          <w:bottom w:w="15" w:type="dxa"/>
          <w:right w:w="15" w:type="dxa"/>
        </w:tblCellMar>
        <w:tblLook w:val="04A0" w:firstRow="1" w:lastRow="0" w:firstColumn="1" w:lastColumn="0" w:noHBand="0" w:noVBand="1"/>
      </w:tblPr>
      <w:tblGrid>
        <w:gridCol w:w="2052"/>
        <w:gridCol w:w="2441"/>
        <w:gridCol w:w="2441"/>
        <w:gridCol w:w="2442"/>
      </w:tblGrid>
      <w:tr w:rsidR="005C77F5" w:rsidRPr="00E069AC" w14:paraId="0150056F" w14:textId="1D8EC1D7" w:rsidTr="005C77F5">
        <w:trPr>
          <w:trHeight w:val="388"/>
          <w:jc w:val="center"/>
        </w:trPr>
        <w:tc>
          <w:tcPr>
            <w:tcW w:w="205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03E3878"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Scenario</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E0923C5"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Maximum Annual Emissions Reduction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FADFDAF"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Total Emissions Reduction</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8D8D42A"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Emissions Reduction in 2050</w:t>
            </w:r>
          </w:p>
        </w:tc>
      </w:tr>
      <w:tr w:rsidR="005C77F5" w:rsidRPr="00E069AC" w14:paraId="6B5C6387" w14:textId="411C48F1" w:rsidTr="005C77F5">
        <w:trPr>
          <w:trHeight w:val="306"/>
          <w:jc w:val="center"/>
        </w:trPr>
        <w:tc>
          <w:tcPr>
            <w:tcW w:w="2052"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5C77F5" w:rsidRPr="00E069AC" w:rsidRDefault="005C77F5" w:rsidP="001534F5">
            <w:pPr>
              <w:spacing w:line="240" w:lineRule="auto"/>
              <w:jc w:val="center"/>
              <w:rPr>
                <w:rFonts w:cstheme="minorHAnsi"/>
                <w:b/>
                <w:bCs/>
                <w:i/>
                <w:color w:val="FFFFFF" w:themeColor="background1"/>
                <w:sz w:val="20"/>
                <w:szCs w:val="20"/>
                <w:lang w:eastAsia="zh-CN"/>
              </w:rPr>
            </w:pP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7D6628D"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-eq/yr.)</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68F7C2F"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-eq/yr. (2020-2050)</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01EFE1"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-eq/year)</w:t>
            </w:r>
          </w:p>
        </w:tc>
      </w:tr>
      <w:tr w:rsidR="00CF5C5E" w:rsidRPr="00E069AC" w14:paraId="354A2249" w14:textId="7B11184C"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63153F" w14:textId="77777777" w:rsidR="00CF5C5E" w:rsidRPr="00E069AC" w:rsidRDefault="00CF5C5E" w:rsidP="00CF5C5E">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Plausible</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5252E919" w:rsidR="00CF5C5E" w:rsidRPr="00614911" w:rsidRDefault="00CF5C5E" w:rsidP="00CF5C5E">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CF5C5E">
              <w:rPr>
                <w:rFonts w:eastAsia="Times New Roman" w:cstheme="minorHAnsi"/>
                <w:color w:val="000000" w:themeColor="text1"/>
                <w:sz w:val="20"/>
                <w:szCs w:val="20"/>
                <w:lang w:eastAsia="zh-CN"/>
              </w:rPr>
              <w:t>0.15</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175B331B" w:rsidR="00CF5C5E" w:rsidRPr="00614911" w:rsidRDefault="00CF5C5E" w:rsidP="00CF5C5E">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CF5C5E">
              <w:t>3.25</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2824A986" w:rsidR="00CF5C5E" w:rsidRPr="00614911" w:rsidRDefault="00CF5C5E" w:rsidP="00CF5C5E">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CF5C5E">
              <w:rPr>
                <w:rFonts w:eastAsia="Times New Roman" w:cstheme="minorHAnsi"/>
                <w:color w:val="000000" w:themeColor="text1"/>
                <w:sz w:val="20"/>
                <w:szCs w:val="20"/>
                <w:lang w:eastAsia="zh-CN"/>
              </w:rPr>
              <w:t>0.15</w:t>
            </w:r>
          </w:p>
        </w:tc>
      </w:tr>
      <w:tr w:rsidR="00EC2E5F" w:rsidRPr="00E069AC" w14:paraId="7DCB0C2E" w14:textId="35D5AF3A"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122973" w14:textId="77777777" w:rsidR="00EC2E5F" w:rsidRPr="00E069AC" w:rsidRDefault="00EC2E5F" w:rsidP="00EC2E5F">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Drawdown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47E3D350" w:rsidR="00EC2E5F" w:rsidRPr="00614911" w:rsidRDefault="00CF5C5E" w:rsidP="00EC2E5F">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CF5C5E">
              <w:rPr>
                <w:rFonts w:eastAsia="Times New Roman" w:cstheme="minorHAnsi"/>
                <w:color w:val="000000" w:themeColor="text1"/>
                <w:sz w:val="20"/>
                <w:szCs w:val="20"/>
                <w:lang w:eastAsia="zh-CN"/>
              </w:rPr>
              <w:t>0.15</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69C8F099" w:rsidR="00EC2E5F" w:rsidRPr="00614911" w:rsidRDefault="00CF5C5E" w:rsidP="00EC2E5F">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CF5C5E">
              <w:t>3.25</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042CAA17" w:rsidR="00EC2E5F" w:rsidRPr="00614911" w:rsidRDefault="00CF5C5E" w:rsidP="00EC2E5F">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CF5C5E">
              <w:rPr>
                <w:rFonts w:eastAsia="Times New Roman" w:cstheme="minorHAnsi"/>
                <w:color w:val="000000" w:themeColor="text1"/>
                <w:sz w:val="20"/>
                <w:szCs w:val="20"/>
                <w:lang w:eastAsia="zh-CN"/>
              </w:rPr>
              <w:t>0.15</w:t>
            </w:r>
          </w:p>
        </w:tc>
      </w:tr>
      <w:tr w:rsidR="00EC2E5F" w:rsidRPr="00E069AC" w14:paraId="7CA1AA1B" w14:textId="3D7819CF"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9F4E2C" w14:textId="77777777" w:rsidR="00EC2E5F" w:rsidRPr="00E069AC" w:rsidRDefault="00EC2E5F" w:rsidP="00EC2E5F">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Optimum</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0A2080AC" w:rsidR="00EC2E5F" w:rsidRPr="00614911" w:rsidRDefault="00CF5C5E" w:rsidP="00EC2E5F">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CF5C5E">
              <w:rPr>
                <w:rFonts w:eastAsia="Times New Roman" w:cstheme="minorHAnsi"/>
                <w:color w:val="000000" w:themeColor="text1"/>
                <w:sz w:val="20"/>
                <w:szCs w:val="20"/>
                <w:lang w:eastAsia="zh-CN"/>
              </w:rPr>
              <w:t>-0.45</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5D843D38" w:rsidR="00EC2E5F" w:rsidRPr="00614911" w:rsidRDefault="00CF5C5E" w:rsidP="00EC2E5F">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CF5C5E">
              <w:t>-55.42</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6417A158" w:rsidR="00EC2E5F" w:rsidRPr="00614911" w:rsidRDefault="00CF5C5E" w:rsidP="00EC2E5F">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CF5C5E">
              <w:rPr>
                <w:rFonts w:eastAsia="Times New Roman" w:cstheme="minorHAnsi"/>
                <w:color w:val="000000" w:themeColor="text1"/>
                <w:sz w:val="20"/>
                <w:szCs w:val="20"/>
                <w:lang w:eastAsia="zh-CN"/>
              </w:rPr>
              <w:t>-0.45</w:t>
            </w:r>
          </w:p>
        </w:tc>
      </w:tr>
    </w:tbl>
    <w:p w14:paraId="43965544" w14:textId="77777777" w:rsidR="00BB79D6" w:rsidRPr="00E069AC" w:rsidRDefault="00BB79D6" w:rsidP="00EB247F">
      <w:pPr>
        <w:pStyle w:val="Caption"/>
      </w:pPr>
      <w:bookmarkStart w:id="51" w:name="_Toc524993443"/>
    </w:p>
    <w:p w14:paraId="2A78003D" w14:textId="73825DC8" w:rsidR="001534F5" w:rsidRPr="00E069AC" w:rsidRDefault="001534F5" w:rsidP="001534F5">
      <w:pPr>
        <w:spacing w:after="0"/>
      </w:pPr>
      <w:r w:rsidRPr="00E069AC">
        <w:t xml:space="preserve">The solution was integrated with all other Project Drawdown solutions and may have different emissions results from the </w:t>
      </w:r>
      <w:r w:rsidRPr="00CF5C5E">
        <w:t xml:space="preserve">models. This is due to adjustments caused by interactions among solutions that limit full adoption (such as by feedstock or demand limits) or that limit the full benefit of some solutions (such as reduced individual solution impact when technologies are combined). After integration, the impact on emission reduction for this solution is </w:t>
      </w:r>
      <w:r w:rsidR="00CF5C5E" w:rsidRPr="00CF5C5E">
        <w:t>2.</w:t>
      </w:r>
      <w:r w:rsidR="00856BB5">
        <w:t>9</w:t>
      </w:r>
      <w:r w:rsidRPr="00CF5C5E">
        <w:t xml:space="preserve"> gigatons of carbon dioxide-equivalent in the </w:t>
      </w:r>
      <w:r w:rsidRPr="00850C63">
        <w:rPr>
          <w:i/>
        </w:rPr>
        <w:t xml:space="preserve">Plausible </w:t>
      </w:r>
      <w:r w:rsidR="00850C63">
        <w:rPr>
          <w:i/>
        </w:rPr>
        <w:t xml:space="preserve">and </w:t>
      </w:r>
      <w:r w:rsidR="00856BB5">
        <w:rPr>
          <w:i/>
        </w:rPr>
        <w:t xml:space="preserve">3.2 in the </w:t>
      </w:r>
      <w:r w:rsidR="00850C63">
        <w:rPr>
          <w:i/>
        </w:rPr>
        <w:t xml:space="preserve">Drawdown </w:t>
      </w:r>
      <w:r w:rsidRPr="00CF5C5E">
        <w:t>scenario</w:t>
      </w:r>
      <w:r w:rsidR="00CF5C5E" w:rsidRPr="00CF5C5E">
        <w:t>.</w:t>
      </w:r>
      <w:r w:rsidR="00850C63">
        <w:t xml:space="preserve"> Since one of the key assumptions of </w:t>
      </w:r>
      <w:r w:rsidR="00850C63" w:rsidRPr="00850C63">
        <w:rPr>
          <w:i/>
        </w:rPr>
        <w:t>Optimum</w:t>
      </w:r>
      <w:r w:rsidR="00850C63">
        <w:t xml:space="preserve"> scenario is no nuclear by 2050 the adoption of nuclear presents a negative impact on GHG emissions reduction</w:t>
      </w:r>
      <w:r w:rsidR="00856BB5">
        <w:t xml:space="preserve"> compared to a REF scenario</w:t>
      </w:r>
      <w:r w:rsidR="00850C63">
        <w:t>.</w:t>
      </w:r>
      <w:r w:rsidR="00CF5C5E" w:rsidRPr="00CF5C5E">
        <w:t xml:space="preserve"> </w:t>
      </w:r>
      <w:r w:rsidR="00912CC8" w:rsidRPr="00CF5C5E">
        <w:t>Figure 3.2. show the world annual emissions reduction trajectories for the different scenarios for the long term.</w:t>
      </w:r>
    </w:p>
    <w:p w14:paraId="404FACD9" w14:textId="4BA6E8D5" w:rsidR="001534F5" w:rsidRPr="00E069AC" w:rsidRDefault="001534F5" w:rsidP="001534F5"/>
    <w:p w14:paraId="524B77BF" w14:textId="75BBD916" w:rsidR="00762877" w:rsidRPr="00E069AC" w:rsidRDefault="003A7929" w:rsidP="00EB247F">
      <w:pPr>
        <w:pStyle w:val="Caption"/>
        <w:jc w:val="center"/>
        <w:rPr>
          <w:rFonts w:eastAsia="Times New Roman" w:cs="Times New Roman"/>
          <w:sz w:val="24"/>
          <w:szCs w:val="24"/>
          <w:lang w:eastAsia="zh-CN"/>
        </w:rPr>
      </w:pPr>
      <w:bookmarkStart w:id="52" w:name="_Toc19323126"/>
      <w:r w:rsidRPr="00E069AC">
        <w:t xml:space="preserve">Table </w:t>
      </w:r>
      <w:r w:rsidR="0060195D">
        <w:fldChar w:fldCharType="begin"/>
      </w:r>
      <w:r w:rsidR="0060195D">
        <w:instrText xml:space="preserve"> STYLEREF 1 \s </w:instrText>
      </w:r>
      <w:r w:rsidR="0060195D">
        <w:fldChar w:fldCharType="separate"/>
      </w:r>
      <w:r w:rsidRPr="00E069AC">
        <w:t>3</w:t>
      </w:r>
      <w:r w:rsidR="0060195D">
        <w:fldChar w:fldCharType="end"/>
      </w:r>
      <w:r w:rsidRPr="00E069AC">
        <w:t>.</w:t>
      </w:r>
      <w:r w:rsidR="0060195D">
        <w:fldChar w:fldCharType="begin"/>
      </w:r>
      <w:r w:rsidR="0060195D">
        <w:instrText xml:space="preserve"> SEQ Table \* ARABIC \s 1 </w:instrText>
      </w:r>
      <w:r w:rsidR="0060195D">
        <w:fldChar w:fldCharType="separate"/>
      </w:r>
      <w:r w:rsidRPr="00E069AC">
        <w:t>3</w:t>
      </w:r>
      <w:r w:rsidR="0060195D">
        <w:fldChar w:fldCharType="end"/>
      </w:r>
      <w:r w:rsidRPr="00E069AC">
        <w:t xml:space="preserve"> Impacts on Atmospheric Concentrations of CO</w:t>
      </w:r>
      <w:r w:rsidRPr="00E069AC">
        <w:rPr>
          <w:vertAlign w:val="subscript"/>
        </w:rPr>
        <w:t>2</w:t>
      </w:r>
      <w:r w:rsidRPr="00E069AC">
        <w:t>-eq</w:t>
      </w:r>
      <w:bookmarkEnd w:id="51"/>
      <w:bookmarkEnd w:id="52"/>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E069AC" w14:paraId="6867F03C" w14:textId="77777777" w:rsidTr="005C77F5">
        <w:trPr>
          <w:trHeight w:val="46"/>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GHG Concentration Rate of Change in 2050</w:t>
            </w:r>
          </w:p>
        </w:tc>
      </w:tr>
      <w:tr w:rsidR="003A7929" w:rsidRPr="00E069AC" w14:paraId="143693A2" w14:textId="77777777" w:rsidTr="005C77F5">
        <w:trPr>
          <w:trHeight w:val="26"/>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E069AC" w:rsidRDefault="003A7929" w:rsidP="001534F5">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E069AC" w:rsidRDefault="003A7929"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PPM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E069AC" w:rsidRDefault="003A7929"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PPM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 change from 2049-2050</w:t>
            </w:r>
          </w:p>
        </w:tc>
      </w:tr>
      <w:tr w:rsidR="003A7929" w:rsidRPr="00E069AC"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E069AC" w:rsidRDefault="003A7929" w:rsidP="001534F5">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4DC25ACF" w:rsidR="003A7929" w:rsidRPr="00614911" w:rsidRDefault="00CF5C5E" w:rsidP="001534F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CF5C5E">
              <w:rPr>
                <w:rFonts w:eastAsia="Times New Roman" w:cstheme="minorHAnsi"/>
                <w:color w:val="000000" w:themeColor="text1"/>
                <w:sz w:val="20"/>
                <w:szCs w:val="20"/>
                <w:lang w:eastAsia="zh-CN"/>
              </w:rPr>
              <w:t>0.2</w:t>
            </w:r>
            <w:r w:rsidR="00856BB5">
              <w:rPr>
                <w:rFonts w:eastAsia="Times New Roman" w:cstheme="minorHAnsi"/>
                <w:color w:val="000000" w:themeColor="text1"/>
                <w:sz w:val="20"/>
                <w:szCs w:val="20"/>
                <w:lang w:eastAsia="zh-CN"/>
              </w:rPr>
              <w:t>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6927F05D" w:rsidR="003A7929" w:rsidRPr="00614911" w:rsidRDefault="00EC2E5F" w:rsidP="001534F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CF5C5E">
              <w:rPr>
                <w:rFonts w:eastAsia="Times New Roman" w:cstheme="minorHAnsi"/>
                <w:color w:val="000000" w:themeColor="text1"/>
                <w:sz w:val="20"/>
                <w:szCs w:val="20"/>
                <w:lang w:eastAsia="zh-CN"/>
              </w:rPr>
              <w:t>0.</w:t>
            </w:r>
            <w:r w:rsidR="00CF5C5E" w:rsidRPr="00CF5C5E">
              <w:rPr>
                <w:rFonts w:eastAsia="Times New Roman" w:cstheme="minorHAnsi"/>
                <w:color w:val="000000" w:themeColor="text1"/>
                <w:sz w:val="20"/>
                <w:szCs w:val="20"/>
                <w:lang w:eastAsia="zh-CN"/>
              </w:rPr>
              <w:t>008</w:t>
            </w:r>
          </w:p>
        </w:tc>
      </w:tr>
      <w:tr w:rsidR="00CF5C5E" w:rsidRPr="00E069AC"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CF5C5E" w:rsidRPr="00E069AC" w:rsidRDefault="00CF5C5E" w:rsidP="00CF5C5E">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02771184" w:rsidR="00CF5C5E" w:rsidRPr="00614911" w:rsidRDefault="00CF5C5E" w:rsidP="00CF5C5E">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CF5C5E">
              <w:rPr>
                <w:rFonts w:eastAsia="Times New Roman" w:cstheme="minorHAnsi"/>
                <w:color w:val="000000" w:themeColor="text1"/>
                <w:sz w:val="20"/>
                <w:szCs w:val="20"/>
                <w:lang w:eastAsia="zh-CN"/>
              </w:rPr>
              <w:t>0.2</w:t>
            </w:r>
            <w:r w:rsidR="00856BB5">
              <w:rPr>
                <w:rFonts w:eastAsia="Times New Roman" w:cstheme="minorHAnsi"/>
                <w:color w:val="000000" w:themeColor="text1"/>
                <w:sz w:val="20"/>
                <w:szCs w:val="20"/>
                <w:lang w:eastAsia="zh-CN"/>
              </w:rPr>
              <w:t>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46FCC540" w:rsidR="00CF5C5E" w:rsidRPr="00614911" w:rsidRDefault="00CF5C5E" w:rsidP="00CF5C5E">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CF5C5E">
              <w:rPr>
                <w:rFonts w:eastAsia="Times New Roman" w:cstheme="minorHAnsi"/>
                <w:color w:val="000000" w:themeColor="text1"/>
                <w:sz w:val="20"/>
                <w:szCs w:val="20"/>
                <w:lang w:eastAsia="zh-CN"/>
              </w:rPr>
              <w:t>0.008</w:t>
            </w:r>
          </w:p>
        </w:tc>
      </w:tr>
      <w:tr w:rsidR="00EC2E5F" w:rsidRPr="00E069AC"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EC2E5F" w:rsidRPr="00E069AC" w:rsidRDefault="00EC2E5F" w:rsidP="00EC2E5F">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0D5D8129" w:rsidR="00EC2E5F" w:rsidRPr="00614911" w:rsidRDefault="00CF5C5E" w:rsidP="00EC2E5F">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CF5C5E">
              <w:rPr>
                <w:rFonts w:eastAsia="Times New Roman" w:cstheme="minorHAnsi"/>
                <w:color w:val="000000" w:themeColor="text1"/>
                <w:sz w:val="20"/>
                <w:szCs w:val="20"/>
                <w:lang w:eastAsia="zh-CN"/>
              </w:rPr>
              <w:t>-4.</w:t>
            </w:r>
            <w:r w:rsidR="00856BB5">
              <w:rPr>
                <w:rFonts w:eastAsia="Times New Roman" w:cstheme="minorHAnsi"/>
                <w:color w:val="000000" w:themeColor="text1"/>
                <w:sz w:val="20"/>
                <w:szCs w:val="20"/>
                <w:lang w:eastAsia="zh-CN"/>
              </w:rPr>
              <w:t>61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14639F11" w:rsidR="00EC2E5F" w:rsidRPr="00614911" w:rsidRDefault="00CF5C5E" w:rsidP="00EC2E5F">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850C63">
              <w:rPr>
                <w:rFonts w:eastAsia="Times New Roman" w:cstheme="minorHAnsi"/>
                <w:color w:val="000000" w:themeColor="text1"/>
                <w:sz w:val="20"/>
                <w:szCs w:val="20"/>
                <w:lang w:eastAsia="zh-CN"/>
              </w:rPr>
              <w:t>-0.21</w:t>
            </w:r>
          </w:p>
        </w:tc>
      </w:tr>
    </w:tbl>
    <w:p w14:paraId="52077D33" w14:textId="77777777" w:rsidR="003A7FE2" w:rsidRPr="00E069AC" w:rsidRDefault="003A7FE2" w:rsidP="00EB247F">
      <w:pPr>
        <w:pStyle w:val="Caption"/>
      </w:pPr>
    </w:p>
    <w:p w14:paraId="61997373" w14:textId="212C6438" w:rsidR="003A7929" w:rsidRPr="00E069AC" w:rsidRDefault="00605504" w:rsidP="00EB247F">
      <w:pPr>
        <w:jc w:val="center"/>
      </w:pPr>
      <w:r>
        <w:rPr>
          <w:noProof/>
        </w:rPr>
        <w:drawing>
          <wp:inline distT="0" distB="0" distL="0" distR="0" wp14:anchorId="3F0D73D7" wp14:editId="78604D03">
            <wp:extent cx="5653454" cy="2751992"/>
            <wp:effectExtent l="0" t="0" r="10795" b="17145"/>
            <wp:docPr id="7" name="Chart 7">
              <a:extLst xmlns:a="http://schemas.openxmlformats.org/drawingml/2006/main">
                <a:ext uri="{FF2B5EF4-FFF2-40B4-BE49-F238E27FC236}">
                  <a16:creationId xmlns:a16="http://schemas.microsoft.com/office/drawing/2014/main" id="{04E40A61-3345-4E38-AA26-9300ACF719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DAEFCF6" w14:textId="039E2289" w:rsidR="00762877" w:rsidRDefault="003A7929" w:rsidP="00996E91">
      <w:pPr>
        <w:pStyle w:val="Caption"/>
        <w:jc w:val="center"/>
      </w:pPr>
      <w:bookmarkStart w:id="53" w:name="_Toc524993433"/>
      <w:bookmarkStart w:id="54" w:name="_Toc44543351"/>
      <w:r w:rsidRPr="00605504">
        <w:t xml:space="preserve">Figure </w:t>
      </w:r>
      <w:r w:rsidR="0060195D">
        <w:fldChar w:fldCharType="begin"/>
      </w:r>
      <w:r w:rsidR="0060195D">
        <w:instrText xml:space="preserve"> STYLEREF 1 \s </w:instrText>
      </w:r>
      <w:r w:rsidR="0060195D">
        <w:fldChar w:fldCharType="separate"/>
      </w:r>
      <w:r w:rsidR="00856BB5">
        <w:rPr>
          <w:noProof/>
        </w:rPr>
        <w:t>3</w:t>
      </w:r>
      <w:r w:rsidR="0060195D">
        <w:rPr>
          <w:noProof/>
        </w:rPr>
        <w:fldChar w:fldCharType="end"/>
      </w:r>
      <w:r w:rsidRPr="00605504">
        <w:t>.</w:t>
      </w:r>
      <w:r w:rsidR="0060195D">
        <w:fldChar w:fldCharType="begin"/>
      </w:r>
      <w:r w:rsidR="0060195D">
        <w:instrText xml:space="preserve"> SEQ Figure \* ARABIC \s 1 </w:instrText>
      </w:r>
      <w:r w:rsidR="0060195D">
        <w:fldChar w:fldCharType="separate"/>
      </w:r>
      <w:r w:rsidR="00856BB5">
        <w:rPr>
          <w:noProof/>
        </w:rPr>
        <w:t>2</w:t>
      </w:r>
      <w:r w:rsidR="0060195D">
        <w:rPr>
          <w:noProof/>
        </w:rPr>
        <w:fldChar w:fldCharType="end"/>
      </w:r>
      <w:r w:rsidRPr="00605504">
        <w:t xml:space="preserve"> World Annual</w:t>
      </w:r>
      <w:r w:rsidRPr="00605504">
        <w:rPr>
          <w:vertAlign w:val="subscript"/>
        </w:rPr>
        <w:t xml:space="preserve"> </w:t>
      </w:r>
      <w:r w:rsidRPr="00605504">
        <w:t>Greenhouse Gas Emissions Reduction</w:t>
      </w:r>
      <w:bookmarkEnd w:id="53"/>
      <w:r w:rsidR="00605504" w:rsidRPr="00605504">
        <w:t xml:space="preserve"> (2015-2060)</w:t>
      </w:r>
      <w:bookmarkEnd w:id="54"/>
    </w:p>
    <w:p w14:paraId="66EC2EBB" w14:textId="500D3397" w:rsidR="00B261E0" w:rsidRPr="00E069AC" w:rsidRDefault="551A77D0" w:rsidP="00483FFA">
      <w:pPr>
        <w:pStyle w:val="Heading2"/>
        <w:numPr>
          <w:ilvl w:val="1"/>
          <w:numId w:val="26"/>
        </w:numPr>
      </w:pPr>
      <w:bookmarkStart w:id="55" w:name="_Toc19323161"/>
      <w:r w:rsidRPr="00E069AC">
        <w:t>Financial Impacts</w:t>
      </w:r>
      <w:bookmarkEnd w:id="55"/>
    </w:p>
    <w:p w14:paraId="475E997D" w14:textId="02592D6C" w:rsidR="00971C9D" w:rsidRPr="00453DE8" w:rsidRDefault="00014DE8" w:rsidP="00971C9D">
      <w:pPr>
        <w:rPr>
          <w:lang w:eastAsia="en-US"/>
        </w:rPr>
      </w:pPr>
      <w:r w:rsidRPr="00453DE8">
        <w:rPr>
          <w:lang w:eastAsia="en-US"/>
        </w:rPr>
        <w:t xml:space="preserve">The results of the </w:t>
      </w:r>
      <w:r w:rsidRPr="00453DE8">
        <w:rPr>
          <w:i/>
          <w:iCs/>
          <w:lang w:eastAsia="en-US"/>
        </w:rPr>
        <w:t xml:space="preserve">Plausible </w:t>
      </w:r>
      <w:r w:rsidRPr="00453DE8">
        <w:rPr>
          <w:lang w:eastAsia="en-US"/>
        </w:rPr>
        <w:t xml:space="preserve">Scenario show that the net cost compared to the </w:t>
      </w:r>
      <w:r w:rsidRPr="00453DE8">
        <w:rPr>
          <w:i/>
          <w:iCs/>
          <w:lang w:eastAsia="en-US"/>
        </w:rPr>
        <w:t>Reference</w:t>
      </w:r>
      <w:r w:rsidRPr="00453DE8">
        <w:rPr>
          <w:lang w:eastAsia="en-US"/>
        </w:rPr>
        <w:t xml:space="preserve"> Scenario would be US$</w:t>
      </w:r>
      <w:r w:rsidR="00CF5C5E" w:rsidRPr="00453DE8">
        <w:rPr>
          <w:lang w:eastAsia="en-US"/>
        </w:rPr>
        <w:t>192</w:t>
      </w:r>
      <w:r w:rsidRPr="00453DE8">
        <w:rPr>
          <w:lang w:eastAsia="en-US"/>
        </w:rPr>
        <w:t xml:space="preserve"> </w:t>
      </w:r>
      <w:r w:rsidR="00CF5C5E" w:rsidRPr="00453DE8">
        <w:rPr>
          <w:lang w:eastAsia="en-US"/>
        </w:rPr>
        <w:t>billion</w:t>
      </w:r>
      <w:r w:rsidRPr="00453DE8">
        <w:rPr>
          <w:lang w:eastAsia="en-US"/>
        </w:rPr>
        <w:t xml:space="preserve"> from 2020-50, with </w:t>
      </w:r>
      <w:r w:rsidR="00CF5C5E" w:rsidRPr="00453DE8">
        <w:rPr>
          <w:lang w:eastAsia="en-US"/>
        </w:rPr>
        <w:t>slightly over</w:t>
      </w:r>
      <w:r w:rsidRPr="00453DE8">
        <w:rPr>
          <w:lang w:eastAsia="en-US"/>
        </w:rPr>
        <w:t xml:space="preserve"> US$</w:t>
      </w:r>
      <w:r w:rsidR="00CF5C5E" w:rsidRPr="00453DE8">
        <w:rPr>
          <w:lang w:eastAsia="en-US"/>
        </w:rPr>
        <w:t>158</w:t>
      </w:r>
      <w:r w:rsidRPr="00453DE8">
        <w:rPr>
          <w:lang w:eastAsia="en-US"/>
        </w:rPr>
        <w:t xml:space="preserve"> </w:t>
      </w:r>
      <w:r w:rsidR="00CF5C5E" w:rsidRPr="00453DE8">
        <w:rPr>
          <w:lang w:eastAsia="en-US"/>
        </w:rPr>
        <w:t>billion</w:t>
      </w:r>
      <w:r w:rsidRPr="00453DE8">
        <w:rPr>
          <w:lang w:eastAsia="en-US"/>
        </w:rPr>
        <w:t xml:space="preserve"> in </w:t>
      </w:r>
      <w:r w:rsidR="00971C9D" w:rsidRPr="00453DE8">
        <w:rPr>
          <w:lang w:eastAsia="en-US"/>
        </w:rPr>
        <w:t xml:space="preserve">net operating </w:t>
      </w:r>
      <w:r w:rsidRPr="00453DE8">
        <w:rPr>
          <w:lang w:eastAsia="en-US"/>
        </w:rPr>
        <w:t xml:space="preserve">savings over the same period. </w:t>
      </w:r>
      <w:r w:rsidR="00CF5C5E" w:rsidRPr="00453DE8">
        <w:rPr>
          <w:lang w:eastAsia="en-US"/>
        </w:rPr>
        <w:t>PDS1 adoption</w:t>
      </w:r>
      <w:r w:rsidR="00453DE8" w:rsidRPr="00453DE8">
        <w:rPr>
          <w:lang w:eastAsia="en-US"/>
        </w:rPr>
        <w:t xml:space="preserve"> increasing electricity generated from nuclear power from 2,700 to 6,093 TWh </w:t>
      </w:r>
      <w:r w:rsidRPr="00453DE8">
        <w:rPr>
          <w:lang w:eastAsia="en-US"/>
        </w:rPr>
        <w:t>by 2050 would require an estimated US$</w:t>
      </w:r>
      <w:r w:rsidR="00453DE8" w:rsidRPr="00453DE8">
        <w:rPr>
          <w:lang w:eastAsia="en-US"/>
        </w:rPr>
        <w:t>4,2</w:t>
      </w:r>
      <w:r w:rsidRPr="00453DE8">
        <w:rPr>
          <w:lang w:eastAsia="en-US"/>
        </w:rPr>
        <w:t xml:space="preserve"> trillion in cumulative first costs. </w:t>
      </w:r>
    </w:p>
    <w:p w14:paraId="4F6C2C45" w14:textId="26C91F8F" w:rsidR="00E14F94" w:rsidRPr="00971C9D" w:rsidRDefault="00971C9D" w:rsidP="00971C9D">
      <w:pPr>
        <w:rPr>
          <w:iCs/>
          <w:kern w:val="2"/>
          <w:lang w:eastAsia="zh-CN"/>
        </w:rPr>
      </w:pPr>
      <w:r w:rsidRPr="00453DE8">
        <w:t xml:space="preserve">PDS2 </w:t>
      </w:r>
      <w:r w:rsidR="00453DE8" w:rsidRPr="00453DE8">
        <w:t>results show</w:t>
      </w:r>
      <w:r w:rsidRPr="00453DE8">
        <w:t xml:space="preserve"> US$</w:t>
      </w:r>
      <w:r w:rsidR="00453DE8" w:rsidRPr="00453DE8">
        <w:t>192 billions</w:t>
      </w:r>
      <w:r w:rsidRPr="00453DE8">
        <w:t xml:space="preserve"> of marginal first costs and over </w:t>
      </w:r>
      <w:r w:rsidR="00453DE8" w:rsidRPr="00453DE8">
        <w:rPr>
          <w:lang w:eastAsia="en-US"/>
        </w:rPr>
        <w:t>US$</w:t>
      </w:r>
      <w:r w:rsidR="00453DE8" w:rsidRPr="00453DE8">
        <w:t>159</w:t>
      </w:r>
      <w:r w:rsidRPr="00453DE8">
        <w:t xml:space="preserve"> </w:t>
      </w:r>
      <w:r w:rsidR="00453DE8" w:rsidRPr="00453DE8">
        <w:t>bi</w:t>
      </w:r>
      <w:r w:rsidRPr="00453DE8">
        <w:t xml:space="preserve">llions of net operating cost savings. </w:t>
      </w:r>
      <w:r w:rsidR="00453DE8" w:rsidRPr="00453DE8">
        <w:t xml:space="preserve">Due to the reduction to zero by 2050 of electricity generated by nuclear, the marginal first costs are </w:t>
      </w:r>
      <w:r w:rsidR="00453DE8" w:rsidRPr="00453DE8">
        <w:rPr>
          <w:lang w:eastAsia="en-US"/>
        </w:rPr>
        <w:t>US$</w:t>
      </w:r>
      <w:r w:rsidR="00453DE8" w:rsidRPr="00453DE8">
        <w:t xml:space="preserve">3,683 with negative net operating savings of </w:t>
      </w:r>
      <w:r w:rsidR="00453DE8" w:rsidRPr="00453DE8">
        <w:rPr>
          <w:lang w:eastAsia="en-US"/>
        </w:rPr>
        <w:t>US$</w:t>
      </w:r>
      <w:r w:rsidR="00453DE8" w:rsidRPr="00453DE8">
        <w:t xml:space="preserve">2.7 trillion. </w:t>
      </w:r>
      <w:r w:rsidRPr="00453DE8">
        <w:rPr>
          <w:iCs/>
          <w:kern w:val="2"/>
          <w:lang w:eastAsia="zh-CN"/>
        </w:rPr>
        <w:t>Below in table 3.4 are the financial results of the analysis for each scenario. For a detailed explanation of each result, please see the glossary (Section 6).</w:t>
      </w:r>
    </w:p>
    <w:p w14:paraId="09347CCA" w14:textId="44E0AC36" w:rsidR="00492F5E" w:rsidRPr="00E069AC" w:rsidRDefault="00492F5E" w:rsidP="00453DE8">
      <w:pPr>
        <w:pStyle w:val="Caption"/>
        <w:jc w:val="center"/>
        <w:rPr>
          <w:i w:val="0"/>
          <w:iCs w:val="0"/>
        </w:rPr>
      </w:pPr>
      <w:bookmarkStart w:id="56" w:name="_Toc19323127"/>
      <w:r w:rsidRPr="00E069AC">
        <w:t xml:space="preserve">Table </w:t>
      </w:r>
      <w:r w:rsidR="0060195D">
        <w:fldChar w:fldCharType="begin"/>
      </w:r>
      <w:r w:rsidR="0060195D">
        <w:instrText xml:space="preserve"> STYLEREF 1 \s </w:instrText>
      </w:r>
      <w:r w:rsidR="0060195D">
        <w:fldChar w:fldCharType="separate"/>
      </w:r>
      <w:r w:rsidRPr="00E069AC">
        <w:t>3</w:t>
      </w:r>
      <w:r w:rsidR="0060195D">
        <w:fldChar w:fldCharType="end"/>
      </w:r>
      <w:r w:rsidRPr="00E069AC">
        <w:t>.</w:t>
      </w:r>
      <w:r w:rsidR="0060195D">
        <w:fldChar w:fldCharType="begin"/>
      </w:r>
      <w:r w:rsidR="0060195D">
        <w:instrText xml:space="preserve"> SEQ Table \* ARABIC \s 1 </w:instrText>
      </w:r>
      <w:r w:rsidR="0060195D">
        <w:fldChar w:fldCharType="separate"/>
      </w:r>
      <w:r w:rsidRPr="00E069AC">
        <w:t>4</w:t>
      </w:r>
      <w:r w:rsidR="0060195D">
        <w:fldChar w:fldCharType="end"/>
      </w:r>
      <w:r w:rsidRPr="00E069AC">
        <w:t xml:space="preserve"> Financial Impacts</w:t>
      </w:r>
      <w:bookmarkEnd w:id="56"/>
    </w:p>
    <w:tbl>
      <w:tblPr>
        <w:tblW w:w="17383" w:type="dxa"/>
        <w:tblCellMar>
          <w:top w:w="15" w:type="dxa"/>
          <w:left w:w="15" w:type="dxa"/>
          <w:bottom w:w="15" w:type="dxa"/>
          <w:right w:w="15" w:type="dxa"/>
        </w:tblCellMar>
        <w:tblLook w:val="04A0" w:firstRow="1" w:lastRow="0" w:firstColumn="1" w:lastColumn="0" w:noHBand="0" w:noVBand="1"/>
      </w:tblPr>
      <w:tblGrid>
        <w:gridCol w:w="1145"/>
        <w:gridCol w:w="1858"/>
        <w:gridCol w:w="1805"/>
        <w:gridCol w:w="1851"/>
        <w:gridCol w:w="2681"/>
        <w:gridCol w:w="2681"/>
        <w:gridCol w:w="2681"/>
        <w:gridCol w:w="2681"/>
      </w:tblGrid>
      <w:tr w:rsidR="00E9782A" w:rsidRPr="00E069AC" w14:paraId="02CA9FB7" w14:textId="77777777" w:rsidTr="00453DE8">
        <w:trPr>
          <w:gridAfter w:val="3"/>
          <w:wAfter w:w="8043" w:type="dxa"/>
          <w:trHeight w:val="820"/>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73B5F21" w14:textId="77777777" w:rsidR="00E9782A" w:rsidRPr="00E069AC" w:rsidRDefault="00E9782A" w:rsidP="00453DE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BD60AA" w14:textId="77777777" w:rsidR="00E9782A" w:rsidRPr="00E069AC" w:rsidRDefault="00E9782A" w:rsidP="00453DE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Cumulative First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B320DE8" w14:textId="77777777" w:rsidR="00E9782A" w:rsidRPr="00E069AC" w:rsidRDefault="00E9782A" w:rsidP="00453DE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Marginal First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A4C674E" w14:textId="77777777" w:rsidR="00E9782A" w:rsidRPr="00E069AC" w:rsidRDefault="00E9782A" w:rsidP="00453DE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Net Operating Savings</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8ABD301" w14:textId="77777777" w:rsidR="00E9782A" w:rsidRPr="00E069AC" w:rsidRDefault="00E9782A" w:rsidP="00453DE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Lifetime Cashflow Savings NPV (of All Implementation Units)</w:t>
            </w:r>
          </w:p>
        </w:tc>
      </w:tr>
      <w:tr w:rsidR="00E9782A" w:rsidRPr="00E069AC" w14:paraId="67FE449F" w14:textId="77777777" w:rsidTr="00453DE8">
        <w:trPr>
          <w:gridAfter w:val="3"/>
          <w:wAfter w:w="8043" w:type="dxa"/>
          <w:trHeight w:val="640"/>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E9782A" w:rsidRPr="00E069AC" w:rsidRDefault="00E9782A" w:rsidP="00453DE8">
            <w:pPr>
              <w:spacing w:after="0" w:line="240" w:lineRule="auto"/>
              <w:jc w:val="center"/>
              <w:rPr>
                <w:rFonts w:eastAsia="Times New Roman" w:cstheme="minorHAnsi"/>
                <w:b/>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4ADDBA3" w14:textId="77777777" w:rsidR="00E9782A" w:rsidRPr="00E069AC" w:rsidRDefault="00E9782A" w:rsidP="00453DE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2015-2050 Billion USD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CFE258" w14:textId="77777777" w:rsidR="00E9782A" w:rsidRPr="00E069AC" w:rsidRDefault="00E9782A" w:rsidP="00453DE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2015-2050 Billion USD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2B138C" w14:textId="77777777" w:rsidR="00E9782A" w:rsidRPr="00E069AC" w:rsidRDefault="00E9782A" w:rsidP="00453DE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2020-2050 Billion USD</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EBAAA5" w14:textId="77777777" w:rsidR="00E9782A" w:rsidRPr="00E069AC" w:rsidRDefault="00E9782A" w:rsidP="00453DE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Billion USD</w:t>
            </w:r>
          </w:p>
        </w:tc>
      </w:tr>
      <w:tr w:rsidR="00E9782A" w:rsidRPr="00E069AC" w14:paraId="2CCDE781" w14:textId="77777777" w:rsidTr="00453DE8">
        <w:trPr>
          <w:gridAfter w:val="3"/>
          <w:wAfter w:w="8043" w:type="dxa"/>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9B68F2" w14:textId="77777777" w:rsidR="00E9782A" w:rsidRPr="00E069AC" w:rsidRDefault="00E9782A" w:rsidP="00453DE8">
            <w:pPr>
              <w:spacing w:after="0" w:line="240" w:lineRule="auto"/>
              <w:jc w:val="center"/>
              <w:rPr>
                <w:sz w:val="20"/>
                <w:szCs w:val="20"/>
                <w:lang w:eastAsia="zh-CN"/>
              </w:rPr>
            </w:pPr>
            <w:r w:rsidRPr="00E069AC">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3A82046A" w:rsidR="00E9782A" w:rsidRPr="00453DE8" w:rsidRDefault="00453DE8" w:rsidP="00453DE8">
            <w:pPr>
              <w:spacing w:after="0" w:line="240" w:lineRule="auto"/>
              <w:jc w:val="center"/>
              <w:rPr>
                <w:rFonts w:eastAsia="Times New Roman" w:cstheme="minorHAnsi"/>
                <w:sz w:val="20"/>
                <w:szCs w:val="20"/>
                <w:lang w:eastAsia="zh-CN"/>
              </w:rPr>
            </w:pPr>
            <w:r w:rsidRPr="00453DE8">
              <w:rPr>
                <w:rFonts w:eastAsia="Times New Roman" w:cstheme="minorHAnsi"/>
                <w:sz w:val="20"/>
                <w:szCs w:val="20"/>
                <w:lang w:eastAsia="zh-CN"/>
              </w:rPr>
              <w:t>4,197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2DF9F8A0" w:rsidR="00E9782A" w:rsidRPr="00453DE8" w:rsidRDefault="00453DE8" w:rsidP="00453DE8">
            <w:pPr>
              <w:spacing w:after="0" w:line="240" w:lineRule="auto"/>
              <w:jc w:val="center"/>
              <w:rPr>
                <w:rFonts w:eastAsia="Times New Roman" w:cstheme="minorHAnsi"/>
                <w:sz w:val="20"/>
                <w:szCs w:val="20"/>
                <w:lang w:eastAsia="zh-CN"/>
              </w:rPr>
            </w:pPr>
            <w:r w:rsidRPr="00453DE8">
              <w:rPr>
                <w:rFonts w:eastAsia="Times New Roman" w:cstheme="minorHAnsi"/>
                <w:sz w:val="20"/>
                <w:szCs w:val="20"/>
                <w:lang w:eastAsia="zh-CN"/>
              </w:rPr>
              <w:t>192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5DDA2D5C" w:rsidR="00E9782A" w:rsidRPr="00453DE8" w:rsidRDefault="00453DE8" w:rsidP="00453DE8">
            <w:pPr>
              <w:spacing w:after="0" w:line="240" w:lineRule="auto"/>
              <w:jc w:val="center"/>
              <w:rPr>
                <w:rFonts w:eastAsia="Times New Roman" w:cstheme="minorHAnsi"/>
                <w:sz w:val="20"/>
                <w:szCs w:val="20"/>
                <w:lang w:eastAsia="zh-CN"/>
              </w:rPr>
            </w:pPr>
            <w:r w:rsidRPr="00453DE8">
              <w:rPr>
                <w:rFonts w:eastAsia="Times New Roman" w:cstheme="minorHAnsi"/>
                <w:sz w:val="20"/>
                <w:szCs w:val="20"/>
                <w:lang w:eastAsia="zh-CN"/>
              </w:rPr>
              <w:t>159</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576EA6B3" w:rsidR="00E9782A" w:rsidRPr="00453DE8" w:rsidRDefault="00453DE8" w:rsidP="00453DE8">
            <w:pPr>
              <w:spacing w:after="0" w:line="240" w:lineRule="auto"/>
              <w:jc w:val="center"/>
              <w:rPr>
                <w:rFonts w:eastAsia="Times New Roman" w:cstheme="minorHAnsi"/>
                <w:sz w:val="20"/>
                <w:szCs w:val="20"/>
                <w:lang w:eastAsia="zh-CN"/>
              </w:rPr>
            </w:pPr>
            <w:r w:rsidRPr="00453DE8">
              <w:rPr>
                <w:rFonts w:eastAsia="Times New Roman" w:cstheme="minorHAnsi"/>
                <w:sz w:val="20"/>
                <w:szCs w:val="20"/>
                <w:lang w:eastAsia="zh-CN"/>
              </w:rPr>
              <w:t>-49</w:t>
            </w:r>
          </w:p>
        </w:tc>
      </w:tr>
      <w:tr w:rsidR="00453DE8" w:rsidRPr="00E069AC" w14:paraId="6C3482B4" w14:textId="77777777" w:rsidTr="00453DE8">
        <w:trPr>
          <w:gridAfter w:val="3"/>
          <w:wAfter w:w="8043" w:type="dxa"/>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370E76" w14:textId="77777777" w:rsidR="00453DE8" w:rsidRPr="00E069AC" w:rsidRDefault="00453DE8" w:rsidP="00453DE8">
            <w:pPr>
              <w:spacing w:after="0" w:line="240" w:lineRule="auto"/>
              <w:jc w:val="center"/>
              <w:rPr>
                <w:sz w:val="20"/>
                <w:szCs w:val="20"/>
                <w:lang w:eastAsia="zh-CN"/>
              </w:rPr>
            </w:pPr>
            <w:r w:rsidRPr="00E069AC">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6417DC9B" w:rsidR="00453DE8" w:rsidRPr="00614911" w:rsidRDefault="00453DE8" w:rsidP="00453DE8">
            <w:pPr>
              <w:spacing w:after="0" w:line="240" w:lineRule="auto"/>
              <w:jc w:val="center"/>
              <w:rPr>
                <w:rFonts w:eastAsia="Times New Roman" w:cstheme="minorHAnsi"/>
                <w:sz w:val="20"/>
                <w:szCs w:val="20"/>
                <w:highlight w:val="lightGray"/>
                <w:lang w:eastAsia="zh-CN"/>
              </w:rPr>
            </w:pPr>
            <w:r w:rsidRPr="00453DE8">
              <w:rPr>
                <w:rFonts w:eastAsia="Times New Roman" w:cstheme="minorHAnsi"/>
                <w:sz w:val="20"/>
                <w:szCs w:val="20"/>
                <w:lang w:eastAsia="zh-CN"/>
              </w:rPr>
              <w:t>4,197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2B10FAAF" w:rsidR="00453DE8" w:rsidRPr="00614911" w:rsidRDefault="00453DE8" w:rsidP="00453DE8">
            <w:pPr>
              <w:spacing w:after="0" w:line="240" w:lineRule="auto"/>
              <w:jc w:val="center"/>
              <w:rPr>
                <w:rFonts w:eastAsia="Times New Roman" w:cstheme="minorHAnsi"/>
                <w:sz w:val="20"/>
                <w:szCs w:val="20"/>
                <w:highlight w:val="lightGray"/>
                <w:lang w:eastAsia="zh-CN"/>
              </w:rPr>
            </w:pPr>
            <w:r w:rsidRPr="00453DE8">
              <w:rPr>
                <w:rFonts w:eastAsia="Times New Roman" w:cstheme="minorHAnsi"/>
                <w:sz w:val="20"/>
                <w:szCs w:val="20"/>
                <w:lang w:eastAsia="zh-CN"/>
              </w:rPr>
              <w:t>192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22355123" w:rsidR="00453DE8" w:rsidRPr="00614911" w:rsidRDefault="00453DE8" w:rsidP="00453DE8">
            <w:pPr>
              <w:spacing w:after="0" w:line="240" w:lineRule="auto"/>
              <w:jc w:val="center"/>
              <w:rPr>
                <w:rFonts w:eastAsia="Times New Roman" w:cstheme="minorHAnsi"/>
                <w:sz w:val="20"/>
                <w:szCs w:val="20"/>
                <w:highlight w:val="lightGray"/>
                <w:lang w:eastAsia="zh-CN"/>
              </w:rPr>
            </w:pPr>
            <w:r w:rsidRPr="00453DE8">
              <w:rPr>
                <w:rFonts w:eastAsia="Times New Roman" w:cstheme="minorHAnsi"/>
                <w:sz w:val="20"/>
                <w:szCs w:val="20"/>
                <w:lang w:eastAsia="zh-CN"/>
              </w:rPr>
              <w:t>159</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4311C242" w:rsidR="00453DE8" w:rsidRPr="00614911" w:rsidRDefault="00453DE8" w:rsidP="00453DE8">
            <w:pPr>
              <w:spacing w:after="0" w:line="240" w:lineRule="auto"/>
              <w:jc w:val="center"/>
              <w:rPr>
                <w:rFonts w:eastAsia="Times New Roman" w:cstheme="minorHAnsi"/>
                <w:sz w:val="20"/>
                <w:szCs w:val="20"/>
                <w:highlight w:val="lightGray"/>
                <w:lang w:eastAsia="zh-CN"/>
              </w:rPr>
            </w:pPr>
            <w:r w:rsidRPr="00453DE8">
              <w:rPr>
                <w:rFonts w:eastAsia="Times New Roman" w:cstheme="minorHAnsi"/>
                <w:sz w:val="20"/>
                <w:szCs w:val="20"/>
                <w:lang w:eastAsia="zh-CN"/>
              </w:rPr>
              <w:t>-49</w:t>
            </w:r>
          </w:p>
        </w:tc>
      </w:tr>
      <w:tr w:rsidR="00453DE8" w:rsidRPr="00E069AC" w14:paraId="76A27626" w14:textId="55C936B9" w:rsidTr="00453DE8">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8728F4" w14:textId="77777777" w:rsidR="00453DE8" w:rsidRPr="00E069AC" w:rsidRDefault="00453DE8" w:rsidP="00453DE8">
            <w:pPr>
              <w:spacing w:after="0" w:line="240" w:lineRule="auto"/>
              <w:jc w:val="center"/>
              <w:rPr>
                <w:sz w:val="20"/>
                <w:szCs w:val="20"/>
                <w:lang w:eastAsia="zh-CN"/>
              </w:rPr>
            </w:pPr>
            <w:r w:rsidRPr="00E069AC">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3E9DC867" w:rsidR="00453DE8" w:rsidRPr="00453DE8" w:rsidRDefault="00453DE8" w:rsidP="00453DE8">
            <w:pPr>
              <w:spacing w:after="0" w:line="240" w:lineRule="auto"/>
              <w:jc w:val="center"/>
              <w:rPr>
                <w:rFonts w:eastAsia="Times New Roman" w:cstheme="minorHAnsi"/>
                <w:sz w:val="20"/>
                <w:szCs w:val="20"/>
                <w:lang w:eastAsia="zh-CN"/>
              </w:rPr>
            </w:pPr>
            <w:r w:rsidRPr="00453DE8">
              <w:rPr>
                <w:rFonts w:eastAsia="Times New Roman" w:cstheme="minorHAnsi"/>
                <w:sz w:val="20"/>
                <w:szCs w:val="20"/>
                <w:lang w:eastAsia="zh-CN"/>
              </w:rPr>
              <w:t>219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F6A9C" w14:textId="5196A46C" w:rsidR="00453DE8" w:rsidRPr="00453DE8" w:rsidRDefault="00453DE8" w:rsidP="00453DE8">
            <w:pPr>
              <w:spacing w:after="0" w:line="240" w:lineRule="auto"/>
              <w:jc w:val="center"/>
              <w:rPr>
                <w:rFonts w:eastAsia="Times New Roman" w:cstheme="minorHAnsi"/>
                <w:sz w:val="20"/>
                <w:szCs w:val="20"/>
                <w:lang w:eastAsia="zh-CN"/>
              </w:rPr>
            </w:pPr>
            <w:r w:rsidRPr="00453DE8">
              <w:rPr>
                <w:rFonts w:eastAsia="Times New Roman" w:cstheme="minorHAnsi"/>
                <w:sz w:val="20"/>
                <w:szCs w:val="20"/>
                <w:lang w:eastAsia="zh-CN"/>
              </w:rPr>
              <w:t>-3,683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038B9C0F" w:rsidR="00453DE8" w:rsidRPr="00453DE8" w:rsidRDefault="00453DE8" w:rsidP="00453DE8">
            <w:pPr>
              <w:spacing w:after="0" w:line="240" w:lineRule="auto"/>
              <w:jc w:val="center"/>
              <w:rPr>
                <w:rFonts w:eastAsia="Times New Roman" w:cstheme="minorHAnsi"/>
                <w:sz w:val="20"/>
                <w:szCs w:val="20"/>
                <w:lang w:eastAsia="zh-CN"/>
              </w:rPr>
            </w:pPr>
            <w:r w:rsidRPr="00453DE8">
              <w:rPr>
                <w:rFonts w:eastAsia="Times New Roman" w:cstheme="minorHAnsi"/>
                <w:sz w:val="20"/>
                <w:szCs w:val="20"/>
                <w:lang w:eastAsia="zh-CN"/>
              </w:rPr>
              <w:t>-2,732</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18921D89" w:rsidR="00453DE8" w:rsidRPr="00453DE8" w:rsidRDefault="00453DE8" w:rsidP="00453DE8">
            <w:pPr>
              <w:spacing w:after="0" w:line="240" w:lineRule="auto"/>
              <w:jc w:val="center"/>
              <w:rPr>
                <w:rFonts w:eastAsia="Times New Roman" w:cstheme="minorHAnsi"/>
                <w:sz w:val="20"/>
                <w:szCs w:val="20"/>
                <w:lang w:eastAsia="zh-CN"/>
              </w:rPr>
            </w:pPr>
            <w:r w:rsidRPr="00453DE8">
              <w:rPr>
                <w:rFonts w:eastAsia="Times New Roman" w:cstheme="minorHAnsi"/>
                <w:sz w:val="20"/>
                <w:szCs w:val="20"/>
                <w:lang w:eastAsia="zh-CN"/>
              </w:rPr>
              <w:t>428</w:t>
            </w:r>
          </w:p>
        </w:tc>
        <w:tc>
          <w:tcPr>
            <w:tcW w:w="2681" w:type="dxa"/>
          </w:tcPr>
          <w:p w14:paraId="23452A74" w14:textId="7BE9BBD7" w:rsidR="00453DE8" w:rsidRPr="00E069AC" w:rsidRDefault="00453DE8" w:rsidP="00453DE8">
            <w:pPr>
              <w:spacing w:after="160" w:line="259" w:lineRule="auto"/>
              <w:jc w:val="left"/>
            </w:pPr>
          </w:p>
        </w:tc>
        <w:tc>
          <w:tcPr>
            <w:tcW w:w="2681" w:type="dxa"/>
          </w:tcPr>
          <w:p w14:paraId="2F7A766A" w14:textId="118B64B3" w:rsidR="00453DE8" w:rsidRPr="00E069AC" w:rsidRDefault="00453DE8" w:rsidP="00453DE8">
            <w:pPr>
              <w:spacing w:after="160" w:line="259" w:lineRule="auto"/>
              <w:jc w:val="left"/>
            </w:pPr>
            <w:r w:rsidRPr="00453DE8">
              <w:rPr>
                <w:rFonts w:eastAsia="Times New Roman" w:cstheme="minorHAnsi"/>
                <w:sz w:val="20"/>
                <w:szCs w:val="20"/>
                <w:lang w:eastAsia="zh-CN"/>
              </w:rPr>
              <w:t>159</w:t>
            </w:r>
          </w:p>
        </w:tc>
        <w:tc>
          <w:tcPr>
            <w:tcW w:w="2681" w:type="dxa"/>
          </w:tcPr>
          <w:p w14:paraId="081D84EC" w14:textId="2BA2E00D" w:rsidR="00453DE8" w:rsidRPr="00E069AC" w:rsidRDefault="00453DE8" w:rsidP="00453DE8">
            <w:pPr>
              <w:spacing w:after="160" w:line="259" w:lineRule="auto"/>
              <w:jc w:val="left"/>
            </w:pPr>
            <w:r w:rsidRPr="00453DE8">
              <w:rPr>
                <w:rFonts w:eastAsia="Times New Roman" w:cstheme="minorHAnsi"/>
                <w:sz w:val="20"/>
                <w:szCs w:val="20"/>
                <w:lang w:eastAsia="zh-CN"/>
              </w:rPr>
              <w:t>-49</w:t>
            </w:r>
          </w:p>
        </w:tc>
      </w:tr>
    </w:tbl>
    <w:p w14:paraId="36ED3484" w14:textId="77777777" w:rsidR="00856BB5" w:rsidRDefault="00856BB5" w:rsidP="00856BB5">
      <w:pPr>
        <w:keepNext/>
      </w:pPr>
      <w:r>
        <w:rPr>
          <w:noProof/>
        </w:rPr>
        <w:drawing>
          <wp:inline distT="0" distB="0" distL="0" distR="0" wp14:anchorId="39F3CC7E" wp14:editId="2034848C">
            <wp:extent cx="5867400" cy="3098800"/>
            <wp:effectExtent l="0" t="0" r="12700" b="12700"/>
            <wp:docPr id="2" name="Chart 2">
              <a:extLst xmlns:a="http://schemas.openxmlformats.org/drawingml/2006/main">
                <a:ext uri="{FF2B5EF4-FFF2-40B4-BE49-F238E27FC236}">
                  <a16:creationId xmlns:a16="http://schemas.microsoft.com/office/drawing/2014/main" id="{00000000-0008-0000-04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B05FA0D" w14:textId="7818410D" w:rsidR="00856BB5" w:rsidRDefault="00856BB5" w:rsidP="00856BB5">
      <w:pPr>
        <w:pStyle w:val="Caption"/>
        <w:jc w:val="center"/>
      </w:pPr>
      <w:r w:rsidRPr="00605504">
        <w:t xml:space="preserve">Figure </w:t>
      </w:r>
      <w:r w:rsidR="0060195D">
        <w:fldChar w:fldCharType="begin"/>
      </w:r>
      <w:r w:rsidR="0060195D">
        <w:instrText xml:space="preserve"> STYLEREF 1 \s </w:instrText>
      </w:r>
      <w:r w:rsidR="0060195D">
        <w:fldChar w:fldCharType="separate"/>
      </w:r>
      <w:r>
        <w:rPr>
          <w:noProof/>
        </w:rPr>
        <w:t>3</w:t>
      </w:r>
      <w:r w:rsidR="0060195D">
        <w:rPr>
          <w:noProof/>
        </w:rPr>
        <w:fldChar w:fldCharType="end"/>
      </w:r>
      <w:r w:rsidRPr="00605504">
        <w:t>.</w:t>
      </w:r>
      <w:r>
        <w:t>3</w:t>
      </w:r>
      <w:r w:rsidRPr="00605504">
        <w:t xml:space="preserve"> World </w:t>
      </w:r>
      <w:r>
        <w:t>Operating Cost</w:t>
      </w:r>
      <w:r w:rsidRPr="00605504">
        <w:t xml:space="preserve"> Reduction (2015-2060)</w:t>
      </w:r>
    </w:p>
    <w:p w14:paraId="7AA67B73" w14:textId="77777777" w:rsidR="00850C63" w:rsidRDefault="00850C63">
      <w:pPr>
        <w:spacing w:after="160" w:line="259" w:lineRule="auto"/>
        <w:jc w:val="left"/>
        <w:rPr>
          <w:rFonts w:asciiTheme="majorHAnsi" w:eastAsiaTheme="majorEastAsia" w:hAnsiTheme="majorHAnsi" w:cs="Times New Roman (Headings CS)"/>
          <w:b/>
          <w:bCs/>
          <w:smallCaps/>
          <w:color w:val="4F81BD" w:themeColor="accent1"/>
          <w:sz w:val="36"/>
          <w:szCs w:val="36"/>
        </w:rPr>
      </w:pPr>
      <w:bookmarkStart w:id="57" w:name="_Toc19323162"/>
      <w:r>
        <w:br w:type="page"/>
      </w:r>
    </w:p>
    <w:p w14:paraId="638C27B6" w14:textId="5DBB6F37" w:rsidR="00F52595" w:rsidRPr="00E069AC" w:rsidRDefault="551A77D0" w:rsidP="00912CC8">
      <w:pPr>
        <w:pStyle w:val="Heading1"/>
      </w:pPr>
      <w:r w:rsidRPr="00E069AC">
        <w:t>Discussion</w:t>
      </w:r>
      <w:bookmarkEnd w:id="57"/>
    </w:p>
    <w:p w14:paraId="4EF5ABBF" w14:textId="77777777" w:rsidR="00C70BE1" w:rsidRPr="00CF6578" w:rsidRDefault="00C70BE1" w:rsidP="00C70BE1">
      <w:pPr>
        <w:spacing w:after="0"/>
        <w:rPr>
          <w:bCs/>
        </w:rPr>
      </w:pPr>
      <w:r w:rsidRPr="00CF6578">
        <w:rPr>
          <w:bCs/>
        </w:rPr>
        <w:t xml:space="preserve">The </w:t>
      </w:r>
      <w:r>
        <w:rPr>
          <w:bCs/>
        </w:rPr>
        <w:t xml:space="preserve">results of the </w:t>
      </w:r>
      <w:r w:rsidRPr="00CF6578">
        <w:rPr>
          <w:bCs/>
        </w:rPr>
        <w:t>n</w:t>
      </w:r>
      <w:r>
        <w:rPr>
          <w:bCs/>
        </w:rPr>
        <w:t>uclear energy solution indicate</w:t>
      </w:r>
      <w:r w:rsidRPr="00CF6578">
        <w:rPr>
          <w:bCs/>
        </w:rPr>
        <w:t xml:space="preserve"> that nuclear power can form an important part of a low-carbon economy, leading to significant reductions in greenhouse gas emissions with net savings.</w:t>
      </w:r>
      <w:r>
        <w:rPr>
          <w:bCs/>
        </w:rPr>
        <w:t xml:space="preserve"> The emphasis of this study is on climate and financial impacts of NPPs and does not provide a total cost-benefit analysis of every advantage and disadvantage of nuclear power based on fission.</w:t>
      </w:r>
    </w:p>
    <w:p w14:paraId="319DCBD8" w14:textId="41CA990D" w:rsidR="006745FF" w:rsidRDefault="006745FF" w:rsidP="00E069AC">
      <w:pPr>
        <w:pStyle w:val="Heading2"/>
        <w:numPr>
          <w:ilvl w:val="1"/>
          <w:numId w:val="29"/>
        </w:numPr>
      </w:pPr>
      <w:bookmarkStart w:id="58" w:name="_Toc19323163"/>
      <w:r w:rsidRPr="00E069AC">
        <w:t>Limitations</w:t>
      </w:r>
      <w:bookmarkEnd w:id="58"/>
    </w:p>
    <w:p w14:paraId="4D91017A" w14:textId="73A4B62B" w:rsidR="00C70BE1" w:rsidRDefault="00C70BE1" w:rsidP="00C70BE1">
      <w:r>
        <w:t>The scope of work for Drawdown nuclear energy solution portrayed in this report and solution model is limited to the commercially deployed NPP units as of 2014. Other promising nuclear power designs, from small modular reactors to high temperature gas cooled reactors, were not discussed. Further development of this solution could add advanced designs as they become commercially available.</w:t>
      </w:r>
    </w:p>
    <w:p w14:paraId="5F21798B" w14:textId="2240A6A2" w:rsidR="00C70BE1" w:rsidRPr="00C70BE1" w:rsidRDefault="00C70BE1" w:rsidP="00C70BE1">
      <w:r w:rsidRPr="009A1B7F">
        <w:t>Two of the most common reactors are Pressurized Water Reactors and Boiling Water Reactors, both of whi</w:t>
      </w:r>
      <w:r>
        <w:t>ch are light water reactors that</w:t>
      </w:r>
      <w:r w:rsidRPr="009A1B7F">
        <w:t xml:space="preserve"> use ordinary water to cool and heat the nuclear fuel.</w:t>
      </w:r>
      <w:r>
        <w:t xml:space="preserve"> The focus of the literature review has been mostly on PWRs as the dominant type of current, and predicted future, fleet of NPPs. Further development of this study may include nuances between PWRs and BWRs.</w:t>
      </w:r>
    </w:p>
    <w:p w14:paraId="2139E8E7" w14:textId="767A0E25" w:rsidR="006745FF" w:rsidRPr="00D02875" w:rsidRDefault="006745FF" w:rsidP="00483FFA">
      <w:pPr>
        <w:pStyle w:val="Heading2"/>
        <w:numPr>
          <w:ilvl w:val="1"/>
          <w:numId w:val="26"/>
        </w:numPr>
      </w:pPr>
      <w:bookmarkStart w:id="59" w:name="_Toc19323164"/>
      <w:r w:rsidRPr="00D02875">
        <w:t>Benchmarks</w:t>
      </w:r>
      <w:bookmarkEnd w:id="59"/>
    </w:p>
    <w:p w14:paraId="16C1F10F" w14:textId="50999FD1" w:rsidR="00602D83" w:rsidRPr="00212F29" w:rsidRDefault="00BB79D6" w:rsidP="00602D83">
      <w:pPr>
        <w:rPr>
          <w:bCs/>
          <w:iCs/>
        </w:rPr>
      </w:pPr>
      <w:r w:rsidRPr="00D02875">
        <w:rPr>
          <w:bCs/>
          <w:iCs/>
        </w:rPr>
        <w:t xml:space="preserve">Table 4.1 depicts a benchmark of Project Drawdown results for 2050 on the three developed scenarios to other </w:t>
      </w:r>
      <w:r w:rsidR="00850C63">
        <w:rPr>
          <w:bCs/>
          <w:iCs/>
        </w:rPr>
        <w:t>nine</w:t>
      </w:r>
      <w:r w:rsidRPr="00D02875">
        <w:rPr>
          <w:bCs/>
          <w:iCs/>
        </w:rPr>
        <w:t xml:space="preserve"> publicly available scenarios from </w:t>
      </w:r>
      <w:r w:rsidR="00214EDB" w:rsidRPr="00D02875">
        <w:rPr>
          <w:bCs/>
          <w:iCs/>
        </w:rPr>
        <w:t xml:space="preserve">for example Greenpeace (2015), </w:t>
      </w:r>
      <w:r w:rsidRPr="00D02875">
        <w:rPr>
          <w:bCs/>
          <w:iCs/>
        </w:rPr>
        <w:t>IEA</w:t>
      </w:r>
      <w:r w:rsidR="00120490" w:rsidRPr="00D02875">
        <w:rPr>
          <w:bCs/>
          <w:iCs/>
        </w:rPr>
        <w:t xml:space="preserve"> ETP</w:t>
      </w:r>
      <w:r w:rsidRPr="00D02875">
        <w:rPr>
          <w:bCs/>
          <w:iCs/>
        </w:rPr>
        <w:t xml:space="preserve"> (</w:t>
      </w:r>
      <w:r w:rsidR="00820BA5" w:rsidRPr="00D02875">
        <w:rPr>
          <w:bCs/>
          <w:iCs/>
        </w:rPr>
        <w:t>2017</w:t>
      </w:r>
      <w:r w:rsidRPr="00D02875">
        <w:rPr>
          <w:bCs/>
          <w:iCs/>
        </w:rPr>
        <w:t>)</w:t>
      </w:r>
      <w:r w:rsidR="00214EDB" w:rsidRPr="00D02875">
        <w:rPr>
          <w:bCs/>
          <w:iCs/>
        </w:rPr>
        <w:t>, IEEJ 2019 (2018)</w:t>
      </w:r>
      <w:r w:rsidR="00850C63">
        <w:rPr>
          <w:bCs/>
          <w:iCs/>
        </w:rPr>
        <w:t xml:space="preserve"> and </w:t>
      </w:r>
      <w:r w:rsidR="00214EDB" w:rsidRPr="00D02875">
        <w:rPr>
          <w:bCs/>
          <w:iCs/>
        </w:rPr>
        <w:t xml:space="preserve"> Ram </w:t>
      </w:r>
      <w:r w:rsidR="00214EDB" w:rsidRPr="00850C63">
        <w:rPr>
          <w:bCs/>
          <w:i/>
          <w:iCs/>
        </w:rPr>
        <w:t xml:space="preserve">et al </w:t>
      </w:r>
      <w:r w:rsidR="00214EDB" w:rsidRPr="00D02875">
        <w:rPr>
          <w:bCs/>
          <w:iCs/>
        </w:rPr>
        <w:t xml:space="preserve">(2019). </w:t>
      </w:r>
      <w:r w:rsidR="000B7D71" w:rsidRPr="00D02875">
        <w:rPr>
          <w:lang w:eastAsia="en-US"/>
        </w:rPr>
        <w:t>(Table 4.1)</w:t>
      </w:r>
      <w:r w:rsidR="00602D83" w:rsidRPr="00D02875">
        <w:rPr>
          <w:lang w:eastAsia="en-US"/>
        </w:rPr>
        <w:t>.</w:t>
      </w:r>
    </w:p>
    <w:p w14:paraId="58D0C085" w14:textId="77777777" w:rsidR="00831310" w:rsidRDefault="00831310" w:rsidP="00EB247F">
      <w:pPr>
        <w:pStyle w:val="Caption"/>
        <w:jc w:val="center"/>
        <w:sectPr w:rsidR="00831310">
          <w:pgSz w:w="12240" w:h="15840"/>
          <w:pgMar w:top="1440" w:right="1440" w:bottom="1440" w:left="1440" w:header="720" w:footer="720" w:gutter="0"/>
          <w:cols w:space="720"/>
        </w:sectPr>
      </w:pPr>
      <w:bookmarkStart w:id="60" w:name="_Toc524993445"/>
    </w:p>
    <w:p w14:paraId="79DB6E21" w14:textId="101D8DAC" w:rsidR="006745FF" w:rsidRPr="00E069AC" w:rsidRDefault="006745FF" w:rsidP="00EB247F">
      <w:pPr>
        <w:pStyle w:val="Caption"/>
        <w:jc w:val="center"/>
        <w:rPr>
          <w:b/>
          <w:bCs/>
        </w:rPr>
      </w:pPr>
      <w:bookmarkStart w:id="61" w:name="_Toc19323128"/>
      <w:r w:rsidRPr="00E069AC">
        <w:t xml:space="preserve">Table </w:t>
      </w:r>
      <w:r w:rsidR="0060195D">
        <w:fldChar w:fldCharType="begin"/>
      </w:r>
      <w:r w:rsidR="0060195D">
        <w:instrText xml:space="preserve"> STYLEREF 1 \s </w:instrText>
      </w:r>
      <w:r w:rsidR="0060195D">
        <w:fldChar w:fldCharType="separate"/>
      </w:r>
      <w:r w:rsidRPr="00E069AC">
        <w:t>4</w:t>
      </w:r>
      <w:r w:rsidR="0060195D">
        <w:fldChar w:fldCharType="end"/>
      </w:r>
      <w:r w:rsidRPr="00E069AC">
        <w:t>.</w:t>
      </w:r>
      <w:r w:rsidR="0060195D">
        <w:fldChar w:fldCharType="begin"/>
      </w:r>
      <w:r w:rsidR="0060195D">
        <w:instrText xml:space="preserve"> SEQ Table \* ARABIC \s 1 </w:instrText>
      </w:r>
      <w:r w:rsidR="0060195D">
        <w:fldChar w:fldCharType="separate"/>
      </w:r>
      <w:r w:rsidRPr="00E069AC">
        <w:t>1</w:t>
      </w:r>
      <w:r w:rsidR="0060195D">
        <w:fldChar w:fldCharType="end"/>
      </w:r>
      <w:r w:rsidRPr="00E069AC">
        <w:t xml:space="preserve"> Benchmarks</w:t>
      </w:r>
      <w:bookmarkEnd w:id="60"/>
      <w:bookmarkEnd w:id="61"/>
    </w:p>
    <w:tbl>
      <w:tblPr>
        <w:tblStyle w:val="TableGrid"/>
        <w:tblW w:w="9209" w:type="dxa"/>
        <w:tblLook w:val="04A0" w:firstRow="1" w:lastRow="0" w:firstColumn="1" w:lastColumn="0" w:noHBand="0" w:noVBand="1"/>
      </w:tblPr>
      <w:tblGrid>
        <w:gridCol w:w="4675"/>
        <w:gridCol w:w="1879"/>
        <w:gridCol w:w="2655"/>
      </w:tblGrid>
      <w:tr w:rsidR="00996E91" w:rsidRPr="00E069AC" w14:paraId="70C8E283" w14:textId="77777777" w:rsidTr="00290B59">
        <w:trPr>
          <w:trHeight w:val="316"/>
        </w:trPr>
        <w:tc>
          <w:tcPr>
            <w:tcW w:w="4675" w:type="dxa"/>
            <w:shd w:val="clear" w:color="auto" w:fill="4F81BD" w:themeFill="accent1"/>
            <w:vAlign w:val="center"/>
          </w:tcPr>
          <w:p w14:paraId="721CED95" w14:textId="594D904F" w:rsidR="00996E91" w:rsidRPr="00E069AC" w:rsidRDefault="00996E91" w:rsidP="00912CC8">
            <w:pPr>
              <w:spacing w:line="240" w:lineRule="auto"/>
              <w:jc w:val="center"/>
              <w:rPr>
                <w:b/>
                <w:bCs/>
                <w:color w:val="FFFFFF" w:themeColor="background1"/>
                <w:sz w:val="20"/>
              </w:rPr>
            </w:pPr>
            <w:r w:rsidRPr="00E069AC">
              <w:rPr>
                <w:b/>
                <w:bCs/>
                <w:color w:val="FFFFFF" w:themeColor="background1"/>
                <w:sz w:val="20"/>
              </w:rPr>
              <w:t>Source and Scenario</w:t>
            </w:r>
          </w:p>
        </w:tc>
        <w:tc>
          <w:tcPr>
            <w:tcW w:w="1879" w:type="dxa"/>
            <w:shd w:val="clear" w:color="auto" w:fill="4F81BD" w:themeFill="accent1"/>
            <w:vAlign w:val="center"/>
          </w:tcPr>
          <w:p w14:paraId="2C9D3A78" w14:textId="3930D889" w:rsidR="00996E91" w:rsidRPr="00E069AC" w:rsidRDefault="00996E91" w:rsidP="00912CC8">
            <w:pPr>
              <w:spacing w:line="240" w:lineRule="auto"/>
              <w:jc w:val="center"/>
              <w:rPr>
                <w:b/>
                <w:color w:val="FFFFFF" w:themeColor="background1"/>
                <w:sz w:val="20"/>
              </w:rPr>
            </w:pPr>
            <w:r w:rsidRPr="00E069AC">
              <w:rPr>
                <w:b/>
                <w:color w:val="FFFFFF" w:themeColor="background1"/>
                <w:sz w:val="20"/>
              </w:rPr>
              <w:t>Electricity Generation in 2050 (TWh)</w:t>
            </w:r>
          </w:p>
        </w:tc>
        <w:tc>
          <w:tcPr>
            <w:tcW w:w="2655" w:type="dxa"/>
            <w:shd w:val="clear" w:color="auto" w:fill="4F81BD" w:themeFill="accent1"/>
            <w:vAlign w:val="center"/>
          </w:tcPr>
          <w:p w14:paraId="54169280" w14:textId="7589E293" w:rsidR="00996E91" w:rsidRPr="00E069AC" w:rsidRDefault="00996E91" w:rsidP="00912CC8">
            <w:pPr>
              <w:spacing w:line="240" w:lineRule="auto"/>
              <w:jc w:val="center"/>
              <w:rPr>
                <w:b/>
                <w:color w:val="FFFFFF" w:themeColor="background1"/>
                <w:sz w:val="20"/>
              </w:rPr>
            </w:pPr>
            <w:r w:rsidRPr="00E069AC">
              <w:rPr>
                <w:b/>
                <w:color w:val="FFFFFF" w:themeColor="background1"/>
                <w:sz w:val="20"/>
              </w:rPr>
              <w:t>Market Share in 2050 (%)</w:t>
            </w:r>
          </w:p>
        </w:tc>
      </w:tr>
      <w:tr w:rsidR="00290B59" w:rsidRPr="00E069AC" w14:paraId="253E17EA" w14:textId="77777777" w:rsidTr="007E4C7C">
        <w:trPr>
          <w:trHeight w:val="415"/>
        </w:trPr>
        <w:tc>
          <w:tcPr>
            <w:tcW w:w="4675" w:type="dxa"/>
            <w:vAlign w:val="center"/>
          </w:tcPr>
          <w:p w14:paraId="1D3C75F4" w14:textId="0DAF7AEE" w:rsidR="00290B59" w:rsidRPr="00791DA4" w:rsidRDefault="00290B59" w:rsidP="00290B59">
            <w:pPr>
              <w:spacing w:line="240" w:lineRule="auto"/>
              <w:jc w:val="left"/>
              <w:rPr>
                <w:b/>
                <w:sz w:val="20"/>
              </w:rPr>
            </w:pPr>
            <w:r w:rsidRPr="00791DA4">
              <w:rPr>
                <w:b/>
                <w:sz w:val="20"/>
              </w:rPr>
              <w:t>Project Drawdown – Plausible Scenario (PDS1)</w:t>
            </w:r>
          </w:p>
        </w:tc>
        <w:tc>
          <w:tcPr>
            <w:tcW w:w="1879" w:type="dxa"/>
            <w:vAlign w:val="center"/>
          </w:tcPr>
          <w:p w14:paraId="3385E2F0" w14:textId="0CA4691A" w:rsidR="00290B59" w:rsidRPr="001D14D9" w:rsidRDefault="00791DA4" w:rsidP="00290B59">
            <w:pPr>
              <w:spacing w:line="240" w:lineRule="auto"/>
              <w:jc w:val="center"/>
              <w:rPr>
                <w:b/>
                <w:bCs/>
                <w:sz w:val="20"/>
                <w:highlight w:val="yellow"/>
              </w:rPr>
            </w:pPr>
            <w:r w:rsidRPr="00791DA4">
              <w:rPr>
                <w:rFonts w:cstheme="minorHAnsi"/>
                <w:b/>
                <w:bCs/>
                <w:sz w:val="20"/>
                <w:szCs w:val="20"/>
              </w:rPr>
              <w:t>6,093</w:t>
            </w:r>
          </w:p>
        </w:tc>
        <w:tc>
          <w:tcPr>
            <w:tcW w:w="2655" w:type="dxa"/>
            <w:vAlign w:val="center"/>
          </w:tcPr>
          <w:p w14:paraId="325FEE1A" w14:textId="435C77CA" w:rsidR="00290B59" w:rsidRPr="001D14D9" w:rsidRDefault="00791DA4" w:rsidP="00290B59">
            <w:pPr>
              <w:spacing w:line="240" w:lineRule="auto"/>
              <w:jc w:val="center"/>
              <w:rPr>
                <w:b/>
                <w:bCs/>
                <w:sz w:val="20"/>
                <w:highlight w:val="yellow"/>
              </w:rPr>
            </w:pPr>
            <w:r w:rsidRPr="00791DA4">
              <w:rPr>
                <w:b/>
                <w:bCs/>
                <w:sz w:val="20"/>
              </w:rPr>
              <w:t>12.2</w:t>
            </w:r>
            <w:r w:rsidR="00290B59" w:rsidRPr="00791DA4">
              <w:rPr>
                <w:b/>
                <w:bCs/>
                <w:sz w:val="20"/>
              </w:rPr>
              <w:t>%</w:t>
            </w:r>
          </w:p>
        </w:tc>
      </w:tr>
      <w:tr w:rsidR="00791DA4" w:rsidRPr="00E069AC" w14:paraId="0EE465A7" w14:textId="77777777" w:rsidTr="007E4C7C">
        <w:trPr>
          <w:trHeight w:val="415"/>
        </w:trPr>
        <w:tc>
          <w:tcPr>
            <w:tcW w:w="4675" w:type="dxa"/>
            <w:vAlign w:val="center"/>
          </w:tcPr>
          <w:p w14:paraId="5A2835E3" w14:textId="41871262" w:rsidR="00791DA4" w:rsidRPr="00791DA4" w:rsidRDefault="00791DA4" w:rsidP="00791DA4">
            <w:pPr>
              <w:spacing w:line="240" w:lineRule="auto"/>
              <w:jc w:val="left"/>
              <w:rPr>
                <w:b/>
                <w:sz w:val="20"/>
              </w:rPr>
            </w:pPr>
            <w:r w:rsidRPr="00791DA4">
              <w:rPr>
                <w:b/>
                <w:sz w:val="20"/>
              </w:rPr>
              <w:t>Project Drawdown – Drawdown Scenario (PDS2)</w:t>
            </w:r>
          </w:p>
        </w:tc>
        <w:tc>
          <w:tcPr>
            <w:tcW w:w="1879" w:type="dxa"/>
            <w:vAlign w:val="center"/>
          </w:tcPr>
          <w:p w14:paraId="53A8230D" w14:textId="21772232" w:rsidR="00791DA4" w:rsidRPr="001D14D9" w:rsidRDefault="00791DA4" w:rsidP="00791DA4">
            <w:pPr>
              <w:spacing w:line="240" w:lineRule="auto"/>
              <w:jc w:val="center"/>
              <w:rPr>
                <w:b/>
                <w:bCs/>
                <w:sz w:val="20"/>
                <w:highlight w:val="yellow"/>
              </w:rPr>
            </w:pPr>
            <w:r w:rsidRPr="00791DA4">
              <w:rPr>
                <w:rFonts w:cstheme="minorHAnsi"/>
                <w:b/>
                <w:bCs/>
                <w:sz w:val="20"/>
                <w:szCs w:val="20"/>
              </w:rPr>
              <w:t>6,093</w:t>
            </w:r>
          </w:p>
        </w:tc>
        <w:tc>
          <w:tcPr>
            <w:tcW w:w="2655" w:type="dxa"/>
            <w:vAlign w:val="center"/>
          </w:tcPr>
          <w:p w14:paraId="74557E8A" w14:textId="03ADE767" w:rsidR="00791DA4" w:rsidRPr="001D14D9" w:rsidRDefault="00791DA4" w:rsidP="00791DA4">
            <w:pPr>
              <w:spacing w:line="240" w:lineRule="auto"/>
              <w:jc w:val="center"/>
              <w:rPr>
                <w:b/>
                <w:bCs/>
                <w:sz w:val="20"/>
                <w:highlight w:val="yellow"/>
              </w:rPr>
            </w:pPr>
            <w:r>
              <w:rPr>
                <w:b/>
                <w:bCs/>
                <w:sz w:val="20"/>
              </w:rPr>
              <w:t>8.6</w:t>
            </w:r>
            <w:r w:rsidRPr="00791DA4">
              <w:rPr>
                <w:b/>
                <w:bCs/>
                <w:sz w:val="20"/>
              </w:rPr>
              <w:t>%</w:t>
            </w:r>
          </w:p>
        </w:tc>
      </w:tr>
      <w:tr w:rsidR="00290B59" w:rsidRPr="00E069AC" w14:paraId="69930E87" w14:textId="77777777" w:rsidTr="007E4C7C">
        <w:trPr>
          <w:trHeight w:val="415"/>
        </w:trPr>
        <w:tc>
          <w:tcPr>
            <w:tcW w:w="4675" w:type="dxa"/>
            <w:vAlign w:val="center"/>
          </w:tcPr>
          <w:p w14:paraId="6B1C7256" w14:textId="6C567EE0" w:rsidR="00290B59" w:rsidRPr="00791DA4" w:rsidRDefault="00290B59" w:rsidP="00290B59">
            <w:pPr>
              <w:spacing w:line="240" w:lineRule="auto"/>
              <w:jc w:val="left"/>
              <w:rPr>
                <w:b/>
                <w:sz w:val="20"/>
              </w:rPr>
            </w:pPr>
            <w:r w:rsidRPr="00791DA4">
              <w:rPr>
                <w:b/>
                <w:sz w:val="20"/>
              </w:rPr>
              <w:t>Project Drawdown – Optimum Scenario (PDS3)</w:t>
            </w:r>
          </w:p>
        </w:tc>
        <w:tc>
          <w:tcPr>
            <w:tcW w:w="1879" w:type="dxa"/>
            <w:vAlign w:val="center"/>
          </w:tcPr>
          <w:p w14:paraId="3D5B2FB3" w14:textId="4240D396" w:rsidR="00290B59" w:rsidRPr="00791DA4" w:rsidRDefault="00791DA4" w:rsidP="00290B59">
            <w:pPr>
              <w:spacing w:line="240" w:lineRule="auto"/>
              <w:jc w:val="center"/>
              <w:rPr>
                <w:b/>
                <w:bCs/>
                <w:sz w:val="20"/>
              </w:rPr>
            </w:pPr>
            <w:r w:rsidRPr="00791DA4">
              <w:rPr>
                <w:rFonts w:cstheme="minorHAnsi"/>
                <w:b/>
                <w:bCs/>
                <w:sz w:val="20"/>
                <w:szCs w:val="20"/>
              </w:rPr>
              <w:t>0</w:t>
            </w:r>
          </w:p>
        </w:tc>
        <w:tc>
          <w:tcPr>
            <w:tcW w:w="2655" w:type="dxa"/>
            <w:vAlign w:val="center"/>
          </w:tcPr>
          <w:p w14:paraId="6E41B393" w14:textId="130236D7" w:rsidR="00290B59" w:rsidRPr="00791DA4" w:rsidRDefault="00791DA4" w:rsidP="00290B59">
            <w:pPr>
              <w:spacing w:line="240" w:lineRule="auto"/>
              <w:jc w:val="center"/>
              <w:rPr>
                <w:b/>
                <w:bCs/>
                <w:sz w:val="20"/>
              </w:rPr>
            </w:pPr>
            <w:r w:rsidRPr="00791DA4">
              <w:rPr>
                <w:b/>
                <w:bCs/>
                <w:sz w:val="20"/>
              </w:rPr>
              <w:t>0</w:t>
            </w:r>
            <w:r w:rsidR="00290B59" w:rsidRPr="00791DA4">
              <w:rPr>
                <w:b/>
                <w:bCs/>
                <w:sz w:val="20"/>
              </w:rPr>
              <w:t>%</w:t>
            </w:r>
          </w:p>
        </w:tc>
      </w:tr>
      <w:tr w:rsidR="00290B59" w:rsidRPr="00E069AC" w14:paraId="62C8DEBF" w14:textId="77777777" w:rsidTr="007E4C7C">
        <w:trPr>
          <w:trHeight w:val="415"/>
        </w:trPr>
        <w:tc>
          <w:tcPr>
            <w:tcW w:w="4675" w:type="dxa"/>
            <w:vAlign w:val="center"/>
          </w:tcPr>
          <w:p w14:paraId="2E6F7CF6" w14:textId="152A15A8" w:rsidR="00290B59" w:rsidRPr="00791DA4" w:rsidRDefault="00290B59" w:rsidP="00290B59">
            <w:pPr>
              <w:spacing w:line="240" w:lineRule="auto"/>
              <w:jc w:val="left"/>
              <w:rPr>
                <w:sz w:val="20"/>
              </w:rPr>
            </w:pPr>
            <w:r w:rsidRPr="00791DA4">
              <w:rPr>
                <w:sz w:val="20"/>
              </w:rPr>
              <w:t xml:space="preserve">Greenpeace Energy [R]evolution </w:t>
            </w:r>
            <w:r w:rsidR="00820BA5" w:rsidRPr="00791DA4">
              <w:rPr>
                <w:sz w:val="20"/>
              </w:rPr>
              <w:t xml:space="preserve">(2015) </w:t>
            </w:r>
            <w:r w:rsidRPr="00791DA4">
              <w:rPr>
                <w:sz w:val="20"/>
              </w:rPr>
              <w:t>– Reference Scenario</w:t>
            </w:r>
          </w:p>
        </w:tc>
        <w:tc>
          <w:tcPr>
            <w:tcW w:w="1879" w:type="dxa"/>
            <w:vAlign w:val="center"/>
          </w:tcPr>
          <w:p w14:paraId="0619B6B2" w14:textId="2D7E942C" w:rsidR="00290B59" w:rsidRPr="00D02875" w:rsidDel="00872DCA" w:rsidRDefault="00214EDB" w:rsidP="00290B59">
            <w:pPr>
              <w:spacing w:line="240" w:lineRule="auto"/>
              <w:jc w:val="center"/>
              <w:rPr>
                <w:bCs/>
                <w:sz w:val="20"/>
              </w:rPr>
            </w:pPr>
            <w:r w:rsidRPr="00D02875">
              <w:rPr>
                <w:bCs/>
                <w:sz w:val="20"/>
              </w:rPr>
              <w:t>4,054</w:t>
            </w:r>
          </w:p>
        </w:tc>
        <w:tc>
          <w:tcPr>
            <w:tcW w:w="2655" w:type="dxa"/>
            <w:vAlign w:val="center"/>
          </w:tcPr>
          <w:p w14:paraId="23828F86" w14:textId="70D1FF9A" w:rsidR="00290B59" w:rsidRPr="00D02875" w:rsidDel="00120490" w:rsidRDefault="00D02875" w:rsidP="00290B59">
            <w:pPr>
              <w:spacing w:line="240" w:lineRule="auto"/>
              <w:jc w:val="center"/>
              <w:rPr>
                <w:bCs/>
                <w:sz w:val="20"/>
              </w:rPr>
            </w:pPr>
            <w:r w:rsidRPr="00D02875">
              <w:rPr>
                <w:bCs/>
                <w:sz w:val="20"/>
              </w:rPr>
              <w:t>8.1</w:t>
            </w:r>
            <w:r w:rsidR="00290B59" w:rsidRPr="00D02875">
              <w:rPr>
                <w:bCs/>
                <w:sz w:val="20"/>
              </w:rPr>
              <w:t>%</w:t>
            </w:r>
          </w:p>
        </w:tc>
      </w:tr>
      <w:tr w:rsidR="00D02875" w:rsidRPr="00E069AC" w14:paraId="0EF1CEA1" w14:textId="77777777" w:rsidTr="007E4C7C">
        <w:trPr>
          <w:trHeight w:val="415"/>
        </w:trPr>
        <w:tc>
          <w:tcPr>
            <w:tcW w:w="4675" w:type="dxa"/>
            <w:vAlign w:val="center"/>
          </w:tcPr>
          <w:p w14:paraId="4F1621C6" w14:textId="5524B287" w:rsidR="00D02875" w:rsidRPr="00791DA4" w:rsidRDefault="00D02875" w:rsidP="00D02875">
            <w:pPr>
              <w:spacing w:line="240" w:lineRule="auto"/>
              <w:jc w:val="left"/>
              <w:rPr>
                <w:sz w:val="20"/>
              </w:rPr>
            </w:pPr>
            <w:r w:rsidRPr="00791DA4">
              <w:rPr>
                <w:sz w:val="20"/>
              </w:rPr>
              <w:t>Greenpeace Energy [R]evolution (2015) – Energy Revolution Scenario</w:t>
            </w:r>
          </w:p>
        </w:tc>
        <w:tc>
          <w:tcPr>
            <w:tcW w:w="1879" w:type="dxa"/>
            <w:vAlign w:val="center"/>
          </w:tcPr>
          <w:p w14:paraId="1F1A8159" w14:textId="391FD2B0" w:rsidR="00D02875" w:rsidRPr="00D02875" w:rsidDel="00872DCA" w:rsidRDefault="00D02875" w:rsidP="00D02875">
            <w:pPr>
              <w:spacing w:line="240" w:lineRule="auto"/>
              <w:jc w:val="center"/>
              <w:rPr>
                <w:bCs/>
                <w:sz w:val="20"/>
                <w:highlight w:val="yellow"/>
              </w:rPr>
            </w:pPr>
            <w:r w:rsidRPr="00D02875">
              <w:rPr>
                <w:rFonts w:cstheme="minorHAnsi"/>
                <w:bCs/>
                <w:sz w:val="20"/>
                <w:szCs w:val="20"/>
              </w:rPr>
              <w:t>0</w:t>
            </w:r>
          </w:p>
        </w:tc>
        <w:tc>
          <w:tcPr>
            <w:tcW w:w="2655" w:type="dxa"/>
            <w:vAlign w:val="center"/>
          </w:tcPr>
          <w:p w14:paraId="56E0F3B2" w14:textId="4F764B85" w:rsidR="00D02875" w:rsidRPr="00D02875" w:rsidDel="00120490" w:rsidRDefault="00D02875" w:rsidP="00D02875">
            <w:pPr>
              <w:spacing w:line="240" w:lineRule="auto"/>
              <w:jc w:val="center"/>
              <w:rPr>
                <w:bCs/>
                <w:sz w:val="20"/>
                <w:highlight w:val="yellow"/>
              </w:rPr>
            </w:pPr>
            <w:r w:rsidRPr="00D02875">
              <w:rPr>
                <w:bCs/>
                <w:sz w:val="20"/>
              </w:rPr>
              <w:t>0%</w:t>
            </w:r>
          </w:p>
        </w:tc>
      </w:tr>
      <w:tr w:rsidR="00D02875" w:rsidRPr="00E069AC" w14:paraId="09789A8E" w14:textId="77777777" w:rsidTr="007E4C7C">
        <w:trPr>
          <w:trHeight w:val="415"/>
        </w:trPr>
        <w:tc>
          <w:tcPr>
            <w:tcW w:w="4675" w:type="dxa"/>
            <w:vAlign w:val="center"/>
          </w:tcPr>
          <w:p w14:paraId="6D90BD98" w14:textId="3A9879C6" w:rsidR="00D02875" w:rsidRPr="00791DA4" w:rsidRDefault="00D02875" w:rsidP="00D02875">
            <w:pPr>
              <w:spacing w:line="240" w:lineRule="auto"/>
              <w:jc w:val="left"/>
              <w:rPr>
                <w:sz w:val="20"/>
              </w:rPr>
            </w:pPr>
            <w:r w:rsidRPr="00791DA4">
              <w:rPr>
                <w:sz w:val="20"/>
              </w:rPr>
              <w:t>Greenpeace Energy [R]evolution (2015) – Advanced Energy Revolution Scenario</w:t>
            </w:r>
          </w:p>
        </w:tc>
        <w:tc>
          <w:tcPr>
            <w:tcW w:w="1879" w:type="dxa"/>
            <w:vAlign w:val="center"/>
          </w:tcPr>
          <w:p w14:paraId="64C65884" w14:textId="3391FDD4" w:rsidR="00D02875" w:rsidRPr="00D02875" w:rsidDel="00872DCA" w:rsidRDefault="00D02875" w:rsidP="00D02875">
            <w:pPr>
              <w:spacing w:line="240" w:lineRule="auto"/>
              <w:jc w:val="center"/>
              <w:rPr>
                <w:bCs/>
                <w:sz w:val="20"/>
                <w:highlight w:val="yellow"/>
              </w:rPr>
            </w:pPr>
            <w:r w:rsidRPr="00D02875">
              <w:rPr>
                <w:rFonts w:cstheme="minorHAnsi"/>
                <w:bCs/>
                <w:sz w:val="20"/>
                <w:szCs w:val="20"/>
              </w:rPr>
              <w:t>0</w:t>
            </w:r>
          </w:p>
        </w:tc>
        <w:tc>
          <w:tcPr>
            <w:tcW w:w="2655" w:type="dxa"/>
            <w:vAlign w:val="center"/>
          </w:tcPr>
          <w:p w14:paraId="283EBA2A" w14:textId="21A75516" w:rsidR="00D02875" w:rsidRPr="00D02875" w:rsidDel="00120490" w:rsidRDefault="00D02875" w:rsidP="00D02875">
            <w:pPr>
              <w:spacing w:line="240" w:lineRule="auto"/>
              <w:jc w:val="center"/>
              <w:rPr>
                <w:bCs/>
                <w:sz w:val="20"/>
                <w:highlight w:val="yellow"/>
              </w:rPr>
            </w:pPr>
            <w:r w:rsidRPr="00D02875">
              <w:rPr>
                <w:bCs/>
                <w:sz w:val="20"/>
              </w:rPr>
              <w:t>0%</w:t>
            </w:r>
          </w:p>
        </w:tc>
      </w:tr>
      <w:tr w:rsidR="00290B59" w:rsidRPr="00E069AC" w14:paraId="289707D9" w14:textId="77777777" w:rsidTr="00290B59">
        <w:trPr>
          <w:trHeight w:val="415"/>
        </w:trPr>
        <w:tc>
          <w:tcPr>
            <w:tcW w:w="4675" w:type="dxa"/>
            <w:vAlign w:val="center"/>
          </w:tcPr>
          <w:p w14:paraId="65A69EF1" w14:textId="005B55CF" w:rsidR="00290B59" w:rsidRPr="00791DA4" w:rsidRDefault="00290B59" w:rsidP="00290B59">
            <w:pPr>
              <w:spacing w:line="240" w:lineRule="auto"/>
              <w:jc w:val="left"/>
              <w:rPr>
                <w:sz w:val="20"/>
              </w:rPr>
            </w:pPr>
            <w:r w:rsidRPr="00791DA4">
              <w:rPr>
                <w:sz w:val="20"/>
              </w:rPr>
              <w:t xml:space="preserve">IEA Energy Technologies Perspectives (2017) – Reference Technology Scenario </w:t>
            </w:r>
          </w:p>
        </w:tc>
        <w:tc>
          <w:tcPr>
            <w:tcW w:w="1879" w:type="dxa"/>
            <w:vAlign w:val="center"/>
          </w:tcPr>
          <w:p w14:paraId="693F09FD" w14:textId="5DA67BEA" w:rsidR="00290B59" w:rsidRPr="001D14D9" w:rsidRDefault="00290B59" w:rsidP="00290B59">
            <w:pPr>
              <w:spacing w:line="240" w:lineRule="auto"/>
              <w:jc w:val="center"/>
              <w:rPr>
                <w:bCs/>
                <w:sz w:val="20"/>
                <w:highlight w:val="yellow"/>
              </w:rPr>
            </w:pPr>
            <w:r w:rsidRPr="00214EDB">
              <w:rPr>
                <w:bCs/>
                <w:sz w:val="20"/>
              </w:rPr>
              <w:t>4,</w:t>
            </w:r>
            <w:r w:rsidR="00214EDB" w:rsidRPr="00214EDB">
              <w:rPr>
                <w:bCs/>
                <w:sz w:val="20"/>
              </w:rPr>
              <w:t>951</w:t>
            </w:r>
          </w:p>
        </w:tc>
        <w:tc>
          <w:tcPr>
            <w:tcW w:w="2655" w:type="dxa"/>
            <w:vAlign w:val="center"/>
          </w:tcPr>
          <w:p w14:paraId="5718A6A0" w14:textId="6A386168" w:rsidR="00290B59" w:rsidRPr="001D14D9" w:rsidRDefault="00214EDB" w:rsidP="00290B59">
            <w:pPr>
              <w:spacing w:line="240" w:lineRule="auto"/>
              <w:jc w:val="center"/>
              <w:rPr>
                <w:bCs/>
                <w:sz w:val="20"/>
                <w:highlight w:val="yellow"/>
              </w:rPr>
            </w:pPr>
            <w:r w:rsidRPr="00214EDB">
              <w:rPr>
                <w:bCs/>
                <w:sz w:val="20"/>
              </w:rPr>
              <w:t>16.0%</w:t>
            </w:r>
          </w:p>
        </w:tc>
      </w:tr>
      <w:tr w:rsidR="00290B59" w:rsidRPr="00E069AC" w14:paraId="050ACC57" w14:textId="77777777" w:rsidTr="00290B59">
        <w:trPr>
          <w:trHeight w:val="410"/>
        </w:trPr>
        <w:tc>
          <w:tcPr>
            <w:tcW w:w="4675" w:type="dxa"/>
            <w:vAlign w:val="center"/>
          </w:tcPr>
          <w:p w14:paraId="0584602D" w14:textId="4659DC0A" w:rsidR="00290B59" w:rsidRPr="00791DA4" w:rsidRDefault="00290B59" w:rsidP="00290B59">
            <w:pPr>
              <w:spacing w:line="240" w:lineRule="auto"/>
              <w:jc w:val="left"/>
              <w:rPr>
                <w:sz w:val="20"/>
              </w:rPr>
            </w:pPr>
            <w:r w:rsidRPr="00791DA4">
              <w:rPr>
                <w:sz w:val="20"/>
              </w:rPr>
              <w:t xml:space="preserve">IEA Energy Technologies Perspectives (2017) – 2DS </w:t>
            </w:r>
          </w:p>
        </w:tc>
        <w:tc>
          <w:tcPr>
            <w:tcW w:w="1879" w:type="dxa"/>
            <w:vAlign w:val="center"/>
          </w:tcPr>
          <w:p w14:paraId="695ED788" w14:textId="3D9EF242" w:rsidR="00290B59" w:rsidRPr="001D14D9" w:rsidRDefault="00290B59" w:rsidP="00290B59">
            <w:pPr>
              <w:spacing w:line="240" w:lineRule="auto"/>
              <w:jc w:val="center"/>
              <w:rPr>
                <w:bCs/>
                <w:sz w:val="20"/>
                <w:highlight w:val="yellow"/>
              </w:rPr>
            </w:pPr>
            <w:r w:rsidRPr="00214EDB">
              <w:rPr>
                <w:bCs/>
                <w:sz w:val="20"/>
              </w:rPr>
              <w:t>6,</w:t>
            </w:r>
            <w:r w:rsidR="00214EDB" w:rsidRPr="00214EDB">
              <w:rPr>
                <w:bCs/>
                <w:sz w:val="20"/>
              </w:rPr>
              <w:t>932</w:t>
            </w:r>
          </w:p>
        </w:tc>
        <w:tc>
          <w:tcPr>
            <w:tcW w:w="2655" w:type="dxa"/>
            <w:vAlign w:val="center"/>
          </w:tcPr>
          <w:p w14:paraId="60D7DAD1" w14:textId="3E80FC20" w:rsidR="00290B59" w:rsidRPr="001D14D9" w:rsidRDefault="00214EDB" w:rsidP="00290B59">
            <w:pPr>
              <w:spacing w:line="240" w:lineRule="auto"/>
              <w:jc w:val="center"/>
              <w:rPr>
                <w:bCs/>
                <w:sz w:val="20"/>
                <w:highlight w:val="yellow"/>
              </w:rPr>
            </w:pPr>
            <w:r w:rsidRPr="00214EDB">
              <w:rPr>
                <w:bCs/>
                <w:sz w:val="20"/>
              </w:rPr>
              <w:t>16.</w:t>
            </w:r>
            <w:r>
              <w:rPr>
                <w:bCs/>
                <w:sz w:val="20"/>
              </w:rPr>
              <w:t>3</w:t>
            </w:r>
            <w:r w:rsidRPr="00214EDB">
              <w:rPr>
                <w:bCs/>
                <w:sz w:val="20"/>
              </w:rPr>
              <w:t>%</w:t>
            </w:r>
          </w:p>
        </w:tc>
      </w:tr>
      <w:tr w:rsidR="00290B59" w:rsidRPr="00E069AC" w14:paraId="78931A43" w14:textId="77777777" w:rsidTr="001D14D9">
        <w:trPr>
          <w:trHeight w:val="99"/>
        </w:trPr>
        <w:tc>
          <w:tcPr>
            <w:tcW w:w="4675" w:type="dxa"/>
            <w:vAlign w:val="center"/>
          </w:tcPr>
          <w:p w14:paraId="4514D391" w14:textId="4AF7A86F" w:rsidR="00290B59" w:rsidRPr="00791DA4" w:rsidRDefault="00290B59" w:rsidP="00290B59">
            <w:pPr>
              <w:spacing w:line="240" w:lineRule="auto"/>
              <w:jc w:val="left"/>
              <w:rPr>
                <w:sz w:val="20"/>
              </w:rPr>
            </w:pPr>
            <w:r w:rsidRPr="00791DA4">
              <w:rPr>
                <w:sz w:val="20"/>
              </w:rPr>
              <w:t xml:space="preserve">IEA Energy Technologies Perspectives (2017) – B2DS </w:t>
            </w:r>
          </w:p>
        </w:tc>
        <w:tc>
          <w:tcPr>
            <w:tcW w:w="1879" w:type="dxa"/>
            <w:vAlign w:val="center"/>
          </w:tcPr>
          <w:p w14:paraId="109D83B9" w14:textId="4B643620" w:rsidR="00290B59" w:rsidRPr="001D14D9" w:rsidRDefault="00214EDB" w:rsidP="00290B59">
            <w:pPr>
              <w:spacing w:line="240" w:lineRule="auto"/>
              <w:jc w:val="center"/>
              <w:rPr>
                <w:bCs/>
                <w:sz w:val="20"/>
                <w:highlight w:val="yellow"/>
              </w:rPr>
            </w:pPr>
            <w:r w:rsidRPr="00214EDB">
              <w:rPr>
                <w:bCs/>
                <w:sz w:val="20"/>
              </w:rPr>
              <w:t>7,069</w:t>
            </w:r>
          </w:p>
        </w:tc>
        <w:tc>
          <w:tcPr>
            <w:tcW w:w="2655" w:type="dxa"/>
            <w:vAlign w:val="center"/>
          </w:tcPr>
          <w:p w14:paraId="17DB0DA6" w14:textId="6AC4F6FA" w:rsidR="00290B59" w:rsidRPr="001D14D9" w:rsidRDefault="00214EDB" w:rsidP="00290B59">
            <w:pPr>
              <w:spacing w:line="240" w:lineRule="auto"/>
              <w:jc w:val="center"/>
              <w:rPr>
                <w:bCs/>
                <w:sz w:val="20"/>
                <w:highlight w:val="yellow"/>
              </w:rPr>
            </w:pPr>
            <w:r w:rsidRPr="00214EDB">
              <w:rPr>
                <w:bCs/>
                <w:sz w:val="20"/>
              </w:rPr>
              <w:t>16.0%</w:t>
            </w:r>
          </w:p>
        </w:tc>
      </w:tr>
      <w:tr w:rsidR="00214EDB" w:rsidRPr="00E069AC" w14:paraId="24F8CA6E" w14:textId="77777777" w:rsidTr="001D14D9">
        <w:trPr>
          <w:trHeight w:val="99"/>
        </w:trPr>
        <w:tc>
          <w:tcPr>
            <w:tcW w:w="4675" w:type="dxa"/>
            <w:vAlign w:val="center"/>
          </w:tcPr>
          <w:p w14:paraId="15CABB6D" w14:textId="033CF5C3" w:rsidR="00214EDB" w:rsidRPr="00791DA4" w:rsidRDefault="00214EDB" w:rsidP="00290B59">
            <w:pPr>
              <w:spacing w:line="240" w:lineRule="auto"/>
              <w:jc w:val="left"/>
              <w:rPr>
                <w:sz w:val="20"/>
              </w:rPr>
            </w:pPr>
            <w:r>
              <w:rPr>
                <w:sz w:val="20"/>
              </w:rPr>
              <w:t>IEEJ Outlook 2019 (2018) – Reference Scenario</w:t>
            </w:r>
          </w:p>
        </w:tc>
        <w:tc>
          <w:tcPr>
            <w:tcW w:w="1879" w:type="dxa"/>
            <w:vAlign w:val="center"/>
          </w:tcPr>
          <w:p w14:paraId="1D850E41" w14:textId="25596CFC" w:rsidR="00214EDB" w:rsidRPr="00214EDB" w:rsidRDefault="00214EDB" w:rsidP="00290B59">
            <w:pPr>
              <w:spacing w:line="240" w:lineRule="auto"/>
              <w:jc w:val="center"/>
              <w:rPr>
                <w:bCs/>
                <w:sz w:val="20"/>
              </w:rPr>
            </w:pPr>
            <w:r>
              <w:rPr>
                <w:bCs/>
                <w:sz w:val="20"/>
              </w:rPr>
              <w:t>3,496</w:t>
            </w:r>
          </w:p>
        </w:tc>
        <w:tc>
          <w:tcPr>
            <w:tcW w:w="2655" w:type="dxa"/>
            <w:vAlign w:val="center"/>
          </w:tcPr>
          <w:p w14:paraId="14809C4C" w14:textId="7D311795" w:rsidR="00214EDB" w:rsidRPr="00214EDB" w:rsidRDefault="00214EDB" w:rsidP="00290B59">
            <w:pPr>
              <w:spacing w:line="240" w:lineRule="auto"/>
              <w:jc w:val="center"/>
              <w:rPr>
                <w:bCs/>
                <w:sz w:val="20"/>
              </w:rPr>
            </w:pPr>
            <w:r>
              <w:rPr>
                <w:bCs/>
                <w:sz w:val="20"/>
              </w:rPr>
              <w:t>7.5%</w:t>
            </w:r>
          </w:p>
        </w:tc>
      </w:tr>
      <w:tr w:rsidR="00214EDB" w:rsidRPr="00E069AC" w14:paraId="6D3EBFB0" w14:textId="77777777" w:rsidTr="001D14D9">
        <w:trPr>
          <w:trHeight w:val="99"/>
        </w:trPr>
        <w:tc>
          <w:tcPr>
            <w:tcW w:w="4675" w:type="dxa"/>
            <w:vAlign w:val="center"/>
          </w:tcPr>
          <w:p w14:paraId="777AA7FD" w14:textId="5CC192EF" w:rsidR="00214EDB" w:rsidRPr="00791DA4" w:rsidRDefault="00214EDB" w:rsidP="00290B59">
            <w:pPr>
              <w:spacing w:line="240" w:lineRule="auto"/>
              <w:jc w:val="left"/>
              <w:rPr>
                <w:sz w:val="20"/>
              </w:rPr>
            </w:pPr>
            <w:r>
              <w:rPr>
                <w:sz w:val="20"/>
              </w:rPr>
              <w:t>IEEJ Outlook 2019 (2018) – Advanced Technologies Scenario</w:t>
            </w:r>
          </w:p>
        </w:tc>
        <w:tc>
          <w:tcPr>
            <w:tcW w:w="1879" w:type="dxa"/>
            <w:vAlign w:val="center"/>
          </w:tcPr>
          <w:p w14:paraId="378B806F" w14:textId="0F91CA88" w:rsidR="00214EDB" w:rsidRPr="00214EDB" w:rsidRDefault="00214EDB" w:rsidP="00290B59">
            <w:pPr>
              <w:spacing w:line="240" w:lineRule="auto"/>
              <w:jc w:val="center"/>
              <w:rPr>
                <w:bCs/>
                <w:sz w:val="20"/>
              </w:rPr>
            </w:pPr>
            <w:r>
              <w:rPr>
                <w:bCs/>
                <w:sz w:val="20"/>
              </w:rPr>
              <w:t>5,685</w:t>
            </w:r>
          </w:p>
        </w:tc>
        <w:tc>
          <w:tcPr>
            <w:tcW w:w="2655" w:type="dxa"/>
            <w:vAlign w:val="center"/>
          </w:tcPr>
          <w:p w14:paraId="7DCAEEF9" w14:textId="11CF6F25" w:rsidR="00214EDB" w:rsidRPr="00214EDB" w:rsidRDefault="00214EDB" w:rsidP="00290B59">
            <w:pPr>
              <w:spacing w:line="240" w:lineRule="auto"/>
              <w:jc w:val="center"/>
              <w:rPr>
                <w:bCs/>
                <w:sz w:val="20"/>
              </w:rPr>
            </w:pPr>
            <w:r>
              <w:rPr>
                <w:bCs/>
                <w:sz w:val="20"/>
              </w:rPr>
              <w:t>13%</w:t>
            </w:r>
          </w:p>
        </w:tc>
      </w:tr>
      <w:tr w:rsidR="00791DA4" w:rsidRPr="00E069AC" w14:paraId="73FBDC20" w14:textId="77777777" w:rsidTr="001D14D9">
        <w:trPr>
          <w:trHeight w:val="99"/>
        </w:trPr>
        <w:tc>
          <w:tcPr>
            <w:tcW w:w="4675" w:type="dxa"/>
            <w:vAlign w:val="center"/>
          </w:tcPr>
          <w:p w14:paraId="733B2EF9" w14:textId="092ECDC5" w:rsidR="00791DA4" w:rsidRPr="00791DA4" w:rsidRDefault="00791DA4" w:rsidP="00290B59">
            <w:pPr>
              <w:spacing w:line="240" w:lineRule="auto"/>
              <w:jc w:val="left"/>
              <w:rPr>
                <w:sz w:val="20"/>
              </w:rPr>
            </w:pPr>
            <w:r w:rsidRPr="00791DA4">
              <w:rPr>
                <w:sz w:val="20"/>
              </w:rPr>
              <w:t xml:space="preserve">Ram </w:t>
            </w:r>
            <w:r w:rsidRPr="00850C63">
              <w:rPr>
                <w:i/>
                <w:sz w:val="20"/>
              </w:rPr>
              <w:t>et al</w:t>
            </w:r>
            <w:r w:rsidRPr="00791DA4">
              <w:rPr>
                <w:sz w:val="20"/>
              </w:rPr>
              <w:t>. (2019</w:t>
            </w:r>
            <w:r w:rsidR="00214EDB">
              <w:rPr>
                <w:sz w:val="20"/>
              </w:rPr>
              <w:t>)</w:t>
            </w:r>
          </w:p>
        </w:tc>
        <w:tc>
          <w:tcPr>
            <w:tcW w:w="1879" w:type="dxa"/>
            <w:vAlign w:val="center"/>
          </w:tcPr>
          <w:p w14:paraId="40860C5B" w14:textId="234FA146" w:rsidR="00791DA4" w:rsidRPr="00214EDB" w:rsidRDefault="00791DA4" w:rsidP="00290B59">
            <w:pPr>
              <w:spacing w:line="240" w:lineRule="auto"/>
              <w:jc w:val="center"/>
              <w:rPr>
                <w:bCs/>
                <w:sz w:val="20"/>
              </w:rPr>
            </w:pPr>
            <w:r w:rsidRPr="00214EDB">
              <w:rPr>
                <w:bCs/>
                <w:sz w:val="20"/>
              </w:rPr>
              <w:t>194</w:t>
            </w:r>
          </w:p>
        </w:tc>
        <w:tc>
          <w:tcPr>
            <w:tcW w:w="2655" w:type="dxa"/>
            <w:vAlign w:val="center"/>
          </w:tcPr>
          <w:p w14:paraId="7194C94F" w14:textId="664153A4" w:rsidR="00791DA4" w:rsidRPr="00214EDB" w:rsidRDefault="00214EDB" w:rsidP="00290B59">
            <w:pPr>
              <w:spacing w:line="240" w:lineRule="auto"/>
              <w:jc w:val="center"/>
              <w:rPr>
                <w:bCs/>
                <w:sz w:val="20"/>
              </w:rPr>
            </w:pPr>
            <w:r w:rsidRPr="00214EDB">
              <w:rPr>
                <w:bCs/>
                <w:sz w:val="20"/>
              </w:rPr>
              <w:t>0.3%</w:t>
            </w:r>
          </w:p>
        </w:tc>
      </w:tr>
    </w:tbl>
    <w:p w14:paraId="2CCA8450" w14:textId="77777777" w:rsidR="00593535" w:rsidRDefault="00593535">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454D80C" w14:textId="13AE9D05" w:rsidR="00434F61" w:rsidRPr="00E069AC" w:rsidRDefault="551A77D0" w:rsidP="00912CC8">
      <w:pPr>
        <w:pStyle w:val="Heading1"/>
      </w:pPr>
      <w:bookmarkStart w:id="62" w:name="_Toc19323165"/>
      <w:r w:rsidRPr="00E069AC">
        <w:t>References</w:t>
      </w:r>
      <w:bookmarkEnd w:id="62"/>
    </w:p>
    <w:p w14:paraId="0903B764" w14:textId="77777777" w:rsidR="00C70BE1" w:rsidRPr="00C70BE1" w:rsidRDefault="00C70BE1" w:rsidP="00394EFB">
      <w:pPr>
        <w:rPr>
          <w:rFonts w:eastAsia="SimSun" w:cs="Times New Roman"/>
        </w:rPr>
      </w:pPr>
      <w:r w:rsidRPr="00C70BE1">
        <w:rPr>
          <w:rFonts w:eastAsia="SimSun" w:cs="Times New Roman"/>
        </w:rPr>
        <w:t xml:space="preserve">AREVA. (2016). Production of MOX Fuel. Retrieved from </w:t>
      </w:r>
      <w:hyperlink r:id="rId24" w:history="1">
        <w:r w:rsidRPr="00C70BE1">
          <w:rPr>
            <w:rStyle w:val="Hyperlink"/>
            <w:rFonts w:eastAsia="SimSun" w:cs="Times New Roman"/>
          </w:rPr>
          <w:t>http://www.areva.com/EN/operations-1095/melox-operations-production-of-mox-fuel-assemblies.html</w:t>
        </w:r>
      </w:hyperlink>
      <w:r w:rsidRPr="00C70BE1">
        <w:rPr>
          <w:rFonts w:eastAsia="SimSun" w:cs="Times New Roman"/>
        </w:rPr>
        <w:t xml:space="preserve"> </w:t>
      </w:r>
    </w:p>
    <w:p w14:paraId="6E9F3D63" w14:textId="77777777" w:rsidR="00C70BE1" w:rsidRPr="00C70BE1" w:rsidRDefault="00C70BE1" w:rsidP="00394EFB">
      <w:pPr>
        <w:rPr>
          <w:rFonts w:cs="Times New Roman"/>
        </w:rPr>
      </w:pPr>
      <w:r w:rsidRPr="00C70BE1">
        <w:rPr>
          <w:rFonts w:cs="Times New Roman"/>
        </w:rPr>
        <w:t xml:space="preserve">Ecofys. (2018). </w:t>
      </w:r>
      <w:r w:rsidRPr="00C70BE1">
        <w:rPr>
          <w:rFonts w:cs="Times New Roman"/>
          <w:i/>
        </w:rPr>
        <w:t>Energy transition within 1.5ºC.</w:t>
      </w:r>
      <w:r w:rsidRPr="00C70BE1">
        <w:rPr>
          <w:rFonts w:cs="Times New Roman"/>
        </w:rPr>
        <w:t xml:space="preserve"> A disruptive approach to 100% decarbonization of the global energy system by 2050. Ecofys- A Navigant Company. Retrieved from: </w:t>
      </w:r>
      <w:hyperlink r:id="rId25" w:history="1">
        <w:r w:rsidRPr="00C70BE1">
          <w:rPr>
            <w:rStyle w:val="Hyperlink"/>
            <w:rFonts w:cs="Times New Roman"/>
          </w:rPr>
          <w:t>https://www.navigant.com/-/media/www/site/downloads/energy/2018/navigant2018energytransitionwithin15c.pdf</w:t>
        </w:r>
      </w:hyperlink>
    </w:p>
    <w:p w14:paraId="6E02E017" w14:textId="77777777" w:rsidR="00C70BE1" w:rsidRPr="00C70BE1" w:rsidRDefault="00C70BE1" w:rsidP="00394EFB">
      <w:pPr>
        <w:rPr>
          <w:rFonts w:eastAsia="SimSun" w:cs="Times New Roman"/>
        </w:rPr>
      </w:pPr>
      <w:r w:rsidRPr="00C70BE1">
        <w:rPr>
          <w:rFonts w:eastAsia="SimSun" w:cs="Times New Roman"/>
        </w:rPr>
        <w:t xml:space="preserve">EIA. (2016). Levelized Cost and Levelized Avoided Cost of New Generation Resources in the Annual Energy Outlook 2015. Retrieved from </w:t>
      </w:r>
      <w:hyperlink r:id="rId26" w:history="1">
        <w:r w:rsidRPr="00C70BE1">
          <w:rPr>
            <w:rStyle w:val="Hyperlink"/>
            <w:rFonts w:eastAsia="SimSun" w:cs="Times New Roman"/>
          </w:rPr>
          <w:t>https://www.eia.gov/forecasts/archive/aeo15/pdf/electricity_generation_2015.pdf</w:t>
        </w:r>
      </w:hyperlink>
      <w:r w:rsidRPr="00C70BE1">
        <w:rPr>
          <w:rFonts w:eastAsia="SimSun" w:cs="Times New Roman"/>
        </w:rPr>
        <w:t xml:space="preserve"> </w:t>
      </w:r>
    </w:p>
    <w:p w14:paraId="7F5BB3FC" w14:textId="77777777" w:rsidR="00C70BE1" w:rsidRPr="00C70BE1" w:rsidRDefault="00C70BE1" w:rsidP="00394EFB">
      <w:pPr>
        <w:rPr>
          <w:rFonts w:cs="Times New Roman"/>
        </w:rPr>
      </w:pPr>
      <w:r w:rsidRPr="00C70BE1">
        <w:rPr>
          <w:rFonts w:cs="Times New Roman"/>
        </w:rPr>
        <w:t xml:space="preserve">Equinor. (2018). </w:t>
      </w:r>
      <w:r w:rsidRPr="00C70BE1">
        <w:rPr>
          <w:rFonts w:cs="Times New Roman"/>
          <w:i/>
        </w:rPr>
        <w:t>Energy Perspectives 2018, Long-term macro and market outlook.</w:t>
      </w:r>
      <w:r w:rsidRPr="00C70BE1">
        <w:rPr>
          <w:rFonts w:cs="Times New Roman"/>
        </w:rPr>
        <w:t xml:space="preserve"> Equinor. Retrieved from: </w:t>
      </w:r>
      <w:hyperlink r:id="rId27" w:history="1">
        <w:r w:rsidRPr="00C70BE1">
          <w:rPr>
            <w:rStyle w:val="Hyperlink"/>
            <w:rFonts w:cs="Times New Roman"/>
          </w:rPr>
          <w:t>https://www.equinor.com/en/news/07jun2018-energy-perspectives.html</w:t>
        </w:r>
      </w:hyperlink>
    </w:p>
    <w:p w14:paraId="7C14BE75" w14:textId="77777777" w:rsidR="00C70BE1" w:rsidRPr="00C70BE1" w:rsidRDefault="00C70BE1" w:rsidP="00394EFB">
      <w:pPr>
        <w:rPr>
          <w:rFonts w:eastAsia="SimSun" w:cs="Times New Roman"/>
        </w:rPr>
      </w:pPr>
      <w:r w:rsidRPr="00C70BE1">
        <w:rPr>
          <w:rFonts w:eastAsia="SimSun" w:cs="Times New Roman"/>
        </w:rPr>
        <w:t xml:space="preserve">European Nuclear Society (ENS). (2016). Fuel Comparison. Retrieved from </w:t>
      </w:r>
      <w:hyperlink r:id="rId28" w:history="1">
        <w:r w:rsidRPr="00C70BE1">
          <w:rPr>
            <w:rStyle w:val="Hyperlink"/>
            <w:rFonts w:eastAsia="SimSun" w:cs="Times New Roman"/>
          </w:rPr>
          <w:t>https://www.euronuclear.org/info/encyclopedia/f/fuelcomparison.htm</w:t>
        </w:r>
      </w:hyperlink>
    </w:p>
    <w:p w14:paraId="42DB8EB5" w14:textId="77777777" w:rsidR="00C70BE1" w:rsidRPr="00C70BE1" w:rsidRDefault="00C70BE1" w:rsidP="00394EFB">
      <w:pPr>
        <w:rPr>
          <w:rFonts w:eastAsia="SimSun" w:cs="Times New Roman"/>
          <w:bCs/>
        </w:rPr>
      </w:pPr>
      <w:r w:rsidRPr="00C70BE1">
        <w:rPr>
          <w:rFonts w:eastAsia="SimSun" w:cs="Times New Roman"/>
          <w:bCs/>
        </w:rPr>
        <w:t xml:space="preserve">Fetter, Steve. (2009). Scientific American. How long will the world's uranium supplies last? Retrieved from </w:t>
      </w:r>
      <w:hyperlink r:id="rId29" w:history="1">
        <w:r w:rsidRPr="00C70BE1">
          <w:rPr>
            <w:rStyle w:val="Hyperlink"/>
            <w:rFonts w:eastAsia="SimSun" w:cs="Times New Roman"/>
            <w:bCs/>
          </w:rPr>
          <w:t>https://www.scientificamerican.com/article/how-long-will-global-uranium-deposits-last/</w:t>
        </w:r>
      </w:hyperlink>
      <w:r w:rsidRPr="00C70BE1">
        <w:rPr>
          <w:rFonts w:eastAsia="SimSun" w:cs="Times New Roman"/>
          <w:bCs/>
        </w:rPr>
        <w:t xml:space="preserve">. </w:t>
      </w:r>
    </w:p>
    <w:p w14:paraId="7BFE877F" w14:textId="77777777" w:rsidR="00C70BE1" w:rsidRPr="00C70BE1" w:rsidRDefault="00C70BE1" w:rsidP="00394EFB">
      <w:pPr>
        <w:rPr>
          <w:rFonts w:eastAsia="SimSun" w:cs="Times New Roman"/>
        </w:rPr>
      </w:pPr>
      <w:r w:rsidRPr="00C70BE1">
        <w:rPr>
          <w:rFonts w:eastAsia="SimSun" w:cs="Times New Roman"/>
        </w:rPr>
        <w:t xml:space="preserve">Fthenakis and Kim. (2007). Energy Policy. Greenhouse-gas emissions from solar electric- and nuclear power: A life-cycle study. Retrieved from </w:t>
      </w:r>
      <w:hyperlink r:id="rId30" w:history="1">
        <w:r w:rsidRPr="00C70BE1">
          <w:rPr>
            <w:rStyle w:val="Hyperlink"/>
            <w:rFonts w:eastAsia="SimSun" w:cs="Times New Roman"/>
          </w:rPr>
          <w:t>http://www.sciencedirect.com/science/article/pii/S0301421506002758</w:t>
        </w:r>
      </w:hyperlink>
      <w:r w:rsidRPr="00C70BE1">
        <w:rPr>
          <w:rFonts w:eastAsia="SimSun" w:cs="Times New Roman"/>
        </w:rPr>
        <w:t>.</w:t>
      </w:r>
    </w:p>
    <w:p w14:paraId="6EA119DB" w14:textId="77777777" w:rsidR="00C70BE1" w:rsidRPr="00C70BE1" w:rsidRDefault="00C70BE1" w:rsidP="00394EFB">
      <w:pPr>
        <w:rPr>
          <w:rFonts w:eastAsia="SimSun" w:cs="Times New Roman"/>
          <w:noProof/>
        </w:rPr>
      </w:pPr>
      <w:r w:rsidRPr="00C70BE1">
        <w:rPr>
          <w:rFonts w:eastAsia="SimSun" w:cs="Times New Roman"/>
          <w:noProof/>
        </w:rPr>
        <w:t>Grantham Institute and Carbon Tracker (2017). Expect the Unexpected. The Disruptive Power of Low-carbon Technology</w:t>
      </w:r>
      <w:r w:rsidRPr="00C70BE1">
        <w:rPr>
          <w:rFonts w:eastAsia="Times New Roman" w:cs="Times New Roman"/>
          <w:lang w:eastAsia="en-US"/>
        </w:rPr>
        <w:t>.</w:t>
      </w:r>
      <w:r w:rsidRPr="00C70BE1">
        <w:rPr>
          <w:rFonts w:eastAsia="SimSun" w:cs="Times New Roman"/>
          <w:noProof/>
        </w:rPr>
        <w:t xml:space="preserve"> Grantham Institute- Climate Change and the Environment and Carbon Tracker Initiative.</w:t>
      </w:r>
      <w:r w:rsidRPr="00C70BE1">
        <w:rPr>
          <w:rFonts w:eastAsia="Times New Roman" w:cs="Times New Roman"/>
          <w:lang w:eastAsia="en-US"/>
        </w:rPr>
        <w:t xml:space="preserve"> </w:t>
      </w:r>
      <w:r w:rsidRPr="00C70BE1">
        <w:rPr>
          <w:rFonts w:eastAsia="SimSun" w:cs="Times New Roman"/>
          <w:noProof/>
        </w:rPr>
        <w:t xml:space="preserve">Retrieved from: </w:t>
      </w:r>
      <w:hyperlink r:id="rId31" w:history="1">
        <w:r w:rsidRPr="00C70BE1">
          <w:rPr>
            <w:rStyle w:val="Hyperlink"/>
            <w:rFonts w:eastAsia="SimSun" w:cs="Times New Roman"/>
            <w:noProof/>
          </w:rPr>
          <w:t>https://www.imperial.ac.uk/media/imperial-college/grantham-institute/public/publications/collaborative-publications/Expect-the-Unexpected_CTI_Imperial.pdf</w:t>
        </w:r>
      </w:hyperlink>
    </w:p>
    <w:p w14:paraId="3569D72D" w14:textId="77777777" w:rsidR="00C70BE1" w:rsidRPr="00C70BE1" w:rsidRDefault="00C70BE1" w:rsidP="00394EFB">
      <w:pPr>
        <w:rPr>
          <w:rFonts w:cs="Times New Roman"/>
        </w:rPr>
      </w:pPr>
      <w:r w:rsidRPr="00C70BE1">
        <w:rPr>
          <w:rFonts w:cs="Times New Roman"/>
        </w:rPr>
        <w:t xml:space="preserve">Greenpeace. (2015). </w:t>
      </w:r>
      <w:r w:rsidRPr="00C70BE1">
        <w:rPr>
          <w:rFonts w:cs="Times New Roman"/>
          <w:i/>
          <w:iCs/>
        </w:rPr>
        <w:t>World Energy [R]evolution, a sustainable world energy outlook.</w:t>
      </w:r>
      <w:r w:rsidRPr="00C70BE1">
        <w:rPr>
          <w:rFonts w:cs="Times New Roman"/>
        </w:rPr>
        <w:t xml:space="preserve"> Retrieved from: </w:t>
      </w:r>
      <w:hyperlink r:id="rId32" w:history="1">
        <w:r w:rsidRPr="00C70BE1">
          <w:rPr>
            <w:rStyle w:val="Hyperlink"/>
            <w:rFonts w:cs="Times New Roman"/>
          </w:rPr>
          <w:t>http://www.greenpeace.org/international/Global/international/publications/climate/2015/Energy-Revolution-2015-Full.pdf</w:t>
        </w:r>
      </w:hyperlink>
    </w:p>
    <w:p w14:paraId="34855520" w14:textId="77777777" w:rsidR="00C70BE1" w:rsidRPr="00C70BE1" w:rsidRDefault="00C70BE1" w:rsidP="00394EFB">
      <w:pPr>
        <w:rPr>
          <w:rFonts w:eastAsia="SimSun" w:cs="Times New Roman"/>
        </w:rPr>
      </w:pPr>
      <w:r w:rsidRPr="00C70BE1">
        <w:rPr>
          <w:rFonts w:eastAsia="SimSun" w:cs="Times New Roman"/>
        </w:rPr>
        <w:t xml:space="preserve">IAEA. (2016). Power Reactor Information System (PRIS). Retrieved from </w:t>
      </w:r>
      <w:hyperlink r:id="rId33" w:history="1">
        <w:r w:rsidRPr="00C70BE1">
          <w:rPr>
            <w:rStyle w:val="Hyperlink"/>
            <w:rFonts w:eastAsia="SimSun" w:cs="Times New Roman"/>
          </w:rPr>
          <w:t>https://www.iaea.org/pris/</w:t>
        </w:r>
      </w:hyperlink>
    </w:p>
    <w:p w14:paraId="7A1F7C58" w14:textId="77777777" w:rsidR="00C70BE1" w:rsidRPr="00C70BE1" w:rsidRDefault="00C70BE1" w:rsidP="00394EFB">
      <w:pPr>
        <w:rPr>
          <w:rFonts w:cs="Times New Roman"/>
        </w:rPr>
      </w:pPr>
      <w:r w:rsidRPr="00C70BE1">
        <w:rPr>
          <w:rFonts w:cs="Times New Roman"/>
        </w:rPr>
        <w:t>IEA (2019). Energy Prices and Taxes – Quarterly Statistics – First Quarter 2019. International Energy Agency. OECD/IEA, Paris.</w:t>
      </w:r>
    </w:p>
    <w:p w14:paraId="24F2465D" w14:textId="77777777" w:rsidR="00C70BE1" w:rsidRPr="00C70BE1" w:rsidRDefault="00C70BE1" w:rsidP="00394EFB">
      <w:pPr>
        <w:rPr>
          <w:rFonts w:eastAsia="SimSun" w:cs="Times New Roman"/>
        </w:rPr>
      </w:pPr>
      <w:r w:rsidRPr="00C70BE1">
        <w:rPr>
          <w:rFonts w:eastAsia="SimSun" w:cs="Times New Roman"/>
        </w:rPr>
        <w:t xml:space="preserve">IEA. (2012). </w:t>
      </w:r>
      <w:r w:rsidRPr="00C70BE1">
        <w:rPr>
          <w:rFonts w:eastAsia="SimSun" w:cs="Times New Roman"/>
          <w:i/>
          <w:iCs/>
        </w:rPr>
        <w:t>Technology Roadmap: High-Efficiency, Low-Emissions Coal-Fired Power Generation</w:t>
      </w:r>
      <w:r w:rsidRPr="00C70BE1">
        <w:rPr>
          <w:rFonts w:eastAsia="SimSun" w:cs="Times New Roman"/>
        </w:rPr>
        <w:t>. Paris, France: International Energy Agency. Retrieved from http://environmentportal.in/files/file/</w:t>
      </w:r>
      <w:r w:rsidRPr="00C70BE1">
        <w:rPr>
          <w:rFonts w:eastAsia="SimSun" w:cs="Times New Roman"/>
        </w:rPr>
        <w:br/>
        <w:t xml:space="preserve">TechnologyRoadmapHighEfficiencyLowEmissionsCoalFiredPowerGeneration.pdf  </w:t>
      </w:r>
    </w:p>
    <w:p w14:paraId="7D822424" w14:textId="77777777" w:rsidR="00C70BE1" w:rsidRPr="00C70BE1" w:rsidRDefault="00C70BE1" w:rsidP="00394EFB">
      <w:pPr>
        <w:rPr>
          <w:rFonts w:eastAsia="SimSun" w:cs="Times New Roman"/>
        </w:rPr>
      </w:pPr>
      <w:r w:rsidRPr="00C70BE1">
        <w:rPr>
          <w:rFonts w:eastAsia="SimSun" w:cs="Times New Roman"/>
        </w:rPr>
        <w:t xml:space="preserve">IEA. (2016). </w:t>
      </w:r>
      <w:r w:rsidRPr="00C70BE1">
        <w:rPr>
          <w:rFonts w:eastAsia="SimSun" w:cs="Times New Roman"/>
          <w:i/>
          <w:iCs/>
        </w:rPr>
        <w:t>Energy Technology Perspectives 2016</w:t>
      </w:r>
      <w:r w:rsidRPr="00C70BE1">
        <w:rPr>
          <w:rFonts w:eastAsia="SimSun" w:cs="Times New Roman"/>
        </w:rPr>
        <w:t xml:space="preserve">. Paris, France: International Energy Agency. Retrieved from </w:t>
      </w:r>
      <w:hyperlink r:id="rId34" w:history="1">
        <w:r w:rsidRPr="00C70BE1">
          <w:rPr>
            <w:rStyle w:val="Hyperlink"/>
            <w:rFonts w:eastAsia="SimSun" w:cs="Times New Roman"/>
          </w:rPr>
          <w:t>http://www.iea.org/etp/etp2016/</w:t>
        </w:r>
      </w:hyperlink>
    </w:p>
    <w:p w14:paraId="04B1686D" w14:textId="77777777" w:rsidR="00C70BE1" w:rsidRPr="00C70BE1" w:rsidRDefault="00C70BE1" w:rsidP="00394EFB">
      <w:pPr>
        <w:rPr>
          <w:rFonts w:cs="Times New Roman"/>
        </w:rPr>
      </w:pPr>
      <w:r w:rsidRPr="00C70BE1">
        <w:rPr>
          <w:rFonts w:cs="Times New Roman"/>
        </w:rPr>
        <w:t xml:space="preserve">IEA. (2017). </w:t>
      </w:r>
      <w:r w:rsidRPr="00C70BE1">
        <w:rPr>
          <w:rFonts w:cs="Times New Roman"/>
          <w:i/>
        </w:rPr>
        <w:t>Energy Technology Perspectives 2017 - Catalysing Energy Technology Transformations.</w:t>
      </w:r>
      <w:r w:rsidRPr="00C70BE1">
        <w:rPr>
          <w:rFonts w:cs="Times New Roman"/>
        </w:rPr>
        <w:t xml:space="preserve"> International Energy Agency (IEA). Retrieved from: </w:t>
      </w:r>
      <w:hyperlink r:id="rId35" w:history="1">
        <w:r w:rsidRPr="00C70BE1">
          <w:rPr>
            <w:rStyle w:val="Hyperlink"/>
            <w:rFonts w:cs="Times New Roman"/>
          </w:rPr>
          <w:t>https://www.iea.org/etp/</w:t>
        </w:r>
      </w:hyperlink>
    </w:p>
    <w:p w14:paraId="24FFCE14" w14:textId="77777777" w:rsidR="00C70BE1" w:rsidRPr="00C70BE1" w:rsidRDefault="00C70BE1" w:rsidP="00394EFB">
      <w:pPr>
        <w:rPr>
          <w:rFonts w:cs="Times New Roman"/>
        </w:rPr>
      </w:pPr>
      <w:r w:rsidRPr="00C70BE1">
        <w:rPr>
          <w:rFonts w:cs="Times New Roman"/>
        </w:rPr>
        <w:t xml:space="preserve">IEA. (2018). </w:t>
      </w:r>
      <w:r w:rsidRPr="00C70BE1">
        <w:rPr>
          <w:rFonts w:cs="Times New Roman"/>
          <w:i/>
        </w:rPr>
        <w:t>World Energy Outlook 2018.</w:t>
      </w:r>
      <w:r w:rsidRPr="00C70BE1">
        <w:rPr>
          <w:rFonts w:cs="Times New Roman"/>
        </w:rPr>
        <w:t xml:space="preserve"> International Energy Agency (IEA). Retrieved from: </w:t>
      </w:r>
      <w:hyperlink r:id="rId36" w:history="1">
        <w:r w:rsidRPr="00C70BE1">
          <w:rPr>
            <w:rStyle w:val="Hyperlink"/>
            <w:rFonts w:cs="Times New Roman"/>
          </w:rPr>
          <w:t>https://webstore.iea.org/world-energy-outlook-2018</w:t>
        </w:r>
      </w:hyperlink>
    </w:p>
    <w:p w14:paraId="04919CC0" w14:textId="77777777" w:rsidR="00C70BE1" w:rsidRPr="00C70BE1" w:rsidRDefault="00C70BE1" w:rsidP="00394EFB">
      <w:pPr>
        <w:rPr>
          <w:rFonts w:cs="Times New Roman"/>
        </w:rPr>
      </w:pPr>
      <w:r w:rsidRPr="00C70BE1">
        <w:rPr>
          <w:rFonts w:cs="Times New Roman"/>
        </w:rPr>
        <w:t xml:space="preserve">IEEJ. (2018). </w:t>
      </w:r>
      <w:r w:rsidRPr="00C70BE1">
        <w:rPr>
          <w:rFonts w:cs="Times New Roman"/>
          <w:i/>
        </w:rPr>
        <w:t>IEEJ Outlook 2019 – Energy transition and a thorny oath for 3E challenges.</w:t>
      </w:r>
      <w:r w:rsidRPr="00C70BE1">
        <w:rPr>
          <w:rFonts w:cs="Times New Roman"/>
        </w:rPr>
        <w:t xml:space="preserve"> The Institute of Energy Economics Japan. Available at: </w:t>
      </w:r>
      <w:hyperlink r:id="rId37" w:history="1">
        <w:r w:rsidRPr="00C70BE1">
          <w:rPr>
            <w:rStyle w:val="Hyperlink"/>
            <w:rFonts w:cs="Times New Roman"/>
          </w:rPr>
          <w:t>https://eneken.ieej.or.jp/data/8122.pdf</w:t>
        </w:r>
      </w:hyperlink>
    </w:p>
    <w:p w14:paraId="6137302A" w14:textId="77777777" w:rsidR="00C70BE1" w:rsidRPr="00C70BE1" w:rsidRDefault="00C70BE1" w:rsidP="00394EFB">
      <w:pPr>
        <w:rPr>
          <w:rFonts w:eastAsia="SimSun" w:cs="Times New Roman"/>
        </w:rPr>
      </w:pPr>
      <w:r w:rsidRPr="00C70BE1">
        <w:rPr>
          <w:rFonts w:eastAsia="SimSun" w:cs="Times New Roman"/>
        </w:rPr>
        <w:t xml:space="preserve">IPCC. (2014). </w:t>
      </w:r>
      <w:r w:rsidRPr="00C70BE1">
        <w:rPr>
          <w:rFonts w:eastAsia="SimSun" w:cs="Times New Roman"/>
          <w:i/>
          <w:iCs/>
        </w:rPr>
        <w:t>Mitigation of Climate Change: Technology-specific cost and performance parameters</w:t>
      </w:r>
      <w:r w:rsidRPr="00C70BE1">
        <w:rPr>
          <w:rFonts w:eastAsia="SimSun" w:cs="Times New Roman"/>
        </w:rPr>
        <w:t>. New York, NY: Cambridge University Press. Retrieved from report.mitigation2014.org/report/</w:t>
      </w:r>
      <w:r w:rsidRPr="00C70BE1">
        <w:rPr>
          <w:rFonts w:eastAsia="SimSun" w:cs="Times New Roman"/>
        </w:rPr>
        <w:br/>
        <w:t xml:space="preserve">ipcc_wg3_ar5_annex-iii.pdf  </w:t>
      </w:r>
    </w:p>
    <w:p w14:paraId="1D3FA0DD" w14:textId="77777777" w:rsidR="00C70BE1" w:rsidRPr="00C70BE1" w:rsidRDefault="00C70BE1" w:rsidP="00394EFB">
      <w:pPr>
        <w:rPr>
          <w:rFonts w:cs="Times New Roman"/>
        </w:rPr>
      </w:pPr>
      <w:r w:rsidRPr="00C70BE1">
        <w:rPr>
          <w:rFonts w:cs="Times New Roman"/>
        </w:rPr>
        <w:t>IRENA. (2019).</w:t>
      </w:r>
      <w:r w:rsidRPr="00C70BE1">
        <w:rPr>
          <w:rFonts w:cs="Times New Roman"/>
          <w:i/>
        </w:rPr>
        <w:t xml:space="preserve"> Global energy transformation: </w:t>
      </w:r>
      <w:r w:rsidRPr="00C70BE1">
        <w:rPr>
          <w:rFonts w:cs="Times New Roman"/>
        </w:rPr>
        <w:t>The REmap transition pathway (Background report to 2019 edition), International Renewable Energy Agency, Abu Dhabi.</w:t>
      </w:r>
    </w:p>
    <w:p w14:paraId="2D0AFD74" w14:textId="56BC98AD" w:rsidR="00C70BE1" w:rsidRPr="00C70BE1" w:rsidRDefault="00C70BE1" w:rsidP="00394EFB">
      <w:pPr>
        <w:rPr>
          <w:rFonts w:cs="Times New Roman"/>
          <w:bCs/>
        </w:rPr>
      </w:pPr>
      <w:r w:rsidRPr="00C70BE1">
        <w:rPr>
          <w:rFonts w:cs="Times New Roman"/>
          <w:bCs/>
        </w:rPr>
        <w:t xml:space="preserve">National Academies of Sciences, Engineering, and Medicine. </w:t>
      </w:r>
      <w:r w:rsidR="00394EFB">
        <w:rPr>
          <w:rFonts w:cs="Times New Roman"/>
          <w:bCs/>
        </w:rPr>
        <w:t>(</w:t>
      </w:r>
      <w:r w:rsidRPr="00C70BE1">
        <w:rPr>
          <w:rFonts w:cs="Times New Roman"/>
          <w:bCs/>
        </w:rPr>
        <w:t>2016</w:t>
      </w:r>
      <w:r w:rsidR="00394EFB">
        <w:rPr>
          <w:rFonts w:cs="Times New Roman"/>
          <w:bCs/>
        </w:rPr>
        <w:t>)</w:t>
      </w:r>
      <w:r w:rsidRPr="00C70BE1">
        <w:rPr>
          <w:rFonts w:cs="Times New Roman"/>
          <w:bCs/>
        </w:rPr>
        <w:t xml:space="preserve">. </w:t>
      </w:r>
      <w:r w:rsidRPr="00C70BE1">
        <w:rPr>
          <w:rFonts w:cs="Times New Roman"/>
          <w:bCs/>
          <w:i/>
        </w:rPr>
        <w:t>Lessons Learned from the Fukushima Nuclear Accident for Improving Safety and Security of U.S. Nuclear Plants: Phase 2</w:t>
      </w:r>
      <w:r w:rsidRPr="00C70BE1">
        <w:rPr>
          <w:rFonts w:cs="Times New Roman"/>
          <w:bCs/>
        </w:rPr>
        <w:t>. Washington, DC: The National Academies Press. doi: 10.17226/21874</w:t>
      </w:r>
    </w:p>
    <w:p w14:paraId="19AA0357" w14:textId="77777777" w:rsidR="00C70BE1" w:rsidRPr="00C70BE1" w:rsidRDefault="00C70BE1" w:rsidP="00394EFB">
      <w:pPr>
        <w:rPr>
          <w:rFonts w:cs="Times New Roman"/>
          <w:bCs/>
        </w:rPr>
      </w:pPr>
      <w:r w:rsidRPr="00C70BE1">
        <w:rPr>
          <w:rFonts w:cs="Times New Roman"/>
          <w:bCs/>
        </w:rPr>
        <w:t xml:space="preserve">National Research Council (NRC). (2013). “2 Mature Sectors.” </w:t>
      </w:r>
      <w:r w:rsidRPr="00C70BE1">
        <w:rPr>
          <w:rFonts w:cs="Times New Roman"/>
          <w:bCs/>
          <w:i/>
          <w:iCs/>
        </w:rPr>
        <w:t>Emerging Workforce Trends in the U.S. Energy and Mining Industries: A Call to Action</w:t>
      </w:r>
      <w:r w:rsidRPr="00C70BE1">
        <w:rPr>
          <w:rFonts w:cs="Times New Roman"/>
          <w:bCs/>
        </w:rPr>
        <w:t>. Washington, DC: The National Academies Press, doi:10.17226/18250</w:t>
      </w:r>
    </w:p>
    <w:p w14:paraId="2A4EDCED" w14:textId="77777777" w:rsidR="00C70BE1" w:rsidRPr="00C70BE1" w:rsidRDefault="00C70BE1" w:rsidP="00394EFB">
      <w:pPr>
        <w:rPr>
          <w:rFonts w:cs="Times New Roman"/>
          <w:bCs/>
        </w:rPr>
      </w:pPr>
      <w:r w:rsidRPr="00C70BE1">
        <w:rPr>
          <w:rFonts w:cs="Times New Roman"/>
          <w:bCs/>
        </w:rPr>
        <w:t xml:space="preserve">OECD Nuclear Energy Agency (NEA). (2012). </w:t>
      </w:r>
      <w:r w:rsidRPr="00C70BE1">
        <w:rPr>
          <w:rFonts w:cs="Times New Roman"/>
          <w:bCs/>
          <w:i/>
        </w:rPr>
        <w:t>The Role of Nuclear Energy in a Low-carbon Energy Future</w:t>
      </w:r>
      <w:r w:rsidRPr="00C70BE1">
        <w:rPr>
          <w:rFonts w:cs="Times New Roman"/>
          <w:bCs/>
        </w:rPr>
        <w:t>. Issy les Moulineaux: NEA</w:t>
      </w:r>
    </w:p>
    <w:p w14:paraId="2E7E2C0B" w14:textId="19BFAA66" w:rsidR="00C70BE1" w:rsidRPr="00394EFB" w:rsidRDefault="00C70BE1" w:rsidP="00394EFB">
      <w:pPr>
        <w:rPr>
          <w:rFonts w:eastAsia="Times New Roman" w:cs="Times New Roman"/>
          <w:sz w:val="24"/>
          <w:szCs w:val="24"/>
          <w:lang w:eastAsia="en-US"/>
        </w:rPr>
      </w:pPr>
      <w:r w:rsidRPr="00C70BE1">
        <w:rPr>
          <w:rFonts w:cs="Times New Roman"/>
          <w:bCs/>
        </w:rPr>
        <w:t xml:space="preserve">OECD Nuclear Energy Agency (NEA). (2015). </w:t>
      </w:r>
      <w:r w:rsidRPr="00C70BE1">
        <w:rPr>
          <w:rFonts w:cs="Times New Roman"/>
          <w:bCs/>
          <w:i/>
        </w:rPr>
        <w:t>Nuclear Energy: Combating Climate Change</w:t>
      </w:r>
      <w:r w:rsidRPr="00C70BE1">
        <w:rPr>
          <w:rFonts w:cs="Times New Roman"/>
          <w:bCs/>
        </w:rPr>
        <w:t>. Issy les Moulineaux</w:t>
      </w:r>
      <w:r w:rsidR="00394EFB">
        <w:rPr>
          <w:rFonts w:cs="Times New Roman"/>
          <w:bCs/>
        </w:rPr>
        <w:t>.</w:t>
      </w:r>
      <w:r w:rsidRPr="00C70BE1">
        <w:rPr>
          <w:rFonts w:cs="Times New Roman"/>
          <w:bCs/>
        </w:rPr>
        <w:t xml:space="preserve"> </w:t>
      </w:r>
      <w:r w:rsidR="00394EFB">
        <w:rPr>
          <w:rFonts w:cs="Times New Roman"/>
          <w:bCs/>
        </w:rPr>
        <w:t>T</w:t>
      </w:r>
      <w:r w:rsidR="00394EFB" w:rsidRPr="00394EFB">
        <w:rPr>
          <w:rFonts w:eastAsia="Times New Roman" w:cs="Times New Roman"/>
          <w:sz w:val="24"/>
          <w:szCs w:val="24"/>
          <w:lang w:eastAsia="en-US"/>
        </w:rPr>
        <w:t>he Organisation for Economic Co-operation and Development</w:t>
      </w:r>
      <w:r w:rsidR="00394EFB">
        <w:rPr>
          <w:rFonts w:eastAsia="Times New Roman" w:cs="Times New Roman"/>
          <w:sz w:val="24"/>
          <w:szCs w:val="24"/>
          <w:lang w:eastAsia="en-US"/>
        </w:rPr>
        <w:t xml:space="preserve">, </w:t>
      </w:r>
      <w:r w:rsidR="00394EFB" w:rsidRPr="00C70BE1">
        <w:rPr>
          <w:rFonts w:cs="Times New Roman"/>
          <w:bCs/>
        </w:rPr>
        <w:t>Nuclear Energy Agency</w:t>
      </w:r>
    </w:p>
    <w:p w14:paraId="396C6176" w14:textId="277323CF" w:rsidR="00C70BE1" w:rsidRPr="00C70BE1" w:rsidRDefault="00C70BE1" w:rsidP="00394EFB">
      <w:pPr>
        <w:rPr>
          <w:rFonts w:cs="Times New Roman"/>
          <w:bCs/>
        </w:rPr>
      </w:pPr>
      <w:r w:rsidRPr="00C70BE1">
        <w:rPr>
          <w:rFonts w:cs="Times New Roman"/>
          <w:bCs/>
        </w:rPr>
        <w:t xml:space="preserve">OECD/IEA/Nuclear Energy Agency. (2015). </w:t>
      </w:r>
      <w:r w:rsidRPr="00C70BE1">
        <w:rPr>
          <w:rFonts w:cs="Times New Roman"/>
          <w:bCs/>
          <w:i/>
        </w:rPr>
        <w:t>Projected Costs of Generating Electricity</w:t>
      </w:r>
      <w:r w:rsidRPr="00C70BE1">
        <w:rPr>
          <w:rFonts w:cs="Times New Roman"/>
          <w:bCs/>
        </w:rPr>
        <w:t>. Issy les Moulineaux</w:t>
      </w:r>
      <w:r w:rsidR="00394EFB">
        <w:rPr>
          <w:rFonts w:cs="Times New Roman"/>
          <w:bCs/>
        </w:rPr>
        <w:t>. T</w:t>
      </w:r>
      <w:r w:rsidR="00394EFB" w:rsidRPr="00394EFB">
        <w:rPr>
          <w:rFonts w:eastAsia="Times New Roman" w:cs="Times New Roman"/>
          <w:sz w:val="24"/>
          <w:szCs w:val="24"/>
          <w:lang w:eastAsia="en-US"/>
        </w:rPr>
        <w:t>he Organisation for Economic Co-operation and Development</w:t>
      </w:r>
      <w:r w:rsidR="00394EFB">
        <w:rPr>
          <w:rFonts w:eastAsia="Times New Roman" w:cs="Times New Roman"/>
          <w:sz w:val="24"/>
          <w:szCs w:val="24"/>
          <w:lang w:eastAsia="en-US"/>
        </w:rPr>
        <w:t xml:space="preserve">, </w:t>
      </w:r>
      <w:r w:rsidR="00394EFB" w:rsidRPr="00C70BE1">
        <w:rPr>
          <w:rFonts w:cs="Times New Roman"/>
          <w:bCs/>
        </w:rPr>
        <w:t>Nuclear Energy Agency</w:t>
      </w:r>
    </w:p>
    <w:p w14:paraId="0DE3BFF1" w14:textId="77777777" w:rsidR="00C70BE1" w:rsidRPr="00C70BE1" w:rsidRDefault="00C70BE1" w:rsidP="00394EFB">
      <w:pPr>
        <w:rPr>
          <w:rStyle w:val="Hyperlink"/>
          <w:rFonts w:cs="Times New Roman"/>
          <w:bCs/>
          <w:color w:val="auto"/>
          <w:u w:val="none"/>
        </w:rPr>
      </w:pPr>
      <w:r w:rsidRPr="00C70BE1">
        <w:rPr>
          <w:rStyle w:val="Hyperlink"/>
          <w:rFonts w:cs="Times New Roman"/>
          <w:bCs/>
          <w:color w:val="auto"/>
          <w:u w:val="none"/>
        </w:rPr>
        <w:t xml:space="preserve">OECD/IEA/Nuclear Energy Agency. (2015). </w:t>
      </w:r>
      <w:r w:rsidRPr="00C70BE1">
        <w:rPr>
          <w:rStyle w:val="Hyperlink"/>
          <w:rFonts w:cs="Times New Roman"/>
          <w:bCs/>
          <w:i/>
          <w:color w:val="auto"/>
          <w:u w:val="none"/>
        </w:rPr>
        <w:t>Technology Roadmaps: Nuclear Energy</w:t>
      </w:r>
      <w:r w:rsidRPr="00C70BE1">
        <w:rPr>
          <w:rStyle w:val="Hyperlink"/>
          <w:rFonts w:cs="Times New Roman"/>
          <w:bCs/>
          <w:color w:val="auto"/>
          <w:u w:val="none"/>
        </w:rPr>
        <w:t>. Paris: OECD/IEA/NEA.</w:t>
      </w:r>
    </w:p>
    <w:p w14:paraId="75472C62" w14:textId="77777777" w:rsidR="00C70BE1" w:rsidRPr="00C70BE1" w:rsidRDefault="00C70BE1" w:rsidP="00394EFB">
      <w:pPr>
        <w:rPr>
          <w:rStyle w:val="Hyperlink"/>
          <w:rFonts w:cs="Times New Roman"/>
          <w:bCs/>
          <w:color w:val="auto"/>
          <w:u w:val="none"/>
        </w:rPr>
      </w:pPr>
      <w:r w:rsidRPr="00C70BE1">
        <w:rPr>
          <w:rStyle w:val="Hyperlink"/>
          <w:rFonts w:cs="Times New Roman"/>
          <w:bCs/>
          <w:color w:val="auto"/>
          <w:u w:val="none"/>
        </w:rPr>
        <w:t xml:space="preserve">Overtun. (2015). </w:t>
      </w:r>
      <w:r w:rsidRPr="00C70BE1">
        <w:rPr>
          <w:rFonts w:cs="Times New Roman"/>
          <w:bCs/>
        </w:rPr>
        <w:t>Even More Delays and Cost Overruns for Vogtle Expansion</w:t>
      </w:r>
      <w:r w:rsidRPr="00C70BE1">
        <w:rPr>
          <w:rStyle w:val="Hyperlink"/>
          <w:rFonts w:cs="Times New Roman"/>
          <w:bCs/>
          <w:color w:val="auto"/>
          <w:u w:val="none"/>
        </w:rPr>
        <w:t xml:space="preserve">. Retrieved from </w:t>
      </w:r>
      <w:hyperlink r:id="rId38" w:history="1">
        <w:r w:rsidRPr="00C70BE1">
          <w:rPr>
            <w:rStyle w:val="Hyperlink"/>
            <w:rFonts w:cs="Times New Roman"/>
            <w:bCs/>
          </w:rPr>
          <w:t>http://www.powermag.com/even-more-delays-and-cost-overruns-for-vogtle-expansion/</w:t>
        </w:r>
      </w:hyperlink>
      <w:r w:rsidRPr="00C70BE1">
        <w:rPr>
          <w:rStyle w:val="Hyperlink"/>
          <w:rFonts w:cs="Times New Roman"/>
          <w:bCs/>
          <w:color w:val="auto"/>
          <w:u w:val="none"/>
        </w:rPr>
        <w:t xml:space="preserve"> </w:t>
      </w:r>
    </w:p>
    <w:p w14:paraId="467E8F68" w14:textId="77777777" w:rsidR="00C70BE1" w:rsidRPr="00C70BE1" w:rsidRDefault="00C70BE1" w:rsidP="00394EFB">
      <w:pPr>
        <w:rPr>
          <w:rStyle w:val="Hyperlink"/>
          <w:rFonts w:cs="Times New Roman"/>
          <w:bCs/>
          <w:color w:val="auto"/>
          <w:u w:val="none"/>
        </w:rPr>
      </w:pPr>
      <w:r w:rsidRPr="00C70BE1">
        <w:rPr>
          <w:rStyle w:val="Hyperlink"/>
          <w:rFonts w:cs="Times New Roman"/>
          <w:bCs/>
          <w:color w:val="auto"/>
          <w:u w:val="none"/>
        </w:rPr>
        <w:t xml:space="preserve">Price and Blaise. NEA. (2002). </w:t>
      </w:r>
      <w:r w:rsidRPr="00C70BE1">
        <w:rPr>
          <w:rFonts w:cs="Times New Roman"/>
          <w:bCs/>
          <w:i/>
        </w:rPr>
        <w:t>Nuclear fuel resources: Enough to last?</w:t>
      </w:r>
      <w:r w:rsidRPr="00C70BE1">
        <w:rPr>
          <w:rFonts w:cs="Times New Roman"/>
          <w:bCs/>
        </w:rPr>
        <w:t xml:space="preserve"> </w:t>
      </w:r>
      <w:r w:rsidRPr="00C70BE1">
        <w:rPr>
          <w:rStyle w:val="Hyperlink"/>
          <w:rFonts w:cs="Times New Roman"/>
          <w:bCs/>
          <w:color w:val="auto"/>
          <w:u w:val="none"/>
        </w:rPr>
        <w:t xml:space="preserve">Retrieved from </w:t>
      </w:r>
      <w:hyperlink r:id="rId39" w:history="1">
        <w:r w:rsidRPr="00C70BE1">
          <w:rPr>
            <w:rStyle w:val="Hyperlink"/>
            <w:rFonts w:cs="Times New Roman"/>
            <w:bCs/>
          </w:rPr>
          <w:t>https://www.oecd-nea.org/nea-news/2002/20-2-Nuclear_fuel_resources.pdf</w:t>
        </w:r>
      </w:hyperlink>
    </w:p>
    <w:p w14:paraId="00506087" w14:textId="77777777" w:rsidR="00C70BE1" w:rsidRPr="00C70BE1" w:rsidRDefault="00C70BE1" w:rsidP="00394EFB">
      <w:pPr>
        <w:rPr>
          <w:rStyle w:val="Hyperlink"/>
          <w:rFonts w:cs="Times New Roman"/>
          <w:color w:val="auto"/>
          <w:u w:val="none"/>
        </w:rPr>
      </w:pPr>
      <w:r w:rsidRPr="00C70BE1">
        <w:rPr>
          <w:rFonts w:cs="Times New Roman"/>
        </w:rPr>
        <w:t xml:space="preserve">Ram M., Bogdanov D., Aghahosseini A., Gulagi A., Oyewo A.S., Child M., Caldera U., Sadovskaia K., Farfan J., Barbosa LSNS., Fasihi M., Khalili S., Dalheimer B.,Gruber G., Traber T., De Caluwe F., Fell H.-J., Breyer C. (2019). </w:t>
      </w:r>
      <w:r w:rsidRPr="00C70BE1">
        <w:rPr>
          <w:rFonts w:cs="Times New Roman"/>
          <w:i/>
        </w:rPr>
        <w:t xml:space="preserve">Global Energy System based on 100% Renewable Energy –Power, Heat, Transport and Desalination Sectors. </w:t>
      </w:r>
      <w:r w:rsidRPr="00C70BE1">
        <w:rPr>
          <w:rFonts w:cs="Times New Roman"/>
        </w:rPr>
        <w:t xml:space="preserve">Study by Lappeenranta University of Technology and Energy Watch Group, Lappeenranta, Berlin, March 2019. Retrieved from: </w:t>
      </w:r>
      <w:hyperlink r:id="rId40" w:history="1">
        <w:r w:rsidRPr="00C70BE1">
          <w:rPr>
            <w:rStyle w:val="Hyperlink"/>
            <w:rFonts w:cs="Times New Roman"/>
          </w:rPr>
          <w:t>http://energywatchgroup.org/wp-content/uploads/EWG_LUT_100RE_All_Sectors_Global_Report_2019.pdf</w:t>
        </w:r>
      </w:hyperlink>
    </w:p>
    <w:p w14:paraId="2693C30E" w14:textId="28184B2F" w:rsidR="00C70BE1" w:rsidRPr="00C70BE1" w:rsidRDefault="00394EFB" w:rsidP="00394EFB">
      <w:pPr>
        <w:rPr>
          <w:rFonts w:cs="Times New Roman"/>
          <w:bCs/>
        </w:rPr>
      </w:pPr>
      <w:r>
        <w:rPr>
          <w:rFonts w:cs="Times New Roman"/>
          <w:bCs/>
        </w:rPr>
        <w:t>EIA.</w:t>
      </w:r>
      <w:r w:rsidR="00C70BE1" w:rsidRPr="00C70BE1">
        <w:rPr>
          <w:rFonts w:cs="Times New Roman"/>
          <w:bCs/>
        </w:rPr>
        <w:t xml:space="preserve"> (2016). </w:t>
      </w:r>
      <w:r w:rsidR="00C70BE1" w:rsidRPr="00C70BE1">
        <w:rPr>
          <w:rFonts w:cs="Times New Roman"/>
          <w:bCs/>
          <w:i/>
        </w:rPr>
        <w:t>Nuclear Explained</w:t>
      </w:r>
      <w:r w:rsidR="00C70BE1" w:rsidRPr="00C70BE1">
        <w:rPr>
          <w:rFonts w:cs="Times New Roman"/>
          <w:bCs/>
        </w:rPr>
        <w:t xml:space="preserve">. </w:t>
      </w:r>
      <w:r w:rsidRPr="00C70BE1">
        <w:rPr>
          <w:rFonts w:cs="Times New Roman"/>
          <w:bCs/>
        </w:rPr>
        <w:t>U.S. Energy Information Administration</w:t>
      </w:r>
      <w:r>
        <w:rPr>
          <w:rFonts w:cs="Times New Roman"/>
          <w:bCs/>
        </w:rPr>
        <w:t xml:space="preserve">. </w:t>
      </w:r>
      <w:r w:rsidR="00C70BE1" w:rsidRPr="00C70BE1">
        <w:rPr>
          <w:rFonts w:cs="Times New Roman"/>
          <w:bCs/>
        </w:rPr>
        <w:t>Washington, D.C.</w:t>
      </w:r>
    </w:p>
    <w:p w14:paraId="58A7FA50" w14:textId="149F6250" w:rsidR="001D14D9" w:rsidRPr="004B7561" w:rsidRDefault="00C70BE1" w:rsidP="00575828">
      <w:pPr>
        <w:rPr>
          <w:rFonts w:cs="Times New Roman"/>
        </w:rPr>
      </w:pPr>
      <w:r w:rsidRPr="00C70BE1">
        <w:rPr>
          <w:rStyle w:val="Hyperlink"/>
          <w:rFonts w:cs="Times New Roman"/>
          <w:bCs/>
          <w:color w:val="auto"/>
          <w:u w:val="none"/>
        </w:rPr>
        <w:t xml:space="preserve">WNA. (2016). </w:t>
      </w:r>
      <w:r w:rsidRPr="00C70BE1">
        <w:rPr>
          <w:rFonts w:cs="Times New Roman"/>
          <w:bCs/>
        </w:rPr>
        <w:t xml:space="preserve">Advanced Nuclear Power Reactors. </w:t>
      </w:r>
      <w:r w:rsidR="00394EFB" w:rsidRPr="00C70BE1">
        <w:rPr>
          <w:rStyle w:val="Hyperlink"/>
          <w:rFonts w:cs="Times New Roman"/>
          <w:bCs/>
          <w:color w:val="auto"/>
          <w:u w:val="none"/>
        </w:rPr>
        <w:t xml:space="preserve">World Nuclear Association </w:t>
      </w:r>
      <w:r w:rsidRPr="00C70BE1">
        <w:rPr>
          <w:rStyle w:val="Hyperlink"/>
          <w:rFonts w:cs="Times New Roman"/>
          <w:bCs/>
          <w:color w:val="auto"/>
          <w:u w:val="none"/>
        </w:rPr>
        <w:t xml:space="preserve">Retrieved from </w:t>
      </w:r>
      <w:hyperlink r:id="rId41" w:history="1">
        <w:r w:rsidRPr="00C70BE1">
          <w:rPr>
            <w:rStyle w:val="Hyperlink"/>
            <w:rFonts w:cs="Times New Roman"/>
            <w:bCs/>
          </w:rPr>
          <w:t>http://www.world-nuclear.org/information-library/nuclear-fuel-cycle/nuclear-power-reactors/advanced-nuclear-power-reactors.aspx</w:t>
        </w:r>
      </w:hyperlink>
    </w:p>
    <w:p w14:paraId="4BD44A04" w14:textId="77777777" w:rsidR="00394EFB" w:rsidRDefault="00394EFB">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02EABFF3" w14:textId="5D6A232C" w:rsidR="006745FF" w:rsidRPr="00A84B41" w:rsidRDefault="006745FF" w:rsidP="00A84B41">
      <w:pPr>
        <w:pStyle w:val="Heading1"/>
      </w:pPr>
      <w:bookmarkStart w:id="63" w:name="_Toc19323166"/>
      <w:r w:rsidRPr="00E069AC">
        <w:t>Glossary</w:t>
      </w:r>
      <w:bookmarkEnd w:id="63"/>
    </w:p>
    <w:p w14:paraId="3C2A7379" w14:textId="77777777" w:rsidR="00593535" w:rsidRPr="00E069AC" w:rsidRDefault="00593535" w:rsidP="00593535">
      <w:r w:rsidRPr="00E069AC">
        <w:rPr>
          <w:b/>
        </w:rPr>
        <w:t>Adoption Scenario</w:t>
      </w:r>
      <w:r w:rsidRPr="00E069AC">
        <w:t xml:space="preserve"> – the predicted annual adoption over the period 2015 to 2060, which is usually measured in </w:t>
      </w:r>
      <w:r w:rsidRPr="00E069AC">
        <w:rPr>
          <w:b/>
        </w:rPr>
        <w:t>Functional Units</w:t>
      </w:r>
      <w:r w:rsidRPr="00E069AC">
        <w:t>. A range of scenarios is programmed in the model, but the user may enter her own. Note that the assumption behind most scenarios is one of growth. If for instance</w:t>
      </w:r>
      <w:r>
        <w:t>,</w:t>
      </w:r>
      <w:r w:rsidRPr="00E069AC">
        <w:t xml:space="preserve"> a solution is one of reduced heating energy usage due to better insulation, then the solution adoption is translated into an increase in </w:t>
      </w:r>
      <w:r>
        <w:t xml:space="preserve">the </w:t>
      </w:r>
      <w:r w:rsidRPr="00E069AC">
        <w:t xml:space="preserve">use of insulation. There are two types of adoption scenarios in use: </w:t>
      </w:r>
      <w:r w:rsidRPr="00E069AC">
        <w:rPr>
          <w:b/>
        </w:rPr>
        <w:t>Reference (REF)</w:t>
      </w:r>
      <w:r w:rsidRPr="00E069AC">
        <w:t xml:space="preserve"> where global adoption remains mostly constant, and </w:t>
      </w:r>
      <w:r w:rsidRPr="00E069AC">
        <w:rPr>
          <w:b/>
        </w:rPr>
        <w:t>Project Drawdown Scenarios (PDS)</w:t>
      </w:r>
      <w:r w:rsidRPr="00E069AC">
        <w:t xml:space="preserve"> which illustrate </w:t>
      </w:r>
      <w:r>
        <w:t xml:space="preserve">the </w:t>
      </w:r>
      <w:r w:rsidRPr="00E069AC">
        <w:t>high growth of the solution.</w:t>
      </w:r>
    </w:p>
    <w:p w14:paraId="439CB5FC" w14:textId="77777777" w:rsidR="00593535" w:rsidRPr="00E069AC" w:rsidRDefault="00593535" w:rsidP="00593535">
      <w:r w:rsidRPr="00E069AC">
        <w:rPr>
          <w:b/>
        </w:rPr>
        <w:t>Approximate PPM Equivalent</w:t>
      </w:r>
      <w:r w:rsidRPr="00E069AC">
        <w:t xml:space="preserve"> – the reduction in </w:t>
      </w:r>
      <w:r>
        <w:t xml:space="preserve">the </w:t>
      </w:r>
      <w:r w:rsidRPr="00E069AC">
        <w:t>atmospheric concentration of CO</w:t>
      </w:r>
      <w:r w:rsidRPr="00E069AC">
        <w:rPr>
          <w:vertAlign w:val="subscript"/>
        </w:rPr>
        <w:t>2</w:t>
      </w:r>
      <w:r w:rsidRPr="00E069AC">
        <w:t xml:space="preserve"> (in </w:t>
      </w:r>
      <w:r w:rsidRPr="00E069AC">
        <w:rPr>
          <w:b/>
        </w:rPr>
        <w:t>PPM</w:t>
      </w:r>
      <w:r w:rsidRPr="00E069AC">
        <w:t xml:space="preserve">) that is expected to result if the </w:t>
      </w:r>
      <w:r w:rsidRPr="00E069AC">
        <w:rPr>
          <w:b/>
        </w:rPr>
        <w:t>PDS Scenario</w:t>
      </w:r>
      <w:r w:rsidRPr="00E069AC">
        <w:t xml:space="preserve"> occurs. This assumes a discrete avoided pulse model based on the Bern Carbon Cycle model.</w:t>
      </w:r>
    </w:p>
    <w:p w14:paraId="6DFE53E5" w14:textId="77777777" w:rsidR="00593535" w:rsidRPr="00E069AC" w:rsidRDefault="00593535" w:rsidP="00593535">
      <w:r w:rsidRPr="00E069AC">
        <w:rPr>
          <w:b/>
        </w:rPr>
        <w:t>Average Abatement Cost</w:t>
      </w:r>
      <w:r w:rsidRPr="00E069AC">
        <w:t xml:space="preserve"> – the ratio of the present value of the solution (</w:t>
      </w:r>
      <w:r w:rsidRPr="00E069AC">
        <w:rPr>
          <w:b/>
        </w:rPr>
        <w:t>Net</w:t>
      </w:r>
      <w:r w:rsidRPr="00E069AC">
        <w:t xml:space="preserve"> </w:t>
      </w:r>
      <w:r w:rsidRPr="00E069AC">
        <w:rPr>
          <w:b/>
        </w:rPr>
        <w:t xml:space="preserve">Operating Savings </w:t>
      </w:r>
      <w:r w:rsidRPr="00E069AC">
        <w:t>minus</w:t>
      </w:r>
      <w:r w:rsidRPr="00E069AC">
        <w:rPr>
          <w:b/>
        </w:rPr>
        <w:t xml:space="preserve"> Marginal First Costs</w:t>
      </w:r>
      <w:r w:rsidRPr="00E069AC">
        <w:t xml:space="preserve">) and the </w:t>
      </w:r>
      <w:r w:rsidRPr="00E069AC">
        <w:rPr>
          <w:b/>
        </w:rPr>
        <w:t>Total Emissions Reduction</w:t>
      </w:r>
      <w:r w:rsidRPr="00E069AC">
        <w:t xml:space="preserve">. This is a single value for each solution for each </w:t>
      </w:r>
      <w:r w:rsidRPr="00E069AC">
        <w:rPr>
          <w:b/>
        </w:rPr>
        <w:t>PDS Scenario</w:t>
      </w:r>
      <w:r w:rsidRPr="00E069AC">
        <w:t xml:space="preserve"> and is used to build the characteristic “</w:t>
      </w:r>
      <w:r w:rsidRPr="00E069AC">
        <w:rPr>
          <w:i/>
        </w:rPr>
        <w:t>Marginal Abatement Cost</w:t>
      </w:r>
      <w:r w:rsidRPr="00E069AC">
        <w:t>” curves when Average Abatement Cost values for each solution are ordered and graphed.</w:t>
      </w:r>
    </w:p>
    <w:p w14:paraId="50E55FBE" w14:textId="77777777" w:rsidR="00593535" w:rsidRPr="00E069AC" w:rsidRDefault="00593535" w:rsidP="00593535">
      <w:r w:rsidRPr="00E069AC">
        <w:rPr>
          <w:b/>
        </w:rPr>
        <w:t>Average Annual Use</w:t>
      </w:r>
      <w:r w:rsidRPr="00E069AC">
        <w:t xml:space="preserve"> – the average number of functional units that a single implementation unit typically provides in one year. This is usually a weighted average for all users according to the data available. For instance, </w:t>
      </w:r>
      <w:r>
        <w:t xml:space="preserve">the </w:t>
      </w:r>
      <w:r w:rsidRPr="00E069AC">
        <w:t xml:space="preserve">total number of passenger-km driven by a hybrid vehicle in a year depends on </w:t>
      </w:r>
      <w:r>
        <w:t xml:space="preserve">the </w:t>
      </w:r>
      <w:r w:rsidRPr="00E069AC">
        <w:t xml:space="preserve">country and </w:t>
      </w:r>
      <w:r>
        <w:t xml:space="preserve">the </w:t>
      </w:r>
      <w:r w:rsidRPr="00E069AC">
        <w:t xml:space="preserve">typical number of occupants. We take global weighted averages for this input. This is used to estimate the </w:t>
      </w:r>
      <w:r w:rsidRPr="00E069AC">
        <w:rPr>
          <w:b/>
        </w:rPr>
        <w:t>Replacement Time</w:t>
      </w:r>
      <w:r w:rsidRPr="00E069AC">
        <w:t>.</w:t>
      </w:r>
    </w:p>
    <w:p w14:paraId="0A96D711" w14:textId="77777777" w:rsidR="00593535" w:rsidRPr="00E069AC" w:rsidRDefault="00593535" w:rsidP="00593535">
      <w:r w:rsidRPr="00E069AC">
        <w:rPr>
          <w:b/>
        </w:rPr>
        <w:t>Cumulative First Cost</w:t>
      </w:r>
      <w:r w:rsidRPr="00E069AC">
        <w:t xml:space="preserve"> – the total </w:t>
      </w:r>
      <w:r w:rsidRPr="00E069AC">
        <w:rPr>
          <w:b/>
        </w:rPr>
        <w:t>First Cost</w:t>
      </w:r>
      <w:r w:rsidRPr="00E069AC">
        <w:t xml:space="preserve"> of solution </w:t>
      </w:r>
      <w:r w:rsidRPr="00E069AC">
        <w:rPr>
          <w:b/>
        </w:rPr>
        <w:t>Implementation Units</w:t>
      </w:r>
      <w:r w:rsidRPr="00E069AC">
        <w:t xml:space="preserve"> purchased in the </w:t>
      </w:r>
      <w:r w:rsidRPr="00E069AC">
        <w:rPr>
          <w:b/>
        </w:rPr>
        <w:t>PDS Scenario</w:t>
      </w:r>
      <w:r w:rsidRPr="00E069AC">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7C54EE3" w14:textId="77777777" w:rsidR="00593535" w:rsidRPr="00E069AC" w:rsidRDefault="00593535" w:rsidP="00593535">
      <w:r w:rsidRPr="00E069AC">
        <w:rPr>
          <w:b/>
        </w:rPr>
        <w:t>Direct Emissions</w:t>
      </w:r>
      <w:r w:rsidRPr="00E069AC">
        <w:t xml:space="preserve"> – emissions caused by the operation of the solution, which are typically caused </w:t>
      </w:r>
      <w:r>
        <w:t>by</w:t>
      </w:r>
      <w:r w:rsidRPr="00E069AC">
        <w:t xml:space="preserve"> the lifetime </w:t>
      </w:r>
      <w:r>
        <w:t xml:space="preserve">use </w:t>
      </w:r>
      <w:r w:rsidRPr="00E069AC">
        <w:t>of the solution. They should be entered into the model normalized per functional unit.</w:t>
      </w:r>
    </w:p>
    <w:p w14:paraId="47703EA5" w14:textId="77777777" w:rsidR="00593535" w:rsidRPr="00E069AC" w:rsidRDefault="00593535" w:rsidP="00593535">
      <w:r w:rsidRPr="00E069AC">
        <w:rPr>
          <w:b/>
        </w:rPr>
        <w:t>Discount Rate</w:t>
      </w:r>
      <w:r w:rsidRPr="00E069AC">
        <w:t>- the interest rate used in discounted cash flow (DCF) analysis to determine the present value of future cash flows. The discount rate in DCF analysis takes into account</w:t>
      </w:r>
      <w:r>
        <w:t>,</w:t>
      </w:r>
      <w:r w:rsidRPr="00E069AC">
        <w:t xml:space="preserve"> not just the time value of money, but also the risk or uncertainty of future cash flows; the greater the uncertainty of future cash flows, the </w:t>
      </w:r>
      <w:r>
        <w:t>higher the discount rate.</w:t>
      </w:r>
      <w:r w:rsidRPr="00E069AC">
        <w:t xml:space="preserve"> Most importantly, the greater the discount rate, the more the future savings are devalued (which impacts the financial but not the climate impacts of the solution).  </w:t>
      </w:r>
    </w:p>
    <w:p w14:paraId="38201429" w14:textId="77777777" w:rsidR="00593535" w:rsidRPr="00E069AC" w:rsidRDefault="00593535" w:rsidP="00593535">
      <w:r w:rsidRPr="00E069AC">
        <w:rPr>
          <w:b/>
        </w:rPr>
        <w:t>Emissions</w:t>
      </w:r>
      <w:r w:rsidRPr="00E069AC">
        <w:t xml:space="preserve"> </w:t>
      </w:r>
      <w:r w:rsidRPr="00E069AC">
        <w:rPr>
          <w:b/>
        </w:rPr>
        <w:t>Factor</w:t>
      </w:r>
      <w:r w:rsidRPr="00E069AC">
        <w:t>– the average normalized emissions resulting from consumption of a unit of electricity across the global grid. Typical units are kg CO</w:t>
      </w:r>
      <w:r w:rsidRPr="00E069AC">
        <w:rPr>
          <w:vertAlign w:val="subscript"/>
        </w:rPr>
        <w:t>2</w:t>
      </w:r>
      <w:r w:rsidRPr="00E069AC">
        <w:t>e/kWh.</w:t>
      </w:r>
    </w:p>
    <w:p w14:paraId="41B24907" w14:textId="77777777" w:rsidR="00593535" w:rsidRPr="00E069AC" w:rsidRDefault="00593535" w:rsidP="00593535">
      <w:r w:rsidRPr="00E069AC">
        <w:rPr>
          <w:b/>
        </w:rPr>
        <w:t>First Cost</w:t>
      </w:r>
      <w:r w:rsidRPr="00E069AC">
        <w:t xml:space="preserve">- the investment cost per </w:t>
      </w:r>
      <w:r w:rsidRPr="00E069AC">
        <w:rPr>
          <w:b/>
        </w:rPr>
        <w:t>Implementation Unit</w:t>
      </w:r>
      <w:r w:rsidRPr="00E069AC">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6FA86D1A" w14:textId="77777777" w:rsidR="00593535" w:rsidRPr="00E069AC" w:rsidRDefault="00593535" w:rsidP="00593535">
      <w:r w:rsidRPr="00E069AC">
        <w:rPr>
          <w:b/>
        </w:rPr>
        <w:t>Functional Unit</w:t>
      </w:r>
      <w:r w:rsidRPr="00E069AC">
        <w:t xml:space="preserve"> – a measurement unit that represents the value, provided to the world, of the function that the solution performs. This depends on the solution. Therefore, LED Lighting provides petalumen-hours of light, Biomass provides tera-watt-hours of electricity and</w:t>
      </w:r>
      <w:r>
        <w:t xml:space="preserve"> high-</w:t>
      </w:r>
      <w:r w:rsidRPr="00E069AC">
        <w:t>speed rail provides billions of passenger-km of mobility.</w:t>
      </w:r>
    </w:p>
    <w:p w14:paraId="2B6E7D4D" w14:textId="77777777" w:rsidR="00593535" w:rsidRPr="00E069AC" w:rsidRDefault="00593535" w:rsidP="00593535">
      <w:r w:rsidRPr="00E069AC">
        <w:rPr>
          <w:b/>
        </w:rPr>
        <w:t>Grid Emissions</w:t>
      </w:r>
      <w:r w:rsidRPr="00E069AC">
        <w:t xml:space="preserve"> – emissions caused by </w:t>
      </w:r>
      <w:r>
        <w:t xml:space="preserve">the </w:t>
      </w:r>
      <w:r w:rsidRPr="00E069AC">
        <w:t>use of the electricity grid in supplying power to any operation associated with a solution. They should be in the units described below each variable entry cell. Drawdown models assume that the global electric grid, even in a Reference Sce</w:t>
      </w:r>
      <w:r>
        <w:t>nario, is slowly getting cleaner</w:t>
      </w:r>
      <w:r w:rsidRPr="00E069AC">
        <w:t xml:space="preserve"> and that emissions factors fall over time resulting in lower grid emissions for the same electricity demand.</w:t>
      </w:r>
    </w:p>
    <w:p w14:paraId="48C9BA61" w14:textId="77777777" w:rsidR="00593535" w:rsidRPr="00E069AC" w:rsidRDefault="00593535" w:rsidP="00593535">
      <w:r w:rsidRPr="00E069AC">
        <w:rPr>
          <w:b/>
        </w:rPr>
        <w:t>Implementation Unit</w:t>
      </w:r>
      <w:r w:rsidRPr="00E069AC">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7DFFF90C" w14:textId="77777777" w:rsidR="00593535" w:rsidRPr="00E069AC" w:rsidRDefault="00593535" w:rsidP="00593535">
      <w:r w:rsidRPr="00E069AC">
        <w:rPr>
          <w:b/>
        </w:rPr>
        <w:t>Indirect Emissions</w:t>
      </w:r>
      <w:r w:rsidRPr="00E069AC">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60022B15" w14:textId="77777777" w:rsidR="00593535" w:rsidRPr="00E069AC" w:rsidRDefault="00593535" w:rsidP="00593535">
      <w:r w:rsidRPr="00E069AC">
        <w:rPr>
          <w:b/>
        </w:rPr>
        <w:t>Learning Rate/Learning Curve</w:t>
      </w:r>
      <w:r w:rsidRPr="00E069AC">
        <w:t xml:space="preserve"> - Learning curves (sometimes called experience curves) are used to analyze a well-known and easily observed phenomenon: humans become increasingly efficient with experience. The first time a product is manufactured, or a service </w:t>
      </w:r>
      <w:r>
        <w:t xml:space="preserve">is </w:t>
      </w:r>
      <w:r w:rsidRPr="00E069AC">
        <w:t xml:space="preserve">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A84924">
        <w:t>good</w:t>
      </w:r>
      <w:r w:rsidRPr="00E069AC">
        <w:t xml:space="preserve"> drops by 2% every time total production doubles.</w:t>
      </w:r>
    </w:p>
    <w:p w14:paraId="4E3BA9DB" w14:textId="77777777" w:rsidR="00593535" w:rsidRPr="00E069AC" w:rsidRDefault="00593535" w:rsidP="00593535">
      <w:r w:rsidRPr="00E069AC">
        <w:rPr>
          <w:b/>
        </w:rPr>
        <w:t>Lifetime Capacity</w:t>
      </w:r>
      <w:r w:rsidRPr="00E069AC">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E069AC">
        <w:rPr>
          <w:b/>
        </w:rPr>
        <w:t>Replacement Time</w:t>
      </w:r>
      <w:r w:rsidRPr="00E069AC">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1F01F9B" w14:textId="77777777" w:rsidR="00593535" w:rsidRPr="00E069AC" w:rsidRDefault="00593535" w:rsidP="00593535">
      <w:r w:rsidRPr="00E069AC">
        <w:rPr>
          <w:b/>
        </w:rPr>
        <w:t>Lifetime Operating Savings</w:t>
      </w:r>
      <w:r w:rsidRPr="00E069AC">
        <w:t>–the operating cost in the PDS versus the REF scenarios over the lifetime of the implementation units purchased during the model period regardless of when their useful life ends.</w:t>
      </w:r>
    </w:p>
    <w:p w14:paraId="53F97079" w14:textId="77777777" w:rsidR="00593535" w:rsidRPr="00E069AC" w:rsidRDefault="00593535" w:rsidP="00593535">
      <w:r w:rsidRPr="00E069AC">
        <w:rPr>
          <w:b/>
        </w:rPr>
        <w:t>Lifetime Cashflow NPV</w:t>
      </w:r>
      <w:r w:rsidRPr="00E069AC">
        <w:t xml:space="preserve">-the present value (PV) of the net cash flows (PDS versus REF) in each year of the model period (2015-2060). The net cash flows include net operating costs and first costs. There are two results in the model: Lifetime Cashflow NPV for a Single </w:t>
      </w:r>
      <w:r w:rsidRPr="00E069AC">
        <w:rPr>
          <w:b/>
        </w:rPr>
        <w:t>Implementation Unit</w:t>
      </w:r>
      <w:r w:rsidRPr="00E069AC">
        <w:t xml:space="preserve">, which refers to the installation of one </w:t>
      </w:r>
      <w:r w:rsidRPr="00E069AC">
        <w:rPr>
          <w:b/>
        </w:rPr>
        <w:t>Implementation Unit</w:t>
      </w:r>
      <w:r w:rsidRPr="00E069AC">
        <w:t xml:space="preserve">, and Lifetime Cashflow NPV of All Units, which refers to all </w:t>
      </w:r>
      <w:r w:rsidRPr="00E069AC">
        <w:rPr>
          <w:b/>
        </w:rPr>
        <w:t>Implementation Units</w:t>
      </w:r>
      <w:r w:rsidRPr="00E069AC">
        <w:t xml:space="preserve"> installed in a particular scenario. These calculations are also available using profit inputs instead of operating costs.</w:t>
      </w:r>
    </w:p>
    <w:p w14:paraId="235CB2C4" w14:textId="77777777" w:rsidR="00593535" w:rsidRPr="00E069AC" w:rsidRDefault="00593535" w:rsidP="00593535">
      <w:r w:rsidRPr="00E069AC">
        <w:rPr>
          <w:b/>
        </w:rPr>
        <w:t>Marginal First Cost</w:t>
      </w:r>
      <w:r w:rsidRPr="00E069AC">
        <w:t xml:space="preserve"> – the difference between the </w:t>
      </w:r>
      <w:r w:rsidRPr="00E069AC">
        <w:rPr>
          <w:b/>
        </w:rPr>
        <w:t>First Cost</w:t>
      </w:r>
      <w:r w:rsidRPr="00E069AC">
        <w:t xml:space="preserve"> of all units (solution and conventional) installed in the </w:t>
      </w:r>
      <w:r w:rsidRPr="00E069AC">
        <w:rPr>
          <w:b/>
        </w:rPr>
        <w:t>PDS Scenario</w:t>
      </w:r>
      <w:r w:rsidRPr="00E069AC">
        <w:t xml:space="preserve"> and the </w:t>
      </w:r>
      <w:r w:rsidRPr="00E069AC">
        <w:rPr>
          <w:b/>
        </w:rPr>
        <w:t>First Cost</w:t>
      </w:r>
      <w:r w:rsidRPr="00E069AC">
        <w:t xml:space="preserve"> of all units installed in the </w:t>
      </w:r>
      <w:r w:rsidRPr="00E069AC">
        <w:rPr>
          <w:b/>
        </w:rPr>
        <w:t>REF Scenario</w:t>
      </w:r>
      <w:r w:rsidRPr="00E069AC">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3642D6C1" w14:textId="77777777" w:rsidR="00593535" w:rsidRPr="00E069AC" w:rsidRDefault="00593535" w:rsidP="00593535">
      <w:r w:rsidRPr="00E069AC">
        <w:rPr>
          <w:b/>
        </w:rPr>
        <w:t>Net Annual Functional Units (NAFU)</w:t>
      </w:r>
      <w:r w:rsidRPr="00E069AC">
        <w:t xml:space="preserve"> – the adoption in the PDS minus the adoption in the REF in each year of analysis. In the model, this represents the additional annual functional demand captured either by the solution in the </w:t>
      </w:r>
      <w:r w:rsidRPr="00E069AC">
        <w:rPr>
          <w:b/>
        </w:rPr>
        <w:t>PDS Scenario</w:t>
      </w:r>
      <w:r w:rsidRPr="00E069AC">
        <w:t xml:space="preserve"> or the conventional in the </w:t>
      </w:r>
      <w:r w:rsidRPr="00E069AC">
        <w:rPr>
          <w:b/>
        </w:rPr>
        <w:t>REF Scenario</w:t>
      </w:r>
      <w:r w:rsidRPr="00E069AC">
        <w:t>.</w:t>
      </w:r>
    </w:p>
    <w:p w14:paraId="3D3583E1" w14:textId="77777777" w:rsidR="00593535" w:rsidRPr="00E069AC" w:rsidRDefault="00593535" w:rsidP="00593535">
      <w:r w:rsidRPr="00E069AC">
        <w:rPr>
          <w:b/>
        </w:rPr>
        <w:t>Net Annual Implementation Units (NAIU)</w:t>
      </w:r>
      <w:r w:rsidRPr="00E069AC">
        <w:t xml:space="preserve"> – the number of </w:t>
      </w:r>
      <w:r w:rsidRPr="00E069AC">
        <w:rPr>
          <w:b/>
        </w:rPr>
        <w:t>Implementation Units</w:t>
      </w:r>
      <w:r w:rsidRPr="00E069AC">
        <w:t xml:space="preserve"> of the solution that are needed in the PDS to supply the </w:t>
      </w:r>
      <w:r w:rsidRPr="00E069AC">
        <w:rPr>
          <w:b/>
        </w:rPr>
        <w:t>Net Annual Functional Units (NAFU).</w:t>
      </w:r>
      <w:r w:rsidRPr="00E069AC">
        <w:t xml:space="preserve"> This equals the adoption in the PDS minus the adoption in the REF in each year of analysis divided by the average annual use.</w:t>
      </w:r>
    </w:p>
    <w:p w14:paraId="49111971" w14:textId="77777777" w:rsidR="00593535" w:rsidRPr="00E069AC" w:rsidRDefault="00593535" w:rsidP="00593535">
      <w:r w:rsidRPr="00E069AC">
        <w:rPr>
          <w:b/>
        </w:rPr>
        <w:t>Net Operating Savings</w:t>
      </w:r>
      <w:r w:rsidRPr="00E069AC">
        <w:t xml:space="preserve"> – The undiscounted difference between the operating cost of all units (solution and conventional) in the </w:t>
      </w:r>
      <w:r w:rsidRPr="00E069AC">
        <w:rPr>
          <w:b/>
        </w:rPr>
        <w:t>PDS Scenario</w:t>
      </w:r>
      <w:r w:rsidRPr="00E069AC">
        <w:t xml:space="preserve"> minus that of all units in the </w:t>
      </w:r>
      <w:r w:rsidRPr="00E069AC">
        <w:rPr>
          <w:b/>
        </w:rPr>
        <w:t>REF Scenario</w:t>
      </w:r>
      <w:r w:rsidRPr="00E069AC">
        <w:t>.</w:t>
      </w:r>
    </w:p>
    <w:p w14:paraId="3009E190" w14:textId="77777777" w:rsidR="00593535" w:rsidRPr="00E069AC" w:rsidRDefault="00593535" w:rsidP="00593535">
      <w:r w:rsidRPr="00E069AC">
        <w:rPr>
          <w:b/>
        </w:rPr>
        <w:t xml:space="preserve">Operating Costs </w:t>
      </w:r>
      <w:r w:rsidRPr="00E069AC">
        <w:t xml:space="preserve">– the average cost to ensure </w:t>
      </w:r>
      <w:r>
        <w:t xml:space="preserve">the </w:t>
      </w:r>
      <w:r w:rsidRPr="00E069AC">
        <w:t>operation of an activity (conventional or solution) which is measured in 2014$US/</w:t>
      </w:r>
      <w:r w:rsidRPr="00E069AC">
        <w:rPr>
          <w:b/>
        </w:rPr>
        <w:t>Functional Unit</w:t>
      </w:r>
      <w:r w:rsidRPr="00E069AC">
        <w:t xml:space="preserve">.  This is needed to estimate how much it would cost to achieve the adoption projected when compared to the </w:t>
      </w:r>
      <w:r w:rsidRPr="00E069AC">
        <w:rPr>
          <w:b/>
        </w:rPr>
        <w:t>REF Case</w:t>
      </w:r>
      <w:r w:rsidRPr="00E069AC">
        <w:t xml:space="preserve">. Note that this excludes </w:t>
      </w:r>
      <w:r w:rsidRPr="00E069AC">
        <w:rPr>
          <w:b/>
        </w:rPr>
        <w:t>First Costs</w:t>
      </w:r>
      <w:r w:rsidRPr="00E069AC">
        <w:t xml:space="preserve"> for implementing the solution.</w:t>
      </w:r>
    </w:p>
    <w:p w14:paraId="061F1F2B" w14:textId="77777777" w:rsidR="00593535" w:rsidRPr="00E069AC" w:rsidRDefault="00593535" w:rsidP="00593535">
      <w:r w:rsidRPr="00E069AC">
        <w:rPr>
          <w:b/>
        </w:rPr>
        <w:t>Payback Period</w:t>
      </w:r>
      <w:r w:rsidRPr="00E069AC">
        <w:t xml:space="preserve"> – the number of years required to pay all the </w:t>
      </w:r>
      <w:r w:rsidRPr="00E069AC">
        <w:rPr>
          <w:b/>
        </w:rPr>
        <w:t>First Costs</w:t>
      </w:r>
      <w:r w:rsidRPr="00E069AC">
        <w:t xml:space="preserve"> of the solution using </w:t>
      </w:r>
      <w:r w:rsidRPr="00E069AC">
        <w:rPr>
          <w:b/>
        </w:rPr>
        <w:t>Net Operating Savings</w:t>
      </w:r>
      <w:r w:rsidRPr="00E069AC">
        <w:t xml:space="preserve">. There are four specific metrics each with one of </w:t>
      </w:r>
      <w:r w:rsidRPr="00E069AC">
        <w:rPr>
          <w:b/>
        </w:rPr>
        <w:t>Marginal First Costs</w:t>
      </w:r>
      <w:r w:rsidRPr="00E069AC">
        <w:t xml:space="preserve"> or </w:t>
      </w:r>
      <w:r w:rsidRPr="00E069AC">
        <w:rPr>
          <w:b/>
        </w:rPr>
        <w:t>First Costs</w:t>
      </w:r>
      <w:r w:rsidRPr="00E069AC">
        <w:t xml:space="preserve"> of the solution only combined with either discounted or non-discounted values. All four are in the model. Additionally, the four outputs are calculated using the increased profit estimation instead of </w:t>
      </w:r>
      <w:r w:rsidRPr="00E069AC">
        <w:rPr>
          <w:b/>
        </w:rPr>
        <w:t>Net Operating Savings</w:t>
      </w:r>
      <w:r w:rsidRPr="00E069AC">
        <w:t>.</w:t>
      </w:r>
    </w:p>
    <w:p w14:paraId="72FB5D87" w14:textId="77777777" w:rsidR="00593535" w:rsidRPr="00E069AC" w:rsidRDefault="00593535" w:rsidP="00593535">
      <w:r w:rsidRPr="00E069AC">
        <w:rPr>
          <w:b/>
        </w:rPr>
        <w:t>PDS/ Project Drawdown Scenario</w:t>
      </w:r>
      <w:r w:rsidRPr="00E069AC">
        <w:t xml:space="preserve"> – this is the high growth scenario for </w:t>
      </w:r>
      <w:r>
        <w:t xml:space="preserve">the </w:t>
      </w:r>
      <w:r w:rsidRPr="00E069AC">
        <w:t>adoption of the solution</w:t>
      </w:r>
      <w:r>
        <w:t>.</w:t>
      </w:r>
    </w:p>
    <w:p w14:paraId="30400AFD" w14:textId="77777777" w:rsidR="00593535" w:rsidRPr="00E069AC" w:rsidRDefault="00593535" w:rsidP="00593535">
      <w:r w:rsidRPr="00E069AC">
        <w:rPr>
          <w:b/>
        </w:rPr>
        <w:t>PPB/ Parts per Billion</w:t>
      </w:r>
      <w:r w:rsidRPr="00E069AC">
        <w:t xml:space="preserve"> – a measure of concentration for atmospheric gases. 10 million PPB = 1%.</w:t>
      </w:r>
    </w:p>
    <w:p w14:paraId="23F26AFF" w14:textId="77777777" w:rsidR="00593535" w:rsidRPr="00E069AC" w:rsidRDefault="00593535" w:rsidP="00593535">
      <w:r w:rsidRPr="00E069AC">
        <w:rPr>
          <w:b/>
        </w:rPr>
        <w:t>PPM/ Parts per Million</w:t>
      </w:r>
      <w:r w:rsidRPr="00E069AC">
        <w:t xml:space="preserve"> – a measure of concentration for atmospheric gases. 10 thousand PPM = 1%.</w:t>
      </w:r>
    </w:p>
    <w:p w14:paraId="25FF7F5F" w14:textId="77777777" w:rsidR="00593535" w:rsidRPr="00E069AC" w:rsidRDefault="00593535" w:rsidP="00593535">
      <w:r w:rsidRPr="00E069AC">
        <w:rPr>
          <w:b/>
        </w:rPr>
        <w:t>REF/ Reference Scenario</w:t>
      </w:r>
      <w:r w:rsidRPr="00E069AC">
        <w:t xml:space="preserve"> – this is the low growth scenario for </w:t>
      </w:r>
      <w:r>
        <w:t xml:space="preserve">the </w:t>
      </w:r>
      <w:r w:rsidRPr="00E069AC">
        <w:t xml:space="preserve">adoption of the solution against which all </w:t>
      </w:r>
      <w:r w:rsidRPr="00E069AC">
        <w:rPr>
          <w:b/>
        </w:rPr>
        <w:t>PDS scenarios</w:t>
      </w:r>
      <w:r w:rsidRPr="00E069AC">
        <w:t xml:space="preserve"> are compared.</w:t>
      </w:r>
    </w:p>
    <w:p w14:paraId="55C624F8" w14:textId="77777777" w:rsidR="00593535" w:rsidRPr="00E069AC" w:rsidRDefault="00593535" w:rsidP="00593535">
      <w:pPr>
        <w:rPr>
          <w:rFonts w:cstheme="minorHAnsi"/>
        </w:rPr>
      </w:pPr>
      <w:r w:rsidRPr="00E069AC">
        <w:rPr>
          <w:rFonts w:cstheme="minorHAnsi"/>
          <w:b/>
        </w:rPr>
        <w:t>Regrets solution</w:t>
      </w:r>
      <w:r w:rsidRPr="00E069AC">
        <w:rPr>
          <w:rFonts w:cstheme="minorHAnsi"/>
        </w:rPr>
        <w:t xml:space="preserve"> has a positive impact on overall carbon emissions being therefore considered in some scenarios; however, the social and environmental costs could be harmful and high. </w:t>
      </w:r>
    </w:p>
    <w:p w14:paraId="2D85268C" w14:textId="77777777" w:rsidR="00593535" w:rsidRPr="00E069AC" w:rsidRDefault="00593535" w:rsidP="00593535">
      <w:r w:rsidRPr="00E069AC">
        <w:rPr>
          <w:b/>
        </w:rPr>
        <w:t>Replacement Time</w:t>
      </w:r>
      <w:r w:rsidRPr="00E069AC">
        <w:t xml:space="preserve">- the length of time in years, from installation/acquisition/setup of the solution through usage until a new installation/acquisition/setup is required to replace the earlier one.  This is calculated as the ratio of </w:t>
      </w:r>
      <w:r w:rsidRPr="00E069AC">
        <w:rPr>
          <w:b/>
        </w:rPr>
        <w:t>Lifetime Capacity</w:t>
      </w:r>
      <w:r w:rsidRPr="00E069AC">
        <w:t xml:space="preserve"> and the </w:t>
      </w:r>
      <w:r w:rsidRPr="00E069AC">
        <w:rPr>
          <w:b/>
        </w:rPr>
        <w:t>Average Annual Use</w:t>
      </w:r>
      <w:r w:rsidRPr="00E069AC">
        <w:t>.</w:t>
      </w:r>
    </w:p>
    <w:p w14:paraId="68248446" w14:textId="77777777" w:rsidR="00593535" w:rsidRPr="00E069AC" w:rsidRDefault="00593535" w:rsidP="00593535">
      <w:r w:rsidRPr="00E069AC">
        <w:rPr>
          <w:b/>
        </w:rPr>
        <w:t xml:space="preserve">TAM/ Total Addressable Market </w:t>
      </w:r>
      <w:r w:rsidRPr="00E069AC">
        <w:t xml:space="preserve">– represents the total potential market of functional demand provided by the technologies and practices under investigation, adjusting for estimated economic and population growth. For this solutions sector, it represents </w:t>
      </w:r>
      <w:r>
        <w:t xml:space="preserve">the </w:t>
      </w:r>
      <w:r w:rsidRPr="00E069AC">
        <w:t>world and regional total addressable markets for electricity generation technologies in which the solutions are considered.</w:t>
      </w:r>
    </w:p>
    <w:p w14:paraId="5BF37334" w14:textId="77777777" w:rsidR="00593535" w:rsidRPr="00E069AC" w:rsidRDefault="00593535" w:rsidP="00593535">
      <w:r w:rsidRPr="00E069AC">
        <w:rPr>
          <w:b/>
        </w:rPr>
        <w:t>Total Emissions Reduction</w:t>
      </w:r>
      <w:r w:rsidRPr="00E069AC">
        <w:t xml:space="preserve"> – the sum of </w:t>
      </w:r>
      <w:r>
        <w:t xml:space="preserve">the </w:t>
      </w:r>
      <w:r w:rsidRPr="00E069AC">
        <w:t xml:space="preserve">grid, fuel, indirect, and other direct emissions reductions over the analysis period. The emissions reduction of each of these is the difference between the emissions that would have resulted in the </w:t>
      </w:r>
      <w:r w:rsidRPr="00E069AC">
        <w:rPr>
          <w:b/>
        </w:rPr>
        <w:t>REF Scenario</w:t>
      </w:r>
      <w:r w:rsidRPr="00E069AC">
        <w:t xml:space="preserve"> (from both solution and conventional) and the emissions that would result in the </w:t>
      </w:r>
      <w:r w:rsidRPr="00E069AC">
        <w:rPr>
          <w:b/>
        </w:rPr>
        <w:t>PDS Scenario</w:t>
      </w:r>
      <w:r w:rsidRPr="00E069AC">
        <w:t>. These may also be considered as “emissions avoided” as they may have occurred in the REF Scenario, but not in the PDS Scenario.</w:t>
      </w:r>
    </w:p>
    <w:p w14:paraId="259782CF" w14:textId="77777777" w:rsidR="00593535" w:rsidRPr="00E069AC" w:rsidRDefault="00593535" w:rsidP="00593535">
      <w:pPr>
        <w:rPr>
          <w:rFonts w:cstheme="minorHAnsi"/>
        </w:rPr>
      </w:pPr>
      <w:r w:rsidRPr="00E069AC">
        <w:rPr>
          <w:rFonts w:cstheme="minorHAnsi"/>
          <w:b/>
        </w:rPr>
        <w:t>Transition solutions</w:t>
      </w:r>
      <w:r w:rsidRPr="00E069AC">
        <w:rPr>
          <w:rFonts w:cstheme="minorHAnsi"/>
        </w:rPr>
        <w:t xml:space="preserve"> </w:t>
      </w:r>
      <w:r>
        <w:rPr>
          <w:rFonts w:cstheme="minorHAnsi"/>
        </w:rPr>
        <w:t xml:space="preserve">- </w:t>
      </w:r>
      <w:r w:rsidRPr="00E069AC">
        <w:rPr>
          <w:rFonts w:cstheme="minorHAnsi"/>
        </w:rPr>
        <w:t>are considered till better technologies a</w:t>
      </w:r>
      <w:r>
        <w:rPr>
          <w:rFonts w:cstheme="minorHAnsi"/>
        </w:rPr>
        <w:t>nd less impactful are more cost-</w:t>
      </w:r>
      <w:r w:rsidRPr="00E069AC">
        <w:rPr>
          <w:rFonts w:cstheme="minorHAnsi"/>
        </w:rPr>
        <w:t xml:space="preserve">effective and mature. </w:t>
      </w:r>
    </w:p>
    <w:p w14:paraId="57B3845F" w14:textId="386DD18E" w:rsidR="006745FF" w:rsidRPr="00996E91" w:rsidRDefault="00593535" w:rsidP="00593535">
      <w:r w:rsidRPr="00E069AC">
        <w:rPr>
          <w:b/>
        </w:rPr>
        <w:t>TWh/ Terawatt-hour</w:t>
      </w:r>
      <w:r w:rsidRPr="00E069AC">
        <w:t xml:space="preserve"> – A unit of energy equal to 1 billion kilowatt-hours</w:t>
      </w:r>
      <w:r>
        <w:t>.</w:t>
      </w:r>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6F117" w14:textId="77777777" w:rsidR="0060195D" w:rsidRDefault="0060195D" w:rsidP="00D26F59">
      <w:pPr>
        <w:spacing w:after="0"/>
      </w:pPr>
      <w:r>
        <w:separator/>
      </w:r>
    </w:p>
  </w:endnote>
  <w:endnote w:type="continuationSeparator" w:id="0">
    <w:p w14:paraId="1F0EBC3B" w14:textId="77777777" w:rsidR="0060195D" w:rsidRDefault="0060195D"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Helvetica,Times New Roman">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6F4" w14:textId="77777777" w:rsidR="00856BB5" w:rsidRDefault="00856BB5"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468BC7" w14:textId="77777777" w:rsidR="00856BB5" w:rsidRDefault="00856BB5"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7B7A3" w14:textId="77777777" w:rsidR="00856BB5" w:rsidRDefault="00856BB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9ACC6EC" w14:textId="77777777" w:rsidR="00856BB5" w:rsidRDefault="00856BB5" w:rsidP="00EB247F">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856BB5" w:rsidRDefault="00856BB5"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856BB5" w:rsidRDefault="00856BB5" w:rsidP="00F5259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D1670" w14:textId="77777777" w:rsidR="00856BB5" w:rsidRDefault="00856BB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CAE7D4" w14:textId="77777777" w:rsidR="00856BB5" w:rsidRDefault="00856BB5" w:rsidP="00EB247F">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B74C5" w14:textId="77777777" w:rsidR="0060195D" w:rsidRDefault="0060195D" w:rsidP="00D26F59">
      <w:pPr>
        <w:spacing w:after="0"/>
      </w:pPr>
      <w:r>
        <w:separator/>
      </w:r>
    </w:p>
  </w:footnote>
  <w:footnote w:type="continuationSeparator" w:id="0">
    <w:p w14:paraId="690C3B9B" w14:textId="77777777" w:rsidR="0060195D" w:rsidRDefault="0060195D" w:rsidP="00D26F59">
      <w:pPr>
        <w:spacing w:after="0"/>
      </w:pPr>
      <w:r>
        <w:continuationSeparator/>
      </w:r>
    </w:p>
  </w:footnote>
  <w:footnote w:id="1">
    <w:p w14:paraId="73480CD1" w14:textId="71CAE396" w:rsidR="00856BB5" w:rsidRPr="00574825" w:rsidRDefault="00856BB5" w:rsidP="00574825">
      <w:pPr>
        <w:spacing w:after="0" w:line="240" w:lineRule="auto"/>
        <w:jc w:val="left"/>
        <w:rPr>
          <w:rFonts w:eastAsia="Times New Roman" w:cs="Times New Roman"/>
          <w:sz w:val="18"/>
          <w:szCs w:val="18"/>
          <w:lang w:eastAsia="en-US"/>
        </w:rPr>
      </w:pPr>
      <w:r>
        <w:rPr>
          <w:rStyle w:val="FootnoteReference"/>
        </w:rPr>
        <w:footnoteRef/>
      </w:r>
      <w:r>
        <w:t xml:space="preserve"> </w:t>
      </w:r>
      <w:r w:rsidRPr="002971A6">
        <w:rPr>
          <w:rStyle w:val="FootnoteReference"/>
          <w:rFonts w:cs="Times New Roman"/>
          <w:sz w:val="18"/>
          <w:szCs w:val="18"/>
        </w:rPr>
        <w:footnoteRef/>
      </w:r>
      <w:r w:rsidRPr="002971A6">
        <w:rPr>
          <w:rFonts w:cs="Times New Roman"/>
          <w:sz w:val="18"/>
          <w:szCs w:val="18"/>
        </w:rPr>
        <w:t xml:space="preserve"> </w:t>
      </w:r>
      <w:r w:rsidRPr="002971A6">
        <w:rPr>
          <w:rFonts w:eastAsia="Times New Roman" w:cs="Times New Roman"/>
          <w:sz w:val="18"/>
          <w:szCs w:val="18"/>
          <w:lang w:eastAsia="en-US"/>
        </w:rPr>
        <w:t>Current adoption is defined as the amount of functional demand supplied by the solution in 2018. This study uses 2014 as the base year due to the availability of global adoption data for all Project Drawdown solutions evaluated</w:t>
      </w:r>
    </w:p>
  </w:footnote>
  <w:footnote w:id="2">
    <w:p w14:paraId="7183C9BF" w14:textId="77777777" w:rsidR="00856BB5" w:rsidRDefault="00856BB5" w:rsidP="00A04734">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4" w15:restartNumberingAfterBreak="0">
    <w:nsid w:val="061C0515"/>
    <w:multiLevelType w:val="multilevel"/>
    <w:tmpl w:val="67DA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E7385"/>
    <w:multiLevelType w:val="hybridMultilevel"/>
    <w:tmpl w:val="66F2C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1E58CC"/>
    <w:multiLevelType w:val="hybridMultilevel"/>
    <w:tmpl w:val="5C8844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11"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6344B1"/>
    <w:multiLevelType w:val="multilevel"/>
    <w:tmpl w:val="E38C1FA4"/>
    <w:lvl w:ilvl="0">
      <w:start w:val="1"/>
      <w:numFmt w:val="decimal"/>
      <w:lvlText w:val="%1."/>
      <w:lvlJc w:val="left"/>
      <w:pPr>
        <w:ind w:left="440" w:hanging="4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4" w15:restartNumberingAfterBreak="0">
    <w:nsid w:val="2C7F4F1E"/>
    <w:multiLevelType w:val="hybridMultilevel"/>
    <w:tmpl w:val="15C6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B08B2"/>
    <w:multiLevelType w:val="hybridMultilevel"/>
    <w:tmpl w:val="7C3C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E4AB3"/>
    <w:multiLevelType w:val="multilevel"/>
    <w:tmpl w:val="97CAB30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E94073E"/>
    <w:multiLevelType w:val="multilevel"/>
    <w:tmpl w:val="845A0176"/>
    <w:lvl w:ilvl="0">
      <w:start w:val="1"/>
      <w:numFmt w:val="decimal"/>
      <w:pStyle w:val="Heading1"/>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23" w15:restartNumberingAfterBreak="0">
    <w:nsid w:val="45C42DE0"/>
    <w:multiLevelType w:val="hybridMultilevel"/>
    <w:tmpl w:val="F8AEE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961FA6"/>
    <w:multiLevelType w:val="hybridMultilevel"/>
    <w:tmpl w:val="4E521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27" w15:restartNumberingAfterBreak="0">
    <w:nsid w:val="5222233E"/>
    <w:multiLevelType w:val="multilevel"/>
    <w:tmpl w:val="974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30"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687883"/>
    <w:multiLevelType w:val="multilevel"/>
    <w:tmpl w:val="0E00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35"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10"/>
  </w:num>
  <w:num w:numId="2">
    <w:abstractNumId w:val="35"/>
  </w:num>
  <w:num w:numId="3">
    <w:abstractNumId w:val="26"/>
  </w:num>
  <w:num w:numId="4">
    <w:abstractNumId w:val="8"/>
  </w:num>
  <w:num w:numId="5">
    <w:abstractNumId w:val="34"/>
  </w:num>
  <w:num w:numId="6">
    <w:abstractNumId w:val="22"/>
  </w:num>
  <w:num w:numId="7">
    <w:abstractNumId w:val="29"/>
  </w:num>
  <w:num w:numId="8">
    <w:abstractNumId w:val="3"/>
  </w:num>
  <w:num w:numId="9">
    <w:abstractNumId w:val="9"/>
  </w:num>
  <w:num w:numId="10">
    <w:abstractNumId w:val="21"/>
  </w:num>
  <w:num w:numId="11">
    <w:abstractNumId w:val="18"/>
  </w:num>
  <w:num w:numId="12">
    <w:abstractNumId w:val="28"/>
  </w:num>
  <w:num w:numId="13">
    <w:abstractNumId w:val="11"/>
  </w:num>
  <w:num w:numId="14">
    <w:abstractNumId w:val="15"/>
  </w:num>
  <w:num w:numId="15">
    <w:abstractNumId w:val="2"/>
  </w:num>
  <w:num w:numId="16">
    <w:abstractNumId w:val="7"/>
  </w:num>
  <w:num w:numId="17">
    <w:abstractNumId w:val="30"/>
  </w:num>
  <w:num w:numId="18">
    <w:abstractNumId w:val="33"/>
  </w:num>
  <w:num w:numId="19">
    <w:abstractNumId w:val="31"/>
  </w:num>
  <w:num w:numId="20">
    <w:abstractNumId w:val="17"/>
  </w:num>
  <w:num w:numId="21">
    <w:abstractNumId w:val="9"/>
  </w:num>
  <w:num w:numId="22">
    <w:abstractNumId w:val="9"/>
  </w:num>
  <w:num w:numId="23">
    <w:abstractNumId w:val="13"/>
  </w:num>
  <w:num w:numId="24">
    <w:abstractNumId w:val="19"/>
  </w:num>
  <w:num w:numId="25">
    <w:abstractNumId w:val="24"/>
  </w:num>
  <w:num w:numId="26">
    <w:abstractNumId w:val="20"/>
  </w:num>
  <w:num w:numId="27">
    <w:abstractNumId w:val="20"/>
  </w:num>
  <w:num w:numId="28">
    <w:abstractNumId w:val="20"/>
    <w:lvlOverride w:ilvl="0">
      <w:startOverride w:val="2"/>
    </w:lvlOverride>
    <w:lvlOverride w:ilvl="1">
      <w:startOverride w:val="1"/>
    </w:lvlOverride>
  </w:num>
  <w:num w:numId="29">
    <w:abstractNumId w:val="20"/>
    <w:lvlOverride w:ilvl="0">
      <w:startOverride w:val="4"/>
    </w:lvlOverride>
    <w:lvlOverride w:ilvl="1">
      <w:startOverride w:val="1"/>
    </w:lvlOverride>
  </w:num>
  <w:num w:numId="30">
    <w:abstractNumId w:val="20"/>
    <w:lvlOverride w:ilvl="0">
      <w:startOverride w:val="3"/>
    </w:lvlOverride>
    <w:lvlOverride w:ilvl="1">
      <w:startOverride w:val="1"/>
    </w:lvlOverride>
  </w:num>
  <w:num w:numId="31">
    <w:abstractNumId w:val="6"/>
  </w:num>
  <w:num w:numId="32">
    <w:abstractNumId w:val="27"/>
  </w:num>
  <w:num w:numId="33">
    <w:abstractNumId w:val="32"/>
  </w:num>
  <w:num w:numId="34">
    <w:abstractNumId w:val="14"/>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19"/>
  </w:num>
  <w:num w:numId="40">
    <w:abstractNumId w:val="19"/>
  </w:num>
  <w:num w:numId="41">
    <w:abstractNumId w:val="16"/>
  </w:num>
  <w:num w:numId="42">
    <w:abstractNumId w:val="20"/>
  </w:num>
  <w:num w:numId="43">
    <w:abstractNumId w:val="20"/>
  </w:num>
  <w:num w:numId="44">
    <w:abstractNumId w:val="12"/>
  </w:num>
  <w:num w:numId="45">
    <w:abstractNumId w:val="4"/>
  </w:num>
  <w:num w:numId="46">
    <w:abstractNumId w:val="23"/>
  </w:num>
  <w:num w:numId="47">
    <w:abstractNumId w:val="5"/>
  </w:num>
  <w:num w:numId="48">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C08"/>
    <w:rsid w:val="0000143C"/>
    <w:rsid w:val="00014CE5"/>
    <w:rsid w:val="00014DE8"/>
    <w:rsid w:val="000178CE"/>
    <w:rsid w:val="000218E4"/>
    <w:rsid w:val="00024653"/>
    <w:rsid w:val="00024F11"/>
    <w:rsid w:val="00027B88"/>
    <w:rsid w:val="00030AE3"/>
    <w:rsid w:val="00031A48"/>
    <w:rsid w:val="000330C6"/>
    <w:rsid w:val="000362F8"/>
    <w:rsid w:val="00045B70"/>
    <w:rsid w:val="000510F9"/>
    <w:rsid w:val="00054158"/>
    <w:rsid w:val="00056308"/>
    <w:rsid w:val="00056ED1"/>
    <w:rsid w:val="00057050"/>
    <w:rsid w:val="00060E34"/>
    <w:rsid w:val="00061361"/>
    <w:rsid w:val="0006439A"/>
    <w:rsid w:val="00066150"/>
    <w:rsid w:val="00075F31"/>
    <w:rsid w:val="000828F9"/>
    <w:rsid w:val="000829DC"/>
    <w:rsid w:val="000856B7"/>
    <w:rsid w:val="00086958"/>
    <w:rsid w:val="000875B5"/>
    <w:rsid w:val="0009232E"/>
    <w:rsid w:val="0009271D"/>
    <w:rsid w:val="0009541F"/>
    <w:rsid w:val="000962DD"/>
    <w:rsid w:val="000A21AE"/>
    <w:rsid w:val="000A2D57"/>
    <w:rsid w:val="000A6F40"/>
    <w:rsid w:val="000B1609"/>
    <w:rsid w:val="000B1918"/>
    <w:rsid w:val="000B2504"/>
    <w:rsid w:val="000B3EE3"/>
    <w:rsid w:val="000B41F8"/>
    <w:rsid w:val="000B4D30"/>
    <w:rsid w:val="000B7D71"/>
    <w:rsid w:val="000C04D3"/>
    <w:rsid w:val="000C3205"/>
    <w:rsid w:val="000C3F49"/>
    <w:rsid w:val="000C519E"/>
    <w:rsid w:val="000C5747"/>
    <w:rsid w:val="000C7A55"/>
    <w:rsid w:val="000C7DFA"/>
    <w:rsid w:val="000D27B5"/>
    <w:rsid w:val="000D30DE"/>
    <w:rsid w:val="000D3855"/>
    <w:rsid w:val="000D5E86"/>
    <w:rsid w:val="000D7BC5"/>
    <w:rsid w:val="000E594F"/>
    <w:rsid w:val="000E717A"/>
    <w:rsid w:val="000F131E"/>
    <w:rsid w:val="000F5142"/>
    <w:rsid w:val="00101408"/>
    <w:rsid w:val="001052ED"/>
    <w:rsid w:val="001073C8"/>
    <w:rsid w:val="00112479"/>
    <w:rsid w:val="00120405"/>
    <w:rsid w:val="00120490"/>
    <w:rsid w:val="00120633"/>
    <w:rsid w:val="00123A28"/>
    <w:rsid w:val="00124262"/>
    <w:rsid w:val="00124C49"/>
    <w:rsid w:val="00125B80"/>
    <w:rsid w:val="00136093"/>
    <w:rsid w:val="00140F1E"/>
    <w:rsid w:val="00152E5D"/>
    <w:rsid w:val="001534F5"/>
    <w:rsid w:val="001575FF"/>
    <w:rsid w:val="00160C7C"/>
    <w:rsid w:val="00170EB6"/>
    <w:rsid w:val="001759D2"/>
    <w:rsid w:val="00175AA2"/>
    <w:rsid w:val="00176B3E"/>
    <w:rsid w:val="0018298D"/>
    <w:rsid w:val="001912DB"/>
    <w:rsid w:val="00192574"/>
    <w:rsid w:val="00197122"/>
    <w:rsid w:val="001A1A8F"/>
    <w:rsid w:val="001A1AB8"/>
    <w:rsid w:val="001A2987"/>
    <w:rsid w:val="001A42FD"/>
    <w:rsid w:val="001A6EB0"/>
    <w:rsid w:val="001A6FBD"/>
    <w:rsid w:val="001B1300"/>
    <w:rsid w:val="001B27B9"/>
    <w:rsid w:val="001B2D16"/>
    <w:rsid w:val="001B3003"/>
    <w:rsid w:val="001B48E7"/>
    <w:rsid w:val="001B58F5"/>
    <w:rsid w:val="001B6745"/>
    <w:rsid w:val="001C2B6F"/>
    <w:rsid w:val="001C3DC0"/>
    <w:rsid w:val="001C49CB"/>
    <w:rsid w:val="001C5872"/>
    <w:rsid w:val="001C7EBF"/>
    <w:rsid w:val="001D14D9"/>
    <w:rsid w:val="001D17E8"/>
    <w:rsid w:val="001D274A"/>
    <w:rsid w:val="001D53F3"/>
    <w:rsid w:val="001D622B"/>
    <w:rsid w:val="001E0F26"/>
    <w:rsid w:val="001E0FF2"/>
    <w:rsid w:val="001F2996"/>
    <w:rsid w:val="001F2EFC"/>
    <w:rsid w:val="001F6FB0"/>
    <w:rsid w:val="00202788"/>
    <w:rsid w:val="002054FC"/>
    <w:rsid w:val="0021082B"/>
    <w:rsid w:val="00212F29"/>
    <w:rsid w:val="00214EDB"/>
    <w:rsid w:val="00215E89"/>
    <w:rsid w:val="00215F04"/>
    <w:rsid w:val="00216B08"/>
    <w:rsid w:val="00221954"/>
    <w:rsid w:val="0022631D"/>
    <w:rsid w:val="0023178B"/>
    <w:rsid w:val="00232AAA"/>
    <w:rsid w:val="00233C0E"/>
    <w:rsid w:val="00234500"/>
    <w:rsid w:val="00244EF3"/>
    <w:rsid w:val="002476A8"/>
    <w:rsid w:val="0025278E"/>
    <w:rsid w:val="00255662"/>
    <w:rsid w:val="00255D19"/>
    <w:rsid w:val="00260326"/>
    <w:rsid w:val="002603E9"/>
    <w:rsid w:val="00261FC5"/>
    <w:rsid w:val="00262D72"/>
    <w:rsid w:val="0026327C"/>
    <w:rsid w:val="0026340F"/>
    <w:rsid w:val="00264D1A"/>
    <w:rsid w:val="00266635"/>
    <w:rsid w:val="00270442"/>
    <w:rsid w:val="00272912"/>
    <w:rsid w:val="00273E57"/>
    <w:rsid w:val="00274B56"/>
    <w:rsid w:val="0027545E"/>
    <w:rsid w:val="00275D75"/>
    <w:rsid w:val="00276E19"/>
    <w:rsid w:val="002811D8"/>
    <w:rsid w:val="002836FE"/>
    <w:rsid w:val="0028490E"/>
    <w:rsid w:val="00290B59"/>
    <w:rsid w:val="00290D71"/>
    <w:rsid w:val="00291D3C"/>
    <w:rsid w:val="00292559"/>
    <w:rsid w:val="002945C8"/>
    <w:rsid w:val="00294799"/>
    <w:rsid w:val="002A09DB"/>
    <w:rsid w:val="002A4E84"/>
    <w:rsid w:val="002A62C7"/>
    <w:rsid w:val="002B2BAB"/>
    <w:rsid w:val="002B4E23"/>
    <w:rsid w:val="002C0282"/>
    <w:rsid w:val="002C548E"/>
    <w:rsid w:val="002C61D2"/>
    <w:rsid w:val="002D402C"/>
    <w:rsid w:val="002D462E"/>
    <w:rsid w:val="002D4B9E"/>
    <w:rsid w:val="002D5C14"/>
    <w:rsid w:val="002D6588"/>
    <w:rsid w:val="002E2ED6"/>
    <w:rsid w:val="002E49AA"/>
    <w:rsid w:val="002E69FF"/>
    <w:rsid w:val="0030099E"/>
    <w:rsid w:val="00300CEE"/>
    <w:rsid w:val="00301EF7"/>
    <w:rsid w:val="00303670"/>
    <w:rsid w:val="003053A6"/>
    <w:rsid w:val="003069EE"/>
    <w:rsid w:val="00312D2D"/>
    <w:rsid w:val="00315AB7"/>
    <w:rsid w:val="003237BE"/>
    <w:rsid w:val="00325AF7"/>
    <w:rsid w:val="003260E9"/>
    <w:rsid w:val="00327B08"/>
    <w:rsid w:val="00330B67"/>
    <w:rsid w:val="00333492"/>
    <w:rsid w:val="00333748"/>
    <w:rsid w:val="00344262"/>
    <w:rsid w:val="0034746E"/>
    <w:rsid w:val="003516A9"/>
    <w:rsid w:val="00367144"/>
    <w:rsid w:val="00367667"/>
    <w:rsid w:val="00367EE3"/>
    <w:rsid w:val="0037089C"/>
    <w:rsid w:val="00371F45"/>
    <w:rsid w:val="003727F8"/>
    <w:rsid w:val="003736CE"/>
    <w:rsid w:val="00374564"/>
    <w:rsid w:val="00374E57"/>
    <w:rsid w:val="00375AEA"/>
    <w:rsid w:val="0038334F"/>
    <w:rsid w:val="00385839"/>
    <w:rsid w:val="003922A1"/>
    <w:rsid w:val="00394EFB"/>
    <w:rsid w:val="00395868"/>
    <w:rsid w:val="00396031"/>
    <w:rsid w:val="003A2697"/>
    <w:rsid w:val="003A484B"/>
    <w:rsid w:val="003A4CBC"/>
    <w:rsid w:val="003A6213"/>
    <w:rsid w:val="003A7929"/>
    <w:rsid w:val="003A7FE2"/>
    <w:rsid w:val="003B2BDF"/>
    <w:rsid w:val="003B4C27"/>
    <w:rsid w:val="003B7CDD"/>
    <w:rsid w:val="003C025A"/>
    <w:rsid w:val="003C04AF"/>
    <w:rsid w:val="003C3271"/>
    <w:rsid w:val="003C69B0"/>
    <w:rsid w:val="003D1D09"/>
    <w:rsid w:val="003D74CE"/>
    <w:rsid w:val="003E0AE3"/>
    <w:rsid w:val="003E2725"/>
    <w:rsid w:val="003E2EAC"/>
    <w:rsid w:val="003E2FAF"/>
    <w:rsid w:val="003F0F3C"/>
    <w:rsid w:val="004057C8"/>
    <w:rsid w:val="00415D21"/>
    <w:rsid w:val="004162CA"/>
    <w:rsid w:val="00416A4B"/>
    <w:rsid w:val="00431AD7"/>
    <w:rsid w:val="00433358"/>
    <w:rsid w:val="00434F61"/>
    <w:rsid w:val="0044137C"/>
    <w:rsid w:val="00442F4B"/>
    <w:rsid w:val="00450789"/>
    <w:rsid w:val="00453DE8"/>
    <w:rsid w:val="004563E3"/>
    <w:rsid w:val="0045676A"/>
    <w:rsid w:val="0045705C"/>
    <w:rsid w:val="004575C6"/>
    <w:rsid w:val="00471A22"/>
    <w:rsid w:val="00480ECD"/>
    <w:rsid w:val="00481F8C"/>
    <w:rsid w:val="004835E5"/>
    <w:rsid w:val="00483FFA"/>
    <w:rsid w:val="00484B19"/>
    <w:rsid w:val="0048529F"/>
    <w:rsid w:val="004858E0"/>
    <w:rsid w:val="00486C75"/>
    <w:rsid w:val="00487017"/>
    <w:rsid w:val="00490F36"/>
    <w:rsid w:val="00492F5E"/>
    <w:rsid w:val="0049639F"/>
    <w:rsid w:val="00496526"/>
    <w:rsid w:val="00497A4D"/>
    <w:rsid w:val="004A0129"/>
    <w:rsid w:val="004A4DD8"/>
    <w:rsid w:val="004A4DFA"/>
    <w:rsid w:val="004A6074"/>
    <w:rsid w:val="004A74C9"/>
    <w:rsid w:val="004B1A07"/>
    <w:rsid w:val="004B1A0B"/>
    <w:rsid w:val="004B45D0"/>
    <w:rsid w:val="004B4859"/>
    <w:rsid w:val="004B4939"/>
    <w:rsid w:val="004B51C8"/>
    <w:rsid w:val="004B7561"/>
    <w:rsid w:val="004B75B7"/>
    <w:rsid w:val="004C1461"/>
    <w:rsid w:val="004D2944"/>
    <w:rsid w:val="004D345F"/>
    <w:rsid w:val="004D5520"/>
    <w:rsid w:val="004D6BD2"/>
    <w:rsid w:val="004E31CB"/>
    <w:rsid w:val="004E37EC"/>
    <w:rsid w:val="004E4047"/>
    <w:rsid w:val="004E4194"/>
    <w:rsid w:val="004F1696"/>
    <w:rsid w:val="004F4C85"/>
    <w:rsid w:val="004F5425"/>
    <w:rsid w:val="004F73F6"/>
    <w:rsid w:val="0050102F"/>
    <w:rsid w:val="00502A30"/>
    <w:rsid w:val="00503C47"/>
    <w:rsid w:val="00503F11"/>
    <w:rsid w:val="00504415"/>
    <w:rsid w:val="00504D47"/>
    <w:rsid w:val="005131AE"/>
    <w:rsid w:val="0052355A"/>
    <w:rsid w:val="005251A9"/>
    <w:rsid w:val="0053240D"/>
    <w:rsid w:val="0053289D"/>
    <w:rsid w:val="005340D0"/>
    <w:rsid w:val="005341AC"/>
    <w:rsid w:val="005352E4"/>
    <w:rsid w:val="00535AC0"/>
    <w:rsid w:val="00540434"/>
    <w:rsid w:val="00540530"/>
    <w:rsid w:val="00541D39"/>
    <w:rsid w:val="00543A31"/>
    <w:rsid w:val="00557737"/>
    <w:rsid w:val="00557A3B"/>
    <w:rsid w:val="00561650"/>
    <w:rsid w:val="00564C96"/>
    <w:rsid w:val="00566488"/>
    <w:rsid w:val="005669BE"/>
    <w:rsid w:val="00570C51"/>
    <w:rsid w:val="00571C64"/>
    <w:rsid w:val="00571F6E"/>
    <w:rsid w:val="00574825"/>
    <w:rsid w:val="00575828"/>
    <w:rsid w:val="00577D54"/>
    <w:rsid w:val="00584CBD"/>
    <w:rsid w:val="00584ECC"/>
    <w:rsid w:val="00586AA5"/>
    <w:rsid w:val="00587AF6"/>
    <w:rsid w:val="005928D2"/>
    <w:rsid w:val="00592C39"/>
    <w:rsid w:val="00592D80"/>
    <w:rsid w:val="00593535"/>
    <w:rsid w:val="005A40BA"/>
    <w:rsid w:val="005A6986"/>
    <w:rsid w:val="005B7A11"/>
    <w:rsid w:val="005C2BC8"/>
    <w:rsid w:val="005C6EC2"/>
    <w:rsid w:val="005C77F5"/>
    <w:rsid w:val="005D026A"/>
    <w:rsid w:val="005D0451"/>
    <w:rsid w:val="005D2C9C"/>
    <w:rsid w:val="005D49A8"/>
    <w:rsid w:val="005D4EB4"/>
    <w:rsid w:val="005E40E9"/>
    <w:rsid w:val="005E754F"/>
    <w:rsid w:val="005F1E2F"/>
    <w:rsid w:val="005F38E3"/>
    <w:rsid w:val="005F6F5D"/>
    <w:rsid w:val="0060195D"/>
    <w:rsid w:val="00601D77"/>
    <w:rsid w:val="00602D83"/>
    <w:rsid w:val="00602DF7"/>
    <w:rsid w:val="006035E9"/>
    <w:rsid w:val="00605504"/>
    <w:rsid w:val="0060672D"/>
    <w:rsid w:val="00610418"/>
    <w:rsid w:val="006106F7"/>
    <w:rsid w:val="00614911"/>
    <w:rsid w:val="00614B0E"/>
    <w:rsid w:val="00620654"/>
    <w:rsid w:val="0062613C"/>
    <w:rsid w:val="006279ED"/>
    <w:rsid w:val="00630CD1"/>
    <w:rsid w:val="00631D39"/>
    <w:rsid w:val="006330C6"/>
    <w:rsid w:val="00633ACC"/>
    <w:rsid w:val="00635618"/>
    <w:rsid w:val="00640665"/>
    <w:rsid w:val="00652B00"/>
    <w:rsid w:val="00653F88"/>
    <w:rsid w:val="00654D87"/>
    <w:rsid w:val="0065579A"/>
    <w:rsid w:val="00655907"/>
    <w:rsid w:val="00662EF5"/>
    <w:rsid w:val="00666AAB"/>
    <w:rsid w:val="0066753A"/>
    <w:rsid w:val="0066787A"/>
    <w:rsid w:val="00670542"/>
    <w:rsid w:val="006745FF"/>
    <w:rsid w:val="00683100"/>
    <w:rsid w:val="00685152"/>
    <w:rsid w:val="0068752C"/>
    <w:rsid w:val="00691D0A"/>
    <w:rsid w:val="0069370D"/>
    <w:rsid w:val="00695682"/>
    <w:rsid w:val="00695E13"/>
    <w:rsid w:val="006A106E"/>
    <w:rsid w:val="006A4A08"/>
    <w:rsid w:val="006A7503"/>
    <w:rsid w:val="006B267A"/>
    <w:rsid w:val="006B5F26"/>
    <w:rsid w:val="006C23DB"/>
    <w:rsid w:val="006C273F"/>
    <w:rsid w:val="006C3249"/>
    <w:rsid w:val="006D1D6C"/>
    <w:rsid w:val="006D6012"/>
    <w:rsid w:val="006D6758"/>
    <w:rsid w:val="006E32FC"/>
    <w:rsid w:val="006E6C65"/>
    <w:rsid w:val="006F186C"/>
    <w:rsid w:val="006F2600"/>
    <w:rsid w:val="006F2714"/>
    <w:rsid w:val="006F505C"/>
    <w:rsid w:val="006F6334"/>
    <w:rsid w:val="007052CF"/>
    <w:rsid w:val="007102BE"/>
    <w:rsid w:val="00717861"/>
    <w:rsid w:val="00720F3A"/>
    <w:rsid w:val="0072606A"/>
    <w:rsid w:val="00736F66"/>
    <w:rsid w:val="00740504"/>
    <w:rsid w:val="00745061"/>
    <w:rsid w:val="007500D3"/>
    <w:rsid w:val="00753191"/>
    <w:rsid w:val="00753F11"/>
    <w:rsid w:val="007546AE"/>
    <w:rsid w:val="007546C9"/>
    <w:rsid w:val="007576C6"/>
    <w:rsid w:val="00761959"/>
    <w:rsid w:val="00762877"/>
    <w:rsid w:val="00763931"/>
    <w:rsid w:val="00767D2A"/>
    <w:rsid w:val="00767F96"/>
    <w:rsid w:val="0078345A"/>
    <w:rsid w:val="007864AB"/>
    <w:rsid w:val="00791571"/>
    <w:rsid w:val="00791DA4"/>
    <w:rsid w:val="0079350D"/>
    <w:rsid w:val="00795D47"/>
    <w:rsid w:val="007A259D"/>
    <w:rsid w:val="007A58F9"/>
    <w:rsid w:val="007A6C9F"/>
    <w:rsid w:val="007A72EC"/>
    <w:rsid w:val="007B1B74"/>
    <w:rsid w:val="007B6462"/>
    <w:rsid w:val="007B6E51"/>
    <w:rsid w:val="007C2326"/>
    <w:rsid w:val="007C28E3"/>
    <w:rsid w:val="007C645A"/>
    <w:rsid w:val="007D1608"/>
    <w:rsid w:val="007D2C50"/>
    <w:rsid w:val="007D2C6A"/>
    <w:rsid w:val="007D3A5C"/>
    <w:rsid w:val="007D4BF1"/>
    <w:rsid w:val="007D4C43"/>
    <w:rsid w:val="007D6B13"/>
    <w:rsid w:val="007E0ECB"/>
    <w:rsid w:val="007E3C27"/>
    <w:rsid w:val="007E4C7C"/>
    <w:rsid w:val="007F1A54"/>
    <w:rsid w:val="007F218C"/>
    <w:rsid w:val="008006D0"/>
    <w:rsid w:val="00801004"/>
    <w:rsid w:val="00807D37"/>
    <w:rsid w:val="008113FA"/>
    <w:rsid w:val="0081201E"/>
    <w:rsid w:val="00814EF4"/>
    <w:rsid w:val="0081688B"/>
    <w:rsid w:val="00820392"/>
    <w:rsid w:val="008203FB"/>
    <w:rsid w:val="00820BA5"/>
    <w:rsid w:val="00822736"/>
    <w:rsid w:val="00825F5E"/>
    <w:rsid w:val="00826C41"/>
    <w:rsid w:val="008274C2"/>
    <w:rsid w:val="00830D4A"/>
    <w:rsid w:val="00831310"/>
    <w:rsid w:val="008332CA"/>
    <w:rsid w:val="00835064"/>
    <w:rsid w:val="0083647A"/>
    <w:rsid w:val="008368CA"/>
    <w:rsid w:val="00837784"/>
    <w:rsid w:val="0084391C"/>
    <w:rsid w:val="00843F48"/>
    <w:rsid w:val="0084641A"/>
    <w:rsid w:val="00847D79"/>
    <w:rsid w:val="00850C63"/>
    <w:rsid w:val="0085286D"/>
    <w:rsid w:val="00855C2A"/>
    <w:rsid w:val="00856BB5"/>
    <w:rsid w:val="008627CC"/>
    <w:rsid w:val="00866B27"/>
    <w:rsid w:val="00872DCA"/>
    <w:rsid w:val="00873CCD"/>
    <w:rsid w:val="0087457C"/>
    <w:rsid w:val="00876E08"/>
    <w:rsid w:val="008806DE"/>
    <w:rsid w:val="00884541"/>
    <w:rsid w:val="00887563"/>
    <w:rsid w:val="008942FE"/>
    <w:rsid w:val="008C0AE0"/>
    <w:rsid w:val="008C33F2"/>
    <w:rsid w:val="008C59ED"/>
    <w:rsid w:val="008C6AEB"/>
    <w:rsid w:val="008D1491"/>
    <w:rsid w:val="008D6D1A"/>
    <w:rsid w:val="008D6FF5"/>
    <w:rsid w:val="008E6B1D"/>
    <w:rsid w:val="008E6F9D"/>
    <w:rsid w:val="008F2ACC"/>
    <w:rsid w:val="008F6694"/>
    <w:rsid w:val="00904DCE"/>
    <w:rsid w:val="00905FBB"/>
    <w:rsid w:val="00907B1B"/>
    <w:rsid w:val="00910DE0"/>
    <w:rsid w:val="00912CC8"/>
    <w:rsid w:val="0091496E"/>
    <w:rsid w:val="009217CF"/>
    <w:rsid w:val="00923F5D"/>
    <w:rsid w:val="009247D3"/>
    <w:rsid w:val="0093067B"/>
    <w:rsid w:val="00930DE7"/>
    <w:rsid w:val="009323F1"/>
    <w:rsid w:val="00933195"/>
    <w:rsid w:val="00933FD7"/>
    <w:rsid w:val="00936B09"/>
    <w:rsid w:val="00937CEB"/>
    <w:rsid w:val="00941CE1"/>
    <w:rsid w:val="0094349E"/>
    <w:rsid w:val="009470AC"/>
    <w:rsid w:val="00951B63"/>
    <w:rsid w:val="00954872"/>
    <w:rsid w:val="00954CF1"/>
    <w:rsid w:val="0096211B"/>
    <w:rsid w:val="00962201"/>
    <w:rsid w:val="00966563"/>
    <w:rsid w:val="0096714D"/>
    <w:rsid w:val="00967E71"/>
    <w:rsid w:val="009715E2"/>
    <w:rsid w:val="00971BA5"/>
    <w:rsid w:val="00971C9D"/>
    <w:rsid w:val="00972080"/>
    <w:rsid w:val="00972F68"/>
    <w:rsid w:val="00975091"/>
    <w:rsid w:val="009777E1"/>
    <w:rsid w:val="00977F6D"/>
    <w:rsid w:val="00981A95"/>
    <w:rsid w:val="009822BE"/>
    <w:rsid w:val="00982379"/>
    <w:rsid w:val="009833FD"/>
    <w:rsid w:val="00983E39"/>
    <w:rsid w:val="00985C4D"/>
    <w:rsid w:val="00992B8D"/>
    <w:rsid w:val="00995B7B"/>
    <w:rsid w:val="00996E91"/>
    <w:rsid w:val="009A25BC"/>
    <w:rsid w:val="009A4537"/>
    <w:rsid w:val="009B7789"/>
    <w:rsid w:val="009B7C08"/>
    <w:rsid w:val="009B7C4C"/>
    <w:rsid w:val="009C0F77"/>
    <w:rsid w:val="009C30D4"/>
    <w:rsid w:val="009C57FB"/>
    <w:rsid w:val="009D118F"/>
    <w:rsid w:val="009D3B78"/>
    <w:rsid w:val="009E149F"/>
    <w:rsid w:val="009E6074"/>
    <w:rsid w:val="009E6E89"/>
    <w:rsid w:val="009F2F7E"/>
    <w:rsid w:val="009F306A"/>
    <w:rsid w:val="009F4361"/>
    <w:rsid w:val="009F5599"/>
    <w:rsid w:val="009F7D2C"/>
    <w:rsid w:val="00A0321D"/>
    <w:rsid w:val="00A0399A"/>
    <w:rsid w:val="00A04734"/>
    <w:rsid w:val="00A07B5E"/>
    <w:rsid w:val="00A109D8"/>
    <w:rsid w:val="00A15761"/>
    <w:rsid w:val="00A179D9"/>
    <w:rsid w:val="00A2204D"/>
    <w:rsid w:val="00A275A4"/>
    <w:rsid w:val="00A30010"/>
    <w:rsid w:val="00A32175"/>
    <w:rsid w:val="00A34C76"/>
    <w:rsid w:val="00A35BB5"/>
    <w:rsid w:val="00A439FA"/>
    <w:rsid w:val="00A44819"/>
    <w:rsid w:val="00A52E22"/>
    <w:rsid w:val="00A53CDF"/>
    <w:rsid w:val="00A5758D"/>
    <w:rsid w:val="00A6072B"/>
    <w:rsid w:val="00A63C99"/>
    <w:rsid w:val="00A64D82"/>
    <w:rsid w:val="00A65656"/>
    <w:rsid w:val="00A67518"/>
    <w:rsid w:val="00A7030F"/>
    <w:rsid w:val="00A70D18"/>
    <w:rsid w:val="00A84B41"/>
    <w:rsid w:val="00A8560C"/>
    <w:rsid w:val="00A863CD"/>
    <w:rsid w:val="00A87030"/>
    <w:rsid w:val="00A87D0F"/>
    <w:rsid w:val="00A90172"/>
    <w:rsid w:val="00A95567"/>
    <w:rsid w:val="00A957B7"/>
    <w:rsid w:val="00AA228F"/>
    <w:rsid w:val="00AA7FE1"/>
    <w:rsid w:val="00AB01A1"/>
    <w:rsid w:val="00AB71E0"/>
    <w:rsid w:val="00AC07CF"/>
    <w:rsid w:val="00AC32A1"/>
    <w:rsid w:val="00AC493E"/>
    <w:rsid w:val="00AC5DB9"/>
    <w:rsid w:val="00AD3ABE"/>
    <w:rsid w:val="00AD7105"/>
    <w:rsid w:val="00AE1768"/>
    <w:rsid w:val="00AE1C1F"/>
    <w:rsid w:val="00AE3F8B"/>
    <w:rsid w:val="00AE749D"/>
    <w:rsid w:val="00AE7A86"/>
    <w:rsid w:val="00AF0AA6"/>
    <w:rsid w:val="00AF1049"/>
    <w:rsid w:val="00AF78D3"/>
    <w:rsid w:val="00AF7DA5"/>
    <w:rsid w:val="00B02801"/>
    <w:rsid w:val="00B03A23"/>
    <w:rsid w:val="00B0519A"/>
    <w:rsid w:val="00B144E5"/>
    <w:rsid w:val="00B177F8"/>
    <w:rsid w:val="00B234EE"/>
    <w:rsid w:val="00B249A6"/>
    <w:rsid w:val="00B24F59"/>
    <w:rsid w:val="00B261E0"/>
    <w:rsid w:val="00B36063"/>
    <w:rsid w:val="00B404A4"/>
    <w:rsid w:val="00B434F1"/>
    <w:rsid w:val="00B43EF7"/>
    <w:rsid w:val="00B45DA8"/>
    <w:rsid w:val="00B502A3"/>
    <w:rsid w:val="00B51ACB"/>
    <w:rsid w:val="00B5320C"/>
    <w:rsid w:val="00B6183A"/>
    <w:rsid w:val="00B65A3B"/>
    <w:rsid w:val="00B7202B"/>
    <w:rsid w:val="00B73FEA"/>
    <w:rsid w:val="00B76D3C"/>
    <w:rsid w:val="00B826D7"/>
    <w:rsid w:val="00B87E06"/>
    <w:rsid w:val="00B90893"/>
    <w:rsid w:val="00B945AD"/>
    <w:rsid w:val="00B94F2A"/>
    <w:rsid w:val="00B952BF"/>
    <w:rsid w:val="00B96AE0"/>
    <w:rsid w:val="00BA484B"/>
    <w:rsid w:val="00BA7DD8"/>
    <w:rsid w:val="00BB1A6F"/>
    <w:rsid w:val="00BB1B93"/>
    <w:rsid w:val="00BB79D6"/>
    <w:rsid w:val="00BD136D"/>
    <w:rsid w:val="00BD18FE"/>
    <w:rsid w:val="00BD4917"/>
    <w:rsid w:val="00BD4BF3"/>
    <w:rsid w:val="00BD5090"/>
    <w:rsid w:val="00BD662B"/>
    <w:rsid w:val="00BE2EE4"/>
    <w:rsid w:val="00BF0722"/>
    <w:rsid w:val="00BF67FA"/>
    <w:rsid w:val="00C002D1"/>
    <w:rsid w:val="00C04501"/>
    <w:rsid w:val="00C057BF"/>
    <w:rsid w:val="00C110B5"/>
    <w:rsid w:val="00C15067"/>
    <w:rsid w:val="00C1591A"/>
    <w:rsid w:val="00C172F6"/>
    <w:rsid w:val="00C23CAC"/>
    <w:rsid w:val="00C53A13"/>
    <w:rsid w:val="00C57FAA"/>
    <w:rsid w:val="00C60BC9"/>
    <w:rsid w:val="00C70809"/>
    <w:rsid w:val="00C70BE1"/>
    <w:rsid w:val="00C70C49"/>
    <w:rsid w:val="00C773D7"/>
    <w:rsid w:val="00C80A0C"/>
    <w:rsid w:val="00C81D94"/>
    <w:rsid w:val="00C83A29"/>
    <w:rsid w:val="00C86763"/>
    <w:rsid w:val="00C904CD"/>
    <w:rsid w:val="00C92540"/>
    <w:rsid w:val="00C9273C"/>
    <w:rsid w:val="00C92E2B"/>
    <w:rsid w:val="00C92F26"/>
    <w:rsid w:val="00CA1DD8"/>
    <w:rsid w:val="00CA2EB1"/>
    <w:rsid w:val="00CA352C"/>
    <w:rsid w:val="00CA669D"/>
    <w:rsid w:val="00CA6D6A"/>
    <w:rsid w:val="00CB000A"/>
    <w:rsid w:val="00CB062C"/>
    <w:rsid w:val="00CB603A"/>
    <w:rsid w:val="00CC3B2F"/>
    <w:rsid w:val="00CC61E9"/>
    <w:rsid w:val="00CD1975"/>
    <w:rsid w:val="00CE2FEA"/>
    <w:rsid w:val="00CE38A3"/>
    <w:rsid w:val="00CE576B"/>
    <w:rsid w:val="00CE634C"/>
    <w:rsid w:val="00CF5C5E"/>
    <w:rsid w:val="00CF6B3C"/>
    <w:rsid w:val="00D02875"/>
    <w:rsid w:val="00D1007B"/>
    <w:rsid w:val="00D112CD"/>
    <w:rsid w:val="00D12249"/>
    <w:rsid w:val="00D14B14"/>
    <w:rsid w:val="00D1508C"/>
    <w:rsid w:val="00D158BC"/>
    <w:rsid w:val="00D16A5D"/>
    <w:rsid w:val="00D201BF"/>
    <w:rsid w:val="00D203BF"/>
    <w:rsid w:val="00D2050B"/>
    <w:rsid w:val="00D23A97"/>
    <w:rsid w:val="00D256B7"/>
    <w:rsid w:val="00D25FC7"/>
    <w:rsid w:val="00D26F59"/>
    <w:rsid w:val="00D27C35"/>
    <w:rsid w:val="00D30E16"/>
    <w:rsid w:val="00D32E10"/>
    <w:rsid w:val="00D34DF6"/>
    <w:rsid w:val="00D35569"/>
    <w:rsid w:val="00D37CE4"/>
    <w:rsid w:val="00D37ECE"/>
    <w:rsid w:val="00D4455A"/>
    <w:rsid w:val="00D44679"/>
    <w:rsid w:val="00D4582D"/>
    <w:rsid w:val="00D521BE"/>
    <w:rsid w:val="00D541B8"/>
    <w:rsid w:val="00D56B93"/>
    <w:rsid w:val="00D6471D"/>
    <w:rsid w:val="00D752FF"/>
    <w:rsid w:val="00D76A95"/>
    <w:rsid w:val="00D81B0F"/>
    <w:rsid w:val="00D85366"/>
    <w:rsid w:val="00D9073E"/>
    <w:rsid w:val="00D93BC3"/>
    <w:rsid w:val="00DA06FE"/>
    <w:rsid w:val="00DA1392"/>
    <w:rsid w:val="00DA3F8A"/>
    <w:rsid w:val="00DA44EB"/>
    <w:rsid w:val="00DA5E41"/>
    <w:rsid w:val="00DB14C9"/>
    <w:rsid w:val="00DC1888"/>
    <w:rsid w:val="00DD2BFC"/>
    <w:rsid w:val="00DD34C2"/>
    <w:rsid w:val="00DD43B9"/>
    <w:rsid w:val="00DE3956"/>
    <w:rsid w:val="00DE7D12"/>
    <w:rsid w:val="00DF1056"/>
    <w:rsid w:val="00DF3FAC"/>
    <w:rsid w:val="00DF4904"/>
    <w:rsid w:val="00E00A37"/>
    <w:rsid w:val="00E04BA4"/>
    <w:rsid w:val="00E069AC"/>
    <w:rsid w:val="00E116B4"/>
    <w:rsid w:val="00E11CD2"/>
    <w:rsid w:val="00E131B4"/>
    <w:rsid w:val="00E14F94"/>
    <w:rsid w:val="00E161A7"/>
    <w:rsid w:val="00E23241"/>
    <w:rsid w:val="00E2663F"/>
    <w:rsid w:val="00E2775F"/>
    <w:rsid w:val="00E30692"/>
    <w:rsid w:val="00E33621"/>
    <w:rsid w:val="00E36AAB"/>
    <w:rsid w:val="00E40CEA"/>
    <w:rsid w:val="00E439FB"/>
    <w:rsid w:val="00E43DEA"/>
    <w:rsid w:val="00E46095"/>
    <w:rsid w:val="00E54229"/>
    <w:rsid w:val="00E556F7"/>
    <w:rsid w:val="00E5676D"/>
    <w:rsid w:val="00E60FA6"/>
    <w:rsid w:val="00E62D9D"/>
    <w:rsid w:val="00E70885"/>
    <w:rsid w:val="00E733CD"/>
    <w:rsid w:val="00E74BD5"/>
    <w:rsid w:val="00E805A1"/>
    <w:rsid w:val="00E815C8"/>
    <w:rsid w:val="00E82D62"/>
    <w:rsid w:val="00E8320F"/>
    <w:rsid w:val="00E833E5"/>
    <w:rsid w:val="00E844EA"/>
    <w:rsid w:val="00E86630"/>
    <w:rsid w:val="00E94FA4"/>
    <w:rsid w:val="00E95B7C"/>
    <w:rsid w:val="00E9782A"/>
    <w:rsid w:val="00E978D4"/>
    <w:rsid w:val="00E97B6E"/>
    <w:rsid w:val="00EA13F5"/>
    <w:rsid w:val="00EA34EF"/>
    <w:rsid w:val="00EA75AE"/>
    <w:rsid w:val="00EB0AA6"/>
    <w:rsid w:val="00EB20CE"/>
    <w:rsid w:val="00EB247F"/>
    <w:rsid w:val="00EC2E5F"/>
    <w:rsid w:val="00EC57B8"/>
    <w:rsid w:val="00EC69E8"/>
    <w:rsid w:val="00EC78A1"/>
    <w:rsid w:val="00ED7489"/>
    <w:rsid w:val="00EE0272"/>
    <w:rsid w:val="00EE274A"/>
    <w:rsid w:val="00EF21F4"/>
    <w:rsid w:val="00EF2247"/>
    <w:rsid w:val="00F05491"/>
    <w:rsid w:val="00F0595F"/>
    <w:rsid w:val="00F0598F"/>
    <w:rsid w:val="00F061D2"/>
    <w:rsid w:val="00F06F88"/>
    <w:rsid w:val="00F1580D"/>
    <w:rsid w:val="00F15AEE"/>
    <w:rsid w:val="00F2636B"/>
    <w:rsid w:val="00F31D36"/>
    <w:rsid w:val="00F33BB5"/>
    <w:rsid w:val="00F346F2"/>
    <w:rsid w:val="00F3570C"/>
    <w:rsid w:val="00F36457"/>
    <w:rsid w:val="00F4459E"/>
    <w:rsid w:val="00F46737"/>
    <w:rsid w:val="00F52595"/>
    <w:rsid w:val="00F53092"/>
    <w:rsid w:val="00F530B0"/>
    <w:rsid w:val="00F530FC"/>
    <w:rsid w:val="00F5311F"/>
    <w:rsid w:val="00F61DCA"/>
    <w:rsid w:val="00F66D25"/>
    <w:rsid w:val="00F71757"/>
    <w:rsid w:val="00F73235"/>
    <w:rsid w:val="00F74517"/>
    <w:rsid w:val="00F84DB6"/>
    <w:rsid w:val="00F85FFB"/>
    <w:rsid w:val="00F87278"/>
    <w:rsid w:val="00F90D56"/>
    <w:rsid w:val="00F93271"/>
    <w:rsid w:val="00F97F7C"/>
    <w:rsid w:val="00FA2194"/>
    <w:rsid w:val="00FA5114"/>
    <w:rsid w:val="00FA6897"/>
    <w:rsid w:val="00FA7C26"/>
    <w:rsid w:val="00FB1C28"/>
    <w:rsid w:val="00FB2DC0"/>
    <w:rsid w:val="00FB3AB3"/>
    <w:rsid w:val="00FB649C"/>
    <w:rsid w:val="00FC2C8B"/>
    <w:rsid w:val="00FD03F8"/>
    <w:rsid w:val="00FD1718"/>
    <w:rsid w:val="00FD2788"/>
    <w:rsid w:val="00FD37A6"/>
    <w:rsid w:val="00FD77AF"/>
    <w:rsid w:val="00FE2E76"/>
    <w:rsid w:val="00FE53D4"/>
    <w:rsid w:val="00FF038A"/>
    <w:rsid w:val="00FF3A1A"/>
    <w:rsid w:val="00FF45B7"/>
    <w:rsid w:val="00FF47F5"/>
    <w:rsid w:val="00FF5986"/>
    <w:rsid w:val="00FF786A"/>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73B8090B-810B-4BD3-846C-33FDF2DD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912CC8"/>
    <w:pPr>
      <w:keepNext/>
      <w:keepLines/>
      <w:numPr>
        <w:numId w:val="26"/>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912CC8"/>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5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933195"/>
    <w:pPr>
      <w:spacing w:after="0" w:line="240" w:lineRule="auto"/>
    </w:pPr>
  </w:style>
  <w:style w:type="table" w:styleId="ListTable6Colorful">
    <w:name w:val="List Table 6 Colorful"/>
    <w:basedOn w:val="TableNormal"/>
    <w:uiPriority w:val="51"/>
    <w:rsid w:val="00F97F7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List-Accent5">
    <w:name w:val="Light List Accent 5"/>
    <w:basedOn w:val="TableNormal"/>
    <w:uiPriority w:val="61"/>
    <w:rsid w:val="00060E3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dTable1Light-Accent1">
    <w:name w:val="Grid Table 1 Light Accent 1"/>
    <w:basedOn w:val="TableNormal"/>
    <w:uiPriority w:val="46"/>
    <w:rsid w:val="00060E3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99"/>
    <w:rsid w:val="00060E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9611">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82384789">
      <w:bodyDiv w:val="1"/>
      <w:marLeft w:val="0"/>
      <w:marRight w:val="0"/>
      <w:marTop w:val="0"/>
      <w:marBottom w:val="0"/>
      <w:divBdr>
        <w:top w:val="none" w:sz="0" w:space="0" w:color="auto"/>
        <w:left w:val="none" w:sz="0" w:space="0" w:color="auto"/>
        <w:bottom w:val="none" w:sz="0" w:space="0" w:color="auto"/>
        <w:right w:val="none" w:sz="0" w:space="0" w:color="auto"/>
      </w:divBdr>
    </w:div>
    <w:div w:id="95102697">
      <w:bodyDiv w:val="1"/>
      <w:marLeft w:val="0"/>
      <w:marRight w:val="0"/>
      <w:marTop w:val="0"/>
      <w:marBottom w:val="0"/>
      <w:divBdr>
        <w:top w:val="none" w:sz="0" w:space="0" w:color="auto"/>
        <w:left w:val="none" w:sz="0" w:space="0" w:color="auto"/>
        <w:bottom w:val="none" w:sz="0" w:space="0" w:color="auto"/>
        <w:right w:val="none" w:sz="0" w:space="0" w:color="auto"/>
      </w:divBdr>
    </w:div>
    <w:div w:id="101731848">
      <w:bodyDiv w:val="1"/>
      <w:marLeft w:val="0"/>
      <w:marRight w:val="0"/>
      <w:marTop w:val="0"/>
      <w:marBottom w:val="0"/>
      <w:divBdr>
        <w:top w:val="none" w:sz="0" w:space="0" w:color="auto"/>
        <w:left w:val="none" w:sz="0" w:space="0" w:color="auto"/>
        <w:bottom w:val="none" w:sz="0" w:space="0" w:color="auto"/>
        <w:right w:val="none" w:sz="0" w:space="0" w:color="auto"/>
      </w:divBdr>
      <w:divsChild>
        <w:div w:id="429817171">
          <w:marLeft w:val="0"/>
          <w:marRight w:val="0"/>
          <w:marTop w:val="0"/>
          <w:marBottom w:val="0"/>
          <w:divBdr>
            <w:top w:val="single" w:sz="6" w:space="2" w:color="AAAAAA"/>
            <w:left w:val="single" w:sz="6" w:space="2" w:color="AAAAAA"/>
            <w:bottom w:val="single" w:sz="6" w:space="2" w:color="AAAAAA"/>
            <w:right w:val="single" w:sz="6" w:space="2" w:color="AAAAAA"/>
          </w:divBdr>
          <w:divsChild>
            <w:div w:id="1189217831">
              <w:marLeft w:val="0"/>
              <w:marRight w:val="0"/>
              <w:marTop w:val="0"/>
              <w:marBottom w:val="0"/>
              <w:divBdr>
                <w:top w:val="none" w:sz="0" w:space="0" w:color="auto"/>
                <w:left w:val="none" w:sz="0" w:space="0" w:color="auto"/>
                <w:bottom w:val="none" w:sz="0" w:space="0" w:color="auto"/>
                <w:right w:val="none" w:sz="0" w:space="0" w:color="auto"/>
              </w:divBdr>
              <w:divsChild>
                <w:div w:id="725838494">
                  <w:marLeft w:val="0"/>
                  <w:marRight w:val="0"/>
                  <w:marTop w:val="0"/>
                  <w:marBottom w:val="0"/>
                  <w:divBdr>
                    <w:top w:val="none" w:sz="0" w:space="0" w:color="auto"/>
                    <w:left w:val="none" w:sz="0" w:space="0" w:color="auto"/>
                    <w:bottom w:val="none" w:sz="0" w:space="0" w:color="auto"/>
                    <w:right w:val="none" w:sz="0" w:space="0" w:color="auto"/>
                  </w:divBdr>
                  <w:divsChild>
                    <w:div w:id="1638485966">
                      <w:marLeft w:val="75"/>
                      <w:marRight w:val="75"/>
                      <w:marTop w:val="75"/>
                      <w:marBottom w:val="75"/>
                      <w:divBdr>
                        <w:top w:val="single" w:sz="6" w:space="2" w:color="D5D5D5"/>
                        <w:left w:val="single" w:sz="6" w:space="2" w:color="D5D5D5"/>
                        <w:bottom w:val="single" w:sz="6" w:space="2" w:color="D5D5D5"/>
                        <w:right w:val="single" w:sz="6" w:space="2" w:color="D5D5D5"/>
                      </w:divBdr>
                      <w:divsChild>
                        <w:div w:id="1644845825">
                          <w:marLeft w:val="0"/>
                          <w:marRight w:val="0"/>
                          <w:marTop w:val="0"/>
                          <w:marBottom w:val="0"/>
                          <w:divBdr>
                            <w:top w:val="none" w:sz="0" w:space="0" w:color="auto"/>
                            <w:left w:val="none" w:sz="0" w:space="0" w:color="auto"/>
                            <w:bottom w:val="none" w:sz="0" w:space="0" w:color="auto"/>
                            <w:right w:val="none" w:sz="0" w:space="0" w:color="auto"/>
                          </w:divBdr>
                          <w:divsChild>
                            <w:div w:id="9706754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55880">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42089926">
      <w:bodyDiv w:val="1"/>
      <w:marLeft w:val="0"/>
      <w:marRight w:val="0"/>
      <w:marTop w:val="0"/>
      <w:marBottom w:val="0"/>
      <w:divBdr>
        <w:top w:val="none" w:sz="0" w:space="0" w:color="auto"/>
        <w:left w:val="none" w:sz="0" w:space="0" w:color="auto"/>
        <w:bottom w:val="none" w:sz="0" w:space="0" w:color="auto"/>
        <w:right w:val="none" w:sz="0" w:space="0" w:color="auto"/>
      </w:divBdr>
      <w:divsChild>
        <w:div w:id="1516337331">
          <w:marLeft w:val="480"/>
          <w:marRight w:val="0"/>
          <w:marTop w:val="0"/>
          <w:marBottom w:val="0"/>
          <w:divBdr>
            <w:top w:val="none" w:sz="0" w:space="0" w:color="auto"/>
            <w:left w:val="none" w:sz="0" w:space="0" w:color="auto"/>
            <w:bottom w:val="none" w:sz="0" w:space="0" w:color="auto"/>
            <w:right w:val="none" w:sz="0" w:space="0" w:color="auto"/>
          </w:divBdr>
          <w:divsChild>
            <w:div w:id="21065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129">
      <w:bodyDiv w:val="1"/>
      <w:marLeft w:val="0"/>
      <w:marRight w:val="0"/>
      <w:marTop w:val="0"/>
      <w:marBottom w:val="0"/>
      <w:divBdr>
        <w:top w:val="none" w:sz="0" w:space="0" w:color="auto"/>
        <w:left w:val="none" w:sz="0" w:space="0" w:color="auto"/>
        <w:bottom w:val="none" w:sz="0" w:space="0" w:color="auto"/>
        <w:right w:val="none" w:sz="0" w:space="0" w:color="auto"/>
      </w:divBdr>
      <w:divsChild>
        <w:div w:id="1638998208">
          <w:marLeft w:val="0"/>
          <w:marRight w:val="0"/>
          <w:marTop w:val="0"/>
          <w:marBottom w:val="0"/>
          <w:divBdr>
            <w:top w:val="single" w:sz="6" w:space="2" w:color="AAAAAA"/>
            <w:left w:val="single" w:sz="6" w:space="2" w:color="AAAAAA"/>
            <w:bottom w:val="single" w:sz="6" w:space="2" w:color="AAAAAA"/>
            <w:right w:val="single" w:sz="6" w:space="2" w:color="AAAAAA"/>
          </w:divBdr>
          <w:divsChild>
            <w:div w:id="112478743">
              <w:marLeft w:val="0"/>
              <w:marRight w:val="0"/>
              <w:marTop w:val="0"/>
              <w:marBottom w:val="0"/>
              <w:divBdr>
                <w:top w:val="none" w:sz="0" w:space="0" w:color="auto"/>
                <w:left w:val="none" w:sz="0" w:space="0" w:color="auto"/>
                <w:bottom w:val="none" w:sz="0" w:space="0" w:color="auto"/>
                <w:right w:val="none" w:sz="0" w:space="0" w:color="auto"/>
              </w:divBdr>
              <w:divsChild>
                <w:div w:id="1515455432">
                  <w:marLeft w:val="0"/>
                  <w:marRight w:val="0"/>
                  <w:marTop w:val="0"/>
                  <w:marBottom w:val="0"/>
                  <w:divBdr>
                    <w:top w:val="none" w:sz="0" w:space="0" w:color="auto"/>
                    <w:left w:val="none" w:sz="0" w:space="0" w:color="auto"/>
                    <w:bottom w:val="none" w:sz="0" w:space="0" w:color="auto"/>
                    <w:right w:val="none" w:sz="0" w:space="0" w:color="auto"/>
                  </w:divBdr>
                  <w:divsChild>
                    <w:div w:id="1256667055">
                      <w:marLeft w:val="75"/>
                      <w:marRight w:val="75"/>
                      <w:marTop w:val="75"/>
                      <w:marBottom w:val="75"/>
                      <w:divBdr>
                        <w:top w:val="single" w:sz="6" w:space="2" w:color="D5D5D5"/>
                        <w:left w:val="single" w:sz="6" w:space="2" w:color="D5D5D5"/>
                        <w:bottom w:val="single" w:sz="6" w:space="2" w:color="D5D5D5"/>
                        <w:right w:val="single" w:sz="6" w:space="2" w:color="D5D5D5"/>
                      </w:divBdr>
                      <w:divsChild>
                        <w:div w:id="1856074562">
                          <w:marLeft w:val="0"/>
                          <w:marRight w:val="0"/>
                          <w:marTop w:val="0"/>
                          <w:marBottom w:val="0"/>
                          <w:divBdr>
                            <w:top w:val="none" w:sz="0" w:space="0" w:color="auto"/>
                            <w:left w:val="none" w:sz="0" w:space="0" w:color="auto"/>
                            <w:bottom w:val="none" w:sz="0" w:space="0" w:color="auto"/>
                            <w:right w:val="none" w:sz="0" w:space="0" w:color="auto"/>
                          </w:divBdr>
                          <w:divsChild>
                            <w:div w:id="12347026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32029">
      <w:bodyDiv w:val="1"/>
      <w:marLeft w:val="0"/>
      <w:marRight w:val="0"/>
      <w:marTop w:val="0"/>
      <w:marBottom w:val="0"/>
      <w:divBdr>
        <w:top w:val="none" w:sz="0" w:space="0" w:color="auto"/>
        <w:left w:val="none" w:sz="0" w:space="0" w:color="auto"/>
        <w:bottom w:val="none" w:sz="0" w:space="0" w:color="auto"/>
        <w:right w:val="none" w:sz="0" w:space="0" w:color="auto"/>
      </w:divBdr>
      <w:divsChild>
        <w:div w:id="1402874843">
          <w:marLeft w:val="0"/>
          <w:marRight w:val="0"/>
          <w:marTop w:val="0"/>
          <w:marBottom w:val="0"/>
          <w:divBdr>
            <w:top w:val="single" w:sz="6" w:space="2" w:color="AAAAAA"/>
            <w:left w:val="single" w:sz="6" w:space="2" w:color="AAAAAA"/>
            <w:bottom w:val="single" w:sz="6" w:space="2" w:color="AAAAAA"/>
            <w:right w:val="single" w:sz="6" w:space="2" w:color="AAAAAA"/>
          </w:divBdr>
          <w:divsChild>
            <w:div w:id="355811615">
              <w:marLeft w:val="0"/>
              <w:marRight w:val="0"/>
              <w:marTop w:val="0"/>
              <w:marBottom w:val="0"/>
              <w:divBdr>
                <w:top w:val="none" w:sz="0" w:space="0" w:color="auto"/>
                <w:left w:val="none" w:sz="0" w:space="0" w:color="auto"/>
                <w:bottom w:val="none" w:sz="0" w:space="0" w:color="auto"/>
                <w:right w:val="none" w:sz="0" w:space="0" w:color="auto"/>
              </w:divBdr>
              <w:divsChild>
                <w:div w:id="548763590">
                  <w:marLeft w:val="0"/>
                  <w:marRight w:val="0"/>
                  <w:marTop w:val="0"/>
                  <w:marBottom w:val="0"/>
                  <w:divBdr>
                    <w:top w:val="none" w:sz="0" w:space="0" w:color="auto"/>
                    <w:left w:val="none" w:sz="0" w:space="0" w:color="auto"/>
                    <w:bottom w:val="none" w:sz="0" w:space="0" w:color="auto"/>
                    <w:right w:val="none" w:sz="0" w:space="0" w:color="auto"/>
                  </w:divBdr>
                  <w:divsChild>
                    <w:div w:id="825247923">
                      <w:marLeft w:val="75"/>
                      <w:marRight w:val="75"/>
                      <w:marTop w:val="75"/>
                      <w:marBottom w:val="75"/>
                      <w:divBdr>
                        <w:top w:val="single" w:sz="6" w:space="2" w:color="D5D5D5"/>
                        <w:left w:val="single" w:sz="6" w:space="2" w:color="D5D5D5"/>
                        <w:bottom w:val="single" w:sz="6" w:space="2" w:color="D5D5D5"/>
                        <w:right w:val="single" w:sz="6" w:space="2" w:color="D5D5D5"/>
                      </w:divBdr>
                      <w:divsChild>
                        <w:div w:id="173303029">
                          <w:marLeft w:val="0"/>
                          <w:marRight w:val="0"/>
                          <w:marTop w:val="0"/>
                          <w:marBottom w:val="0"/>
                          <w:divBdr>
                            <w:top w:val="none" w:sz="0" w:space="0" w:color="auto"/>
                            <w:left w:val="none" w:sz="0" w:space="0" w:color="auto"/>
                            <w:bottom w:val="none" w:sz="0" w:space="0" w:color="auto"/>
                            <w:right w:val="none" w:sz="0" w:space="0" w:color="auto"/>
                          </w:divBdr>
                          <w:divsChild>
                            <w:div w:id="3571963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54020602">
      <w:bodyDiv w:val="1"/>
      <w:marLeft w:val="0"/>
      <w:marRight w:val="0"/>
      <w:marTop w:val="0"/>
      <w:marBottom w:val="0"/>
      <w:divBdr>
        <w:top w:val="none" w:sz="0" w:space="0" w:color="auto"/>
        <w:left w:val="none" w:sz="0" w:space="0" w:color="auto"/>
        <w:bottom w:val="none" w:sz="0" w:space="0" w:color="auto"/>
        <w:right w:val="none" w:sz="0" w:space="0" w:color="auto"/>
      </w:divBdr>
      <w:divsChild>
        <w:div w:id="1400009102">
          <w:marLeft w:val="480"/>
          <w:marRight w:val="0"/>
          <w:marTop w:val="0"/>
          <w:marBottom w:val="0"/>
          <w:divBdr>
            <w:top w:val="none" w:sz="0" w:space="0" w:color="auto"/>
            <w:left w:val="none" w:sz="0" w:space="0" w:color="auto"/>
            <w:bottom w:val="none" w:sz="0" w:space="0" w:color="auto"/>
            <w:right w:val="none" w:sz="0" w:space="0" w:color="auto"/>
          </w:divBdr>
          <w:divsChild>
            <w:div w:id="13980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07444137">
      <w:bodyDiv w:val="1"/>
      <w:marLeft w:val="0"/>
      <w:marRight w:val="0"/>
      <w:marTop w:val="0"/>
      <w:marBottom w:val="0"/>
      <w:divBdr>
        <w:top w:val="none" w:sz="0" w:space="0" w:color="auto"/>
        <w:left w:val="none" w:sz="0" w:space="0" w:color="auto"/>
        <w:bottom w:val="none" w:sz="0" w:space="0" w:color="auto"/>
        <w:right w:val="none" w:sz="0" w:space="0" w:color="auto"/>
      </w:divBdr>
      <w:divsChild>
        <w:div w:id="569660132">
          <w:marLeft w:val="480"/>
          <w:marRight w:val="0"/>
          <w:marTop w:val="0"/>
          <w:marBottom w:val="0"/>
          <w:divBdr>
            <w:top w:val="none" w:sz="0" w:space="0" w:color="auto"/>
            <w:left w:val="none" w:sz="0" w:space="0" w:color="auto"/>
            <w:bottom w:val="none" w:sz="0" w:space="0" w:color="auto"/>
            <w:right w:val="none" w:sz="0" w:space="0" w:color="auto"/>
          </w:divBdr>
          <w:divsChild>
            <w:div w:id="16217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6234">
      <w:bodyDiv w:val="1"/>
      <w:marLeft w:val="0"/>
      <w:marRight w:val="0"/>
      <w:marTop w:val="0"/>
      <w:marBottom w:val="0"/>
      <w:divBdr>
        <w:top w:val="none" w:sz="0" w:space="0" w:color="auto"/>
        <w:left w:val="none" w:sz="0" w:space="0" w:color="auto"/>
        <w:bottom w:val="none" w:sz="0" w:space="0" w:color="auto"/>
        <w:right w:val="none" w:sz="0" w:space="0" w:color="auto"/>
      </w:divBdr>
      <w:divsChild>
        <w:div w:id="1879005768">
          <w:marLeft w:val="480"/>
          <w:marRight w:val="0"/>
          <w:marTop w:val="0"/>
          <w:marBottom w:val="0"/>
          <w:divBdr>
            <w:top w:val="none" w:sz="0" w:space="0" w:color="auto"/>
            <w:left w:val="none" w:sz="0" w:space="0" w:color="auto"/>
            <w:bottom w:val="none" w:sz="0" w:space="0" w:color="auto"/>
            <w:right w:val="none" w:sz="0" w:space="0" w:color="auto"/>
          </w:divBdr>
          <w:divsChild>
            <w:div w:id="685061760">
              <w:marLeft w:val="0"/>
              <w:marRight w:val="0"/>
              <w:marTop w:val="0"/>
              <w:marBottom w:val="0"/>
              <w:divBdr>
                <w:top w:val="none" w:sz="0" w:space="0" w:color="auto"/>
                <w:left w:val="none" w:sz="0" w:space="0" w:color="auto"/>
                <w:bottom w:val="none" w:sz="0" w:space="0" w:color="auto"/>
                <w:right w:val="none" w:sz="0" w:space="0" w:color="auto"/>
              </w:divBdr>
            </w:div>
            <w:div w:id="1655910699">
              <w:marLeft w:val="0"/>
              <w:marRight w:val="0"/>
              <w:marTop w:val="0"/>
              <w:marBottom w:val="0"/>
              <w:divBdr>
                <w:top w:val="none" w:sz="0" w:space="0" w:color="auto"/>
                <w:left w:val="none" w:sz="0" w:space="0" w:color="auto"/>
                <w:bottom w:val="none" w:sz="0" w:space="0" w:color="auto"/>
                <w:right w:val="none" w:sz="0" w:space="0" w:color="auto"/>
              </w:divBdr>
            </w:div>
            <w:div w:id="1231188043">
              <w:marLeft w:val="0"/>
              <w:marRight w:val="0"/>
              <w:marTop w:val="0"/>
              <w:marBottom w:val="0"/>
              <w:divBdr>
                <w:top w:val="none" w:sz="0" w:space="0" w:color="auto"/>
                <w:left w:val="none" w:sz="0" w:space="0" w:color="auto"/>
                <w:bottom w:val="none" w:sz="0" w:space="0" w:color="auto"/>
                <w:right w:val="none" w:sz="0" w:space="0" w:color="auto"/>
              </w:divBdr>
            </w:div>
            <w:div w:id="409349682">
              <w:marLeft w:val="0"/>
              <w:marRight w:val="0"/>
              <w:marTop w:val="0"/>
              <w:marBottom w:val="0"/>
              <w:divBdr>
                <w:top w:val="none" w:sz="0" w:space="0" w:color="auto"/>
                <w:left w:val="none" w:sz="0" w:space="0" w:color="auto"/>
                <w:bottom w:val="none" w:sz="0" w:space="0" w:color="auto"/>
                <w:right w:val="none" w:sz="0" w:space="0" w:color="auto"/>
              </w:divBdr>
            </w:div>
            <w:div w:id="12464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0398">
      <w:bodyDiv w:val="1"/>
      <w:marLeft w:val="0"/>
      <w:marRight w:val="0"/>
      <w:marTop w:val="0"/>
      <w:marBottom w:val="0"/>
      <w:divBdr>
        <w:top w:val="none" w:sz="0" w:space="0" w:color="auto"/>
        <w:left w:val="none" w:sz="0" w:space="0" w:color="auto"/>
        <w:bottom w:val="none" w:sz="0" w:space="0" w:color="auto"/>
        <w:right w:val="none" w:sz="0" w:space="0" w:color="auto"/>
      </w:divBdr>
      <w:divsChild>
        <w:div w:id="216596680">
          <w:marLeft w:val="480"/>
          <w:marRight w:val="0"/>
          <w:marTop w:val="0"/>
          <w:marBottom w:val="0"/>
          <w:divBdr>
            <w:top w:val="none" w:sz="0" w:space="0" w:color="auto"/>
            <w:left w:val="none" w:sz="0" w:space="0" w:color="auto"/>
            <w:bottom w:val="none" w:sz="0" w:space="0" w:color="auto"/>
            <w:right w:val="none" w:sz="0" w:space="0" w:color="auto"/>
          </w:divBdr>
          <w:divsChild>
            <w:div w:id="20575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81373349">
      <w:bodyDiv w:val="1"/>
      <w:marLeft w:val="0"/>
      <w:marRight w:val="0"/>
      <w:marTop w:val="0"/>
      <w:marBottom w:val="0"/>
      <w:divBdr>
        <w:top w:val="none" w:sz="0" w:space="0" w:color="auto"/>
        <w:left w:val="none" w:sz="0" w:space="0" w:color="auto"/>
        <w:bottom w:val="none" w:sz="0" w:space="0" w:color="auto"/>
        <w:right w:val="none" w:sz="0" w:space="0" w:color="auto"/>
      </w:divBdr>
    </w:div>
    <w:div w:id="383214239">
      <w:bodyDiv w:val="1"/>
      <w:marLeft w:val="0"/>
      <w:marRight w:val="0"/>
      <w:marTop w:val="0"/>
      <w:marBottom w:val="0"/>
      <w:divBdr>
        <w:top w:val="none" w:sz="0" w:space="0" w:color="auto"/>
        <w:left w:val="none" w:sz="0" w:space="0" w:color="auto"/>
        <w:bottom w:val="none" w:sz="0" w:space="0" w:color="auto"/>
        <w:right w:val="none" w:sz="0" w:space="0" w:color="auto"/>
      </w:divBdr>
      <w:divsChild>
        <w:div w:id="1925069515">
          <w:marLeft w:val="480"/>
          <w:marRight w:val="0"/>
          <w:marTop w:val="0"/>
          <w:marBottom w:val="0"/>
          <w:divBdr>
            <w:top w:val="none" w:sz="0" w:space="0" w:color="auto"/>
            <w:left w:val="none" w:sz="0" w:space="0" w:color="auto"/>
            <w:bottom w:val="none" w:sz="0" w:space="0" w:color="auto"/>
            <w:right w:val="none" w:sz="0" w:space="0" w:color="auto"/>
          </w:divBdr>
          <w:divsChild>
            <w:div w:id="1101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8678">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24804875">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469514329">
      <w:bodyDiv w:val="1"/>
      <w:marLeft w:val="0"/>
      <w:marRight w:val="0"/>
      <w:marTop w:val="0"/>
      <w:marBottom w:val="0"/>
      <w:divBdr>
        <w:top w:val="none" w:sz="0" w:space="0" w:color="auto"/>
        <w:left w:val="none" w:sz="0" w:space="0" w:color="auto"/>
        <w:bottom w:val="none" w:sz="0" w:space="0" w:color="auto"/>
        <w:right w:val="none" w:sz="0" w:space="0" w:color="auto"/>
      </w:divBdr>
      <w:divsChild>
        <w:div w:id="179900114">
          <w:marLeft w:val="480"/>
          <w:marRight w:val="0"/>
          <w:marTop w:val="0"/>
          <w:marBottom w:val="0"/>
          <w:divBdr>
            <w:top w:val="none" w:sz="0" w:space="0" w:color="auto"/>
            <w:left w:val="none" w:sz="0" w:space="0" w:color="auto"/>
            <w:bottom w:val="none" w:sz="0" w:space="0" w:color="auto"/>
            <w:right w:val="none" w:sz="0" w:space="0" w:color="auto"/>
          </w:divBdr>
          <w:divsChild>
            <w:div w:id="10177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7112">
      <w:bodyDiv w:val="1"/>
      <w:marLeft w:val="0"/>
      <w:marRight w:val="0"/>
      <w:marTop w:val="0"/>
      <w:marBottom w:val="0"/>
      <w:divBdr>
        <w:top w:val="none" w:sz="0" w:space="0" w:color="auto"/>
        <w:left w:val="none" w:sz="0" w:space="0" w:color="auto"/>
        <w:bottom w:val="none" w:sz="0" w:space="0" w:color="auto"/>
        <w:right w:val="none" w:sz="0" w:space="0" w:color="auto"/>
      </w:divBdr>
      <w:divsChild>
        <w:div w:id="1814059886">
          <w:marLeft w:val="480"/>
          <w:marRight w:val="0"/>
          <w:marTop w:val="0"/>
          <w:marBottom w:val="0"/>
          <w:divBdr>
            <w:top w:val="none" w:sz="0" w:space="0" w:color="auto"/>
            <w:left w:val="none" w:sz="0" w:space="0" w:color="auto"/>
            <w:bottom w:val="none" w:sz="0" w:space="0" w:color="auto"/>
            <w:right w:val="none" w:sz="0" w:space="0" w:color="auto"/>
          </w:divBdr>
          <w:divsChild>
            <w:div w:id="1531340317">
              <w:marLeft w:val="0"/>
              <w:marRight w:val="0"/>
              <w:marTop w:val="0"/>
              <w:marBottom w:val="0"/>
              <w:divBdr>
                <w:top w:val="none" w:sz="0" w:space="0" w:color="auto"/>
                <w:left w:val="none" w:sz="0" w:space="0" w:color="auto"/>
                <w:bottom w:val="none" w:sz="0" w:space="0" w:color="auto"/>
                <w:right w:val="none" w:sz="0" w:space="0" w:color="auto"/>
              </w:divBdr>
            </w:div>
            <w:div w:id="468668591">
              <w:marLeft w:val="0"/>
              <w:marRight w:val="0"/>
              <w:marTop w:val="0"/>
              <w:marBottom w:val="0"/>
              <w:divBdr>
                <w:top w:val="none" w:sz="0" w:space="0" w:color="auto"/>
                <w:left w:val="none" w:sz="0" w:space="0" w:color="auto"/>
                <w:bottom w:val="none" w:sz="0" w:space="0" w:color="auto"/>
                <w:right w:val="none" w:sz="0" w:space="0" w:color="auto"/>
              </w:divBdr>
            </w:div>
            <w:div w:id="1796411386">
              <w:marLeft w:val="0"/>
              <w:marRight w:val="0"/>
              <w:marTop w:val="0"/>
              <w:marBottom w:val="0"/>
              <w:divBdr>
                <w:top w:val="none" w:sz="0" w:space="0" w:color="auto"/>
                <w:left w:val="none" w:sz="0" w:space="0" w:color="auto"/>
                <w:bottom w:val="none" w:sz="0" w:space="0" w:color="auto"/>
                <w:right w:val="none" w:sz="0" w:space="0" w:color="auto"/>
              </w:divBdr>
            </w:div>
            <w:div w:id="1826358883">
              <w:marLeft w:val="0"/>
              <w:marRight w:val="0"/>
              <w:marTop w:val="0"/>
              <w:marBottom w:val="0"/>
              <w:divBdr>
                <w:top w:val="none" w:sz="0" w:space="0" w:color="auto"/>
                <w:left w:val="none" w:sz="0" w:space="0" w:color="auto"/>
                <w:bottom w:val="none" w:sz="0" w:space="0" w:color="auto"/>
                <w:right w:val="none" w:sz="0" w:space="0" w:color="auto"/>
              </w:divBdr>
            </w:div>
            <w:div w:id="239101423">
              <w:marLeft w:val="0"/>
              <w:marRight w:val="0"/>
              <w:marTop w:val="0"/>
              <w:marBottom w:val="0"/>
              <w:divBdr>
                <w:top w:val="none" w:sz="0" w:space="0" w:color="auto"/>
                <w:left w:val="none" w:sz="0" w:space="0" w:color="auto"/>
                <w:bottom w:val="none" w:sz="0" w:space="0" w:color="auto"/>
                <w:right w:val="none" w:sz="0" w:space="0" w:color="auto"/>
              </w:divBdr>
            </w:div>
            <w:div w:id="968051454">
              <w:marLeft w:val="0"/>
              <w:marRight w:val="0"/>
              <w:marTop w:val="0"/>
              <w:marBottom w:val="0"/>
              <w:divBdr>
                <w:top w:val="none" w:sz="0" w:space="0" w:color="auto"/>
                <w:left w:val="none" w:sz="0" w:space="0" w:color="auto"/>
                <w:bottom w:val="none" w:sz="0" w:space="0" w:color="auto"/>
                <w:right w:val="none" w:sz="0" w:space="0" w:color="auto"/>
              </w:divBdr>
            </w:div>
            <w:div w:id="189877046">
              <w:marLeft w:val="0"/>
              <w:marRight w:val="0"/>
              <w:marTop w:val="0"/>
              <w:marBottom w:val="0"/>
              <w:divBdr>
                <w:top w:val="none" w:sz="0" w:space="0" w:color="auto"/>
                <w:left w:val="none" w:sz="0" w:space="0" w:color="auto"/>
                <w:bottom w:val="none" w:sz="0" w:space="0" w:color="auto"/>
                <w:right w:val="none" w:sz="0" w:space="0" w:color="auto"/>
              </w:divBdr>
            </w:div>
            <w:div w:id="2007706281">
              <w:marLeft w:val="0"/>
              <w:marRight w:val="0"/>
              <w:marTop w:val="0"/>
              <w:marBottom w:val="0"/>
              <w:divBdr>
                <w:top w:val="none" w:sz="0" w:space="0" w:color="auto"/>
                <w:left w:val="none" w:sz="0" w:space="0" w:color="auto"/>
                <w:bottom w:val="none" w:sz="0" w:space="0" w:color="auto"/>
                <w:right w:val="none" w:sz="0" w:space="0" w:color="auto"/>
              </w:divBdr>
            </w:div>
            <w:div w:id="7307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0620">
      <w:bodyDiv w:val="1"/>
      <w:marLeft w:val="0"/>
      <w:marRight w:val="0"/>
      <w:marTop w:val="0"/>
      <w:marBottom w:val="0"/>
      <w:divBdr>
        <w:top w:val="none" w:sz="0" w:space="0" w:color="auto"/>
        <w:left w:val="none" w:sz="0" w:space="0" w:color="auto"/>
        <w:bottom w:val="none" w:sz="0" w:space="0" w:color="auto"/>
        <w:right w:val="none" w:sz="0" w:space="0" w:color="auto"/>
      </w:divBdr>
      <w:divsChild>
        <w:div w:id="214390664">
          <w:marLeft w:val="0"/>
          <w:marRight w:val="0"/>
          <w:marTop w:val="0"/>
          <w:marBottom w:val="0"/>
          <w:divBdr>
            <w:top w:val="single" w:sz="6" w:space="2" w:color="AAAAAA"/>
            <w:left w:val="single" w:sz="6" w:space="2" w:color="AAAAAA"/>
            <w:bottom w:val="single" w:sz="6" w:space="2" w:color="AAAAAA"/>
            <w:right w:val="single" w:sz="6" w:space="2" w:color="AAAAAA"/>
          </w:divBdr>
          <w:divsChild>
            <w:div w:id="1920822040">
              <w:marLeft w:val="0"/>
              <w:marRight w:val="0"/>
              <w:marTop w:val="0"/>
              <w:marBottom w:val="0"/>
              <w:divBdr>
                <w:top w:val="none" w:sz="0" w:space="0" w:color="auto"/>
                <w:left w:val="none" w:sz="0" w:space="0" w:color="auto"/>
                <w:bottom w:val="none" w:sz="0" w:space="0" w:color="auto"/>
                <w:right w:val="none" w:sz="0" w:space="0" w:color="auto"/>
              </w:divBdr>
              <w:divsChild>
                <w:div w:id="939071102">
                  <w:marLeft w:val="0"/>
                  <w:marRight w:val="0"/>
                  <w:marTop w:val="0"/>
                  <w:marBottom w:val="0"/>
                  <w:divBdr>
                    <w:top w:val="none" w:sz="0" w:space="0" w:color="auto"/>
                    <w:left w:val="none" w:sz="0" w:space="0" w:color="auto"/>
                    <w:bottom w:val="none" w:sz="0" w:space="0" w:color="auto"/>
                    <w:right w:val="none" w:sz="0" w:space="0" w:color="auto"/>
                  </w:divBdr>
                  <w:divsChild>
                    <w:div w:id="1760709692">
                      <w:marLeft w:val="75"/>
                      <w:marRight w:val="75"/>
                      <w:marTop w:val="75"/>
                      <w:marBottom w:val="75"/>
                      <w:divBdr>
                        <w:top w:val="single" w:sz="6" w:space="2" w:color="D5D5D5"/>
                        <w:left w:val="single" w:sz="6" w:space="2" w:color="D5D5D5"/>
                        <w:bottom w:val="single" w:sz="6" w:space="2" w:color="D5D5D5"/>
                        <w:right w:val="single" w:sz="6" w:space="2" w:color="D5D5D5"/>
                      </w:divBdr>
                      <w:divsChild>
                        <w:div w:id="281957648">
                          <w:marLeft w:val="0"/>
                          <w:marRight w:val="0"/>
                          <w:marTop w:val="0"/>
                          <w:marBottom w:val="0"/>
                          <w:divBdr>
                            <w:top w:val="none" w:sz="0" w:space="0" w:color="auto"/>
                            <w:left w:val="none" w:sz="0" w:space="0" w:color="auto"/>
                            <w:bottom w:val="none" w:sz="0" w:space="0" w:color="auto"/>
                            <w:right w:val="none" w:sz="0" w:space="0" w:color="auto"/>
                          </w:divBdr>
                          <w:divsChild>
                            <w:div w:id="6901116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767767">
      <w:bodyDiv w:val="1"/>
      <w:marLeft w:val="0"/>
      <w:marRight w:val="0"/>
      <w:marTop w:val="0"/>
      <w:marBottom w:val="0"/>
      <w:divBdr>
        <w:top w:val="none" w:sz="0" w:space="0" w:color="auto"/>
        <w:left w:val="none" w:sz="0" w:space="0" w:color="auto"/>
        <w:bottom w:val="none" w:sz="0" w:space="0" w:color="auto"/>
        <w:right w:val="none" w:sz="0" w:space="0" w:color="auto"/>
      </w:divBdr>
    </w:div>
    <w:div w:id="519390449">
      <w:bodyDiv w:val="1"/>
      <w:marLeft w:val="0"/>
      <w:marRight w:val="0"/>
      <w:marTop w:val="0"/>
      <w:marBottom w:val="0"/>
      <w:divBdr>
        <w:top w:val="none" w:sz="0" w:space="0" w:color="auto"/>
        <w:left w:val="none" w:sz="0" w:space="0" w:color="auto"/>
        <w:bottom w:val="none" w:sz="0" w:space="0" w:color="auto"/>
        <w:right w:val="none" w:sz="0" w:space="0" w:color="auto"/>
      </w:divBdr>
      <w:divsChild>
        <w:div w:id="1672944846">
          <w:marLeft w:val="480"/>
          <w:marRight w:val="0"/>
          <w:marTop w:val="0"/>
          <w:marBottom w:val="0"/>
          <w:divBdr>
            <w:top w:val="none" w:sz="0" w:space="0" w:color="auto"/>
            <w:left w:val="none" w:sz="0" w:space="0" w:color="auto"/>
            <w:bottom w:val="none" w:sz="0" w:space="0" w:color="auto"/>
            <w:right w:val="none" w:sz="0" w:space="0" w:color="auto"/>
          </w:divBdr>
          <w:divsChild>
            <w:div w:id="1413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159">
      <w:bodyDiv w:val="1"/>
      <w:marLeft w:val="0"/>
      <w:marRight w:val="0"/>
      <w:marTop w:val="0"/>
      <w:marBottom w:val="0"/>
      <w:divBdr>
        <w:top w:val="none" w:sz="0" w:space="0" w:color="auto"/>
        <w:left w:val="none" w:sz="0" w:space="0" w:color="auto"/>
        <w:bottom w:val="none" w:sz="0" w:space="0" w:color="auto"/>
        <w:right w:val="none" w:sz="0" w:space="0" w:color="auto"/>
      </w:divBdr>
      <w:divsChild>
        <w:div w:id="1013189870">
          <w:marLeft w:val="480"/>
          <w:marRight w:val="0"/>
          <w:marTop w:val="0"/>
          <w:marBottom w:val="0"/>
          <w:divBdr>
            <w:top w:val="none" w:sz="0" w:space="0" w:color="auto"/>
            <w:left w:val="none" w:sz="0" w:space="0" w:color="auto"/>
            <w:bottom w:val="none" w:sz="0" w:space="0" w:color="auto"/>
            <w:right w:val="none" w:sz="0" w:space="0" w:color="auto"/>
          </w:divBdr>
          <w:divsChild>
            <w:div w:id="5317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678">
      <w:bodyDiv w:val="1"/>
      <w:marLeft w:val="0"/>
      <w:marRight w:val="0"/>
      <w:marTop w:val="0"/>
      <w:marBottom w:val="0"/>
      <w:divBdr>
        <w:top w:val="none" w:sz="0" w:space="0" w:color="auto"/>
        <w:left w:val="none" w:sz="0" w:space="0" w:color="auto"/>
        <w:bottom w:val="none" w:sz="0" w:space="0" w:color="auto"/>
        <w:right w:val="none" w:sz="0" w:space="0" w:color="auto"/>
      </w:divBdr>
    </w:div>
    <w:div w:id="557282506">
      <w:bodyDiv w:val="1"/>
      <w:marLeft w:val="0"/>
      <w:marRight w:val="0"/>
      <w:marTop w:val="0"/>
      <w:marBottom w:val="0"/>
      <w:divBdr>
        <w:top w:val="none" w:sz="0" w:space="0" w:color="auto"/>
        <w:left w:val="none" w:sz="0" w:space="0" w:color="auto"/>
        <w:bottom w:val="none" w:sz="0" w:space="0" w:color="auto"/>
        <w:right w:val="none" w:sz="0" w:space="0" w:color="auto"/>
      </w:divBdr>
      <w:divsChild>
        <w:div w:id="510487670">
          <w:marLeft w:val="480"/>
          <w:marRight w:val="0"/>
          <w:marTop w:val="0"/>
          <w:marBottom w:val="0"/>
          <w:divBdr>
            <w:top w:val="none" w:sz="0" w:space="0" w:color="auto"/>
            <w:left w:val="none" w:sz="0" w:space="0" w:color="auto"/>
            <w:bottom w:val="none" w:sz="0" w:space="0" w:color="auto"/>
            <w:right w:val="none" w:sz="0" w:space="0" w:color="auto"/>
          </w:divBdr>
          <w:divsChild>
            <w:div w:id="1909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3052">
      <w:bodyDiv w:val="1"/>
      <w:marLeft w:val="0"/>
      <w:marRight w:val="0"/>
      <w:marTop w:val="0"/>
      <w:marBottom w:val="0"/>
      <w:divBdr>
        <w:top w:val="none" w:sz="0" w:space="0" w:color="auto"/>
        <w:left w:val="none" w:sz="0" w:space="0" w:color="auto"/>
        <w:bottom w:val="none" w:sz="0" w:space="0" w:color="auto"/>
        <w:right w:val="none" w:sz="0" w:space="0" w:color="auto"/>
      </w:divBdr>
    </w:div>
    <w:div w:id="591594774">
      <w:bodyDiv w:val="1"/>
      <w:marLeft w:val="0"/>
      <w:marRight w:val="0"/>
      <w:marTop w:val="0"/>
      <w:marBottom w:val="0"/>
      <w:divBdr>
        <w:top w:val="none" w:sz="0" w:space="0" w:color="auto"/>
        <w:left w:val="none" w:sz="0" w:space="0" w:color="auto"/>
        <w:bottom w:val="none" w:sz="0" w:space="0" w:color="auto"/>
        <w:right w:val="none" w:sz="0" w:space="0" w:color="auto"/>
      </w:divBdr>
      <w:divsChild>
        <w:div w:id="964197329">
          <w:marLeft w:val="0"/>
          <w:marRight w:val="0"/>
          <w:marTop w:val="0"/>
          <w:marBottom w:val="0"/>
          <w:divBdr>
            <w:top w:val="single" w:sz="6" w:space="2" w:color="AAAAAA"/>
            <w:left w:val="single" w:sz="6" w:space="2" w:color="AAAAAA"/>
            <w:bottom w:val="single" w:sz="6" w:space="2" w:color="AAAAAA"/>
            <w:right w:val="single" w:sz="6" w:space="2" w:color="AAAAAA"/>
          </w:divBdr>
          <w:divsChild>
            <w:div w:id="228350393">
              <w:marLeft w:val="0"/>
              <w:marRight w:val="0"/>
              <w:marTop w:val="0"/>
              <w:marBottom w:val="0"/>
              <w:divBdr>
                <w:top w:val="none" w:sz="0" w:space="0" w:color="auto"/>
                <w:left w:val="none" w:sz="0" w:space="0" w:color="auto"/>
                <w:bottom w:val="none" w:sz="0" w:space="0" w:color="auto"/>
                <w:right w:val="none" w:sz="0" w:space="0" w:color="auto"/>
              </w:divBdr>
              <w:divsChild>
                <w:div w:id="1716654568">
                  <w:marLeft w:val="0"/>
                  <w:marRight w:val="0"/>
                  <w:marTop w:val="0"/>
                  <w:marBottom w:val="0"/>
                  <w:divBdr>
                    <w:top w:val="none" w:sz="0" w:space="0" w:color="auto"/>
                    <w:left w:val="none" w:sz="0" w:space="0" w:color="auto"/>
                    <w:bottom w:val="none" w:sz="0" w:space="0" w:color="auto"/>
                    <w:right w:val="none" w:sz="0" w:space="0" w:color="auto"/>
                  </w:divBdr>
                  <w:divsChild>
                    <w:div w:id="227764511">
                      <w:marLeft w:val="75"/>
                      <w:marRight w:val="75"/>
                      <w:marTop w:val="75"/>
                      <w:marBottom w:val="75"/>
                      <w:divBdr>
                        <w:top w:val="single" w:sz="6" w:space="2" w:color="D5D5D5"/>
                        <w:left w:val="single" w:sz="6" w:space="2" w:color="D5D5D5"/>
                        <w:bottom w:val="single" w:sz="6" w:space="2" w:color="D5D5D5"/>
                        <w:right w:val="single" w:sz="6" w:space="2" w:color="D5D5D5"/>
                      </w:divBdr>
                      <w:divsChild>
                        <w:div w:id="575436338">
                          <w:marLeft w:val="0"/>
                          <w:marRight w:val="0"/>
                          <w:marTop w:val="0"/>
                          <w:marBottom w:val="0"/>
                          <w:divBdr>
                            <w:top w:val="none" w:sz="0" w:space="0" w:color="auto"/>
                            <w:left w:val="none" w:sz="0" w:space="0" w:color="auto"/>
                            <w:bottom w:val="none" w:sz="0" w:space="0" w:color="auto"/>
                            <w:right w:val="none" w:sz="0" w:space="0" w:color="auto"/>
                          </w:divBdr>
                          <w:divsChild>
                            <w:div w:id="7816122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902584">
      <w:bodyDiv w:val="1"/>
      <w:marLeft w:val="0"/>
      <w:marRight w:val="0"/>
      <w:marTop w:val="0"/>
      <w:marBottom w:val="0"/>
      <w:divBdr>
        <w:top w:val="none" w:sz="0" w:space="0" w:color="auto"/>
        <w:left w:val="none" w:sz="0" w:space="0" w:color="auto"/>
        <w:bottom w:val="none" w:sz="0" w:space="0" w:color="auto"/>
        <w:right w:val="none" w:sz="0" w:space="0" w:color="auto"/>
      </w:divBdr>
      <w:divsChild>
        <w:div w:id="321616318">
          <w:marLeft w:val="480"/>
          <w:marRight w:val="0"/>
          <w:marTop w:val="0"/>
          <w:marBottom w:val="0"/>
          <w:divBdr>
            <w:top w:val="none" w:sz="0" w:space="0" w:color="auto"/>
            <w:left w:val="none" w:sz="0" w:space="0" w:color="auto"/>
            <w:bottom w:val="none" w:sz="0" w:space="0" w:color="auto"/>
            <w:right w:val="none" w:sz="0" w:space="0" w:color="auto"/>
          </w:divBdr>
          <w:divsChild>
            <w:div w:id="5917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7037">
      <w:bodyDiv w:val="1"/>
      <w:marLeft w:val="0"/>
      <w:marRight w:val="0"/>
      <w:marTop w:val="0"/>
      <w:marBottom w:val="0"/>
      <w:divBdr>
        <w:top w:val="none" w:sz="0" w:space="0" w:color="auto"/>
        <w:left w:val="none" w:sz="0" w:space="0" w:color="auto"/>
        <w:bottom w:val="none" w:sz="0" w:space="0" w:color="auto"/>
        <w:right w:val="none" w:sz="0" w:space="0" w:color="auto"/>
      </w:divBdr>
      <w:divsChild>
        <w:div w:id="963195662">
          <w:marLeft w:val="480"/>
          <w:marRight w:val="0"/>
          <w:marTop w:val="0"/>
          <w:marBottom w:val="0"/>
          <w:divBdr>
            <w:top w:val="none" w:sz="0" w:space="0" w:color="auto"/>
            <w:left w:val="none" w:sz="0" w:space="0" w:color="auto"/>
            <w:bottom w:val="none" w:sz="0" w:space="0" w:color="auto"/>
            <w:right w:val="none" w:sz="0" w:space="0" w:color="auto"/>
          </w:divBdr>
          <w:divsChild>
            <w:div w:id="8882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026">
      <w:bodyDiv w:val="1"/>
      <w:marLeft w:val="0"/>
      <w:marRight w:val="0"/>
      <w:marTop w:val="0"/>
      <w:marBottom w:val="0"/>
      <w:divBdr>
        <w:top w:val="none" w:sz="0" w:space="0" w:color="auto"/>
        <w:left w:val="none" w:sz="0" w:space="0" w:color="auto"/>
        <w:bottom w:val="none" w:sz="0" w:space="0" w:color="auto"/>
        <w:right w:val="none" w:sz="0" w:space="0" w:color="auto"/>
      </w:divBdr>
      <w:divsChild>
        <w:div w:id="1034310606">
          <w:marLeft w:val="480"/>
          <w:marRight w:val="0"/>
          <w:marTop w:val="0"/>
          <w:marBottom w:val="0"/>
          <w:divBdr>
            <w:top w:val="none" w:sz="0" w:space="0" w:color="auto"/>
            <w:left w:val="none" w:sz="0" w:space="0" w:color="auto"/>
            <w:bottom w:val="none" w:sz="0" w:space="0" w:color="auto"/>
            <w:right w:val="none" w:sz="0" w:space="0" w:color="auto"/>
          </w:divBdr>
          <w:divsChild>
            <w:div w:id="18794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70254233">
      <w:bodyDiv w:val="1"/>
      <w:marLeft w:val="0"/>
      <w:marRight w:val="0"/>
      <w:marTop w:val="0"/>
      <w:marBottom w:val="0"/>
      <w:divBdr>
        <w:top w:val="none" w:sz="0" w:space="0" w:color="auto"/>
        <w:left w:val="none" w:sz="0" w:space="0" w:color="auto"/>
        <w:bottom w:val="none" w:sz="0" w:space="0" w:color="auto"/>
        <w:right w:val="none" w:sz="0" w:space="0" w:color="auto"/>
      </w:divBdr>
    </w:div>
    <w:div w:id="675766545">
      <w:bodyDiv w:val="1"/>
      <w:marLeft w:val="0"/>
      <w:marRight w:val="0"/>
      <w:marTop w:val="0"/>
      <w:marBottom w:val="0"/>
      <w:divBdr>
        <w:top w:val="none" w:sz="0" w:space="0" w:color="auto"/>
        <w:left w:val="none" w:sz="0" w:space="0" w:color="auto"/>
        <w:bottom w:val="none" w:sz="0" w:space="0" w:color="auto"/>
        <w:right w:val="none" w:sz="0" w:space="0" w:color="auto"/>
      </w:divBdr>
      <w:divsChild>
        <w:div w:id="557596119">
          <w:marLeft w:val="0"/>
          <w:marRight w:val="0"/>
          <w:marTop w:val="0"/>
          <w:marBottom w:val="0"/>
          <w:divBdr>
            <w:top w:val="none" w:sz="0" w:space="0" w:color="auto"/>
            <w:left w:val="none" w:sz="0" w:space="0" w:color="auto"/>
            <w:bottom w:val="none" w:sz="0" w:space="0" w:color="auto"/>
            <w:right w:val="none" w:sz="0" w:space="0" w:color="auto"/>
          </w:divBdr>
        </w:div>
        <w:div w:id="775708578">
          <w:marLeft w:val="0"/>
          <w:marRight w:val="0"/>
          <w:marTop w:val="0"/>
          <w:marBottom w:val="0"/>
          <w:divBdr>
            <w:top w:val="none" w:sz="0" w:space="0" w:color="auto"/>
            <w:left w:val="none" w:sz="0" w:space="0" w:color="auto"/>
            <w:bottom w:val="none" w:sz="0" w:space="0" w:color="auto"/>
            <w:right w:val="none" w:sz="0" w:space="0" w:color="auto"/>
          </w:divBdr>
        </w:div>
        <w:div w:id="1776822085">
          <w:marLeft w:val="0"/>
          <w:marRight w:val="0"/>
          <w:marTop w:val="0"/>
          <w:marBottom w:val="0"/>
          <w:divBdr>
            <w:top w:val="none" w:sz="0" w:space="0" w:color="auto"/>
            <w:left w:val="none" w:sz="0" w:space="0" w:color="auto"/>
            <w:bottom w:val="none" w:sz="0" w:space="0" w:color="auto"/>
            <w:right w:val="none" w:sz="0" w:space="0" w:color="auto"/>
          </w:divBdr>
        </w:div>
        <w:div w:id="2125729664">
          <w:marLeft w:val="0"/>
          <w:marRight w:val="0"/>
          <w:marTop w:val="0"/>
          <w:marBottom w:val="0"/>
          <w:divBdr>
            <w:top w:val="none" w:sz="0" w:space="0" w:color="auto"/>
            <w:left w:val="none" w:sz="0" w:space="0" w:color="auto"/>
            <w:bottom w:val="none" w:sz="0" w:space="0" w:color="auto"/>
            <w:right w:val="none" w:sz="0" w:space="0" w:color="auto"/>
          </w:divBdr>
        </w:div>
      </w:divsChild>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37485326">
      <w:bodyDiv w:val="1"/>
      <w:marLeft w:val="0"/>
      <w:marRight w:val="0"/>
      <w:marTop w:val="0"/>
      <w:marBottom w:val="0"/>
      <w:divBdr>
        <w:top w:val="none" w:sz="0" w:space="0" w:color="auto"/>
        <w:left w:val="none" w:sz="0" w:space="0" w:color="auto"/>
        <w:bottom w:val="none" w:sz="0" w:space="0" w:color="auto"/>
        <w:right w:val="none" w:sz="0" w:space="0" w:color="auto"/>
      </w:divBdr>
      <w:divsChild>
        <w:div w:id="1358696140">
          <w:marLeft w:val="480"/>
          <w:marRight w:val="0"/>
          <w:marTop w:val="0"/>
          <w:marBottom w:val="0"/>
          <w:divBdr>
            <w:top w:val="none" w:sz="0" w:space="0" w:color="auto"/>
            <w:left w:val="none" w:sz="0" w:space="0" w:color="auto"/>
            <w:bottom w:val="none" w:sz="0" w:space="0" w:color="auto"/>
            <w:right w:val="none" w:sz="0" w:space="0" w:color="auto"/>
          </w:divBdr>
          <w:divsChild>
            <w:div w:id="9471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534">
      <w:bodyDiv w:val="1"/>
      <w:marLeft w:val="0"/>
      <w:marRight w:val="0"/>
      <w:marTop w:val="0"/>
      <w:marBottom w:val="0"/>
      <w:divBdr>
        <w:top w:val="none" w:sz="0" w:space="0" w:color="auto"/>
        <w:left w:val="none" w:sz="0" w:space="0" w:color="auto"/>
        <w:bottom w:val="none" w:sz="0" w:space="0" w:color="auto"/>
        <w:right w:val="none" w:sz="0" w:space="0" w:color="auto"/>
      </w:divBdr>
    </w:div>
    <w:div w:id="79194076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11941096">
      <w:bodyDiv w:val="1"/>
      <w:marLeft w:val="0"/>
      <w:marRight w:val="0"/>
      <w:marTop w:val="0"/>
      <w:marBottom w:val="0"/>
      <w:divBdr>
        <w:top w:val="none" w:sz="0" w:space="0" w:color="auto"/>
        <w:left w:val="none" w:sz="0" w:space="0" w:color="auto"/>
        <w:bottom w:val="none" w:sz="0" w:space="0" w:color="auto"/>
        <w:right w:val="none" w:sz="0" w:space="0" w:color="auto"/>
      </w:divBdr>
      <w:divsChild>
        <w:div w:id="158036170">
          <w:marLeft w:val="0"/>
          <w:marRight w:val="0"/>
          <w:marTop w:val="0"/>
          <w:marBottom w:val="0"/>
          <w:divBdr>
            <w:top w:val="single" w:sz="6" w:space="2" w:color="AAAAAA"/>
            <w:left w:val="single" w:sz="6" w:space="2" w:color="AAAAAA"/>
            <w:bottom w:val="single" w:sz="6" w:space="2" w:color="AAAAAA"/>
            <w:right w:val="single" w:sz="6" w:space="2" w:color="AAAAAA"/>
          </w:divBdr>
          <w:divsChild>
            <w:div w:id="2099057489">
              <w:marLeft w:val="0"/>
              <w:marRight w:val="0"/>
              <w:marTop w:val="0"/>
              <w:marBottom w:val="0"/>
              <w:divBdr>
                <w:top w:val="none" w:sz="0" w:space="0" w:color="auto"/>
                <w:left w:val="none" w:sz="0" w:space="0" w:color="auto"/>
                <w:bottom w:val="none" w:sz="0" w:space="0" w:color="auto"/>
                <w:right w:val="none" w:sz="0" w:space="0" w:color="auto"/>
              </w:divBdr>
              <w:divsChild>
                <w:div w:id="1638953438">
                  <w:marLeft w:val="0"/>
                  <w:marRight w:val="0"/>
                  <w:marTop w:val="0"/>
                  <w:marBottom w:val="0"/>
                  <w:divBdr>
                    <w:top w:val="none" w:sz="0" w:space="0" w:color="auto"/>
                    <w:left w:val="none" w:sz="0" w:space="0" w:color="auto"/>
                    <w:bottom w:val="none" w:sz="0" w:space="0" w:color="auto"/>
                    <w:right w:val="none" w:sz="0" w:space="0" w:color="auto"/>
                  </w:divBdr>
                  <w:divsChild>
                    <w:div w:id="1717896091">
                      <w:marLeft w:val="75"/>
                      <w:marRight w:val="75"/>
                      <w:marTop w:val="75"/>
                      <w:marBottom w:val="75"/>
                      <w:divBdr>
                        <w:top w:val="single" w:sz="6" w:space="2" w:color="D5D5D5"/>
                        <w:left w:val="single" w:sz="6" w:space="2" w:color="D5D5D5"/>
                        <w:bottom w:val="single" w:sz="6" w:space="2" w:color="D5D5D5"/>
                        <w:right w:val="single" w:sz="6" w:space="2" w:color="D5D5D5"/>
                      </w:divBdr>
                      <w:divsChild>
                        <w:div w:id="1969239386">
                          <w:marLeft w:val="0"/>
                          <w:marRight w:val="0"/>
                          <w:marTop w:val="0"/>
                          <w:marBottom w:val="0"/>
                          <w:divBdr>
                            <w:top w:val="none" w:sz="0" w:space="0" w:color="auto"/>
                            <w:left w:val="none" w:sz="0" w:space="0" w:color="auto"/>
                            <w:bottom w:val="none" w:sz="0" w:space="0" w:color="auto"/>
                            <w:right w:val="none" w:sz="0" w:space="0" w:color="auto"/>
                          </w:divBdr>
                          <w:divsChild>
                            <w:div w:id="1217619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399219">
      <w:bodyDiv w:val="1"/>
      <w:marLeft w:val="0"/>
      <w:marRight w:val="0"/>
      <w:marTop w:val="0"/>
      <w:marBottom w:val="0"/>
      <w:divBdr>
        <w:top w:val="none" w:sz="0" w:space="0" w:color="auto"/>
        <w:left w:val="none" w:sz="0" w:space="0" w:color="auto"/>
        <w:bottom w:val="none" w:sz="0" w:space="0" w:color="auto"/>
        <w:right w:val="none" w:sz="0" w:space="0" w:color="auto"/>
      </w:divBdr>
      <w:divsChild>
        <w:div w:id="263345649">
          <w:marLeft w:val="480"/>
          <w:marRight w:val="0"/>
          <w:marTop w:val="0"/>
          <w:marBottom w:val="0"/>
          <w:divBdr>
            <w:top w:val="none" w:sz="0" w:space="0" w:color="auto"/>
            <w:left w:val="none" w:sz="0" w:space="0" w:color="auto"/>
            <w:bottom w:val="none" w:sz="0" w:space="0" w:color="auto"/>
            <w:right w:val="none" w:sz="0" w:space="0" w:color="auto"/>
          </w:divBdr>
          <w:divsChild>
            <w:div w:id="19508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69024">
      <w:bodyDiv w:val="1"/>
      <w:marLeft w:val="0"/>
      <w:marRight w:val="0"/>
      <w:marTop w:val="0"/>
      <w:marBottom w:val="0"/>
      <w:divBdr>
        <w:top w:val="none" w:sz="0" w:space="0" w:color="auto"/>
        <w:left w:val="none" w:sz="0" w:space="0" w:color="auto"/>
        <w:bottom w:val="none" w:sz="0" w:space="0" w:color="auto"/>
        <w:right w:val="none" w:sz="0" w:space="0" w:color="auto"/>
      </w:divBdr>
    </w:div>
    <w:div w:id="901523290">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56333606">
      <w:bodyDiv w:val="1"/>
      <w:marLeft w:val="0"/>
      <w:marRight w:val="0"/>
      <w:marTop w:val="0"/>
      <w:marBottom w:val="0"/>
      <w:divBdr>
        <w:top w:val="none" w:sz="0" w:space="0" w:color="auto"/>
        <w:left w:val="none" w:sz="0" w:space="0" w:color="auto"/>
        <w:bottom w:val="none" w:sz="0" w:space="0" w:color="auto"/>
        <w:right w:val="none" w:sz="0" w:space="0" w:color="auto"/>
      </w:divBdr>
    </w:div>
    <w:div w:id="999117705">
      <w:bodyDiv w:val="1"/>
      <w:marLeft w:val="0"/>
      <w:marRight w:val="0"/>
      <w:marTop w:val="0"/>
      <w:marBottom w:val="0"/>
      <w:divBdr>
        <w:top w:val="none" w:sz="0" w:space="0" w:color="auto"/>
        <w:left w:val="none" w:sz="0" w:space="0" w:color="auto"/>
        <w:bottom w:val="none" w:sz="0" w:space="0" w:color="auto"/>
        <w:right w:val="none" w:sz="0" w:space="0" w:color="auto"/>
      </w:divBdr>
    </w:div>
    <w:div w:id="1063797822">
      <w:bodyDiv w:val="1"/>
      <w:marLeft w:val="0"/>
      <w:marRight w:val="0"/>
      <w:marTop w:val="0"/>
      <w:marBottom w:val="0"/>
      <w:divBdr>
        <w:top w:val="none" w:sz="0" w:space="0" w:color="auto"/>
        <w:left w:val="none" w:sz="0" w:space="0" w:color="auto"/>
        <w:bottom w:val="none" w:sz="0" w:space="0" w:color="auto"/>
        <w:right w:val="none" w:sz="0" w:space="0" w:color="auto"/>
      </w:divBdr>
    </w:div>
    <w:div w:id="1084453642">
      <w:bodyDiv w:val="1"/>
      <w:marLeft w:val="0"/>
      <w:marRight w:val="0"/>
      <w:marTop w:val="0"/>
      <w:marBottom w:val="0"/>
      <w:divBdr>
        <w:top w:val="none" w:sz="0" w:space="0" w:color="auto"/>
        <w:left w:val="none" w:sz="0" w:space="0" w:color="auto"/>
        <w:bottom w:val="none" w:sz="0" w:space="0" w:color="auto"/>
        <w:right w:val="none" w:sz="0" w:space="0" w:color="auto"/>
      </w:divBdr>
      <w:divsChild>
        <w:div w:id="455683233">
          <w:marLeft w:val="0"/>
          <w:marRight w:val="0"/>
          <w:marTop w:val="0"/>
          <w:marBottom w:val="0"/>
          <w:divBdr>
            <w:top w:val="none" w:sz="0" w:space="0" w:color="auto"/>
            <w:left w:val="none" w:sz="0" w:space="0" w:color="auto"/>
            <w:bottom w:val="none" w:sz="0" w:space="0" w:color="auto"/>
            <w:right w:val="none" w:sz="0" w:space="0" w:color="auto"/>
          </w:divBdr>
        </w:div>
        <w:div w:id="959145106">
          <w:marLeft w:val="0"/>
          <w:marRight w:val="0"/>
          <w:marTop w:val="0"/>
          <w:marBottom w:val="0"/>
          <w:divBdr>
            <w:top w:val="none" w:sz="0" w:space="0" w:color="auto"/>
            <w:left w:val="none" w:sz="0" w:space="0" w:color="auto"/>
            <w:bottom w:val="none" w:sz="0" w:space="0" w:color="auto"/>
            <w:right w:val="none" w:sz="0" w:space="0" w:color="auto"/>
          </w:divBdr>
        </w:div>
        <w:div w:id="1337489701">
          <w:marLeft w:val="0"/>
          <w:marRight w:val="0"/>
          <w:marTop w:val="0"/>
          <w:marBottom w:val="0"/>
          <w:divBdr>
            <w:top w:val="none" w:sz="0" w:space="0" w:color="auto"/>
            <w:left w:val="none" w:sz="0" w:space="0" w:color="auto"/>
            <w:bottom w:val="none" w:sz="0" w:space="0" w:color="auto"/>
            <w:right w:val="none" w:sz="0" w:space="0" w:color="auto"/>
          </w:divBdr>
        </w:div>
      </w:divsChild>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196233172">
      <w:bodyDiv w:val="1"/>
      <w:marLeft w:val="0"/>
      <w:marRight w:val="0"/>
      <w:marTop w:val="0"/>
      <w:marBottom w:val="0"/>
      <w:divBdr>
        <w:top w:val="none" w:sz="0" w:space="0" w:color="auto"/>
        <w:left w:val="none" w:sz="0" w:space="0" w:color="auto"/>
        <w:bottom w:val="none" w:sz="0" w:space="0" w:color="auto"/>
        <w:right w:val="none" w:sz="0" w:space="0" w:color="auto"/>
      </w:divBdr>
      <w:divsChild>
        <w:div w:id="411120879">
          <w:marLeft w:val="0"/>
          <w:marRight w:val="0"/>
          <w:marTop w:val="0"/>
          <w:marBottom w:val="0"/>
          <w:divBdr>
            <w:top w:val="single" w:sz="6" w:space="2" w:color="AAAAAA"/>
            <w:left w:val="single" w:sz="6" w:space="2" w:color="AAAAAA"/>
            <w:bottom w:val="single" w:sz="6" w:space="2" w:color="AAAAAA"/>
            <w:right w:val="single" w:sz="6" w:space="2" w:color="AAAAAA"/>
          </w:divBdr>
          <w:divsChild>
            <w:div w:id="935602920">
              <w:marLeft w:val="0"/>
              <w:marRight w:val="0"/>
              <w:marTop w:val="0"/>
              <w:marBottom w:val="0"/>
              <w:divBdr>
                <w:top w:val="none" w:sz="0" w:space="0" w:color="auto"/>
                <w:left w:val="none" w:sz="0" w:space="0" w:color="auto"/>
                <w:bottom w:val="none" w:sz="0" w:space="0" w:color="auto"/>
                <w:right w:val="none" w:sz="0" w:space="0" w:color="auto"/>
              </w:divBdr>
              <w:divsChild>
                <w:div w:id="1491099726">
                  <w:marLeft w:val="0"/>
                  <w:marRight w:val="0"/>
                  <w:marTop w:val="0"/>
                  <w:marBottom w:val="0"/>
                  <w:divBdr>
                    <w:top w:val="none" w:sz="0" w:space="0" w:color="auto"/>
                    <w:left w:val="none" w:sz="0" w:space="0" w:color="auto"/>
                    <w:bottom w:val="none" w:sz="0" w:space="0" w:color="auto"/>
                    <w:right w:val="none" w:sz="0" w:space="0" w:color="auto"/>
                  </w:divBdr>
                  <w:divsChild>
                    <w:div w:id="1461726704">
                      <w:marLeft w:val="75"/>
                      <w:marRight w:val="75"/>
                      <w:marTop w:val="75"/>
                      <w:marBottom w:val="75"/>
                      <w:divBdr>
                        <w:top w:val="single" w:sz="6" w:space="2" w:color="D5D5D5"/>
                        <w:left w:val="single" w:sz="6" w:space="2" w:color="D5D5D5"/>
                        <w:bottom w:val="single" w:sz="6" w:space="2" w:color="D5D5D5"/>
                        <w:right w:val="single" w:sz="6" w:space="2" w:color="D5D5D5"/>
                      </w:divBdr>
                      <w:divsChild>
                        <w:div w:id="215434347">
                          <w:marLeft w:val="0"/>
                          <w:marRight w:val="0"/>
                          <w:marTop w:val="0"/>
                          <w:marBottom w:val="0"/>
                          <w:divBdr>
                            <w:top w:val="none" w:sz="0" w:space="0" w:color="auto"/>
                            <w:left w:val="none" w:sz="0" w:space="0" w:color="auto"/>
                            <w:bottom w:val="none" w:sz="0" w:space="0" w:color="auto"/>
                            <w:right w:val="none" w:sz="0" w:space="0" w:color="auto"/>
                          </w:divBdr>
                          <w:divsChild>
                            <w:div w:id="148119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372768">
      <w:bodyDiv w:val="1"/>
      <w:marLeft w:val="0"/>
      <w:marRight w:val="0"/>
      <w:marTop w:val="0"/>
      <w:marBottom w:val="0"/>
      <w:divBdr>
        <w:top w:val="none" w:sz="0" w:space="0" w:color="auto"/>
        <w:left w:val="none" w:sz="0" w:space="0" w:color="auto"/>
        <w:bottom w:val="none" w:sz="0" w:space="0" w:color="auto"/>
        <w:right w:val="none" w:sz="0" w:space="0" w:color="auto"/>
      </w:divBdr>
    </w:div>
    <w:div w:id="1300647394">
      <w:bodyDiv w:val="1"/>
      <w:marLeft w:val="0"/>
      <w:marRight w:val="0"/>
      <w:marTop w:val="0"/>
      <w:marBottom w:val="0"/>
      <w:divBdr>
        <w:top w:val="none" w:sz="0" w:space="0" w:color="auto"/>
        <w:left w:val="none" w:sz="0" w:space="0" w:color="auto"/>
        <w:bottom w:val="none" w:sz="0" w:space="0" w:color="auto"/>
        <w:right w:val="none" w:sz="0" w:space="0" w:color="auto"/>
      </w:divBdr>
      <w:divsChild>
        <w:div w:id="966617674">
          <w:marLeft w:val="480"/>
          <w:marRight w:val="0"/>
          <w:marTop w:val="0"/>
          <w:marBottom w:val="0"/>
          <w:divBdr>
            <w:top w:val="none" w:sz="0" w:space="0" w:color="auto"/>
            <w:left w:val="none" w:sz="0" w:space="0" w:color="auto"/>
            <w:bottom w:val="none" w:sz="0" w:space="0" w:color="auto"/>
            <w:right w:val="none" w:sz="0" w:space="0" w:color="auto"/>
          </w:divBdr>
          <w:divsChild>
            <w:div w:id="18128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3176">
      <w:bodyDiv w:val="1"/>
      <w:marLeft w:val="0"/>
      <w:marRight w:val="0"/>
      <w:marTop w:val="0"/>
      <w:marBottom w:val="0"/>
      <w:divBdr>
        <w:top w:val="none" w:sz="0" w:space="0" w:color="auto"/>
        <w:left w:val="none" w:sz="0" w:space="0" w:color="auto"/>
        <w:bottom w:val="none" w:sz="0" w:space="0" w:color="auto"/>
        <w:right w:val="none" w:sz="0" w:space="0" w:color="auto"/>
      </w:divBdr>
      <w:divsChild>
        <w:div w:id="2116706336">
          <w:marLeft w:val="480"/>
          <w:marRight w:val="0"/>
          <w:marTop w:val="0"/>
          <w:marBottom w:val="0"/>
          <w:divBdr>
            <w:top w:val="none" w:sz="0" w:space="0" w:color="auto"/>
            <w:left w:val="none" w:sz="0" w:space="0" w:color="auto"/>
            <w:bottom w:val="none" w:sz="0" w:space="0" w:color="auto"/>
            <w:right w:val="none" w:sz="0" w:space="0" w:color="auto"/>
          </w:divBdr>
          <w:divsChild>
            <w:div w:id="7853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361936062">
      <w:bodyDiv w:val="1"/>
      <w:marLeft w:val="0"/>
      <w:marRight w:val="0"/>
      <w:marTop w:val="0"/>
      <w:marBottom w:val="0"/>
      <w:divBdr>
        <w:top w:val="none" w:sz="0" w:space="0" w:color="auto"/>
        <w:left w:val="none" w:sz="0" w:space="0" w:color="auto"/>
        <w:bottom w:val="none" w:sz="0" w:space="0" w:color="auto"/>
        <w:right w:val="none" w:sz="0" w:space="0" w:color="auto"/>
      </w:divBdr>
    </w:div>
    <w:div w:id="1393892005">
      <w:bodyDiv w:val="1"/>
      <w:marLeft w:val="0"/>
      <w:marRight w:val="0"/>
      <w:marTop w:val="0"/>
      <w:marBottom w:val="0"/>
      <w:divBdr>
        <w:top w:val="none" w:sz="0" w:space="0" w:color="auto"/>
        <w:left w:val="none" w:sz="0" w:space="0" w:color="auto"/>
        <w:bottom w:val="none" w:sz="0" w:space="0" w:color="auto"/>
        <w:right w:val="none" w:sz="0" w:space="0" w:color="auto"/>
      </w:divBdr>
      <w:divsChild>
        <w:div w:id="456337776">
          <w:marLeft w:val="480"/>
          <w:marRight w:val="0"/>
          <w:marTop w:val="0"/>
          <w:marBottom w:val="0"/>
          <w:divBdr>
            <w:top w:val="none" w:sz="0" w:space="0" w:color="auto"/>
            <w:left w:val="none" w:sz="0" w:space="0" w:color="auto"/>
            <w:bottom w:val="none" w:sz="0" w:space="0" w:color="auto"/>
            <w:right w:val="none" w:sz="0" w:space="0" w:color="auto"/>
          </w:divBdr>
          <w:divsChild>
            <w:div w:id="178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307">
      <w:bodyDiv w:val="1"/>
      <w:marLeft w:val="0"/>
      <w:marRight w:val="0"/>
      <w:marTop w:val="0"/>
      <w:marBottom w:val="0"/>
      <w:divBdr>
        <w:top w:val="none" w:sz="0" w:space="0" w:color="auto"/>
        <w:left w:val="none" w:sz="0" w:space="0" w:color="auto"/>
        <w:bottom w:val="none" w:sz="0" w:space="0" w:color="auto"/>
        <w:right w:val="none" w:sz="0" w:space="0" w:color="auto"/>
      </w:divBdr>
    </w:div>
    <w:div w:id="1416051653">
      <w:bodyDiv w:val="1"/>
      <w:marLeft w:val="0"/>
      <w:marRight w:val="0"/>
      <w:marTop w:val="0"/>
      <w:marBottom w:val="0"/>
      <w:divBdr>
        <w:top w:val="none" w:sz="0" w:space="0" w:color="auto"/>
        <w:left w:val="none" w:sz="0" w:space="0" w:color="auto"/>
        <w:bottom w:val="none" w:sz="0" w:space="0" w:color="auto"/>
        <w:right w:val="none" w:sz="0" w:space="0" w:color="auto"/>
      </w:divBdr>
      <w:divsChild>
        <w:div w:id="1980381147">
          <w:marLeft w:val="0"/>
          <w:marRight w:val="0"/>
          <w:marTop w:val="0"/>
          <w:marBottom w:val="0"/>
          <w:divBdr>
            <w:top w:val="single" w:sz="6" w:space="2" w:color="AAAAAA"/>
            <w:left w:val="single" w:sz="6" w:space="2" w:color="AAAAAA"/>
            <w:bottom w:val="single" w:sz="6" w:space="2" w:color="AAAAAA"/>
            <w:right w:val="single" w:sz="6" w:space="2" w:color="AAAAAA"/>
          </w:divBdr>
          <w:divsChild>
            <w:div w:id="874002676">
              <w:marLeft w:val="0"/>
              <w:marRight w:val="0"/>
              <w:marTop w:val="0"/>
              <w:marBottom w:val="0"/>
              <w:divBdr>
                <w:top w:val="none" w:sz="0" w:space="0" w:color="auto"/>
                <w:left w:val="none" w:sz="0" w:space="0" w:color="auto"/>
                <w:bottom w:val="none" w:sz="0" w:space="0" w:color="auto"/>
                <w:right w:val="none" w:sz="0" w:space="0" w:color="auto"/>
              </w:divBdr>
              <w:divsChild>
                <w:div w:id="757215387">
                  <w:marLeft w:val="0"/>
                  <w:marRight w:val="0"/>
                  <w:marTop w:val="0"/>
                  <w:marBottom w:val="0"/>
                  <w:divBdr>
                    <w:top w:val="none" w:sz="0" w:space="0" w:color="auto"/>
                    <w:left w:val="none" w:sz="0" w:space="0" w:color="auto"/>
                    <w:bottom w:val="none" w:sz="0" w:space="0" w:color="auto"/>
                    <w:right w:val="none" w:sz="0" w:space="0" w:color="auto"/>
                  </w:divBdr>
                  <w:divsChild>
                    <w:div w:id="184563090">
                      <w:marLeft w:val="75"/>
                      <w:marRight w:val="75"/>
                      <w:marTop w:val="75"/>
                      <w:marBottom w:val="75"/>
                      <w:divBdr>
                        <w:top w:val="single" w:sz="6" w:space="2" w:color="D5D5D5"/>
                        <w:left w:val="single" w:sz="6" w:space="2" w:color="D5D5D5"/>
                        <w:bottom w:val="single" w:sz="6" w:space="2" w:color="D5D5D5"/>
                        <w:right w:val="single" w:sz="6" w:space="2" w:color="D5D5D5"/>
                      </w:divBdr>
                      <w:divsChild>
                        <w:div w:id="1526627720">
                          <w:marLeft w:val="0"/>
                          <w:marRight w:val="0"/>
                          <w:marTop w:val="0"/>
                          <w:marBottom w:val="0"/>
                          <w:divBdr>
                            <w:top w:val="none" w:sz="0" w:space="0" w:color="auto"/>
                            <w:left w:val="none" w:sz="0" w:space="0" w:color="auto"/>
                            <w:bottom w:val="none" w:sz="0" w:space="0" w:color="auto"/>
                            <w:right w:val="none" w:sz="0" w:space="0" w:color="auto"/>
                          </w:divBdr>
                          <w:divsChild>
                            <w:div w:id="1563639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361700">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476147437">
      <w:bodyDiv w:val="1"/>
      <w:marLeft w:val="0"/>
      <w:marRight w:val="0"/>
      <w:marTop w:val="0"/>
      <w:marBottom w:val="0"/>
      <w:divBdr>
        <w:top w:val="none" w:sz="0" w:space="0" w:color="auto"/>
        <w:left w:val="none" w:sz="0" w:space="0" w:color="auto"/>
        <w:bottom w:val="none" w:sz="0" w:space="0" w:color="auto"/>
        <w:right w:val="none" w:sz="0" w:space="0" w:color="auto"/>
      </w:divBdr>
      <w:divsChild>
        <w:div w:id="109084396">
          <w:marLeft w:val="0"/>
          <w:marRight w:val="0"/>
          <w:marTop w:val="0"/>
          <w:marBottom w:val="0"/>
          <w:divBdr>
            <w:top w:val="single" w:sz="6" w:space="2" w:color="AAAAAA"/>
            <w:left w:val="single" w:sz="6" w:space="2" w:color="AAAAAA"/>
            <w:bottom w:val="single" w:sz="6" w:space="2" w:color="AAAAAA"/>
            <w:right w:val="single" w:sz="6" w:space="2" w:color="AAAAAA"/>
          </w:divBdr>
          <w:divsChild>
            <w:div w:id="2043554946">
              <w:marLeft w:val="0"/>
              <w:marRight w:val="0"/>
              <w:marTop w:val="0"/>
              <w:marBottom w:val="0"/>
              <w:divBdr>
                <w:top w:val="none" w:sz="0" w:space="0" w:color="auto"/>
                <w:left w:val="none" w:sz="0" w:space="0" w:color="auto"/>
                <w:bottom w:val="none" w:sz="0" w:space="0" w:color="auto"/>
                <w:right w:val="none" w:sz="0" w:space="0" w:color="auto"/>
              </w:divBdr>
              <w:divsChild>
                <w:div w:id="663049195">
                  <w:marLeft w:val="0"/>
                  <w:marRight w:val="0"/>
                  <w:marTop w:val="0"/>
                  <w:marBottom w:val="0"/>
                  <w:divBdr>
                    <w:top w:val="none" w:sz="0" w:space="0" w:color="auto"/>
                    <w:left w:val="none" w:sz="0" w:space="0" w:color="auto"/>
                    <w:bottom w:val="none" w:sz="0" w:space="0" w:color="auto"/>
                    <w:right w:val="none" w:sz="0" w:space="0" w:color="auto"/>
                  </w:divBdr>
                  <w:divsChild>
                    <w:div w:id="1525553915">
                      <w:marLeft w:val="75"/>
                      <w:marRight w:val="75"/>
                      <w:marTop w:val="75"/>
                      <w:marBottom w:val="75"/>
                      <w:divBdr>
                        <w:top w:val="single" w:sz="6" w:space="2" w:color="D5D5D5"/>
                        <w:left w:val="single" w:sz="6" w:space="2" w:color="D5D5D5"/>
                        <w:bottom w:val="single" w:sz="6" w:space="2" w:color="D5D5D5"/>
                        <w:right w:val="single" w:sz="6" w:space="2" w:color="D5D5D5"/>
                      </w:divBdr>
                      <w:divsChild>
                        <w:div w:id="1750812162">
                          <w:marLeft w:val="0"/>
                          <w:marRight w:val="0"/>
                          <w:marTop w:val="0"/>
                          <w:marBottom w:val="0"/>
                          <w:divBdr>
                            <w:top w:val="none" w:sz="0" w:space="0" w:color="auto"/>
                            <w:left w:val="none" w:sz="0" w:space="0" w:color="auto"/>
                            <w:bottom w:val="none" w:sz="0" w:space="0" w:color="auto"/>
                            <w:right w:val="none" w:sz="0" w:space="0" w:color="auto"/>
                          </w:divBdr>
                          <w:divsChild>
                            <w:div w:id="16559834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220803">
      <w:bodyDiv w:val="1"/>
      <w:marLeft w:val="0"/>
      <w:marRight w:val="0"/>
      <w:marTop w:val="0"/>
      <w:marBottom w:val="0"/>
      <w:divBdr>
        <w:top w:val="none" w:sz="0" w:space="0" w:color="auto"/>
        <w:left w:val="none" w:sz="0" w:space="0" w:color="auto"/>
        <w:bottom w:val="none" w:sz="0" w:space="0" w:color="auto"/>
        <w:right w:val="none" w:sz="0" w:space="0" w:color="auto"/>
      </w:divBdr>
      <w:divsChild>
        <w:div w:id="1762290651">
          <w:marLeft w:val="480"/>
          <w:marRight w:val="0"/>
          <w:marTop w:val="0"/>
          <w:marBottom w:val="0"/>
          <w:divBdr>
            <w:top w:val="none" w:sz="0" w:space="0" w:color="auto"/>
            <w:left w:val="none" w:sz="0" w:space="0" w:color="auto"/>
            <w:bottom w:val="none" w:sz="0" w:space="0" w:color="auto"/>
            <w:right w:val="none" w:sz="0" w:space="0" w:color="auto"/>
          </w:divBdr>
          <w:divsChild>
            <w:div w:id="3399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5298">
      <w:bodyDiv w:val="1"/>
      <w:marLeft w:val="0"/>
      <w:marRight w:val="0"/>
      <w:marTop w:val="0"/>
      <w:marBottom w:val="0"/>
      <w:divBdr>
        <w:top w:val="none" w:sz="0" w:space="0" w:color="auto"/>
        <w:left w:val="none" w:sz="0" w:space="0" w:color="auto"/>
        <w:bottom w:val="none" w:sz="0" w:space="0" w:color="auto"/>
        <w:right w:val="none" w:sz="0" w:space="0" w:color="auto"/>
      </w:divBdr>
      <w:divsChild>
        <w:div w:id="312418659">
          <w:marLeft w:val="0"/>
          <w:marRight w:val="0"/>
          <w:marTop w:val="0"/>
          <w:marBottom w:val="0"/>
          <w:divBdr>
            <w:top w:val="single" w:sz="6" w:space="2" w:color="AAAAAA"/>
            <w:left w:val="single" w:sz="6" w:space="2" w:color="AAAAAA"/>
            <w:bottom w:val="single" w:sz="6" w:space="2" w:color="AAAAAA"/>
            <w:right w:val="single" w:sz="6" w:space="2" w:color="AAAAAA"/>
          </w:divBdr>
          <w:divsChild>
            <w:div w:id="584534372">
              <w:marLeft w:val="0"/>
              <w:marRight w:val="0"/>
              <w:marTop w:val="0"/>
              <w:marBottom w:val="0"/>
              <w:divBdr>
                <w:top w:val="none" w:sz="0" w:space="0" w:color="auto"/>
                <w:left w:val="none" w:sz="0" w:space="0" w:color="auto"/>
                <w:bottom w:val="none" w:sz="0" w:space="0" w:color="auto"/>
                <w:right w:val="none" w:sz="0" w:space="0" w:color="auto"/>
              </w:divBdr>
              <w:divsChild>
                <w:div w:id="1468351300">
                  <w:marLeft w:val="0"/>
                  <w:marRight w:val="0"/>
                  <w:marTop w:val="0"/>
                  <w:marBottom w:val="0"/>
                  <w:divBdr>
                    <w:top w:val="none" w:sz="0" w:space="0" w:color="auto"/>
                    <w:left w:val="none" w:sz="0" w:space="0" w:color="auto"/>
                    <w:bottom w:val="none" w:sz="0" w:space="0" w:color="auto"/>
                    <w:right w:val="none" w:sz="0" w:space="0" w:color="auto"/>
                  </w:divBdr>
                  <w:divsChild>
                    <w:div w:id="502352707">
                      <w:marLeft w:val="75"/>
                      <w:marRight w:val="75"/>
                      <w:marTop w:val="75"/>
                      <w:marBottom w:val="75"/>
                      <w:divBdr>
                        <w:top w:val="single" w:sz="6" w:space="2" w:color="D5D5D5"/>
                        <w:left w:val="single" w:sz="6" w:space="2" w:color="D5D5D5"/>
                        <w:bottom w:val="single" w:sz="6" w:space="2" w:color="D5D5D5"/>
                        <w:right w:val="single" w:sz="6" w:space="2" w:color="D5D5D5"/>
                      </w:divBdr>
                      <w:divsChild>
                        <w:div w:id="798259910">
                          <w:marLeft w:val="0"/>
                          <w:marRight w:val="0"/>
                          <w:marTop w:val="0"/>
                          <w:marBottom w:val="0"/>
                          <w:divBdr>
                            <w:top w:val="none" w:sz="0" w:space="0" w:color="auto"/>
                            <w:left w:val="none" w:sz="0" w:space="0" w:color="auto"/>
                            <w:bottom w:val="none" w:sz="0" w:space="0" w:color="auto"/>
                            <w:right w:val="none" w:sz="0" w:space="0" w:color="auto"/>
                          </w:divBdr>
                          <w:divsChild>
                            <w:div w:id="15329610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515208">
      <w:bodyDiv w:val="1"/>
      <w:marLeft w:val="0"/>
      <w:marRight w:val="0"/>
      <w:marTop w:val="0"/>
      <w:marBottom w:val="0"/>
      <w:divBdr>
        <w:top w:val="none" w:sz="0" w:space="0" w:color="auto"/>
        <w:left w:val="none" w:sz="0" w:space="0" w:color="auto"/>
        <w:bottom w:val="none" w:sz="0" w:space="0" w:color="auto"/>
        <w:right w:val="none" w:sz="0" w:space="0" w:color="auto"/>
      </w:divBdr>
    </w:div>
    <w:div w:id="1512722855">
      <w:bodyDiv w:val="1"/>
      <w:marLeft w:val="0"/>
      <w:marRight w:val="0"/>
      <w:marTop w:val="0"/>
      <w:marBottom w:val="0"/>
      <w:divBdr>
        <w:top w:val="none" w:sz="0" w:space="0" w:color="auto"/>
        <w:left w:val="none" w:sz="0" w:space="0" w:color="auto"/>
        <w:bottom w:val="none" w:sz="0" w:space="0" w:color="auto"/>
        <w:right w:val="none" w:sz="0" w:space="0" w:color="auto"/>
      </w:divBdr>
    </w:div>
    <w:div w:id="1622883425">
      <w:bodyDiv w:val="1"/>
      <w:marLeft w:val="0"/>
      <w:marRight w:val="0"/>
      <w:marTop w:val="0"/>
      <w:marBottom w:val="0"/>
      <w:divBdr>
        <w:top w:val="none" w:sz="0" w:space="0" w:color="auto"/>
        <w:left w:val="none" w:sz="0" w:space="0" w:color="auto"/>
        <w:bottom w:val="none" w:sz="0" w:space="0" w:color="auto"/>
        <w:right w:val="none" w:sz="0" w:space="0" w:color="auto"/>
      </w:divBdr>
    </w:div>
    <w:div w:id="1704329341">
      <w:bodyDiv w:val="1"/>
      <w:marLeft w:val="0"/>
      <w:marRight w:val="0"/>
      <w:marTop w:val="0"/>
      <w:marBottom w:val="0"/>
      <w:divBdr>
        <w:top w:val="none" w:sz="0" w:space="0" w:color="auto"/>
        <w:left w:val="none" w:sz="0" w:space="0" w:color="auto"/>
        <w:bottom w:val="none" w:sz="0" w:space="0" w:color="auto"/>
        <w:right w:val="none" w:sz="0" w:space="0" w:color="auto"/>
      </w:divBdr>
    </w:div>
    <w:div w:id="1712875705">
      <w:bodyDiv w:val="1"/>
      <w:marLeft w:val="0"/>
      <w:marRight w:val="0"/>
      <w:marTop w:val="0"/>
      <w:marBottom w:val="0"/>
      <w:divBdr>
        <w:top w:val="none" w:sz="0" w:space="0" w:color="auto"/>
        <w:left w:val="none" w:sz="0" w:space="0" w:color="auto"/>
        <w:bottom w:val="none" w:sz="0" w:space="0" w:color="auto"/>
        <w:right w:val="none" w:sz="0" w:space="0" w:color="auto"/>
      </w:divBdr>
      <w:divsChild>
        <w:div w:id="1172835852">
          <w:marLeft w:val="480"/>
          <w:marRight w:val="0"/>
          <w:marTop w:val="0"/>
          <w:marBottom w:val="0"/>
          <w:divBdr>
            <w:top w:val="none" w:sz="0" w:space="0" w:color="auto"/>
            <w:left w:val="none" w:sz="0" w:space="0" w:color="auto"/>
            <w:bottom w:val="none" w:sz="0" w:space="0" w:color="auto"/>
            <w:right w:val="none" w:sz="0" w:space="0" w:color="auto"/>
          </w:divBdr>
          <w:divsChild>
            <w:div w:id="5851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6107">
      <w:bodyDiv w:val="1"/>
      <w:marLeft w:val="0"/>
      <w:marRight w:val="0"/>
      <w:marTop w:val="0"/>
      <w:marBottom w:val="0"/>
      <w:divBdr>
        <w:top w:val="none" w:sz="0" w:space="0" w:color="auto"/>
        <w:left w:val="none" w:sz="0" w:space="0" w:color="auto"/>
        <w:bottom w:val="none" w:sz="0" w:space="0" w:color="auto"/>
        <w:right w:val="none" w:sz="0" w:space="0" w:color="auto"/>
      </w:divBdr>
      <w:divsChild>
        <w:div w:id="130825503">
          <w:marLeft w:val="480"/>
          <w:marRight w:val="0"/>
          <w:marTop w:val="0"/>
          <w:marBottom w:val="0"/>
          <w:divBdr>
            <w:top w:val="none" w:sz="0" w:space="0" w:color="auto"/>
            <w:left w:val="none" w:sz="0" w:space="0" w:color="auto"/>
            <w:bottom w:val="none" w:sz="0" w:space="0" w:color="auto"/>
            <w:right w:val="none" w:sz="0" w:space="0" w:color="auto"/>
          </w:divBdr>
          <w:divsChild>
            <w:div w:id="4882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1255">
      <w:bodyDiv w:val="1"/>
      <w:marLeft w:val="0"/>
      <w:marRight w:val="0"/>
      <w:marTop w:val="0"/>
      <w:marBottom w:val="0"/>
      <w:divBdr>
        <w:top w:val="none" w:sz="0" w:space="0" w:color="auto"/>
        <w:left w:val="none" w:sz="0" w:space="0" w:color="auto"/>
        <w:bottom w:val="none" w:sz="0" w:space="0" w:color="auto"/>
        <w:right w:val="none" w:sz="0" w:space="0" w:color="auto"/>
      </w:divBdr>
    </w:div>
    <w:div w:id="1725987723">
      <w:bodyDiv w:val="1"/>
      <w:marLeft w:val="0"/>
      <w:marRight w:val="0"/>
      <w:marTop w:val="0"/>
      <w:marBottom w:val="0"/>
      <w:divBdr>
        <w:top w:val="none" w:sz="0" w:space="0" w:color="auto"/>
        <w:left w:val="none" w:sz="0" w:space="0" w:color="auto"/>
        <w:bottom w:val="none" w:sz="0" w:space="0" w:color="auto"/>
        <w:right w:val="none" w:sz="0" w:space="0" w:color="auto"/>
      </w:divBdr>
      <w:divsChild>
        <w:div w:id="1224873091">
          <w:marLeft w:val="480"/>
          <w:marRight w:val="0"/>
          <w:marTop w:val="0"/>
          <w:marBottom w:val="0"/>
          <w:divBdr>
            <w:top w:val="none" w:sz="0" w:space="0" w:color="auto"/>
            <w:left w:val="none" w:sz="0" w:space="0" w:color="auto"/>
            <w:bottom w:val="none" w:sz="0" w:space="0" w:color="auto"/>
            <w:right w:val="none" w:sz="0" w:space="0" w:color="auto"/>
          </w:divBdr>
          <w:divsChild>
            <w:div w:id="11174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59209928">
      <w:bodyDiv w:val="1"/>
      <w:marLeft w:val="0"/>
      <w:marRight w:val="0"/>
      <w:marTop w:val="0"/>
      <w:marBottom w:val="0"/>
      <w:divBdr>
        <w:top w:val="none" w:sz="0" w:space="0" w:color="auto"/>
        <w:left w:val="none" w:sz="0" w:space="0" w:color="auto"/>
        <w:bottom w:val="none" w:sz="0" w:space="0" w:color="auto"/>
        <w:right w:val="none" w:sz="0" w:space="0" w:color="auto"/>
      </w:divBdr>
      <w:divsChild>
        <w:div w:id="1591044630">
          <w:marLeft w:val="480"/>
          <w:marRight w:val="0"/>
          <w:marTop w:val="0"/>
          <w:marBottom w:val="0"/>
          <w:divBdr>
            <w:top w:val="none" w:sz="0" w:space="0" w:color="auto"/>
            <w:left w:val="none" w:sz="0" w:space="0" w:color="auto"/>
            <w:bottom w:val="none" w:sz="0" w:space="0" w:color="auto"/>
            <w:right w:val="none" w:sz="0" w:space="0" w:color="auto"/>
          </w:divBdr>
          <w:divsChild>
            <w:div w:id="8577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1981">
      <w:bodyDiv w:val="1"/>
      <w:marLeft w:val="0"/>
      <w:marRight w:val="0"/>
      <w:marTop w:val="0"/>
      <w:marBottom w:val="0"/>
      <w:divBdr>
        <w:top w:val="none" w:sz="0" w:space="0" w:color="auto"/>
        <w:left w:val="none" w:sz="0" w:space="0" w:color="auto"/>
        <w:bottom w:val="none" w:sz="0" w:space="0" w:color="auto"/>
        <w:right w:val="none" w:sz="0" w:space="0" w:color="auto"/>
      </w:divBdr>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781484286">
      <w:bodyDiv w:val="1"/>
      <w:marLeft w:val="0"/>
      <w:marRight w:val="0"/>
      <w:marTop w:val="0"/>
      <w:marBottom w:val="0"/>
      <w:divBdr>
        <w:top w:val="none" w:sz="0" w:space="0" w:color="auto"/>
        <w:left w:val="none" w:sz="0" w:space="0" w:color="auto"/>
        <w:bottom w:val="none" w:sz="0" w:space="0" w:color="auto"/>
        <w:right w:val="none" w:sz="0" w:space="0" w:color="auto"/>
      </w:divBdr>
      <w:divsChild>
        <w:div w:id="619801664">
          <w:marLeft w:val="480"/>
          <w:marRight w:val="0"/>
          <w:marTop w:val="0"/>
          <w:marBottom w:val="0"/>
          <w:divBdr>
            <w:top w:val="none" w:sz="0" w:space="0" w:color="auto"/>
            <w:left w:val="none" w:sz="0" w:space="0" w:color="auto"/>
            <w:bottom w:val="none" w:sz="0" w:space="0" w:color="auto"/>
            <w:right w:val="none" w:sz="0" w:space="0" w:color="auto"/>
          </w:divBdr>
          <w:divsChild>
            <w:div w:id="17278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90285">
      <w:bodyDiv w:val="1"/>
      <w:marLeft w:val="0"/>
      <w:marRight w:val="0"/>
      <w:marTop w:val="0"/>
      <w:marBottom w:val="0"/>
      <w:divBdr>
        <w:top w:val="none" w:sz="0" w:space="0" w:color="auto"/>
        <w:left w:val="none" w:sz="0" w:space="0" w:color="auto"/>
        <w:bottom w:val="none" w:sz="0" w:space="0" w:color="auto"/>
        <w:right w:val="none" w:sz="0" w:space="0" w:color="auto"/>
      </w:divBdr>
    </w:div>
    <w:div w:id="1888101194">
      <w:bodyDiv w:val="1"/>
      <w:marLeft w:val="0"/>
      <w:marRight w:val="0"/>
      <w:marTop w:val="0"/>
      <w:marBottom w:val="0"/>
      <w:divBdr>
        <w:top w:val="none" w:sz="0" w:space="0" w:color="auto"/>
        <w:left w:val="none" w:sz="0" w:space="0" w:color="auto"/>
        <w:bottom w:val="none" w:sz="0" w:space="0" w:color="auto"/>
        <w:right w:val="none" w:sz="0" w:space="0" w:color="auto"/>
      </w:divBdr>
    </w:div>
    <w:div w:id="1896817922">
      <w:bodyDiv w:val="1"/>
      <w:marLeft w:val="0"/>
      <w:marRight w:val="0"/>
      <w:marTop w:val="0"/>
      <w:marBottom w:val="0"/>
      <w:divBdr>
        <w:top w:val="none" w:sz="0" w:space="0" w:color="auto"/>
        <w:left w:val="none" w:sz="0" w:space="0" w:color="auto"/>
        <w:bottom w:val="none" w:sz="0" w:space="0" w:color="auto"/>
        <w:right w:val="none" w:sz="0" w:space="0" w:color="auto"/>
      </w:divBdr>
    </w:div>
    <w:div w:id="1905097540">
      <w:bodyDiv w:val="1"/>
      <w:marLeft w:val="0"/>
      <w:marRight w:val="0"/>
      <w:marTop w:val="0"/>
      <w:marBottom w:val="0"/>
      <w:divBdr>
        <w:top w:val="none" w:sz="0" w:space="0" w:color="auto"/>
        <w:left w:val="none" w:sz="0" w:space="0" w:color="auto"/>
        <w:bottom w:val="none" w:sz="0" w:space="0" w:color="auto"/>
        <w:right w:val="none" w:sz="0" w:space="0" w:color="auto"/>
      </w:divBdr>
      <w:divsChild>
        <w:div w:id="1071150962">
          <w:marLeft w:val="480"/>
          <w:marRight w:val="0"/>
          <w:marTop w:val="0"/>
          <w:marBottom w:val="0"/>
          <w:divBdr>
            <w:top w:val="none" w:sz="0" w:space="0" w:color="auto"/>
            <w:left w:val="none" w:sz="0" w:space="0" w:color="auto"/>
            <w:bottom w:val="none" w:sz="0" w:space="0" w:color="auto"/>
            <w:right w:val="none" w:sz="0" w:space="0" w:color="auto"/>
          </w:divBdr>
          <w:divsChild>
            <w:div w:id="6697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1949727180">
      <w:bodyDiv w:val="1"/>
      <w:marLeft w:val="0"/>
      <w:marRight w:val="0"/>
      <w:marTop w:val="0"/>
      <w:marBottom w:val="0"/>
      <w:divBdr>
        <w:top w:val="none" w:sz="0" w:space="0" w:color="auto"/>
        <w:left w:val="none" w:sz="0" w:space="0" w:color="auto"/>
        <w:bottom w:val="none" w:sz="0" w:space="0" w:color="auto"/>
        <w:right w:val="none" w:sz="0" w:space="0" w:color="auto"/>
      </w:divBdr>
    </w:div>
    <w:div w:id="2000499595">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074886824">
      <w:bodyDiv w:val="1"/>
      <w:marLeft w:val="0"/>
      <w:marRight w:val="0"/>
      <w:marTop w:val="0"/>
      <w:marBottom w:val="0"/>
      <w:divBdr>
        <w:top w:val="none" w:sz="0" w:space="0" w:color="auto"/>
        <w:left w:val="none" w:sz="0" w:space="0" w:color="auto"/>
        <w:bottom w:val="none" w:sz="0" w:space="0" w:color="auto"/>
        <w:right w:val="none" w:sz="0" w:space="0" w:color="auto"/>
      </w:divBdr>
    </w:div>
    <w:div w:id="2111966250">
      <w:bodyDiv w:val="1"/>
      <w:marLeft w:val="0"/>
      <w:marRight w:val="0"/>
      <w:marTop w:val="0"/>
      <w:marBottom w:val="0"/>
      <w:divBdr>
        <w:top w:val="none" w:sz="0" w:space="0" w:color="auto"/>
        <w:left w:val="none" w:sz="0" w:space="0" w:color="auto"/>
        <w:bottom w:val="none" w:sz="0" w:space="0" w:color="auto"/>
        <w:right w:val="none" w:sz="0" w:space="0" w:color="auto"/>
      </w:divBdr>
    </w:div>
    <w:div w:id="21244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drawdown.org" TargetMode="External"/><Relationship Id="rId18" Type="http://schemas.openxmlformats.org/officeDocument/2006/relationships/footer" Target="footer4.xml"/><Relationship Id="rId26" Type="http://schemas.openxmlformats.org/officeDocument/2006/relationships/hyperlink" Target="https://www.eia.gov/forecasts/archive/aeo15/pdf/electricity_generation_2015.pdf" TargetMode="External"/><Relationship Id="rId39" Type="http://schemas.openxmlformats.org/officeDocument/2006/relationships/hyperlink" Target="https://www.oecd-nea.org/nea-news/2002/20-2-Nuclear_fuel_resources.pdf" TargetMode="External"/><Relationship Id="rId21" Type="http://schemas.openxmlformats.org/officeDocument/2006/relationships/chart" Target="charts/chart1.xml"/><Relationship Id="rId34" Type="http://schemas.openxmlformats.org/officeDocument/2006/relationships/hyperlink" Target="http://www.iea.org/etp/etp2016/"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drawdown.org" TargetMode="External"/><Relationship Id="rId29" Type="http://schemas.openxmlformats.org/officeDocument/2006/relationships/hyperlink" Target="https://www.scientificamerican.com/article/how-long-will-global-uranium-deposits-last/" TargetMode="External"/><Relationship Id="rId41" Type="http://schemas.openxmlformats.org/officeDocument/2006/relationships/hyperlink" Target="http://www.world-nuclear.org/information-library/nuclear-fuel-cycle/nuclear-power-reactors/advanced-nuclear-power-reactors.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hyperlink" Target="http://www.areva.com/EN/operations-1095/melox-operations-production-of-mox-fuel-assemblies.html" TargetMode="External"/><Relationship Id="rId32" Type="http://schemas.openxmlformats.org/officeDocument/2006/relationships/hyperlink" Target="http://www.greenpeace.org/international/Global/international/publications/climate/2015/Energy-Revolution-2015-Full.pdf" TargetMode="External"/><Relationship Id="rId37" Type="http://schemas.openxmlformats.org/officeDocument/2006/relationships/hyperlink" Target="https://eneken.ieej.or.jp/data/8122.pdf" TargetMode="External"/><Relationship Id="rId40" Type="http://schemas.openxmlformats.org/officeDocument/2006/relationships/hyperlink" Target="http://energywatchgroup.org/wp-content/uploads/EWG_LUT_100RE_All_Sectors_Global_Report_2019.pdf"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chart" Target="charts/chart3.xml"/><Relationship Id="rId28" Type="http://schemas.openxmlformats.org/officeDocument/2006/relationships/hyperlink" Target="https://www.euronuclear.org/info/encyclopedia/f/fuelcomparison.htm" TargetMode="External"/><Relationship Id="rId36" Type="http://schemas.openxmlformats.org/officeDocument/2006/relationships/hyperlink" Target="https://webstore.iea.org/world-energy-outlook-2018" TargetMode="External"/><Relationship Id="rId10" Type="http://schemas.openxmlformats.org/officeDocument/2006/relationships/hyperlink" Target="mailto:info@drawdown.org" TargetMode="External"/><Relationship Id="rId19" Type="http://schemas.openxmlformats.org/officeDocument/2006/relationships/image" Target="media/image2.png"/><Relationship Id="rId31" Type="http://schemas.openxmlformats.org/officeDocument/2006/relationships/hyperlink" Target="https://www.imperial.ac.uk/media/imperial-college/grantham-institute/public/publications/collaborative-publications/Expect-the-Unexpected_CTI_Imperial.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awdown.org" TargetMode="External"/><Relationship Id="rId22" Type="http://schemas.openxmlformats.org/officeDocument/2006/relationships/chart" Target="charts/chart2.xml"/><Relationship Id="rId27" Type="http://schemas.openxmlformats.org/officeDocument/2006/relationships/hyperlink" Target="https://www.equinor.com/en/news/07jun2018-energy-perspectives.html" TargetMode="External"/><Relationship Id="rId30" Type="http://schemas.openxmlformats.org/officeDocument/2006/relationships/hyperlink" Target="http://www.sciencedirect.com/science/article/pii/S0301421506002758" TargetMode="External"/><Relationship Id="rId35" Type="http://schemas.openxmlformats.org/officeDocument/2006/relationships/hyperlink" Target="https://www.iea.org/etp/"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0.jpg"/><Relationship Id="rId17" Type="http://schemas.openxmlformats.org/officeDocument/2006/relationships/footer" Target="footer3.xml"/><Relationship Id="rId25" Type="http://schemas.openxmlformats.org/officeDocument/2006/relationships/hyperlink" Target="https://www.navigant.com/-/media/www/site/downloads/energy/2018/navigant2018energytransitionwithin15c.pdf" TargetMode="External"/><Relationship Id="rId33" Type="http://schemas.openxmlformats.org/officeDocument/2006/relationships/hyperlink" Target="https://www.iaea.org/pris/" TargetMode="External"/><Relationship Id="rId38" Type="http://schemas.openxmlformats.org/officeDocument/2006/relationships/hyperlink" Target="http://www.powermag.com/even-more-delays-and-cost-overruns-for-vogtle-expan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joaopedrogouveia/Desktop/DD/1_Technical%20Reports/02_Latest%20Reports%20%20(September2019)/Nuclear/1_Template%20Excel%20Graphs%20Nuclea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joaopedrogouveia/Desktop/DD/1_Technical%20Reports/02_Latest%20Reports%20%20(September2019)/Nuclear/1_Template%20Excel%20Graphs%20Nuclea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Nuclear_RRS_ELECGEN_v1.1b_26Jun2020.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Plots'!$J$7</c:f>
          <c:strCache>
            <c:ptCount val="1"/>
            <c:pt idx="0">
              <c:v>World Adoption in Functional Units</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#,##0.00_);_(* \(#,##0.00\);_(* "-"??_);_(@_)</c:formatCode>
                <c:ptCount val="46"/>
                <c:pt idx="0">
                  <c:v>2550.0187466498633</c:v>
                </c:pt>
                <c:pt idx="1">
                  <c:v>2639.4996189414796</c:v>
                </c:pt>
                <c:pt idx="2">
                  <c:v>2656.0191104745609</c:v>
                </c:pt>
                <c:pt idx="3">
                  <c:v>2752.2000000000116</c:v>
                </c:pt>
                <c:pt idx="4">
                  <c:v>2848.3808895254624</c:v>
                </c:pt>
                <c:pt idx="5">
                  <c:v>2944.5617790509132</c:v>
                </c:pt>
                <c:pt idx="6">
                  <c:v>3040.7426685763639</c:v>
                </c:pt>
                <c:pt idx="7">
                  <c:v>3136.9235581018147</c:v>
                </c:pt>
                <c:pt idx="8">
                  <c:v>3233.1044476272655</c:v>
                </c:pt>
                <c:pt idx="9">
                  <c:v>3329.2853371527162</c:v>
                </c:pt>
                <c:pt idx="10">
                  <c:v>3425.466226678167</c:v>
                </c:pt>
                <c:pt idx="11">
                  <c:v>3521.6471162036178</c:v>
                </c:pt>
                <c:pt idx="12">
                  <c:v>3617.8280057290685</c:v>
                </c:pt>
                <c:pt idx="13">
                  <c:v>3714.0088952545193</c:v>
                </c:pt>
                <c:pt idx="14">
                  <c:v>3810.1897847799992</c:v>
                </c:pt>
                <c:pt idx="15">
                  <c:v>3906.3706743054499</c:v>
                </c:pt>
                <c:pt idx="16">
                  <c:v>4002.5515638309007</c:v>
                </c:pt>
                <c:pt idx="17">
                  <c:v>4098.7324533563515</c:v>
                </c:pt>
                <c:pt idx="18">
                  <c:v>4194.9133428818022</c:v>
                </c:pt>
                <c:pt idx="19">
                  <c:v>4291.094232407253</c:v>
                </c:pt>
                <c:pt idx="20">
                  <c:v>4387.2751219327038</c:v>
                </c:pt>
                <c:pt idx="21">
                  <c:v>4483.4560114581545</c:v>
                </c:pt>
                <c:pt idx="22">
                  <c:v>4579.6369009836053</c:v>
                </c:pt>
                <c:pt idx="23">
                  <c:v>4675.8177905090561</c:v>
                </c:pt>
                <c:pt idx="24">
                  <c:v>4771.9986800345068</c:v>
                </c:pt>
                <c:pt idx="25">
                  <c:v>4868.1795695599576</c:v>
                </c:pt>
                <c:pt idx="26">
                  <c:v>4964.3604590854084</c:v>
                </c:pt>
                <c:pt idx="27">
                  <c:v>5060.5413486108882</c:v>
                </c:pt>
                <c:pt idx="28">
                  <c:v>5156.722238136339</c:v>
                </c:pt>
                <c:pt idx="29">
                  <c:v>5252.9031276617898</c:v>
                </c:pt>
                <c:pt idx="30">
                  <c:v>5349.0840171872405</c:v>
                </c:pt>
                <c:pt idx="31">
                  <c:v>5445.2649067126913</c:v>
                </c:pt>
                <c:pt idx="32">
                  <c:v>5541.4457962381421</c:v>
                </c:pt>
                <c:pt idx="33">
                  <c:v>5637.6266857635928</c:v>
                </c:pt>
                <c:pt idx="34">
                  <c:v>5733.8075752890436</c:v>
                </c:pt>
                <c:pt idx="35">
                  <c:v>5829.9884648144944</c:v>
                </c:pt>
                <c:pt idx="36">
                  <c:v>5926.1693543399451</c:v>
                </c:pt>
                <c:pt idx="37">
                  <c:v>6022.3502438653959</c:v>
                </c:pt>
                <c:pt idx="38">
                  <c:v>6118.5311333908467</c:v>
                </c:pt>
                <c:pt idx="39">
                  <c:v>6214.7120229162974</c:v>
                </c:pt>
                <c:pt idx="40">
                  <c:v>6310.8929124417773</c:v>
                </c:pt>
                <c:pt idx="41">
                  <c:v>6407.0738019672281</c:v>
                </c:pt>
                <c:pt idx="42">
                  <c:v>6503.2546914926788</c:v>
                </c:pt>
                <c:pt idx="43">
                  <c:v>6599.4355810181296</c:v>
                </c:pt>
                <c:pt idx="44">
                  <c:v>6695.6164705435804</c:v>
                </c:pt>
                <c:pt idx="45">
                  <c:v>6791.7973600690311</c:v>
                </c:pt>
              </c:numCache>
            </c:numRef>
          </c:val>
          <c:smooth val="1"/>
          <c:extLst>
            <c:ext xmlns:c16="http://schemas.microsoft.com/office/drawing/2014/chart" uri="{C3380CC4-5D6E-409C-BE32-E72D297353CC}">
              <c16:uniqueId val="{00000000-2415-084B-B78F-4BA3E4E87BBC}"/>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#,##0.00_);_(* \(#,##0.00\);_(* "-"??_);_(@_)</c:formatCode>
                <c:ptCount val="46"/>
                <c:pt idx="0">
                  <c:v>2550.0187466498633</c:v>
                </c:pt>
                <c:pt idx="1">
                  <c:v>2639.4996189414796</c:v>
                </c:pt>
                <c:pt idx="2">
                  <c:v>2731.2635282888627</c:v>
                </c:pt>
                <c:pt idx="3">
                  <c:v>2825.1656921468984</c:v>
                </c:pt>
                <c:pt idx="4">
                  <c:v>2921.0613279704735</c:v>
                </c:pt>
                <c:pt idx="5">
                  <c:v>3018.8056532144747</c:v>
                </c:pt>
                <c:pt idx="6">
                  <c:v>3118.2538853337892</c:v>
                </c:pt>
                <c:pt idx="7">
                  <c:v>3219.2612417833025</c:v>
                </c:pt>
                <c:pt idx="8">
                  <c:v>3321.6829400179026</c:v>
                </c:pt>
                <c:pt idx="9">
                  <c:v>3425.3741974924751</c:v>
                </c:pt>
                <c:pt idx="10">
                  <c:v>3530.1902316619071</c:v>
                </c:pt>
                <c:pt idx="11">
                  <c:v>3635.9862599810849</c:v>
                </c:pt>
                <c:pt idx="12">
                  <c:v>3742.6174999048953</c:v>
                </c:pt>
                <c:pt idx="13">
                  <c:v>3849.9391688882256</c:v>
                </c:pt>
                <c:pt idx="14">
                  <c:v>3957.806484385962</c:v>
                </c:pt>
                <c:pt idx="15">
                  <c:v>4066.0746638529904</c:v>
                </c:pt>
                <c:pt idx="16">
                  <c:v>4174.5989247441976</c:v>
                </c:pt>
                <c:pt idx="17">
                  <c:v>4283.2344845144726</c:v>
                </c:pt>
                <c:pt idx="18">
                  <c:v>4391.8365606186981</c:v>
                </c:pt>
                <c:pt idx="19">
                  <c:v>4500.2603705117635</c:v>
                </c:pt>
                <c:pt idx="20">
                  <c:v>4608.3611316485549</c:v>
                </c:pt>
                <c:pt idx="21">
                  <c:v>4715.9940614839588</c:v>
                </c:pt>
                <c:pt idx="22">
                  <c:v>4823.0143774728622</c:v>
                </c:pt>
                <c:pt idx="23">
                  <c:v>4929.2772970701508</c:v>
                </c:pt>
                <c:pt idx="24">
                  <c:v>5034.6380377307114</c:v>
                </c:pt>
                <c:pt idx="25">
                  <c:v>5138.9518169094317</c:v>
                </c:pt>
                <c:pt idx="26">
                  <c:v>5242.0738520611976</c:v>
                </c:pt>
                <c:pt idx="27">
                  <c:v>5343.8593606408958</c:v>
                </c:pt>
                <c:pt idx="28">
                  <c:v>5444.1635601034131</c:v>
                </c:pt>
                <c:pt idx="29">
                  <c:v>5542.8416679036363</c:v>
                </c:pt>
                <c:pt idx="30">
                  <c:v>5639.7489014964503</c:v>
                </c:pt>
                <c:pt idx="31">
                  <c:v>5734.7404783367456</c:v>
                </c:pt>
                <c:pt idx="32">
                  <c:v>5827.6716158794043</c:v>
                </c:pt>
                <c:pt idx="33">
                  <c:v>5918.3975315793159</c:v>
                </c:pt>
                <c:pt idx="34">
                  <c:v>6006.7734428913664</c:v>
                </c:pt>
                <c:pt idx="35">
                  <c:v>6092.6545672704433</c:v>
                </c:pt>
                <c:pt idx="36">
                  <c:v>6175.8961221714308</c:v>
                </c:pt>
                <c:pt idx="37">
                  <c:v>6256.3533250492183</c:v>
                </c:pt>
                <c:pt idx="38">
                  <c:v>6333.8813933586907</c:v>
                </c:pt>
                <c:pt idx="39">
                  <c:v>6408.335544554735</c:v>
                </c:pt>
                <c:pt idx="40">
                  <c:v>6479.5709960922377</c:v>
                </c:pt>
                <c:pt idx="41">
                  <c:v>6547.4429654260857</c:v>
                </c:pt>
                <c:pt idx="42">
                  <c:v>6611.8066700111667</c:v>
                </c:pt>
                <c:pt idx="43">
                  <c:v>6672.5173273023665</c:v>
                </c:pt>
                <c:pt idx="44">
                  <c:v>6729.430154754571</c:v>
                </c:pt>
                <c:pt idx="45">
                  <c:v>6782.4003698226661</c:v>
                </c:pt>
              </c:numCache>
            </c:numRef>
          </c:val>
          <c:smooth val="0"/>
          <c:extLst>
            <c:ext xmlns:c16="http://schemas.microsoft.com/office/drawing/2014/chart" uri="{C3380CC4-5D6E-409C-BE32-E72D297353CC}">
              <c16:uniqueId val="{00000001-2415-084B-B78F-4BA3E4E87BBC}"/>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 ##0_-;\-* #\ ##0_-;_-* "-"??_-;_-@_-</c:formatCode>
                <c:ptCount val="46"/>
                <c:pt idx="0">
                  <c:v>2550.0187466498633</c:v>
                </c:pt>
                <c:pt idx="1">
                  <c:v>2639.4996189414796</c:v>
                </c:pt>
                <c:pt idx="2">
                  <c:v>2731.2635282888627</c:v>
                </c:pt>
                <c:pt idx="3">
                  <c:v>2825.1656921468984</c:v>
                </c:pt>
                <c:pt idx="4">
                  <c:v>2921.0613279704735</c:v>
                </c:pt>
                <c:pt idx="5">
                  <c:v>3018.8056532144747</c:v>
                </c:pt>
                <c:pt idx="6">
                  <c:v>3118.2538853337892</c:v>
                </c:pt>
                <c:pt idx="7">
                  <c:v>3219.2612417833025</c:v>
                </c:pt>
                <c:pt idx="8">
                  <c:v>3321.6829400179026</c:v>
                </c:pt>
                <c:pt idx="9">
                  <c:v>3425.3741974924751</c:v>
                </c:pt>
                <c:pt idx="10">
                  <c:v>3530.1902316619071</c:v>
                </c:pt>
                <c:pt idx="11">
                  <c:v>3635.9862599810849</c:v>
                </c:pt>
                <c:pt idx="12">
                  <c:v>3742.6174999048953</c:v>
                </c:pt>
                <c:pt idx="13">
                  <c:v>3849.9391688882256</c:v>
                </c:pt>
                <c:pt idx="14">
                  <c:v>3957.806484385962</c:v>
                </c:pt>
                <c:pt idx="15">
                  <c:v>4066.0746638529904</c:v>
                </c:pt>
                <c:pt idx="16">
                  <c:v>4174.5989247441976</c:v>
                </c:pt>
                <c:pt idx="17">
                  <c:v>4283.2344845144726</c:v>
                </c:pt>
                <c:pt idx="18">
                  <c:v>4391.8365606186981</c:v>
                </c:pt>
                <c:pt idx="19">
                  <c:v>4500.2603705117635</c:v>
                </c:pt>
                <c:pt idx="20">
                  <c:v>4608.3611316485549</c:v>
                </c:pt>
                <c:pt idx="21">
                  <c:v>4715.9940614839588</c:v>
                </c:pt>
                <c:pt idx="22">
                  <c:v>4823.0143774728622</c:v>
                </c:pt>
                <c:pt idx="23">
                  <c:v>4929.2772970701508</c:v>
                </c:pt>
                <c:pt idx="24">
                  <c:v>5034.6380377307114</c:v>
                </c:pt>
                <c:pt idx="25">
                  <c:v>5138.9518169094317</c:v>
                </c:pt>
                <c:pt idx="26">
                  <c:v>5242.0738520611976</c:v>
                </c:pt>
                <c:pt idx="27">
                  <c:v>5343.8593606408958</c:v>
                </c:pt>
                <c:pt idx="28">
                  <c:v>5444.1635601034131</c:v>
                </c:pt>
                <c:pt idx="29">
                  <c:v>5542.8416679036363</c:v>
                </c:pt>
                <c:pt idx="30">
                  <c:v>5639.7489014964503</c:v>
                </c:pt>
                <c:pt idx="31">
                  <c:v>5734.7404783367456</c:v>
                </c:pt>
                <c:pt idx="32">
                  <c:v>5827.6716158794043</c:v>
                </c:pt>
                <c:pt idx="33">
                  <c:v>5918.3975315793159</c:v>
                </c:pt>
                <c:pt idx="34">
                  <c:v>6006.7734428913664</c:v>
                </c:pt>
                <c:pt idx="35">
                  <c:v>6092.6545672704433</c:v>
                </c:pt>
                <c:pt idx="36">
                  <c:v>6175.8961221714308</c:v>
                </c:pt>
                <c:pt idx="37">
                  <c:v>6256.3533250492183</c:v>
                </c:pt>
                <c:pt idx="38">
                  <c:v>6333.8813933586907</c:v>
                </c:pt>
                <c:pt idx="39">
                  <c:v>6408.335544554735</c:v>
                </c:pt>
                <c:pt idx="40">
                  <c:v>6479.5709960922377</c:v>
                </c:pt>
                <c:pt idx="41">
                  <c:v>6547.4429654260857</c:v>
                </c:pt>
                <c:pt idx="42">
                  <c:v>6611.8066700111667</c:v>
                </c:pt>
                <c:pt idx="43">
                  <c:v>6672.5173273023665</c:v>
                </c:pt>
                <c:pt idx="44">
                  <c:v>6729.430154754571</c:v>
                </c:pt>
                <c:pt idx="45">
                  <c:v>6782.4003698226661</c:v>
                </c:pt>
              </c:numCache>
            </c:numRef>
          </c:val>
          <c:smooth val="0"/>
          <c:extLst>
            <c:ext xmlns:c16="http://schemas.microsoft.com/office/drawing/2014/chart" uri="{C3380CC4-5D6E-409C-BE32-E72D297353CC}">
              <c16:uniqueId val="{00000002-2415-084B-B78F-4BA3E4E87BBC}"/>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 ##0_-;\-* #\ ##0_-;_-* "-"??_-;_-@_-</c:formatCode>
                <c:ptCount val="46"/>
                <c:pt idx="0">
                  <c:v>2571</c:v>
                </c:pt>
                <c:pt idx="1">
                  <c:v>2606</c:v>
                </c:pt>
                <c:pt idx="2">
                  <c:v>2337.1774655167887</c:v>
                </c:pt>
                <c:pt idx="3">
                  <c:v>2282.5745586454</c:v>
                </c:pt>
                <c:pt idx="4">
                  <c:v>2223.6014341415716</c:v>
                </c:pt>
                <c:pt idx="5">
                  <c:v>2154.5473372702486</c:v>
                </c:pt>
                <c:pt idx="6">
                  <c:v>2085.4932403989246</c:v>
                </c:pt>
                <c:pt idx="7">
                  <c:v>2010.9251178338664</c:v>
                </c:pt>
                <c:pt idx="8">
                  <c:v>1933.0280783912929</c:v>
                </c:pt>
                <c:pt idx="9">
                  <c:v>1852.0624472599357</c:v>
                </c:pt>
                <c:pt idx="10">
                  <c:v>1767.0145789728658</c:v>
                </c:pt>
                <c:pt idx="11">
                  <c:v>1663.8907847598703</c:v>
                </c:pt>
                <c:pt idx="12">
                  <c:v>1557.205403768625</c:v>
                </c:pt>
                <c:pt idx="13">
                  <c:v>1448.4927318435223</c:v>
                </c:pt>
                <c:pt idx="14">
                  <c:v>1338.013094173293</c:v>
                </c:pt>
                <c:pt idx="15">
                  <c:v>1245.3203249295041</c:v>
                </c:pt>
                <c:pt idx="16">
                  <c:v>1152.6275556857152</c:v>
                </c:pt>
                <c:pt idx="17">
                  <c:v>1078.2423052458287</c:v>
                </c:pt>
                <c:pt idx="18">
                  <c:v>1003.1313898157422</c:v>
                </c:pt>
                <c:pt idx="19">
                  <c:v>927.55513458418591</c:v>
                </c:pt>
                <c:pt idx="20">
                  <c:v>851.8015200278893</c:v>
                </c:pt>
                <c:pt idx="21">
                  <c:v>776.0479054715928</c:v>
                </c:pt>
                <c:pt idx="22">
                  <c:v>700.63758196801791</c:v>
                </c:pt>
                <c:pt idx="23">
                  <c:v>625.80321941789987</c:v>
                </c:pt>
                <c:pt idx="24">
                  <c:v>551.80514300997027</c:v>
                </c:pt>
                <c:pt idx="25">
                  <c:v>411.7</c:v>
                </c:pt>
                <c:pt idx="26">
                  <c:v>326.53961999299662</c:v>
                </c:pt>
                <c:pt idx="27">
                  <c:v>241.37923998599322</c:v>
                </c:pt>
                <c:pt idx="28">
                  <c:v>210.96659734185198</c:v>
                </c:pt>
                <c:pt idx="29">
                  <c:v>180.45430068521898</c:v>
                </c:pt>
                <c:pt idx="30">
                  <c:v>151.66666666666666</c:v>
                </c:pt>
                <c:pt idx="31">
                  <c:v>119.13074533447775</c:v>
                </c:pt>
                <c:pt idx="32">
                  <c:v>88.319486640369476</c:v>
                </c:pt>
                <c:pt idx="33">
                  <c:v>57.408573933769539</c:v>
                </c:pt>
                <c:pt idx="34">
                  <c:v>26.398007214677552</c:v>
                </c:pt>
                <c:pt idx="35">
                  <c:v>10.165670274005455</c:v>
                </c:pt>
                <c:pt idx="36">
                  <c:v>0</c:v>
                </c:pt>
                <c:pt idx="37">
                  <c:v>0</c:v>
                </c:pt>
                <c:pt idx="38">
                  <c:v>0</c:v>
                </c:pt>
                <c:pt idx="39">
                  <c:v>0</c:v>
                </c:pt>
                <c:pt idx="40">
                  <c:v>0</c:v>
                </c:pt>
                <c:pt idx="41">
                  <c:v>0</c:v>
                </c:pt>
                <c:pt idx="42">
                  <c:v>0</c:v>
                </c:pt>
                <c:pt idx="43">
                  <c:v>0</c:v>
                </c:pt>
                <c:pt idx="44">
                  <c:v>0</c:v>
                </c:pt>
                <c:pt idx="45">
                  <c:v>0</c:v>
                </c:pt>
              </c:numCache>
            </c:numRef>
          </c:val>
          <c:smooth val="0"/>
          <c:extLst>
            <c:ext xmlns:c16="http://schemas.microsoft.com/office/drawing/2014/chart" uri="{C3380CC4-5D6E-409C-BE32-E72D297353CC}">
              <c16:uniqueId val="{00000003-2415-084B-B78F-4BA3E4E87BBC}"/>
            </c:ext>
          </c:extLst>
        </c:ser>
        <c:dLbls>
          <c:showLegendKey val="0"/>
          <c:showVal val="0"/>
          <c:showCatName val="0"/>
          <c:showSerName val="0"/>
          <c:showPercent val="0"/>
          <c:showBubbleSize val="0"/>
        </c:dLbls>
        <c:smooth val="0"/>
        <c:axId val="584869888"/>
        <c:axId val="584860640"/>
        <c:extLst>
          <c:ext xmlns:c15="http://schemas.microsoft.com/office/drawing/2012/chart" uri="{02D57815-91ED-43cb-92C2-25804820EDAC}">
            <c15:filteredLineSeries>
              <c15:ser>
                <c:idx val="4"/>
                <c:order val="1"/>
                <c:tx>
                  <c:strRef>
                    <c:extLst>
                      <c:ext uri="{02D57815-91ED-43cb-92C2-25804820EDAC}">
                        <c15:formulaRef>
                          <c15:sqref>'file:///C:/Users/Furness/Documents/Professional Initiatives/Project Drawdown/RRS Solutions/Transportation/Airplane FE/[AirplaneFE-RRSv1.1b-24Aug18.xlsm]Unit Adoption Calculations'!$AZ$135</c15:sqref>
                        </c15:formulaRef>
                      </c:ext>
                    </c:extLst>
                    <c:strCache>
                      <c:ptCount val="1"/>
                      <c:pt idx="0">
                        <c:v>OECD90</c:v>
                      </c:pt>
                    </c:strCache>
                  </c:strRef>
                </c:tx>
                <c:marker>
                  <c:symbol val="none"/>
                </c:marker>
                <c:cat>
                  <c:numRef>
                    <c:extLst>
                      <c:ex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c:ext uri="{02D57815-91ED-43cb-92C2-25804820EDAC}">
                        <c15:formulaRef>
                          <c15:sqref>'[1]Unit Adoption Calculations'!$AZ$136:$AZ$182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c:ext xmlns:c16="http://schemas.microsoft.com/office/drawing/2014/chart" uri="{C3380CC4-5D6E-409C-BE32-E72D297353CC}">
                    <c16:uniqueId val="{00000004-2415-084B-B78F-4BA3E4E87BBC}"/>
                  </c:ext>
                </c:extLst>
              </c15:ser>
            </c15:filteredLineSeries>
            <c15:filteredLineSeries>
              <c15:ser>
                <c:idx val="5"/>
                <c:order val="2"/>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Calculations'!$BA$135</c15:sqref>
                        </c15:formulaRef>
                      </c:ext>
                    </c:extLst>
                    <c:strCache>
                      <c:ptCount val="1"/>
                      <c:pt idx="0">
                        <c:v>Eastern Europe</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Calculations'!$BA$136:$BA$182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5-2415-084B-B78F-4BA3E4E87BBC}"/>
                  </c:ext>
                </c:extLst>
              </c15:ser>
            </c15:filteredLineSeries>
            <c15:filteredLineSeries>
              <c15:ser>
                <c:idx val="6"/>
                <c:order val="3"/>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Calculations'!$BB$135</c15:sqref>
                        </c15:formulaRef>
                      </c:ext>
                    </c:extLst>
                    <c:strCache>
                      <c:ptCount val="1"/>
                      <c:pt idx="0">
                        <c:v>Asia (Sans Japan)</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Calculations'!$BB$136:$BB$182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6-2415-084B-B78F-4BA3E4E87BBC}"/>
                  </c:ext>
                </c:extLst>
              </c15:ser>
            </c15:filteredLineSeries>
            <c15:filteredLineSeries>
              <c15:ser>
                <c:idx val="7"/>
                <c:order val="4"/>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Calculations'!$BC$135</c15:sqref>
                        </c15:formulaRef>
                      </c:ext>
                    </c:extLst>
                    <c:strCache>
                      <c:ptCount val="1"/>
                      <c:pt idx="0">
                        <c:v>Middle East and Africa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Calculations'!$BC$136:$BC$182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7-2415-084B-B78F-4BA3E4E87BBC}"/>
                  </c:ext>
                </c:extLst>
              </c15:ser>
            </c15:filteredLineSeries>
            <c15:filteredLineSeries>
              <c15:ser>
                <c:idx val="8"/>
                <c:order val="5"/>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Calculations'!$BD$135</c15:sqref>
                        </c15:formulaRef>
                      </c:ext>
                    </c:extLst>
                    <c:strCache>
                      <c:ptCount val="1"/>
                      <c:pt idx="0">
                        <c:v>Latin America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Calculations'!$BD$136:$BD$182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8-2415-084B-B78F-4BA3E4E87BBC}"/>
                  </c:ext>
                </c:extLst>
              </c15:ser>
            </c15:filteredLineSeries>
            <c15:filteredLineSeries>
              <c15:ser>
                <c:idx val="9"/>
                <c:order val="6"/>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Calculations'!$BE$135</c15:sqref>
                        </c15:formulaRef>
                      </c:ext>
                    </c:extLst>
                    <c:strCache>
                      <c:ptCount val="1"/>
                      <c:pt idx="0">
                        <c:v>China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Calculations'!$BE$136:$BE$166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9-2415-084B-B78F-4BA3E4E87BBC}"/>
                  </c:ext>
                </c:extLst>
              </c15:ser>
            </c15:filteredLineSeries>
            <c15:filteredLineSeries>
              <c15:ser>
                <c:idx val="10"/>
                <c:order val="7"/>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Calculations'!$BF$135</c15:sqref>
                        </c15:formulaRef>
                      </c:ext>
                    </c:extLst>
                    <c:strCache>
                      <c:ptCount val="1"/>
                      <c:pt idx="0">
                        <c:v>India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Calculations'!$BF$136:$BF$166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A-2415-084B-B78F-4BA3E4E87BBC}"/>
                  </c:ext>
                </c:extLst>
              </c15:ser>
            </c15:filteredLineSeries>
            <c15:filteredLineSeries>
              <c15:ser>
                <c:idx val="11"/>
                <c:order val="8"/>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Calculations'!$BG$135</c15:sqref>
                        </c15:formulaRef>
                      </c:ext>
                    </c:extLst>
                    <c:strCache>
                      <c:ptCount val="1"/>
                      <c:pt idx="0">
                        <c:v>EU</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Calculations'!$BG$136:$BG$166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B-2415-084B-B78F-4BA3E4E87BBC}"/>
                  </c:ext>
                </c:extLst>
              </c15:ser>
            </c15:filteredLineSeries>
            <c15:filteredLineSeries>
              <c15:ser>
                <c:idx val="12"/>
                <c:order val="9"/>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Calculations'!$BH$135</c15:sqref>
                        </c15:formulaRef>
                      </c:ext>
                    </c:extLst>
                    <c:strCache>
                      <c:ptCount val="1"/>
                      <c:pt idx="0">
                        <c:v>USA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Calculations'!$BH$136:$BH$166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C-2415-084B-B78F-4BA3E4E87BBC}"/>
                  </c:ext>
                </c:extLst>
              </c15:ser>
            </c15:filteredLineSeries>
          </c:ext>
        </c:extLst>
      </c:lineChart>
      <c:catAx>
        <c:axId val="58486988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6305844485488684"/>
              <c:y val="0.9237116692959594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584860640"/>
        <c:crossesAt val="0"/>
        <c:auto val="1"/>
        <c:lblAlgn val="ctr"/>
        <c:lblOffset val="100"/>
        <c:tickLblSkip val="5"/>
        <c:tickMarkSkip val="5"/>
        <c:noMultiLvlLbl val="0"/>
      </c:catAx>
      <c:valAx>
        <c:axId val="584860640"/>
        <c:scaling>
          <c:orientation val="minMax"/>
        </c:scaling>
        <c:delete val="0"/>
        <c:axPos val="l"/>
        <c:majorGridlines/>
        <c:title>
          <c:tx>
            <c:rich>
              <a:bodyPr/>
              <a:lstStyle/>
              <a:p>
                <a:pPr>
                  <a:defRPr sz="900"/>
                </a:pPr>
                <a:r>
                  <a:rPr lang="en-US" sz="900" b="0" i="0" baseline="0">
                    <a:effectLst/>
                  </a:rPr>
                  <a:t>Global Adoption (Electricity generated by solution) (TWh)</a:t>
                </a:r>
                <a:endParaRPr lang="en-US" sz="900">
                  <a:effectLst/>
                </a:endParaRP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584869888"/>
        <c:crosses val="autoZero"/>
        <c:crossBetween val="between"/>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'Emissions Plots'!$J$7</c:f>
          <c:strCache>
            <c:ptCount val="1"/>
            <c:pt idx="0">
              <c:v>World Annual Emissions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 ##0_-;\-* #\ ##0_-;_-* "-"??_-;_-@_-</c:formatCode>
                <c:ptCount val="46"/>
                <c:pt idx="0">
                  <c:v>0</c:v>
                </c:pt>
                <c:pt idx="1">
                  <c:v>0</c:v>
                </c:pt>
                <c:pt idx="2">
                  <c:v>44.175969189704652</c:v>
                </c:pt>
                <c:pt idx="3">
                  <c:v>42.419653211532477</c:v>
                </c:pt>
                <c:pt idx="4">
                  <c:v>42.026206823443914</c:v>
                </c:pt>
                <c:pt idx="5">
                  <c:v>42.652887814144613</c:v>
                </c:pt>
                <c:pt idx="6">
                  <c:v>44.253851850895536</c:v>
                </c:pt>
                <c:pt idx="7">
                  <c:v>46.720916379960947</c:v>
                </c:pt>
                <c:pt idx="8">
                  <c:v>49.959205671946854</c:v>
                </c:pt>
                <c:pt idx="9">
                  <c:v>53.873863470039716</c:v>
                </c:pt>
                <c:pt idx="10">
                  <c:v>58.406810692516984</c:v>
                </c:pt>
                <c:pt idx="11">
                  <c:v>63.36458939899159</c:v>
                </c:pt>
                <c:pt idx="12">
                  <c:v>68.762162702001575</c:v>
                </c:pt>
                <c:pt idx="13">
                  <c:v>74.47883229897559</c:v>
                </c:pt>
                <c:pt idx="14">
                  <c:v>80.430106540336496</c:v>
                </c:pt>
                <c:pt idx="15">
                  <c:v>86.55408392256038</c:v>
                </c:pt>
                <c:pt idx="16">
                  <c:v>92.707039136607193</c:v>
                </c:pt>
                <c:pt idx="17">
                  <c:v>98.872049033979877</c:v>
                </c:pt>
                <c:pt idx="18">
                  <c:v>104.95026667091207</c:v>
                </c:pt>
                <c:pt idx="19">
                  <c:v>110.8652326783357</c:v>
                </c:pt>
                <c:pt idx="20">
                  <c:v>116.52434170536148</c:v>
                </c:pt>
                <c:pt idx="21">
                  <c:v>121.9031093474854</c:v>
                </c:pt>
                <c:pt idx="22">
                  <c:v>126.88119754151714</c:v>
                </c:pt>
                <c:pt idx="23">
                  <c:v>131.40459620965817</c:v>
                </c:pt>
                <c:pt idx="24">
                  <c:v>135.40081788565797</c:v>
                </c:pt>
                <c:pt idx="25">
                  <c:v>138.74932732859838</c:v>
                </c:pt>
                <c:pt idx="26">
                  <c:v>141.55764102387153</c:v>
                </c:pt>
                <c:pt idx="27">
                  <c:v>143.58813885605264</c:v>
                </c:pt>
                <c:pt idx="28">
                  <c:v>144.83549023626892</c:v>
                </c:pt>
                <c:pt idx="29">
                  <c:v>145.23912389615137</c:v>
                </c:pt>
                <c:pt idx="30">
                  <c:v>144.70948411543159</c:v>
                </c:pt>
                <c:pt idx="31">
                  <c:v>143.28227865869391</c:v>
                </c:pt>
                <c:pt idx="32">
                  <c:v>140.81021989678729</c:v>
                </c:pt>
                <c:pt idx="33">
                  <c:v>137.271458096765</c:v>
                </c:pt>
                <c:pt idx="34">
                  <c:v>132.74168314723758</c:v>
                </c:pt>
                <c:pt idx="35">
                  <c:v>127.27703024036168</c:v>
                </c:pt>
                <c:pt idx="36">
                  <c:v>120.5270527952983</c:v>
                </c:pt>
                <c:pt idx="37">
                  <c:v>112.50525126643679</c:v>
                </c:pt>
                <c:pt idx="38">
                  <c:v>103.13042334527941</c:v>
                </c:pt>
                <c:pt idx="39">
                  <c:v>92.351904862529622</c:v>
                </c:pt>
                <c:pt idx="40">
                  <c:v>80.114134738379036</c:v>
                </c:pt>
                <c:pt idx="41">
                  <c:v>66.391413544196055</c:v>
                </c:pt>
                <c:pt idx="42">
                  <c:v>51.118704072849496</c:v>
                </c:pt>
                <c:pt idx="43">
                  <c:v>34.261043746912385</c:v>
                </c:pt>
                <c:pt idx="44">
                  <c:v>15.778998373792655</c:v>
                </c:pt>
                <c:pt idx="45">
                  <c:v>-4.3658197221379274</c:v>
                </c:pt>
              </c:numCache>
            </c:numRef>
          </c:val>
          <c:smooth val="0"/>
          <c:extLst>
            <c:ext xmlns:c16="http://schemas.microsoft.com/office/drawing/2014/chart" uri="{C3380CC4-5D6E-409C-BE32-E72D297353CC}">
              <c16:uniqueId val="{00000000-C028-064A-9178-2195EB7D0963}"/>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 ##0_-;\-* #\ ##0_-;_-* "-"??_-;_-@_-</c:formatCode>
                <c:ptCount val="46"/>
                <c:pt idx="0">
                  <c:v>0</c:v>
                </c:pt>
                <c:pt idx="1">
                  <c:v>0</c:v>
                </c:pt>
                <c:pt idx="2">
                  <c:v>44.175969189704652</c:v>
                </c:pt>
                <c:pt idx="3">
                  <c:v>42.419653211532477</c:v>
                </c:pt>
                <c:pt idx="4">
                  <c:v>42.026206823443914</c:v>
                </c:pt>
                <c:pt idx="5">
                  <c:v>42.652887814144613</c:v>
                </c:pt>
                <c:pt idx="6">
                  <c:v>44.253851850895536</c:v>
                </c:pt>
                <c:pt idx="7">
                  <c:v>46.720916379960947</c:v>
                </c:pt>
                <c:pt idx="8">
                  <c:v>49.959205671946854</c:v>
                </c:pt>
                <c:pt idx="9">
                  <c:v>53.873863470039716</c:v>
                </c:pt>
                <c:pt idx="10">
                  <c:v>58.406810692516984</c:v>
                </c:pt>
                <c:pt idx="11">
                  <c:v>63.36458939899159</c:v>
                </c:pt>
                <c:pt idx="12">
                  <c:v>68.762162702001575</c:v>
                </c:pt>
                <c:pt idx="13">
                  <c:v>74.47883229897559</c:v>
                </c:pt>
                <c:pt idx="14">
                  <c:v>80.430106540336496</c:v>
                </c:pt>
                <c:pt idx="15">
                  <c:v>86.55408392256038</c:v>
                </c:pt>
                <c:pt idx="16">
                  <c:v>92.707039136607193</c:v>
                </c:pt>
                <c:pt idx="17">
                  <c:v>98.872049033979877</c:v>
                </c:pt>
                <c:pt idx="18">
                  <c:v>104.95026667091207</c:v>
                </c:pt>
                <c:pt idx="19">
                  <c:v>110.8652326783357</c:v>
                </c:pt>
                <c:pt idx="20">
                  <c:v>116.52434170536148</c:v>
                </c:pt>
                <c:pt idx="21">
                  <c:v>121.9031093474854</c:v>
                </c:pt>
                <c:pt idx="22">
                  <c:v>126.88119754151714</c:v>
                </c:pt>
                <c:pt idx="23">
                  <c:v>131.40459620965817</c:v>
                </c:pt>
                <c:pt idx="24">
                  <c:v>135.40081788565797</c:v>
                </c:pt>
                <c:pt idx="25">
                  <c:v>138.74932732859838</c:v>
                </c:pt>
                <c:pt idx="26">
                  <c:v>141.55764102387153</c:v>
                </c:pt>
                <c:pt idx="27">
                  <c:v>143.58813885605264</c:v>
                </c:pt>
                <c:pt idx="28">
                  <c:v>144.83549023626892</c:v>
                </c:pt>
                <c:pt idx="29">
                  <c:v>145.23912389615137</c:v>
                </c:pt>
                <c:pt idx="30">
                  <c:v>144.70948411543159</c:v>
                </c:pt>
                <c:pt idx="31">
                  <c:v>143.28227865869391</c:v>
                </c:pt>
                <c:pt idx="32">
                  <c:v>140.81021989678729</c:v>
                </c:pt>
                <c:pt idx="33">
                  <c:v>137.271458096765</c:v>
                </c:pt>
                <c:pt idx="34">
                  <c:v>132.74168314723758</c:v>
                </c:pt>
                <c:pt idx="35">
                  <c:v>127.27703024036168</c:v>
                </c:pt>
                <c:pt idx="36">
                  <c:v>120.5270527952983</c:v>
                </c:pt>
                <c:pt idx="37">
                  <c:v>112.50525126643679</c:v>
                </c:pt>
                <c:pt idx="38">
                  <c:v>103.13042334527941</c:v>
                </c:pt>
                <c:pt idx="39">
                  <c:v>92.351904862529622</c:v>
                </c:pt>
                <c:pt idx="40">
                  <c:v>80.114134738379036</c:v>
                </c:pt>
                <c:pt idx="41">
                  <c:v>66.391413544196055</c:v>
                </c:pt>
                <c:pt idx="42">
                  <c:v>51.118704072849496</c:v>
                </c:pt>
                <c:pt idx="43">
                  <c:v>34.261043746912385</c:v>
                </c:pt>
                <c:pt idx="44">
                  <c:v>15.778998373792655</c:v>
                </c:pt>
                <c:pt idx="45">
                  <c:v>-4.3658197221379274</c:v>
                </c:pt>
              </c:numCache>
            </c:numRef>
          </c:val>
          <c:smooth val="0"/>
          <c:extLst>
            <c:ext xmlns:c16="http://schemas.microsoft.com/office/drawing/2014/chart" uri="{C3380CC4-5D6E-409C-BE32-E72D297353CC}">
              <c16:uniqueId val="{00000001-C028-064A-9178-2195EB7D0963}"/>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 ##0_-;\-* #\ ##0_-;_-* "-"??_-;_-@_-</c:formatCode>
                <c:ptCount val="46"/>
                <c:pt idx="0">
                  <c:v>0</c:v>
                </c:pt>
                <c:pt idx="1">
                  <c:v>0</c:v>
                </c:pt>
                <c:pt idx="2">
                  <c:v>-187.1918089500069</c:v>
                </c:pt>
                <c:pt idx="3">
                  <c:v>-273.02349604896449</c:v>
                </c:pt>
                <c:pt idx="4">
                  <c:v>-361.26791710079971</c:v>
                </c:pt>
                <c:pt idx="5">
                  <c:v>-453.8609782483951</c:v>
                </c:pt>
                <c:pt idx="6">
                  <c:v>-545.38515125512413</c:v>
                </c:pt>
                <c:pt idx="7">
                  <c:v>-638.92590390605346</c:v>
                </c:pt>
                <c:pt idx="8">
                  <c:v>-733.25680949118566</c:v>
                </c:pt>
                <c:pt idx="9">
                  <c:v>-828.23028604463195</c:v>
                </c:pt>
                <c:pt idx="10">
                  <c:v>-924.95384840616123</c:v>
                </c:pt>
                <c:pt idx="11">
                  <c:v>-1029.5333973675281</c:v>
                </c:pt>
                <c:pt idx="12">
                  <c:v>-1135.4550922674823</c:v>
                </c:pt>
                <c:pt idx="13">
                  <c:v>-1241.3202290756367</c:v>
                </c:pt>
                <c:pt idx="14">
                  <c:v>-1346.984691723876</c:v>
                </c:pt>
                <c:pt idx="15">
                  <c:v>-1442.1980059144455</c:v>
                </c:pt>
                <c:pt idx="16">
                  <c:v>-1535.670266355434</c:v>
                </c:pt>
                <c:pt idx="17">
                  <c:v>-1618.6382781590944</c:v>
                </c:pt>
                <c:pt idx="18">
                  <c:v>-1701.0608042025992</c:v>
                </c:pt>
                <c:pt idx="19">
                  <c:v>-1782.7911729981513</c:v>
                </c:pt>
                <c:pt idx="20">
                  <c:v>-1863.3867181741668</c:v>
                </c:pt>
                <c:pt idx="21">
                  <c:v>-1943.5295672673014</c:v>
                </c:pt>
                <c:pt idx="22">
                  <c:v>-2022.2581233031749</c:v>
                </c:pt>
                <c:pt idx="23">
                  <c:v>-2099.706326182657</c:v>
                </c:pt>
                <c:pt idx="24">
                  <c:v>-2175.6741318635491</c:v>
                </c:pt>
                <c:pt idx="25">
                  <c:v>-2283.5927558411454</c:v>
                </c:pt>
                <c:pt idx="26">
                  <c:v>-2364.0162630921764</c:v>
                </c:pt>
                <c:pt idx="27">
                  <c:v>-2442.3950777607761</c:v>
                </c:pt>
                <c:pt idx="28">
                  <c:v>-2492.0597286472093</c:v>
                </c:pt>
                <c:pt idx="29">
                  <c:v>-2540.9454811478972</c:v>
                </c:pt>
                <c:pt idx="30">
                  <c:v>-2587.569479931823</c:v>
                </c:pt>
                <c:pt idx="31">
                  <c:v>-2636.2868369262014</c:v>
                </c:pt>
                <c:pt idx="32">
                  <c:v>-2682.6926925802918</c:v>
                </c:pt>
                <c:pt idx="33">
                  <c:v>-2728.2201415299528</c:v>
                </c:pt>
                <c:pt idx="34">
                  <c:v>-2775.4794367938503</c:v>
                </c:pt>
                <c:pt idx="35">
                  <c:v>-2820.0432217495663</c:v>
                </c:pt>
                <c:pt idx="36">
                  <c:v>-2860.1808802746809</c:v>
                </c:pt>
                <c:pt idx="37">
                  <c:v>-2895.4577177909609</c:v>
                </c:pt>
                <c:pt idx="38">
                  <c:v>-2930.1413712344333</c:v>
                </c:pt>
                <c:pt idx="39">
                  <c:v>-2964.2085250372188</c:v>
                </c:pt>
                <c:pt idx="40">
                  <c:v>-2997.3765065682369</c:v>
                </c:pt>
                <c:pt idx="41">
                  <c:v>-3030.3998108478327</c:v>
                </c:pt>
                <c:pt idx="42">
                  <c:v>-3062.4771341976571</c:v>
                </c:pt>
                <c:pt idx="43">
                  <c:v>-3093.8443953816791</c:v>
                </c:pt>
                <c:pt idx="44">
                  <c:v>-3124.478265692986</c:v>
                </c:pt>
                <c:pt idx="45">
                  <c:v>-3155.4531914964678</c:v>
                </c:pt>
              </c:numCache>
            </c:numRef>
          </c:val>
          <c:smooth val="0"/>
          <c:extLst>
            <c:ext xmlns:c16="http://schemas.microsoft.com/office/drawing/2014/chart" uri="{C3380CC4-5D6E-409C-BE32-E72D297353CC}">
              <c16:uniqueId val="{00000002-C028-064A-9178-2195EB7D0963}"/>
            </c:ext>
          </c:extLst>
        </c:ser>
        <c:dLbls>
          <c:showLegendKey val="0"/>
          <c:showVal val="0"/>
          <c:showCatName val="0"/>
          <c:showSerName val="0"/>
          <c:showPercent val="0"/>
          <c:showBubbleSize val="0"/>
        </c:dLbls>
        <c:smooth val="0"/>
        <c:axId val="584870432"/>
        <c:axId val="584870976"/>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C028-064A-9178-2195EB7D0963}"/>
                  </c:ext>
                </c:extLst>
              </c15:ser>
            </c15:filteredLineSeries>
            <c15:filteredLineSeries>
              <c15:ser>
                <c:idx val="4"/>
                <c:order val="1"/>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Calculations'!$AZ$135</c15:sqref>
                        </c15:formulaRef>
                      </c:ext>
                    </c:extLst>
                    <c:strCache>
                      <c:ptCount val="1"/>
                      <c:pt idx="0">
                        <c:v>OECD90</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Calculations'!$AZ$136:$AZ$182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4-C028-064A-9178-2195EB7D0963}"/>
                  </c:ext>
                </c:extLst>
              </c15:ser>
            </c15:filteredLineSeries>
            <c15:filteredLineSeries>
              <c15:ser>
                <c:idx val="5"/>
                <c:order val="2"/>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Calculations'!$BA$135</c15:sqref>
                        </c15:formulaRef>
                      </c:ext>
                    </c:extLst>
                    <c:strCache>
                      <c:ptCount val="1"/>
                      <c:pt idx="0">
                        <c:v>Eastern Europe</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Calculations'!$BA$136:$BA$182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5-C028-064A-9178-2195EB7D0963}"/>
                  </c:ext>
                </c:extLst>
              </c15:ser>
            </c15:filteredLineSeries>
            <c15:filteredLineSeries>
              <c15:ser>
                <c:idx val="6"/>
                <c:order val="3"/>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Calculations'!$BB$135</c15:sqref>
                        </c15:formulaRef>
                      </c:ext>
                    </c:extLst>
                    <c:strCache>
                      <c:ptCount val="1"/>
                      <c:pt idx="0">
                        <c:v>Asia (Sans Japan)</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Calculations'!$BB$136:$BB$182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6-C028-064A-9178-2195EB7D0963}"/>
                  </c:ext>
                </c:extLst>
              </c15:ser>
            </c15:filteredLineSeries>
            <c15:filteredLineSeries>
              <c15:ser>
                <c:idx val="7"/>
                <c:order val="4"/>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Calculations'!$BC$135</c15:sqref>
                        </c15:formulaRef>
                      </c:ext>
                    </c:extLst>
                    <c:strCache>
                      <c:ptCount val="1"/>
                      <c:pt idx="0">
                        <c:v>Middle East and Africa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Calculations'!$BC$136:$BC$182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7-C028-064A-9178-2195EB7D0963}"/>
                  </c:ext>
                </c:extLst>
              </c15:ser>
            </c15:filteredLineSeries>
            <c15:filteredLineSeries>
              <c15:ser>
                <c:idx val="8"/>
                <c:order val="5"/>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Calculations'!$BD$135</c15:sqref>
                        </c15:formulaRef>
                      </c:ext>
                    </c:extLst>
                    <c:strCache>
                      <c:ptCount val="1"/>
                      <c:pt idx="0">
                        <c:v>Latin America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Calculations'!$BD$136:$BD$182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8-C028-064A-9178-2195EB7D0963}"/>
                  </c:ext>
                </c:extLst>
              </c15:ser>
            </c15:filteredLineSeries>
            <c15:filteredLineSeries>
              <c15:ser>
                <c:idx val="9"/>
                <c:order val="6"/>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Calculations'!$BE$135</c15:sqref>
                        </c15:formulaRef>
                      </c:ext>
                    </c:extLst>
                    <c:strCache>
                      <c:ptCount val="1"/>
                      <c:pt idx="0">
                        <c:v>China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Calculations'!$BE$136:$BE$166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9-C028-064A-9178-2195EB7D0963}"/>
                  </c:ext>
                </c:extLst>
              </c15:ser>
            </c15:filteredLineSeries>
            <c15:filteredLineSeries>
              <c15:ser>
                <c:idx val="10"/>
                <c:order val="7"/>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Calculations'!$BF$135</c15:sqref>
                        </c15:formulaRef>
                      </c:ext>
                    </c:extLst>
                    <c:strCache>
                      <c:ptCount val="1"/>
                      <c:pt idx="0">
                        <c:v>India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Calculations'!$BF$136:$BF$166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A-C028-064A-9178-2195EB7D0963}"/>
                  </c:ext>
                </c:extLst>
              </c15:ser>
            </c15:filteredLineSeries>
            <c15:filteredLineSeries>
              <c15:ser>
                <c:idx val="11"/>
                <c:order val="8"/>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Calculations'!$BG$135</c15:sqref>
                        </c15:formulaRef>
                      </c:ext>
                    </c:extLst>
                    <c:strCache>
                      <c:ptCount val="1"/>
                      <c:pt idx="0">
                        <c:v>EU</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Calculations'!$BG$136:$BG$166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B-C028-064A-9178-2195EB7D0963}"/>
                  </c:ext>
                </c:extLst>
              </c15:ser>
            </c15:filteredLineSeries>
            <c15:filteredLineSeries>
              <c15:ser>
                <c:idx val="12"/>
                <c:order val="9"/>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Calculations'!$BH$135</c15:sqref>
                        </c15:formulaRef>
                      </c:ext>
                    </c:extLst>
                    <c:strCache>
                      <c:ptCount val="1"/>
                      <c:pt idx="0">
                        <c:v>USA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Calculations'!$BH$136:$BH$166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C-C028-064A-9178-2195EB7D0963}"/>
                  </c:ext>
                </c:extLst>
              </c15:ser>
            </c15:filteredLineSeries>
          </c:ext>
        </c:extLst>
      </c:lineChart>
      <c:catAx>
        <c:axId val="58487043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246495712813535"/>
              <c:y val="0.9414468774751932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584870976"/>
        <c:crossesAt val="0"/>
        <c:auto val="1"/>
        <c:lblAlgn val="ctr"/>
        <c:lblOffset val="100"/>
        <c:tickLblSkip val="5"/>
        <c:tickMarkSkip val="5"/>
        <c:noMultiLvlLbl val="0"/>
      </c:catAx>
      <c:valAx>
        <c:axId val="584870976"/>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GT CO2-eq</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584870432"/>
        <c:crosses val="autoZero"/>
        <c:crossBetween val="between"/>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AutoResults!$BF$8</c:f>
          <c:strCache>
            <c:ptCount val="1"/>
            <c:pt idx="0">
              <c:v>World Operating Cost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AutoResults!$BH$10</c:f>
              <c:strCache>
                <c:ptCount val="1"/>
                <c:pt idx="0">
                  <c:v>Plausible</c:v>
                </c:pt>
              </c:strCache>
            </c:strRef>
          </c:tx>
          <c:spPr>
            <a:ln>
              <a:solidFill>
                <a:srgbClr val="3571B6"/>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AutoResults!$BH$12:$BH$57</c:f>
              <c:numCache>
                <c:formatCode>_-* #\ ##0_-;\-* #\ ##0_-;_-* "-"??_-;_-@_-</c:formatCode>
                <c:ptCount val="45"/>
                <c:pt idx="0">
                  <c:v>0</c:v>
                </c:pt>
                <c:pt idx="1">
                  <c:v>1928952957.569397</c:v>
                </c:pt>
                <c:pt idx="2">
                  <c:v>1870535938.1634231</c:v>
                </c:pt>
                <c:pt idx="3">
                  <c:v>1863223223.30863</c:v>
                </c:pt>
                <c:pt idx="4">
                  <c:v>1903303192.5724015</c:v>
                </c:pt>
                <c:pt idx="5">
                  <c:v>1987064225.5221109</c:v>
                </c:pt>
                <c:pt idx="6">
                  <c:v>2110794701.7251167</c:v>
                </c:pt>
                <c:pt idx="7">
                  <c:v>2270783000.7488103</c:v>
                </c:pt>
                <c:pt idx="8">
                  <c:v>2463317502.1605501</c:v>
                </c:pt>
                <c:pt idx="9">
                  <c:v>2684686585.5277023</c:v>
                </c:pt>
                <c:pt idx="10">
                  <c:v>2931178630.4176393</c:v>
                </c:pt>
                <c:pt idx="11">
                  <c:v>3199082016.3977318</c:v>
                </c:pt>
                <c:pt idx="12">
                  <c:v>3484685123.0353718</c:v>
                </c:pt>
                <c:pt idx="13">
                  <c:v>3784276329.8971729</c:v>
                </c:pt>
                <c:pt idx="14">
                  <c:v>4094144016.5519676</c:v>
                </c:pt>
                <c:pt idx="15">
                  <c:v>4410576562.5663929</c:v>
                </c:pt>
                <c:pt idx="16">
                  <c:v>4729862347.5078955</c:v>
                </c:pt>
                <c:pt idx="17">
                  <c:v>5048289750.9437246</c:v>
                </c:pt>
                <c:pt idx="18">
                  <c:v>5362147152.4413319</c:v>
                </c:pt>
                <c:pt idx="19">
                  <c:v>5667722931.5680714</c:v>
                </c:pt>
                <c:pt idx="20">
                  <c:v>5961305467.8913088</c:v>
                </c:pt>
                <c:pt idx="21">
                  <c:v>6239183140.9784117</c:v>
                </c:pt>
                <c:pt idx="22">
                  <c:v>6497644330.3967552</c:v>
                </c:pt>
                <c:pt idx="23">
                  <c:v>6732977415.7137051</c:v>
                </c:pt>
                <c:pt idx="24">
                  <c:v>6941470776.4966526</c:v>
                </c:pt>
                <c:pt idx="25">
                  <c:v>7119412792.3129387</c:v>
                </c:pt>
                <c:pt idx="26">
                  <c:v>7263091842.7292156</c:v>
                </c:pt>
                <c:pt idx="27">
                  <c:v>7368796307.3143406</c:v>
                </c:pt>
                <c:pt idx="28">
                  <c:v>7432814565.6349392</c:v>
                </c:pt>
                <c:pt idx="29">
                  <c:v>7451434997.258337</c:v>
                </c:pt>
                <c:pt idx="30">
                  <c:v>7420945981.7519894</c:v>
                </c:pt>
                <c:pt idx="31">
                  <c:v>7337635898.6831875</c:v>
                </c:pt>
                <c:pt idx="32">
                  <c:v>7197793127.6193485</c:v>
                </c:pt>
                <c:pt idx="33">
                  <c:v>6997706048.1278229</c:v>
                </c:pt>
                <c:pt idx="34">
                  <c:v>6733663039.7760258</c:v>
                </c:pt>
                <c:pt idx="35">
                  <c:v>6733663039.7760258</c:v>
                </c:pt>
                <c:pt idx="36">
                  <c:v>6733663039.7760258</c:v>
                </c:pt>
                <c:pt idx="37">
                  <c:v>6733663039.7760258</c:v>
                </c:pt>
                <c:pt idx="38">
                  <c:v>6733663039.7760258</c:v>
                </c:pt>
                <c:pt idx="39">
                  <c:v>6733663039.7760258</c:v>
                </c:pt>
                <c:pt idx="40">
                  <c:v>6733663039.7760258</c:v>
                </c:pt>
                <c:pt idx="41">
                  <c:v>6733663039.7760258</c:v>
                </c:pt>
                <c:pt idx="42">
                  <c:v>6733663039.7760258</c:v>
                </c:pt>
                <c:pt idx="43">
                  <c:v>6733663039.7760258</c:v>
                </c:pt>
                <c:pt idx="44">
                  <c:v>6733663039.7760258</c:v>
                </c:pt>
              </c:numCache>
              <c:extLst/>
            </c:numRef>
          </c:val>
          <c:smooth val="0"/>
          <c:extLst>
            <c:ext xmlns:c16="http://schemas.microsoft.com/office/drawing/2014/chart" uri="{C3380CC4-5D6E-409C-BE32-E72D297353CC}">
              <c16:uniqueId val="{00000000-77F4-914F-AA91-2882E2B82DDF}"/>
            </c:ext>
          </c:extLst>
        </c:ser>
        <c:ser>
          <c:idx val="2"/>
          <c:order val="1"/>
          <c:tx>
            <c:strRef>
              <c:f>AutoResults!$BI$10</c:f>
              <c:strCache>
                <c:ptCount val="1"/>
                <c:pt idx="0">
                  <c:v>Drawdown</c:v>
                </c:pt>
              </c:strCache>
            </c:strRef>
          </c:tx>
          <c:spPr>
            <a:ln>
              <a:solidFill>
                <a:srgbClr val="6A9FDD"/>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AutoResults!$BI$12:$BI$57</c:f>
              <c:numCache>
                <c:formatCode>_-* #\ ##0_-;\-* #\ ##0_-;_-* "-"??_-;_-@_-</c:formatCode>
                <c:ptCount val="45"/>
                <c:pt idx="0">
                  <c:v>0</c:v>
                </c:pt>
                <c:pt idx="1">
                  <c:v>1928952957.569397</c:v>
                </c:pt>
                <c:pt idx="2">
                  <c:v>1870535938.1634231</c:v>
                </c:pt>
                <c:pt idx="3">
                  <c:v>1863223223.30863</c:v>
                </c:pt>
                <c:pt idx="4">
                  <c:v>1903303192.5724015</c:v>
                </c:pt>
                <c:pt idx="5">
                  <c:v>1987064225.5221109</c:v>
                </c:pt>
                <c:pt idx="6">
                  <c:v>2110794701.7251167</c:v>
                </c:pt>
                <c:pt idx="7">
                  <c:v>2270783000.7488103</c:v>
                </c:pt>
                <c:pt idx="8">
                  <c:v>2463317502.1605501</c:v>
                </c:pt>
                <c:pt idx="9">
                  <c:v>2684686585.5277023</c:v>
                </c:pt>
                <c:pt idx="10">
                  <c:v>2931178630.4176393</c:v>
                </c:pt>
                <c:pt idx="11">
                  <c:v>3199082016.3977318</c:v>
                </c:pt>
                <c:pt idx="12">
                  <c:v>3484685123.0353718</c:v>
                </c:pt>
                <c:pt idx="13">
                  <c:v>3784276329.8971729</c:v>
                </c:pt>
                <c:pt idx="14">
                  <c:v>4094144016.5519676</c:v>
                </c:pt>
                <c:pt idx="15">
                  <c:v>4410576562.5663929</c:v>
                </c:pt>
                <c:pt idx="16">
                  <c:v>4729862347.5078955</c:v>
                </c:pt>
                <c:pt idx="17">
                  <c:v>5048289750.9437246</c:v>
                </c:pt>
                <c:pt idx="18">
                  <c:v>5362147152.4413319</c:v>
                </c:pt>
                <c:pt idx="19">
                  <c:v>5667722931.5680714</c:v>
                </c:pt>
                <c:pt idx="20">
                  <c:v>5961305467.8913088</c:v>
                </c:pt>
                <c:pt idx="21">
                  <c:v>6239183140.9784117</c:v>
                </c:pt>
                <c:pt idx="22">
                  <c:v>6497644330.3967552</c:v>
                </c:pt>
                <c:pt idx="23">
                  <c:v>6732977415.7137051</c:v>
                </c:pt>
                <c:pt idx="24">
                  <c:v>6941470776.4966526</c:v>
                </c:pt>
                <c:pt idx="25">
                  <c:v>7119412792.3129387</c:v>
                </c:pt>
                <c:pt idx="26">
                  <c:v>7263091842.7292156</c:v>
                </c:pt>
                <c:pt idx="27">
                  <c:v>7368796307.3143406</c:v>
                </c:pt>
                <c:pt idx="28">
                  <c:v>7432814565.6349392</c:v>
                </c:pt>
                <c:pt idx="29">
                  <c:v>7451434997.258337</c:v>
                </c:pt>
                <c:pt idx="30">
                  <c:v>7420945981.7519894</c:v>
                </c:pt>
                <c:pt idx="31">
                  <c:v>7337635898.6831875</c:v>
                </c:pt>
                <c:pt idx="32">
                  <c:v>7197793127.6193485</c:v>
                </c:pt>
                <c:pt idx="33">
                  <c:v>6997706048.1278229</c:v>
                </c:pt>
                <c:pt idx="34">
                  <c:v>6733663039.7760258</c:v>
                </c:pt>
                <c:pt idx="35">
                  <c:v>6733663039.7760258</c:v>
                </c:pt>
                <c:pt idx="36">
                  <c:v>6733663039.7760258</c:v>
                </c:pt>
                <c:pt idx="37">
                  <c:v>6733663039.7760258</c:v>
                </c:pt>
                <c:pt idx="38">
                  <c:v>6733663039.7760258</c:v>
                </c:pt>
                <c:pt idx="39">
                  <c:v>6733663039.7760258</c:v>
                </c:pt>
                <c:pt idx="40">
                  <c:v>6733663039.7760258</c:v>
                </c:pt>
                <c:pt idx="41">
                  <c:v>6733663039.7760258</c:v>
                </c:pt>
                <c:pt idx="42">
                  <c:v>6733663039.7760258</c:v>
                </c:pt>
                <c:pt idx="43">
                  <c:v>6733663039.7760258</c:v>
                </c:pt>
                <c:pt idx="44">
                  <c:v>6733663039.7760258</c:v>
                </c:pt>
              </c:numCache>
              <c:extLst/>
            </c:numRef>
          </c:val>
          <c:smooth val="0"/>
          <c:extLst>
            <c:ext xmlns:c16="http://schemas.microsoft.com/office/drawing/2014/chart" uri="{C3380CC4-5D6E-409C-BE32-E72D297353CC}">
              <c16:uniqueId val="{00000001-77F4-914F-AA91-2882E2B82DDF}"/>
            </c:ext>
          </c:extLst>
        </c:ser>
        <c:ser>
          <c:idx val="3"/>
          <c:order val="2"/>
          <c:tx>
            <c:strRef>
              <c:f>AutoResults!$BJ$10</c:f>
              <c:strCache>
                <c:ptCount val="1"/>
                <c:pt idx="0">
                  <c:v>Optimum</c:v>
                </c:pt>
              </c:strCache>
            </c:strRef>
          </c:tx>
          <c:spPr>
            <a:ln>
              <a:solidFill>
                <a:srgbClr val="B5D5FA"/>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AutoResults!$BJ$12:$BJ$57</c:f>
              <c:numCache>
                <c:formatCode>_-* #\ ##0_-;\-* #\ ##0_-;_-* "-"??_-;_-@_-</c:formatCode>
                <c:ptCount val="45"/>
                <c:pt idx="0">
                  <c:v>0</c:v>
                </c:pt>
                <c:pt idx="1">
                  <c:v>-8173769588.535326</c:v>
                </c:pt>
                <c:pt idx="2">
                  <c:v>-12039237067.213085</c:v>
                </c:pt>
                <c:pt idx="3">
                  <c:v>-16016738693.701267</c:v>
                </c:pt>
                <c:pt idx="4">
                  <c:v>-20252674394.481102</c:v>
                </c:pt>
                <c:pt idx="5">
                  <c:v>-24488610095.260971</c:v>
                </c:pt>
                <c:pt idx="6">
                  <c:v>-28865902410.644356</c:v>
                </c:pt>
                <c:pt idx="7">
                  <c:v>-33328534266.726074</c:v>
                </c:pt>
                <c:pt idx="8">
                  <c:v>-37869832011.728088</c:v>
                </c:pt>
                <c:pt idx="9">
                  <c:v>-42515781286.554482</c:v>
                </c:pt>
                <c:pt idx="10">
                  <c:v>-47625121890.444923</c:v>
                </c:pt>
                <c:pt idx="11">
                  <c:v>-52825766720.603683</c:v>
                </c:pt>
                <c:pt idx="12">
                  <c:v>-58078382832.570602</c:v>
                </c:pt>
                <c:pt idx="13">
                  <c:v>-63376296574.56839</c:v>
                </c:pt>
                <c:pt idx="14">
                  <c:v>-68218229215.857697</c:v>
                </c:pt>
                <c:pt idx="15">
                  <c:v>-73060161857.146973</c:v>
                </c:pt>
                <c:pt idx="16">
                  <c:v>-77432766094.17247</c:v>
                </c:pt>
                <c:pt idx="17">
                  <c:v>-81823973354.115952</c:v>
                </c:pt>
                <c:pt idx="18">
                  <c:v>-86227109985.199448</c:v>
                </c:pt>
                <c:pt idx="19">
                  <c:v>-90634793369.436829</c:v>
                </c:pt>
                <c:pt idx="20">
                  <c:v>-95042476753.674194</c:v>
                </c:pt>
                <c:pt idx="21">
                  <c:v>-99441359587.509445</c:v>
                </c:pt>
                <c:pt idx="22">
                  <c:v>-103825477185.37253</c:v>
                </c:pt>
                <c:pt idx="23">
                  <c:v>-108188155895.48544</c:v>
                </c:pt>
                <c:pt idx="24">
                  <c:v>-114245543998.56555</c:v>
                </c:pt>
                <c:pt idx="25">
                  <c:v>-118894377604.4989</c:v>
                </c:pt>
                <c:pt idx="26">
                  <c:v>-123543211210.43298</c:v>
                </c:pt>
                <c:pt idx="27">
                  <c:v>-126788541234.65271</c:v>
                </c:pt>
                <c:pt idx="28">
                  <c:v>-130036425972.00223</c:v>
                </c:pt>
                <c:pt idx="29">
                  <c:v>-133240097554.50021</c:v>
                </c:pt>
                <c:pt idx="30">
                  <c:v>-136539859586.09045</c:v>
                </c:pt>
                <c:pt idx="31">
                  <c:v>-139795408462.82919</c:v>
                </c:pt>
                <c:pt idx="32">
                  <c:v>-143053512052.69766</c:v>
                </c:pt>
                <c:pt idx="33">
                  <c:v>-146314170355.69586</c:v>
                </c:pt>
                <c:pt idx="34">
                  <c:v>-149195976501.06195</c:v>
                </c:pt>
                <c:pt idx="35">
                  <c:v>-149195976501.06195</c:v>
                </c:pt>
                <c:pt idx="36">
                  <c:v>-149195976501.06195</c:v>
                </c:pt>
                <c:pt idx="37">
                  <c:v>-149195976501.06195</c:v>
                </c:pt>
                <c:pt idx="38">
                  <c:v>-149195976501.06195</c:v>
                </c:pt>
                <c:pt idx="39">
                  <c:v>-149195976501.06195</c:v>
                </c:pt>
                <c:pt idx="40">
                  <c:v>-149195976501.06195</c:v>
                </c:pt>
                <c:pt idx="41">
                  <c:v>-149195976501.06195</c:v>
                </c:pt>
                <c:pt idx="42">
                  <c:v>-149195976501.06195</c:v>
                </c:pt>
                <c:pt idx="43">
                  <c:v>-149195976501.06195</c:v>
                </c:pt>
                <c:pt idx="44">
                  <c:v>-149195976501.06195</c:v>
                </c:pt>
              </c:numCache>
              <c:extLst/>
            </c:numRef>
          </c:val>
          <c:smooth val="0"/>
          <c:extLst>
            <c:ext xmlns:c16="http://schemas.microsoft.com/office/drawing/2014/chart" uri="{C3380CC4-5D6E-409C-BE32-E72D297353CC}">
              <c16:uniqueId val="{00000002-77F4-914F-AA91-2882E2B82DDF}"/>
            </c:ext>
          </c:extLst>
        </c:ser>
        <c:dLbls>
          <c:showLegendKey val="0"/>
          <c:showVal val="0"/>
          <c:showCatName val="0"/>
          <c:showSerName val="0"/>
          <c:showPercent val="0"/>
          <c:showBubbleSize val="0"/>
        </c:dLbls>
        <c:smooth val="0"/>
        <c:axId val="-482263648"/>
        <c:axId val="-482262016"/>
        <c:extLst/>
      </c:lineChart>
      <c:catAx>
        <c:axId val="-4822636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62016"/>
        <c:crossesAt val="0"/>
        <c:auto val="1"/>
        <c:lblAlgn val="ctr"/>
        <c:lblOffset val="100"/>
        <c:tickLblSkip val="5"/>
        <c:tickMarkSkip val="5"/>
        <c:noMultiLvlLbl val="0"/>
      </c:catAx>
      <c:valAx>
        <c:axId val="-482262016"/>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63648"/>
        <c:crosses val="autoZero"/>
        <c:crossBetween val="between"/>
        <c:dispUnits>
          <c:builtInUnit val="billions"/>
        </c:dispUnits>
      </c:valAx>
    </c:plotArea>
    <c:legend>
      <c:legendPos val="r"/>
      <c:layout>
        <c:manualLayout>
          <c:xMode val="edge"/>
          <c:yMode val="edge"/>
          <c:x val="0.78721468402992245"/>
          <c:y val="0.27668875047650093"/>
          <c:w val="0.21278528455547996"/>
          <c:h val="0.38950472581974943"/>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OEC15</b:Tag>
    <b:SourceType>Report</b:SourceType>
    <b:Guid>{C6D236A5-C6F2-E54F-B0AB-8BB36C92577E}</b:Guid>
    <b:Author>
      <b:Author>
        <b:Corporate>OECD/IEA/Nuclear Energy Agency</b:Corporate>
      </b:Author>
    </b:Author>
    <b:Title>Technology Roadmaps: Nuclear Energy</b:Title>
    <b:URL>https://www.iea.org/publications/freepublications/publication/technology-roadmap-nuclear-energy-2015-.html</b:URL>
    <b:Year>2015</b:Year>
    <b:Publisher>OECD/IEA/NEA</b:Publisher>
    <b:City>Paris</b:City>
    <b:RefOrder>1</b:RefOrder>
  </b:Source>
</b:Sourc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21F74EC-99C3-DE4F-BA4A-00C0119698BD}">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24</TotalTime>
  <Pages>9</Pages>
  <Words>11451</Words>
  <Characters>65276</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vijay negi</cp:lastModifiedBy>
  <cp:revision>10</cp:revision>
  <cp:lastPrinted>2018-07-24T17:02:00Z</cp:lastPrinted>
  <dcterms:created xsi:type="dcterms:W3CDTF">2019-09-14T02:12:00Z</dcterms:created>
  <dcterms:modified xsi:type="dcterms:W3CDTF">2021-11-30T18:51:00Z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zotero-version="5.0.58"&gt;&lt;session id="Asau4ExD"/&gt;&lt;style id="http://www.zotero.org/styles/american-anthropological-association"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